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1.xml" ContentType="application/vnd.openxmlformats-officedocument.themeOverride+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DAC10" w14:textId="3C691191" w:rsidR="00E47457" w:rsidRPr="00797379" w:rsidRDefault="002B2259" w:rsidP="000E29F0">
      <w:pPr>
        <w:pStyle w:val="Heading1"/>
      </w:pPr>
      <w:r w:rsidRPr="00797379">
        <w:t>Winchester</w:t>
      </w:r>
      <w:r w:rsidR="00CE0FF0" w:rsidRPr="00797379">
        <w:t xml:space="preserve"> Public Schools</w:t>
      </w:r>
    </w:p>
    <w:p w14:paraId="7F1243B7" w14:textId="0EE6502A" w:rsidR="008E314D" w:rsidRPr="00797379" w:rsidRDefault="00FD0F0A" w:rsidP="000E29F0">
      <w:pPr>
        <w:pStyle w:val="Titlepagesubheading"/>
      </w:pPr>
      <w:bookmarkStart w:id="0" w:name="_Hlk101983091"/>
      <w:r w:rsidRPr="00797379">
        <w:t xml:space="preserve">Comprehensive </w:t>
      </w:r>
      <w:r w:rsidR="008E314D" w:rsidRPr="00797379">
        <w:t>District Review Report</w:t>
      </w:r>
      <w:bookmarkEnd w:id="0"/>
    </w:p>
    <w:p w14:paraId="3575704A" w14:textId="584B5B9F" w:rsidR="008E314D" w:rsidRPr="00797379" w:rsidRDefault="00801599" w:rsidP="004A67DE">
      <w:pPr>
        <w:pStyle w:val="Titlepagedate"/>
      </w:pPr>
      <w:r w:rsidRPr="00797379">
        <w:t>December</w:t>
      </w:r>
      <w:r w:rsidR="00510CFD" w:rsidRPr="00797379">
        <w:t xml:space="preserve"> </w:t>
      </w:r>
      <w:r w:rsidR="00D84CF0" w:rsidRPr="00797379">
        <w:t>20</w:t>
      </w:r>
      <w:r w:rsidR="001707CD" w:rsidRPr="00797379">
        <w:t>2</w:t>
      </w:r>
      <w:r w:rsidRPr="00797379">
        <w:t>5</w:t>
      </w:r>
    </w:p>
    <w:p w14:paraId="7377D20A" w14:textId="389E5A06" w:rsidR="4DF0ADFC" w:rsidRPr="00797379" w:rsidRDefault="4DF0ADFC" w:rsidP="001E49EB">
      <w:pPr>
        <w:pStyle w:val="Titlepageorganization"/>
        <w:spacing w:before="1440"/>
      </w:pPr>
      <w:r w:rsidRPr="00797379">
        <w:t>Massachusetts Department of Elementary and Secondary Education</w:t>
      </w:r>
    </w:p>
    <w:p w14:paraId="7AB2F13C" w14:textId="0DB8189D" w:rsidR="14BBBE3B" w:rsidRPr="00797379" w:rsidRDefault="14BBBE3B" w:rsidP="00EB0542">
      <w:pPr>
        <w:pStyle w:val="Titlepagetext14pt"/>
      </w:pPr>
      <w:r w:rsidRPr="00797379">
        <w:t>Office of District Reviews and Monitoring</w:t>
      </w:r>
    </w:p>
    <w:p w14:paraId="5DC820FA" w14:textId="5046D58B" w:rsidR="26918BE0" w:rsidRPr="00797379" w:rsidRDefault="00E34155" w:rsidP="00EB0542">
      <w:pPr>
        <w:pStyle w:val="Titlepagetext10pt"/>
      </w:pPr>
      <w:r w:rsidRPr="00797379">
        <w:t>135 Santilli Highway</w:t>
      </w:r>
    </w:p>
    <w:p w14:paraId="6DA8D26D" w14:textId="3BBEE20E" w:rsidR="26918BE0" w:rsidRPr="00797379" w:rsidRDefault="00E34155" w:rsidP="00EB0542">
      <w:pPr>
        <w:pStyle w:val="Titlepagetext10pt"/>
      </w:pPr>
      <w:r w:rsidRPr="00797379">
        <w:t>Everett</w:t>
      </w:r>
      <w:r w:rsidR="26918BE0" w:rsidRPr="00797379">
        <w:t xml:space="preserve">, MA </w:t>
      </w:r>
      <w:r w:rsidR="001B2E5F" w:rsidRPr="00797379">
        <w:t>02149</w:t>
      </w:r>
    </w:p>
    <w:p w14:paraId="7CA72F40" w14:textId="4A091369" w:rsidR="26918BE0" w:rsidRPr="00797379" w:rsidRDefault="26918BE0" w:rsidP="00EB0542">
      <w:pPr>
        <w:pStyle w:val="Titlepagetext10pt"/>
      </w:pPr>
      <w:r w:rsidRPr="00797379">
        <w:t>781-338-3000</w:t>
      </w:r>
    </w:p>
    <w:p w14:paraId="33E67B60" w14:textId="1472816C" w:rsidR="26918BE0" w:rsidRPr="00797379" w:rsidRDefault="00866E59" w:rsidP="00EB0542">
      <w:pPr>
        <w:pStyle w:val="Titlepagetext10pt"/>
      </w:pPr>
      <w:hyperlink r:id="rId11" w:history="1">
        <w:r w:rsidRPr="00797379">
          <w:rPr>
            <w:rStyle w:val="Hyperlink"/>
          </w:rPr>
          <w:t>www.doe.mass.edu</w:t>
        </w:r>
      </w:hyperlink>
    </w:p>
    <w:p w14:paraId="6A94FEA6" w14:textId="057E381B" w:rsidR="00E64C7A" w:rsidRPr="00797379" w:rsidRDefault="00E64C7A" w:rsidP="000A16F0">
      <w:pPr>
        <w:pStyle w:val="Titlepageorganization"/>
        <w:spacing w:before="480"/>
      </w:pPr>
      <w:r w:rsidRPr="00797379">
        <w:t>American Institutes for Research</w:t>
      </w:r>
    </w:p>
    <w:p w14:paraId="7AF9AAE1" w14:textId="69C59FFC" w:rsidR="00D67779" w:rsidRPr="00797379" w:rsidRDefault="00D67779" w:rsidP="00EB0542">
      <w:pPr>
        <w:pStyle w:val="Titlepagetext14pt"/>
      </w:pPr>
      <w:r w:rsidRPr="00797379">
        <w:t>Education Systems and Policy</w:t>
      </w:r>
    </w:p>
    <w:p w14:paraId="303EE2D2" w14:textId="77777777" w:rsidR="00985635" w:rsidRPr="00797379" w:rsidRDefault="008415C9" w:rsidP="00EB0542">
      <w:pPr>
        <w:pStyle w:val="Titlepagetext10pt"/>
      </w:pPr>
      <w:r w:rsidRPr="00797379">
        <w:t>201 Jones Road, Suite 100</w:t>
      </w:r>
    </w:p>
    <w:p w14:paraId="75CD3090" w14:textId="177B580C" w:rsidR="008415C9" w:rsidRPr="00797379" w:rsidRDefault="008415C9" w:rsidP="00EB0542">
      <w:pPr>
        <w:pStyle w:val="Titlepagetext10pt"/>
      </w:pPr>
      <w:r w:rsidRPr="00797379">
        <w:t>Waltham, MA 02451</w:t>
      </w:r>
    </w:p>
    <w:p w14:paraId="2A326DCB" w14:textId="71ED895E" w:rsidR="00144555" w:rsidRPr="00797379" w:rsidRDefault="00144555" w:rsidP="00EB0542">
      <w:pPr>
        <w:pStyle w:val="Titlepagetext10pt"/>
      </w:pPr>
      <w:r w:rsidRPr="00797379">
        <w:t>202</w:t>
      </w:r>
      <w:r w:rsidR="006D04CC" w:rsidRPr="00797379">
        <w:t>-</w:t>
      </w:r>
      <w:r w:rsidRPr="00797379">
        <w:t>403-5000</w:t>
      </w:r>
    </w:p>
    <w:p w14:paraId="5CEDCF71" w14:textId="40BBC027" w:rsidR="002025EB" w:rsidRPr="00797379" w:rsidRDefault="00866E59" w:rsidP="00866E59">
      <w:pPr>
        <w:pStyle w:val="Titlepagetext10pt"/>
        <w:spacing w:after="4680"/>
      </w:pPr>
      <w:hyperlink r:id="rId12" w:history="1">
        <w:r w:rsidRPr="00797379">
          <w:rPr>
            <w:rStyle w:val="Hyperlink"/>
          </w:rPr>
          <w:t>www.air.org</w:t>
        </w:r>
      </w:hyperlink>
    </w:p>
    <w:p w14:paraId="569E3084" w14:textId="25EB038D" w:rsidR="00E64C7A" w:rsidRPr="00797379" w:rsidRDefault="002025EB" w:rsidP="00457876">
      <w:pPr>
        <w:tabs>
          <w:tab w:val="right" w:pos="9090"/>
        </w:tabs>
        <w:ind w:right="90"/>
        <w:rPr>
          <w:b/>
          <w:bCs/>
          <w:sz w:val="28"/>
          <w:szCs w:val="28"/>
        </w:rPr>
      </w:pPr>
      <w:r w:rsidRPr="00797379">
        <w:rPr>
          <w:noProof/>
        </w:rPr>
        <w:drawing>
          <wp:inline distT="0" distB="0" distL="0" distR="0" wp14:anchorId="019F55E8" wp14:editId="485DB141">
            <wp:extent cx="1806042" cy="731520"/>
            <wp:effectExtent l="0" t="0" r="3810" b="0"/>
            <wp:docPr id="3" name="Picture 3" descr="dese logo&#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ese logo&#10;&#10;"/>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r="47774"/>
                    <a:stretch/>
                  </pic:blipFill>
                  <pic:spPr bwMode="auto">
                    <a:xfrm>
                      <a:off x="0" y="0"/>
                      <a:ext cx="1806042" cy="731520"/>
                    </a:xfrm>
                    <a:prstGeom prst="rect">
                      <a:avLst/>
                    </a:prstGeom>
                    <a:noFill/>
                    <a:ln>
                      <a:noFill/>
                    </a:ln>
                    <a:extLst>
                      <a:ext uri="{53640926-AAD7-44D8-BBD7-CCE9431645EC}">
                        <a14:shadowObscured xmlns:a14="http://schemas.microsoft.com/office/drawing/2010/main"/>
                      </a:ext>
                    </a:extLst>
                  </pic:spPr>
                </pic:pic>
              </a:graphicData>
            </a:graphic>
          </wp:inline>
        </w:drawing>
      </w:r>
      <w:r w:rsidR="00457876" w:rsidRPr="00797379">
        <w:rPr>
          <w:b/>
          <w:bCs/>
          <w:sz w:val="28"/>
          <w:szCs w:val="28"/>
        </w:rPr>
        <w:tab/>
      </w:r>
      <w:r w:rsidR="00457876" w:rsidRPr="00797379">
        <w:rPr>
          <w:rFonts w:eastAsia="Calibri" w:cs="Arial"/>
          <w:noProof/>
        </w:rPr>
        <w:drawing>
          <wp:inline distT="0" distB="0" distL="0" distR="0" wp14:anchorId="43F3FAE9" wp14:editId="42E0368D">
            <wp:extent cx="1873332" cy="548640"/>
            <wp:effectExtent l="0" t="0" r="0" b="3810"/>
            <wp:docPr id="8" name="Picture 8" descr="American Institutes for Research Logo&#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merican Institutes for Research Logo&#10;&#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73332" cy="548640"/>
                    </a:xfrm>
                    <a:prstGeom prst="rect">
                      <a:avLst/>
                    </a:prstGeom>
                    <a:noFill/>
                  </pic:spPr>
                </pic:pic>
              </a:graphicData>
            </a:graphic>
          </wp:inline>
        </w:drawing>
      </w:r>
      <w:r w:rsidR="005304F8" w:rsidRPr="00797379">
        <w:rPr>
          <w:b/>
          <w:bCs/>
          <w:sz w:val="28"/>
          <w:szCs w:val="28"/>
        </w:rPr>
        <w:br w:type="page"/>
      </w:r>
    </w:p>
    <w:p w14:paraId="224357F6" w14:textId="26DBFA6B" w:rsidR="008E314D" w:rsidRPr="00797379" w:rsidRDefault="00D84CF0" w:rsidP="00394545">
      <w:pPr>
        <w:pStyle w:val="TOCHeading"/>
      </w:pPr>
      <w:r w:rsidRPr="00797379">
        <w:t>Contents</w:t>
      </w:r>
    </w:p>
    <w:p w14:paraId="7A1CC365" w14:textId="5807C265" w:rsidR="002C1853" w:rsidRDefault="002E7525">
      <w:pPr>
        <w:pStyle w:val="TOC1"/>
        <w:rPr>
          <w:rFonts w:eastAsiaTheme="minorEastAsia"/>
          <w:noProof/>
          <w:kern w:val="2"/>
          <w:sz w:val="24"/>
          <w:szCs w:val="24"/>
          <w14:ligatures w14:val="standardContextual"/>
        </w:rPr>
      </w:pPr>
      <w:r w:rsidRPr="00797379">
        <w:rPr>
          <w:sz w:val="20"/>
          <w:szCs w:val="20"/>
        </w:rPr>
        <w:fldChar w:fldCharType="begin"/>
      </w:r>
      <w:r w:rsidRPr="00797379">
        <w:rPr>
          <w:sz w:val="20"/>
          <w:szCs w:val="20"/>
        </w:rPr>
        <w:instrText xml:space="preserve"> TOC \h \z \t "Heading 2,1" </w:instrText>
      </w:r>
      <w:r w:rsidRPr="00797379">
        <w:rPr>
          <w:sz w:val="20"/>
          <w:szCs w:val="20"/>
        </w:rPr>
        <w:fldChar w:fldCharType="separate"/>
      </w:r>
      <w:hyperlink w:anchor="_Toc223625536" w:history="1">
        <w:r w:rsidR="002C1853" w:rsidRPr="00E240DC">
          <w:rPr>
            <w:rStyle w:val="Hyperlink"/>
            <w:noProof/>
          </w:rPr>
          <w:t>Executive Summary</w:t>
        </w:r>
        <w:r w:rsidR="002C1853">
          <w:rPr>
            <w:noProof/>
            <w:webHidden/>
          </w:rPr>
          <w:tab/>
        </w:r>
        <w:r w:rsidR="002C1853">
          <w:rPr>
            <w:noProof/>
            <w:webHidden/>
          </w:rPr>
          <w:fldChar w:fldCharType="begin"/>
        </w:r>
        <w:r w:rsidR="002C1853">
          <w:rPr>
            <w:noProof/>
            <w:webHidden/>
          </w:rPr>
          <w:instrText xml:space="preserve"> PAGEREF _Toc223625536 \h </w:instrText>
        </w:r>
        <w:r w:rsidR="002C1853">
          <w:rPr>
            <w:noProof/>
            <w:webHidden/>
          </w:rPr>
        </w:r>
        <w:r w:rsidR="002C1853">
          <w:rPr>
            <w:noProof/>
            <w:webHidden/>
          </w:rPr>
          <w:fldChar w:fldCharType="separate"/>
        </w:r>
        <w:r w:rsidR="00120DE7">
          <w:rPr>
            <w:noProof/>
            <w:webHidden/>
          </w:rPr>
          <w:t>1</w:t>
        </w:r>
        <w:r w:rsidR="002C1853">
          <w:rPr>
            <w:noProof/>
            <w:webHidden/>
          </w:rPr>
          <w:fldChar w:fldCharType="end"/>
        </w:r>
      </w:hyperlink>
    </w:p>
    <w:p w14:paraId="3C80E5F7" w14:textId="75E62BD9" w:rsidR="002C1853" w:rsidRDefault="002C1853">
      <w:pPr>
        <w:pStyle w:val="TOC1"/>
        <w:rPr>
          <w:rFonts w:eastAsiaTheme="minorEastAsia"/>
          <w:noProof/>
          <w:kern w:val="2"/>
          <w:sz w:val="24"/>
          <w:szCs w:val="24"/>
          <w14:ligatures w14:val="standardContextual"/>
        </w:rPr>
      </w:pPr>
      <w:hyperlink w:anchor="_Toc223625537" w:history="1">
        <w:r w:rsidRPr="00E240DC">
          <w:rPr>
            <w:rStyle w:val="Hyperlink"/>
            <w:noProof/>
          </w:rPr>
          <w:t>Winchester Public Schools: District Review Overview</w:t>
        </w:r>
        <w:r>
          <w:rPr>
            <w:noProof/>
            <w:webHidden/>
          </w:rPr>
          <w:tab/>
        </w:r>
        <w:r>
          <w:rPr>
            <w:noProof/>
            <w:webHidden/>
          </w:rPr>
          <w:fldChar w:fldCharType="begin"/>
        </w:r>
        <w:r>
          <w:rPr>
            <w:noProof/>
            <w:webHidden/>
          </w:rPr>
          <w:instrText xml:space="preserve"> PAGEREF _Toc223625537 \h </w:instrText>
        </w:r>
        <w:r>
          <w:rPr>
            <w:noProof/>
            <w:webHidden/>
          </w:rPr>
        </w:r>
        <w:r>
          <w:rPr>
            <w:noProof/>
            <w:webHidden/>
          </w:rPr>
          <w:fldChar w:fldCharType="separate"/>
        </w:r>
        <w:r w:rsidR="00120DE7">
          <w:rPr>
            <w:noProof/>
            <w:webHidden/>
          </w:rPr>
          <w:t>5</w:t>
        </w:r>
        <w:r>
          <w:rPr>
            <w:noProof/>
            <w:webHidden/>
          </w:rPr>
          <w:fldChar w:fldCharType="end"/>
        </w:r>
      </w:hyperlink>
    </w:p>
    <w:p w14:paraId="3802FA57" w14:textId="74E1EE9B" w:rsidR="002C1853" w:rsidRDefault="002C1853">
      <w:pPr>
        <w:pStyle w:val="TOC1"/>
        <w:rPr>
          <w:rFonts w:eastAsiaTheme="minorEastAsia"/>
          <w:noProof/>
          <w:kern w:val="2"/>
          <w:sz w:val="24"/>
          <w:szCs w:val="24"/>
          <w14:ligatures w14:val="standardContextual"/>
        </w:rPr>
      </w:pPr>
      <w:hyperlink w:anchor="_Toc223625538" w:history="1">
        <w:r w:rsidRPr="00E240DC">
          <w:rPr>
            <w:rStyle w:val="Hyperlink"/>
            <w:noProof/>
          </w:rPr>
          <w:t>Leadership and Governance</w:t>
        </w:r>
        <w:r>
          <w:rPr>
            <w:noProof/>
            <w:webHidden/>
          </w:rPr>
          <w:tab/>
        </w:r>
        <w:r>
          <w:rPr>
            <w:noProof/>
            <w:webHidden/>
          </w:rPr>
          <w:fldChar w:fldCharType="begin"/>
        </w:r>
        <w:r>
          <w:rPr>
            <w:noProof/>
            <w:webHidden/>
          </w:rPr>
          <w:instrText xml:space="preserve"> PAGEREF _Toc223625538 \h </w:instrText>
        </w:r>
        <w:r>
          <w:rPr>
            <w:noProof/>
            <w:webHidden/>
          </w:rPr>
        </w:r>
        <w:r>
          <w:rPr>
            <w:noProof/>
            <w:webHidden/>
          </w:rPr>
          <w:fldChar w:fldCharType="separate"/>
        </w:r>
        <w:r w:rsidR="00120DE7">
          <w:rPr>
            <w:noProof/>
            <w:webHidden/>
          </w:rPr>
          <w:t>11</w:t>
        </w:r>
        <w:r>
          <w:rPr>
            <w:noProof/>
            <w:webHidden/>
          </w:rPr>
          <w:fldChar w:fldCharType="end"/>
        </w:r>
      </w:hyperlink>
    </w:p>
    <w:p w14:paraId="654AABA0" w14:textId="2B22FE76" w:rsidR="002C1853" w:rsidRDefault="002C1853">
      <w:pPr>
        <w:pStyle w:val="TOC1"/>
        <w:rPr>
          <w:rFonts w:eastAsiaTheme="minorEastAsia"/>
          <w:noProof/>
          <w:kern w:val="2"/>
          <w:sz w:val="24"/>
          <w:szCs w:val="24"/>
          <w14:ligatures w14:val="standardContextual"/>
        </w:rPr>
      </w:pPr>
      <w:hyperlink w:anchor="_Toc223625539" w:history="1">
        <w:r w:rsidRPr="00E240DC">
          <w:rPr>
            <w:rStyle w:val="Hyperlink"/>
            <w:noProof/>
          </w:rPr>
          <w:t>Curriculum and Instruction</w:t>
        </w:r>
        <w:r>
          <w:rPr>
            <w:noProof/>
            <w:webHidden/>
          </w:rPr>
          <w:tab/>
        </w:r>
        <w:r>
          <w:rPr>
            <w:noProof/>
            <w:webHidden/>
          </w:rPr>
          <w:fldChar w:fldCharType="begin"/>
        </w:r>
        <w:r>
          <w:rPr>
            <w:noProof/>
            <w:webHidden/>
          </w:rPr>
          <w:instrText xml:space="preserve"> PAGEREF _Toc223625539 \h </w:instrText>
        </w:r>
        <w:r>
          <w:rPr>
            <w:noProof/>
            <w:webHidden/>
          </w:rPr>
        </w:r>
        <w:r>
          <w:rPr>
            <w:noProof/>
            <w:webHidden/>
          </w:rPr>
          <w:fldChar w:fldCharType="separate"/>
        </w:r>
        <w:r w:rsidR="00120DE7">
          <w:rPr>
            <w:noProof/>
            <w:webHidden/>
          </w:rPr>
          <w:t>17</w:t>
        </w:r>
        <w:r>
          <w:rPr>
            <w:noProof/>
            <w:webHidden/>
          </w:rPr>
          <w:fldChar w:fldCharType="end"/>
        </w:r>
      </w:hyperlink>
    </w:p>
    <w:p w14:paraId="7CA71906" w14:textId="04F52FC2" w:rsidR="002C1853" w:rsidRDefault="002C1853">
      <w:pPr>
        <w:pStyle w:val="TOC1"/>
        <w:rPr>
          <w:rFonts w:eastAsiaTheme="minorEastAsia"/>
          <w:noProof/>
          <w:kern w:val="2"/>
          <w:sz w:val="24"/>
          <w:szCs w:val="24"/>
          <w14:ligatures w14:val="standardContextual"/>
        </w:rPr>
      </w:pPr>
      <w:hyperlink w:anchor="_Toc223625540" w:history="1">
        <w:r w:rsidRPr="00E240DC">
          <w:rPr>
            <w:rStyle w:val="Hyperlink"/>
            <w:noProof/>
          </w:rPr>
          <w:t>Assessment</w:t>
        </w:r>
        <w:r>
          <w:rPr>
            <w:noProof/>
            <w:webHidden/>
          </w:rPr>
          <w:tab/>
        </w:r>
        <w:r>
          <w:rPr>
            <w:noProof/>
            <w:webHidden/>
          </w:rPr>
          <w:fldChar w:fldCharType="begin"/>
        </w:r>
        <w:r>
          <w:rPr>
            <w:noProof/>
            <w:webHidden/>
          </w:rPr>
          <w:instrText xml:space="preserve"> PAGEREF _Toc223625540 \h </w:instrText>
        </w:r>
        <w:r>
          <w:rPr>
            <w:noProof/>
            <w:webHidden/>
          </w:rPr>
        </w:r>
        <w:r>
          <w:rPr>
            <w:noProof/>
            <w:webHidden/>
          </w:rPr>
          <w:fldChar w:fldCharType="separate"/>
        </w:r>
        <w:r w:rsidR="00120DE7">
          <w:rPr>
            <w:noProof/>
            <w:webHidden/>
          </w:rPr>
          <w:t>24</w:t>
        </w:r>
        <w:r>
          <w:rPr>
            <w:noProof/>
            <w:webHidden/>
          </w:rPr>
          <w:fldChar w:fldCharType="end"/>
        </w:r>
      </w:hyperlink>
    </w:p>
    <w:p w14:paraId="3177FDB5" w14:textId="5E84E475" w:rsidR="002C1853" w:rsidRDefault="002C1853">
      <w:pPr>
        <w:pStyle w:val="TOC1"/>
        <w:rPr>
          <w:rFonts w:eastAsiaTheme="minorEastAsia"/>
          <w:noProof/>
          <w:kern w:val="2"/>
          <w:sz w:val="24"/>
          <w:szCs w:val="24"/>
          <w14:ligatures w14:val="standardContextual"/>
        </w:rPr>
      </w:pPr>
      <w:hyperlink w:anchor="_Toc223625541" w:history="1">
        <w:r w:rsidRPr="00E240DC">
          <w:rPr>
            <w:rStyle w:val="Hyperlink"/>
            <w:noProof/>
          </w:rPr>
          <w:t>Human Resources and Professional Development</w:t>
        </w:r>
        <w:r>
          <w:rPr>
            <w:noProof/>
            <w:webHidden/>
          </w:rPr>
          <w:tab/>
        </w:r>
        <w:r>
          <w:rPr>
            <w:noProof/>
            <w:webHidden/>
          </w:rPr>
          <w:fldChar w:fldCharType="begin"/>
        </w:r>
        <w:r>
          <w:rPr>
            <w:noProof/>
            <w:webHidden/>
          </w:rPr>
          <w:instrText xml:space="preserve"> PAGEREF _Toc223625541 \h </w:instrText>
        </w:r>
        <w:r>
          <w:rPr>
            <w:noProof/>
            <w:webHidden/>
          </w:rPr>
        </w:r>
        <w:r>
          <w:rPr>
            <w:noProof/>
            <w:webHidden/>
          </w:rPr>
          <w:fldChar w:fldCharType="separate"/>
        </w:r>
        <w:r w:rsidR="00120DE7">
          <w:rPr>
            <w:noProof/>
            <w:webHidden/>
          </w:rPr>
          <w:t>29</w:t>
        </w:r>
        <w:r>
          <w:rPr>
            <w:noProof/>
            <w:webHidden/>
          </w:rPr>
          <w:fldChar w:fldCharType="end"/>
        </w:r>
      </w:hyperlink>
    </w:p>
    <w:p w14:paraId="634CCC43" w14:textId="4BA1591B" w:rsidR="002C1853" w:rsidRDefault="002C1853">
      <w:pPr>
        <w:pStyle w:val="TOC1"/>
        <w:rPr>
          <w:rFonts w:eastAsiaTheme="minorEastAsia"/>
          <w:noProof/>
          <w:kern w:val="2"/>
          <w:sz w:val="24"/>
          <w:szCs w:val="24"/>
          <w14:ligatures w14:val="standardContextual"/>
        </w:rPr>
      </w:pPr>
      <w:hyperlink w:anchor="_Toc223625542" w:history="1">
        <w:r w:rsidRPr="00E240DC">
          <w:rPr>
            <w:rStyle w:val="Hyperlink"/>
            <w:noProof/>
          </w:rPr>
          <w:t>Student Support</w:t>
        </w:r>
        <w:r>
          <w:rPr>
            <w:noProof/>
            <w:webHidden/>
          </w:rPr>
          <w:tab/>
        </w:r>
        <w:r>
          <w:rPr>
            <w:noProof/>
            <w:webHidden/>
          </w:rPr>
          <w:fldChar w:fldCharType="begin"/>
        </w:r>
        <w:r>
          <w:rPr>
            <w:noProof/>
            <w:webHidden/>
          </w:rPr>
          <w:instrText xml:space="preserve"> PAGEREF _Toc223625542 \h </w:instrText>
        </w:r>
        <w:r>
          <w:rPr>
            <w:noProof/>
            <w:webHidden/>
          </w:rPr>
        </w:r>
        <w:r>
          <w:rPr>
            <w:noProof/>
            <w:webHidden/>
          </w:rPr>
          <w:fldChar w:fldCharType="separate"/>
        </w:r>
        <w:r w:rsidR="00120DE7">
          <w:rPr>
            <w:noProof/>
            <w:webHidden/>
          </w:rPr>
          <w:t>36</w:t>
        </w:r>
        <w:r>
          <w:rPr>
            <w:noProof/>
            <w:webHidden/>
          </w:rPr>
          <w:fldChar w:fldCharType="end"/>
        </w:r>
      </w:hyperlink>
    </w:p>
    <w:p w14:paraId="1445196F" w14:textId="7DE4B964" w:rsidR="002C1853" w:rsidRDefault="002C1853">
      <w:pPr>
        <w:pStyle w:val="TOC1"/>
        <w:rPr>
          <w:rFonts w:eastAsiaTheme="minorEastAsia"/>
          <w:noProof/>
          <w:kern w:val="2"/>
          <w:sz w:val="24"/>
          <w:szCs w:val="24"/>
          <w14:ligatures w14:val="standardContextual"/>
        </w:rPr>
      </w:pPr>
      <w:hyperlink w:anchor="_Toc223625543" w:history="1">
        <w:r w:rsidRPr="00E240DC">
          <w:rPr>
            <w:rStyle w:val="Hyperlink"/>
            <w:noProof/>
          </w:rPr>
          <w:t>Financial and Asset Management</w:t>
        </w:r>
        <w:r>
          <w:rPr>
            <w:noProof/>
            <w:webHidden/>
          </w:rPr>
          <w:tab/>
        </w:r>
        <w:r>
          <w:rPr>
            <w:noProof/>
            <w:webHidden/>
          </w:rPr>
          <w:fldChar w:fldCharType="begin"/>
        </w:r>
        <w:r>
          <w:rPr>
            <w:noProof/>
            <w:webHidden/>
          </w:rPr>
          <w:instrText xml:space="preserve"> PAGEREF _Toc223625543 \h </w:instrText>
        </w:r>
        <w:r>
          <w:rPr>
            <w:noProof/>
            <w:webHidden/>
          </w:rPr>
        </w:r>
        <w:r>
          <w:rPr>
            <w:noProof/>
            <w:webHidden/>
          </w:rPr>
          <w:fldChar w:fldCharType="separate"/>
        </w:r>
        <w:r w:rsidR="00120DE7">
          <w:rPr>
            <w:noProof/>
            <w:webHidden/>
          </w:rPr>
          <w:t>43</w:t>
        </w:r>
        <w:r>
          <w:rPr>
            <w:noProof/>
            <w:webHidden/>
          </w:rPr>
          <w:fldChar w:fldCharType="end"/>
        </w:r>
      </w:hyperlink>
    </w:p>
    <w:p w14:paraId="39ED6ACD" w14:textId="6947B988" w:rsidR="002C1853" w:rsidRDefault="002C1853">
      <w:pPr>
        <w:pStyle w:val="TOC1"/>
        <w:rPr>
          <w:rFonts w:eastAsiaTheme="minorEastAsia"/>
          <w:noProof/>
          <w:kern w:val="2"/>
          <w:sz w:val="24"/>
          <w:szCs w:val="24"/>
          <w14:ligatures w14:val="standardContextual"/>
        </w:rPr>
      </w:pPr>
      <w:hyperlink w:anchor="_Toc223625544" w:history="1">
        <w:r w:rsidRPr="00E240DC">
          <w:rPr>
            <w:rStyle w:val="Hyperlink"/>
            <w:noProof/>
          </w:rPr>
          <w:t>Appendix A. Summary of Site Visit Activities</w:t>
        </w:r>
        <w:r>
          <w:rPr>
            <w:noProof/>
            <w:webHidden/>
          </w:rPr>
          <w:tab/>
        </w:r>
        <w:bookmarkStart w:id="1" w:name="_Hlt224308053"/>
        <w:bookmarkStart w:id="2" w:name="_Hlt224308054"/>
        <w:r w:rsidR="003447AE">
          <w:rPr>
            <w:noProof/>
            <w:webHidden/>
          </w:rPr>
          <w:t>A</w:t>
        </w:r>
        <w:bookmarkEnd w:id="1"/>
        <w:bookmarkEnd w:id="2"/>
        <w:r w:rsidR="003447AE">
          <w:rPr>
            <w:noProof/>
            <w:webHidden/>
          </w:rPr>
          <w:t>-</w:t>
        </w:r>
        <w:r>
          <w:rPr>
            <w:noProof/>
            <w:webHidden/>
          </w:rPr>
          <w:fldChar w:fldCharType="begin"/>
        </w:r>
        <w:r>
          <w:rPr>
            <w:noProof/>
            <w:webHidden/>
          </w:rPr>
          <w:instrText xml:space="preserve"> PAGEREF _Toc223625544 \h </w:instrText>
        </w:r>
        <w:r>
          <w:rPr>
            <w:noProof/>
            <w:webHidden/>
          </w:rPr>
        </w:r>
        <w:r>
          <w:rPr>
            <w:noProof/>
            <w:webHidden/>
          </w:rPr>
          <w:fldChar w:fldCharType="separate"/>
        </w:r>
        <w:r w:rsidR="00120DE7">
          <w:rPr>
            <w:noProof/>
            <w:webHidden/>
          </w:rPr>
          <w:t>1</w:t>
        </w:r>
        <w:r>
          <w:rPr>
            <w:noProof/>
            <w:webHidden/>
          </w:rPr>
          <w:fldChar w:fldCharType="end"/>
        </w:r>
      </w:hyperlink>
    </w:p>
    <w:p w14:paraId="64270C25" w14:textId="43C466D2" w:rsidR="002C1853" w:rsidRDefault="002C1853">
      <w:pPr>
        <w:pStyle w:val="TOC1"/>
        <w:rPr>
          <w:rFonts w:eastAsiaTheme="minorEastAsia"/>
          <w:noProof/>
          <w:kern w:val="2"/>
          <w:sz w:val="24"/>
          <w:szCs w:val="24"/>
          <w14:ligatures w14:val="standardContextual"/>
        </w:rPr>
      </w:pPr>
      <w:hyperlink w:anchor="_Toc223625545" w:history="1">
        <w:r w:rsidRPr="00E240DC">
          <w:rPr>
            <w:rStyle w:val="Hyperlink"/>
            <w:noProof/>
          </w:rPr>
          <w:t>Appendix B. Districtwide Instructional Observation Report</w:t>
        </w:r>
        <w:r>
          <w:rPr>
            <w:noProof/>
            <w:webHidden/>
          </w:rPr>
          <w:tab/>
        </w:r>
        <w:r w:rsidR="003447AE">
          <w:rPr>
            <w:noProof/>
            <w:webHidden/>
          </w:rPr>
          <w:t>B-</w:t>
        </w:r>
        <w:r>
          <w:rPr>
            <w:noProof/>
            <w:webHidden/>
          </w:rPr>
          <w:fldChar w:fldCharType="begin"/>
        </w:r>
        <w:r>
          <w:rPr>
            <w:noProof/>
            <w:webHidden/>
          </w:rPr>
          <w:instrText xml:space="preserve"> PAGEREF _Toc223625545 \h </w:instrText>
        </w:r>
        <w:r>
          <w:rPr>
            <w:noProof/>
            <w:webHidden/>
          </w:rPr>
        </w:r>
        <w:r>
          <w:rPr>
            <w:noProof/>
            <w:webHidden/>
          </w:rPr>
          <w:fldChar w:fldCharType="separate"/>
        </w:r>
        <w:r w:rsidR="00120DE7">
          <w:rPr>
            <w:noProof/>
            <w:webHidden/>
          </w:rPr>
          <w:t>1</w:t>
        </w:r>
        <w:r>
          <w:rPr>
            <w:noProof/>
            <w:webHidden/>
          </w:rPr>
          <w:fldChar w:fldCharType="end"/>
        </w:r>
      </w:hyperlink>
    </w:p>
    <w:p w14:paraId="4909C0D5" w14:textId="1ED8A857" w:rsidR="002C1853" w:rsidRDefault="002C1853">
      <w:pPr>
        <w:pStyle w:val="TOC1"/>
        <w:rPr>
          <w:rFonts w:eastAsiaTheme="minorEastAsia"/>
          <w:noProof/>
          <w:kern w:val="2"/>
          <w:sz w:val="24"/>
          <w:szCs w:val="24"/>
          <w14:ligatures w14:val="standardContextual"/>
        </w:rPr>
      </w:pPr>
      <w:hyperlink w:anchor="_Toc223625546" w:history="1">
        <w:r w:rsidRPr="00E240DC">
          <w:rPr>
            <w:rStyle w:val="Hyperlink"/>
            <w:noProof/>
          </w:rPr>
          <w:t>Appendix C. Resources to Support Implementation of DESE’s District Standards and Indicators</w:t>
        </w:r>
        <w:r>
          <w:rPr>
            <w:noProof/>
            <w:webHidden/>
          </w:rPr>
          <w:tab/>
        </w:r>
        <w:r w:rsidR="003447AE">
          <w:rPr>
            <w:noProof/>
            <w:webHidden/>
          </w:rPr>
          <w:t>C-</w:t>
        </w:r>
        <w:r>
          <w:rPr>
            <w:noProof/>
            <w:webHidden/>
          </w:rPr>
          <w:fldChar w:fldCharType="begin"/>
        </w:r>
        <w:r>
          <w:rPr>
            <w:noProof/>
            <w:webHidden/>
          </w:rPr>
          <w:instrText xml:space="preserve"> PAGEREF _Toc223625546 \h </w:instrText>
        </w:r>
        <w:r>
          <w:rPr>
            <w:noProof/>
            <w:webHidden/>
          </w:rPr>
        </w:r>
        <w:r>
          <w:rPr>
            <w:noProof/>
            <w:webHidden/>
          </w:rPr>
          <w:fldChar w:fldCharType="separate"/>
        </w:r>
        <w:r w:rsidR="00120DE7">
          <w:rPr>
            <w:noProof/>
            <w:webHidden/>
          </w:rPr>
          <w:t>1</w:t>
        </w:r>
        <w:r>
          <w:rPr>
            <w:noProof/>
            <w:webHidden/>
          </w:rPr>
          <w:fldChar w:fldCharType="end"/>
        </w:r>
      </w:hyperlink>
    </w:p>
    <w:p w14:paraId="1637799B" w14:textId="16E57B6E" w:rsidR="002C1853" w:rsidRDefault="002C1853">
      <w:pPr>
        <w:pStyle w:val="TOC1"/>
        <w:rPr>
          <w:rFonts w:eastAsiaTheme="minorEastAsia"/>
          <w:noProof/>
          <w:kern w:val="2"/>
          <w:sz w:val="24"/>
          <w:szCs w:val="24"/>
          <w14:ligatures w14:val="standardContextual"/>
        </w:rPr>
      </w:pPr>
      <w:hyperlink w:anchor="_Toc223625547" w:history="1">
        <w:r w:rsidRPr="00E240DC">
          <w:rPr>
            <w:rStyle w:val="Hyperlink"/>
            <w:noProof/>
          </w:rPr>
          <w:t>Appendix D. Enrollment, Attendance, Expenditures</w:t>
        </w:r>
        <w:r>
          <w:rPr>
            <w:noProof/>
            <w:webHidden/>
          </w:rPr>
          <w:tab/>
        </w:r>
        <w:r w:rsidR="003447AE">
          <w:rPr>
            <w:noProof/>
            <w:webHidden/>
          </w:rPr>
          <w:t>D-</w:t>
        </w:r>
        <w:r>
          <w:rPr>
            <w:noProof/>
            <w:webHidden/>
          </w:rPr>
          <w:fldChar w:fldCharType="begin"/>
        </w:r>
        <w:r>
          <w:rPr>
            <w:noProof/>
            <w:webHidden/>
          </w:rPr>
          <w:instrText xml:space="preserve"> PAGEREF _Toc223625547 \h </w:instrText>
        </w:r>
        <w:r>
          <w:rPr>
            <w:noProof/>
            <w:webHidden/>
          </w:rPr>
        </w:r>
        <w:r>
          <w:rPr>
            <w:noProof/>
            <w:webHidden/>
          </w:rPr>
          <w:fldChar w:fldCharType="separate"/>
        </w:r>
        <w:r w:rsidR="00120DE7">
          <w:rPr>
            <w:noProof/>
            <w:webHidden/>
          </w:rPr>
          <w:t>1</w:t>
        </w:r>
        <w:r>
          <w:rPr>
            <w:noProof/>
            <w:webHidden/>
          </w:rPr>
          <w:fldChar w:fldCharType="end"/>
        </w:r>
      </w:hyperlink>
    </w:p>
    <w:p w14:paraId="6940FB0F" w14:textId="031725AC" w:rsidR="002C1853" w:rsidRDefault="002C1853">
      <w:pPr>
        <w:pStyle w:val="TOC1"/>
        <w:rPr>
          <w:rFonts w:eastAsiaTheme="minorEastAsia"/>
          <w:noProof/>
          <w:kern w:val="2"/>
          <w:sz w:val="24"/>
          <w:szCs w:val="24"/>
          <w14:ligatures w14:val="standardContextual"/>
        </w:rPr>
      </w:pPr>
      <w:hyperlink w:anchor="_Toc223625548" w:history="1">
        <w:r w:rsidRPr="00E240DC">
          <w:rPr>
            <w:rStyle w:val="Hyperlink"/>
            <w:noProof/>
          </w:rPr>
          <w:t>Appendix E. Winchester Public Schools: Student Performance Data</w:t>
        </w:r>
        <w:r>
          <w:rPr>
            <w:noProof/>
            <w:webHidden/>
          </w:rPr>
          <w:tab/>
        </w:r>
        <w:r w:rsidR="003447AE">
          <w:rPr>
            <w:noProof/>
            <w:webHidden/>
          </w:rPr>
          <w:t>E-</w:t>
        </w:r>
        <w:r>
          <w:rPr>
            <w:noProof/>
            <w:webHidden/>
          </w:rPr>
          <w:fldChar w:fldCharType="begin"/>
        </w:r>
        <w:r>
          <w:rPr>
            <w:noProof/>
            <w:webHidden/>
          </w:rPr>
          <w:instrText xml:space="preserve"> PAGEREF _Toc223625548 \h </w:instrText>
        </w:r>
        <w:r>
          <w:rPr>
            <w:noProof/>
            <w:webHidden/>
          </w:rPr>
        </w:r>
        <w:r>
          <w:rPr>
            <w:noProof/>
            <w:webHidden/>
          </w:rPr>
          <w:fldChar w:fldCharType="separate"/>
        </w:r>
        <w:r w:rsidR="00120DE7">
          <w:rPr>
            <w:noProof/>
            <w:webHidden/>
          </w:rPr>
          <w:t>1</w:t>
        </w:r>
        <w:r>
          <w:rPr>
            <w:noProof/>
            <w:webHidden/>
          </w:rPr>
          <w:fldChar w:fldCharType="end"/>
        </w:r>
      </w:hyperlink>
    </w:p>
    <w:p w14:paraId="47E28774" w14:textId="391177B7" w:rsidR="008E314D" w:rsidRPr="00797379" w:rsidRDefault="002E7525" w:rsidP="00161ED5">
      <w:pPr>
        <w:tabs>
          <w:tab w:val="left" w:pos="360"/>
          <w:tab w:val="left" w:pos="720"/>
          <w:tab w:val="left" w:pos="1080"/>
          <w:tab w:val="left" w:pos="1440"/>
          <w:tab w:val="left" w:pos="1800"/>
          <w:tab w:val="left" w:pos="2160"/>
          <w:tab w:val="left" w:pos="2520"/>
          <w:tab w:val="left" w:pos="2880"/>
        </w:tabs>
        <w:spacing w:line="240" w:lineRule="auto"/>
        <w:ind w:right="2160"/>
        <w:rPr>
          <w:sz w:val="20"/>
          <w:szCs w:val="20"/>
        </w:rPr>
      </w:pPr>
      <w:r w:rsidRPr="00797379">
        <w:rPr>
          <w:sz w:val="20"/>
          <w:szCs w:val="20"/>
        </w:rPr>
        <w:fldChar w:fldCharType="end"/>
      </w:r>
      <w:r w:rsidR="008E314D" w:rsidRPr="00797379">
        <w:rPr>
          <w:sz w:val="20"/>
          <w:szCs w:val="20"/>
        </w:rPr>
        <w:br w:type="page"/>
      </w:r>
    </w:p>
    <w:p w14:paraId="58733E23" w14:textId="684B96BC" w:rsidR="008E314D" w:rsidRPr="00797379" w:rsidRDefault="002A28B1" w:rsidP="0066116F">
      <w:pPr>
        <w:tabs>
          <w:tab w:val="right" w:pos="9360"/>
        </w:tabs>
      </w:pPr>
      <w:r w:rsidRPr="00797379">
        <w:rPr>
          <w:noProof/>
        </w:rPr>
        <w:drawing>
          <wp:inline distT="0" distB="0" distL="0" distR="0" wp14:anchorId="7B796C6B" wp14:editId="0082A09B">
            <wp:extent cx="2375064" cy="1416699"/>
            <wp:effectExtent l="0" t="0" r="6350" b="0"/>
            <wp:docPr id="1" name="Picture 1" descr="dese logo; Massachusetts Department of Elementary and Secondary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Massachusetts Department of Elementary and Secondary Educatio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31174" cy="1450168"/>
                    </a:xfrm>
                    <a:prstGeom prst="rect">
                      <a:avLst/>
                    </a:prstGeom>
                    <a:noFill/>
                    <a:ln>
                      <a:noFill/>
                    </a:ln>
                  </pic:spPr>
                </pic:pic>
              </a:graphicData>
            </a:graphic>
          </wp:inline>
        </w:drawing>
      </w:r>
      <w:r w:rsidR="0066116F" w:rsidRPr="00797379">
        <w:tab/>
      </w:r>
      <w:r w:rsidR="00457876" w:rsidRPr="00797379">
        <w:rPr>
          <w:noProof/>
        </w:rPr>
        <w:drawing>
          <wp:inline distT="0" distB="0" distL="0" distR="0" wp14:anchorId="700AC5DB" wp14:editId="2D29091D">
            <wp:extent cx="2585085" cy="1291590"/>
            <wp:effectExtent l="0" t="0" r="5715" b="3810"/>
            <wp:docPr id="9" name="Picture 9" descr="American Institutes for Research Logo. Advancing Evidence. Improving Li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merican Institutes for Research Logo. Advancing Evidence. Improving Live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85085" cy="1291590"/>
                    </a:xfrm>
                    <a:prstGeom prst="rect">
                      <a:avLst/>
                    </a:prstGeom>
                    <a:noFill/>
                    <a:ln>
                      <a:noFill/>
                    </a:ln>
                  </pic:spPr>
                </pic:pic>
              </a:graphicData>
            </a:graphic>
          </wp:inline>
        </w:drawing>
      </w:r>
    </w:p>
    <w:p w14:paraId="5823AC1D" w14:textId="403F3B7F" w:rsidR="008E314D" w:rsidRPr="00797379" w:rsidRDefault="008E314D" w:rsidP="0066116F">
      <w:pPr>
        <w:pStyle w:val="BodyText"/>
        <w:jc w:val="center"/>
      </w:pPr>
      <w:r w:rsidRPr="00797379">
        <w:t xml:space="preserve">This document was prepared by the </w:t>
      </w:r>
      <w:r w:rsidR="00740294" w:rsidRPr="00797379">
        <w:t xml:space="preserve">American Institutes for Research, </w:t>
      </w:r>
      <w:r w:rsidR="001B4127" w:rsidRPr="00797379">
        <w:t xml:space="preserve">in </w:t>
      </w:r>
      <w:r w:rsidR="00181912" w:rsidRPr="00797379">
        <w:t xml:space="preserve">collaboration </w:t>
      </w:r>
      <w:r w:rsidR="001B4127" w:rsidRPr="00797379">
        <w:t>with the</w:t>
      </w:r>
      <w:r w:rsidRPr="00797379">
        <w:br/>
        <w:t>Massachusetts Department of Elementary and Secondary Education</w:t>
      </w:r>
    </w:p>
    <w:p w14:paraId="6B8EC7D9" w14:textId="5219B99C" w:rsidR="008E314D" w:rsidRPr="00797379" w:rsidRDefault="00A61930" w:rsidP="007B04B9">
      <w:pPr>
        <w:tabs>
          <w:tab w:val="left" w:pos="360"/>
          <w:tab w:val="left" w:pos="720"/>
          <w:tab w:val="left" w:pos="1080"/>
          <w:tab w:val="left" w:pos="1440"/>
          <w:tab w:val="left" w:pos="1800"/>
          <w:tab w:val="left" w:pos="2160"/>
          <w:tab w:val="left" w:pos="2520"/>
          <w:tab w:val="left" w:pos="2880"/>
        </w:tabs>
        <w:spacing w:before="240" w:line="240" w:lineRule="auto"/>
        <w:jc w:val="center"/>
      </w:pPr>
      <w:r w:rsidRPr="00797379">
        <w:t>Pedro Martinez</w:t>
      </w:r>
    </w:p>
    <w:p w14:paraId="5F95BE93" w14:textId="3FF26BFD" w:rsidR="008E314D" w:rsidRPr="00797379" w:rsidRDefault="008E314D" w:rsidP="00177F96">
      <w:pPr>
        <w:tabs>
          <w:tab w:val="left" w:pos="360"/>
          <w:tab w:val="left" w:pos="720"/>
          <w:tab w:val="left" w:pos="1080"/>
          <w:tab w:val="left" w:pos="1440"/>
          <w:tab w:val="left" w:pos="1800"/>
          <w:tab w:val="left" w:pos="2160"/>
          <w:tab w:val="left" w:pos="2520"/>
          <w:tab w:val="left" w:pos="2880"/>
        </w:tabs>
        <w:spacing w:line="240" w:lineRule="auto"/>
        <w:jc w:val="center"/>
      </w:pPr>
      <w:r w:rsidRPr="00797379">
        <w:t>Commissioner</w:t>
      </w:r>
    </w:p>
    <w:p w14:paraId="26B707AB" w14:textId="61FBA97A" w:rsidR="001E776B" w:rsidRPr="00797379" w:rsidRDefault="001E776B" w:rsidP="0055077E">
      <w:pPr>
        <w:tabs>
          <w:tab w:val="left" w:pos="360"/>
          <w:tab w:val="left" w:pos="720"/>
          <w:tab w:val="left" w:pos="1080"/>
          <w:tab w:val="left" w:pos="1440"/>
          <w:tab w:val="left" w:pos="1800"/>
          <w:tab w:val="left" w:pos="2160"/>
          <w:tab w:val="left" w:pos="2520"/>
          <w:tab w:val="left" w:pos="2880"/>
        </w:tabs>
        <w:spacing w:after="240"/>
        <w:jc w:val="center"/>
        <w:rPr>
          <w:rStyle w:val="bold"/>
        </w:rPr>
      </w:pPr>
      <w:r w:rsidRPr="00797379">
        <w:rPr>
          <w:rStyle w:val="bold"/>
        </w:rPr>
        <w:t xml:space="preserve">Published </w:t>
      </w:r>
      <w:r w:rsidR="0022242E">
        <w:rPr>
          <w:rStyle w:val="bold"/>
        </w:rPr>
        <w:t>May</w:t>
      </w:r>
      <w:r w:rsidR="0022242E" w:rsidRPr="00797379">
        <w:rPr>
          <w:rStyle w:val="bold"/>
        </w:rPr>
        <w:t xml:space="preserve"> </w:t>
      </w:r>
      <w:r w:rsidR="001F3736" w:rsidRPr="00797379">
        <w:rPr>
          <w:rStyle w:val="bold"/>
        </w:rPr>
        <w:t>2026</w:t>
      </w:r>
    </w:p>
    <w:p w14:paraId="0EBCF93A" w14:textId="66801AB8" w:rsidR="008E314D" w:rsidRPr="00797379" w:rsidRDefault="008E314D" w:rsidP="002730E1">
      <w:pPr>
        <w:pStyle w:val="BodyText"/>
        <w:jc w:val="center"/>
      </w:pPr>
      <w:r w:rsidRPr="00797379">
        <w:t xml:space="preserve">The Massachusetts Department of Elementary and Secondary Education, an affirmative action employer, is committed to ensuring that all of its programs and facilities are accessible to all members of the public. We do not discriminate on the basis of age, color, disability, national origin, race, religion, sex, gender identity, or sexual orientation. Inquiries regarding the Department’s compliance with Title IX and other civil rights laws may be directed to the Human Resources Director, </w:t>
      </w:r>
      <w:r w:rsidR="004C1845" w:rsidRPr="00797379">
        <w:rPr>
          <w:snapToGrid w:val="0"/>
        </w:rPr>
        <w:t>135 Santilli Highway</w:t>
      </w:r>
      <w:r w:rsidRPr="00797379">
        <w:t xml:space="preserve">, </w:t>
      </w:r>
      <w:r w:rsidR="004C1845" w:rsidRPr="00797379">
        <w:t>Everett</w:t>
      </w:r>
      <w:r w:rsidRPr="00797379">
        <w:t>, MA 0214</w:t>
      </w:r>
      <w:r w:rsidR="004C1845" w:rsidRPr="00797379">
        <w:t>9</w:t>
      </w:r>
      <w:r w:rsidRPr="00797379">
        <w:t>. Phone: 781-338-6105.</w:t>
      </w:r>
    </w:p>
    <w:p w14:paraId="4361469B" w14:textId="0C699305" w:rsidR="001166A5" w:rsidRPr="00797379" w:rsidRDefault="001166A5" w:rsidP="002730E1">
      <w:pPr>
        <w:pStyle w:val="BodyText"/>
        <w:jc w:val="center"/>
      </w:pPr>
      <w:r w:rsidRPr="00797379">
        <w:t>© 202</w:t>
      </w:r>
      <w:r w:rsidR="002B2259" w:rsidRPr="00797379">
        <w:t>6</w:t>
      </w:r>
      <w:r w:rsidRPr="00797379">
        <w:t xml:space="preserve"> Massachusetts Department of Elementary and Secondary Education</w:t>
      </w:r>
    </w:p>
    <w:p w14:paraId="05DE9136" w14:textId="4950EB3F" w:rsidR="001166A5" w:rsidRPr="00797379" w:rsidRDefault="001166A5" w:rsidP="002730E1">
      <w:pPr>
        <w:pStyle w:val="BodyTextposthead"/>
        <w:spacing w:before="240"/>
        <w:jc w:val="center"/>
        <w:rPr>
          <w:i/>
          <w:iCs/>
          <w:spacing w:val="-4"/>
        </w:rPr>
      </w:pPr>
      <w:r w:rsidRPr="00797379">
        <w:rPr>
          <w:i/>
          <w:iCs/>
          <w:spacing w:val="-4"/>
        </w:rPr>
        <w:t>Permission is hereby granted to copy any or all parts of this document for non-commercial educational</w:t>
      </w:r>
      <w:r w:rsidR="00524A12" w:rsidRPr="00797379">
        <w:rPr>
          <w:i/>
          <w:iCs/>
          <w:spacing w:val="-4"/>
        </w:rPr>
        <w:t> </w:t>
      </w:r>
      <w:r w:rsidRPr="00797379">
        <w:rPr>
          <w:i/>
          <w:iCs/>
          <w:spacing w:val="-4"/>
        </w:rPr>
        <w:t>purposes. Please credit the “Massachusetts Department of Elementary and Secondary</w:t>
      </w:r>
      <w:r w:rsidR="00524A12" w:rsidRPr="00797379">
        <w:rPr>
          <w:i/>
          <w:iCs/>
          <w:spacing w:val="-4"/>
        </w:rPr>
        <w:t> </w:t>
      </w:r>
      <w:r w:rsidRPr="00797379">
        <w:rPr>
          <w:i/>
          <w:iCs/>
          <w:spacing w:val="-4"/>
        </w:rPr>
        <w:t>Education.”</w:t>
      </w:r>
    </w:p>
    <w:p w14:paraId="10A0F30F" w14:textId="04E539D8" w:rsidR="008E314D" w:rsidRPr="00797379" w:rsidRDefault="008E314D" w:rsidP="000036FD">
      <w:pPr>
        <w:tabs>
          <w:tab w:val="left" w:pos="360"/>
          <w:tab w:val="left" w:pos="720"/>
          <w:tab w:val="left" w:pos="1080"/>
          <w:tab w:val="left" w:pos="1440"/>
          <w:tab w:val="left" w:pos="1800"/>
          <w:tab w:val="left" w:pos="2160"/>
          <w:tab w:val="left" w:pos="2520"/>
          <w:tab w:val="left" w:pos="2880"/>
        </w:tabs>
        <w:spacing w:before="3480" w:after="120" w:line="240" w:lineRule="auto"/>
        <w:jc w:val="center"/>
      </w:pPr>
      <w:r w:rsidRPr="00797379">
        <w:t>Massachusetts Department of Elementary and Secondary Education</w:t>
      </w:r>
      <w:r w:rsidR="000036FD" w:rsidRPr="00797379">
        <w:br/>
      </w:r>
      <w:r w:rsidR="00C501A2" w:rsidRPr="00797379">
        <w:rPr>
          <w:snapToGrid w:val="0"/>
        </w:rPr>
        <w:t>135 Santilli Highway</w:t>
      </w:r>
      <w:r w:rsidRPr="00797379">
        <w:t xml:space="preserve">, </w:t>
      </w:r>
      <w:r w:rsidR="00C501A2" w:rsidRPr="00797379">
        <w:t xml:space="preserve">Everett </w:t>
      </w:r>
      <w:r w:rsidRPr="00797379">
        <w:t>MA 0214</w:t>
      </w:r>
      <w:r w:rsidR="00C501A2" w:rsidRPr="00797379">
        <w:t>9</w:t>
      </w:r>
      <w:r w:rsidR="000036FD" w:rsidRPr="00797379">
        <w:br/>
      </w:r>
      <w:r w:rsidRPr="00797379">
        <w:t>Phone</w:t>
      </w:r>
      <w:r w:rsidR="00D84CF0" w:rsidRPr="00797379">
        <w:t>:</w:t>
      </w:r>
      <w:r w:rsidRPr="00797379">
        <w:t xml:space="preserve"> 781-338-3000</w:t>
      </w:r>
      <w:r w:rsidRPr="00797379">
        <w:tab/>
        <w:t>TTY: N.E.T. Relay 800-439-2370</w:t>
      </w:r>
      <w:r w:rsidR="000036FD" w:rsidRPr="00797379">
        <w:br/>
      </w:r>
      <w:hyperlink r:id="rId17" w:history="1">
        <w:r w:rsidRPr="00797379">
          <w:rPr>
            <w:rStyle w:val="Hyperlink"/>
          </w:rPr>
          <w:t>ww</w:t>
        </w:r>
        <w:r w:rsidRPr="00797379">
          <w:rPr>
            <w:rStyle w:val="Hyperlink"/>
            <w:color w:val="0563C1"/>
          </w:rPr>
          <w:t>w.doe.m</w:t>
        </w:r>
        <w:r w:rsidRPr="00797379">
          <w:rPr>
            <w:rStyle w:val="Hyperlink"/>
          </w:rPr>
          <w:t>ass.edu</w:t>
        </w:r>
      </w:hyperlink>
    </w:p>
    <w:p w14:paraId="09993608" w14:textId="61868EA3" w:rsidR="008E314D" w:rsidRPr="00797379" w:rsidRDefault="008E314D" w:rsidP="008E314D">
      <w:pPr>
        <w:tabs>
          <w:tab w:val="left" w:pos="360"/>
          <w:tab w:val="left" w:pos="720"/>
          <w:tab w:val="left" w:pos="1080"/>
          <w:tab w:val="left" w:pos="1440"/>
          <w:tab w:val="left" w:pos="1800"/>
          <w:tab w:val="left" w:pos="2160"/>
          <w:tab w:val="left" w:pos="2520"/>
          <w:tab w:val="left" w:pos="2880"/>
        </w:tabs>
        <w:jc w:val="center"/>
        <w:sectPr w:rsidR="008E314D" w:rsidRPr="00797379" w:rsidSect="00311B7B">
          <w:headerReference w:type="default" r:id="rId18"/>
          <w:footerReference w:type="default" r:id="rId19"/>
          <w:footerReference w:type="first" r:id="rId20"/>
          <w:endnotePr>
            <w:numFmt w:val="decimal"/>
          </w:endnotePr>
          <w:pgSz w:w="12240" w:h="15840"/>
          <w:pgMar w:top="1440" w:right="1440" w:bottom="1440" w:left="1440" w:header="1440" w:footer="720" w:gutter="0"/>
          <w:pgNumType w:start="1"/>
          <w:cols w:space="720"/>
          <w:noEndnote/>
          <w:titlePg/>
          <w:docGrid w:linePitch="326"/>
        </w:sectPr>
      </w:pPr>
    </w:p>
    <w:p w14:paraId="0B641F30" w14:textId="77777777" w:rsidR="008D6102" w:rsidRPr="00797379" w:rsidRDefault="008D6102" w:rsidP="00393F4E">
      <w:pPr>
        <w:pStyle w:val="Heading2"/>
      </w:pPr>
      <w:bookmarkStart w:id="3" w:name="_Toc101446225"/>
      <w:bookmarkStart w:id="4" w:name="_Toc223625536"/>
      <w:bookmarkStart w:id="5" w:name="_Toc350870260"/>
      <w:bookmarkStart w:id="6" w:name="_Toc273777167"/>
      <w:bookmarkStart w:id="7" w:name="_Toc277066425"/>
      <w:bookmarkStart w:id="8" w:name="_Toc337817149"/>
      <w:bookmarkStart w:id="9" w:name="_Toc101878649"/>
      <w:r w:rsidRPr="00797379">
        <w:t>Executive Summary</w:t>
      </w:r>
      <w:bookmarkEnd w:id="3"/>
      <w:bookmarkEnd w:id="4"/>
    </w:p>
    <w:p w14:paraId="0C1D0C0A" w14:textId="5351FF26" w:rsidR="007B718B" w:rsidRPr="00797379" w:rsidRDefault="000B1DD2" w:rsidP="00E55C8B">
      <w:pPr>
        <w:pStyle w:val="BodyTextposthead"/>
      </w:pPr>
      <w:bookmarkStart w:id="10" w:name="_Hlk40937737"/>
      <w:bookmarkStart w:id="11" w:name="_Toc104552856"/>
      <w:bookmarkEnd w:id="5"/>
      <w:r w:rsidRPr="00797379">
        <w:t xml:space="preserve">In accordance with Massachusetts state law, the Massachusetts Department of Elementary and Secondary Education (DESE) contracted with </w:t>
      </w:r>
      <w:r w:rsidR="0054101D" w:rsidRPr="00797379">
        <w:t xml:space="preserve">the </w:t>
      </w:r>
      <w:r w:rsidRPr="00797379">
        <w:t>American Institutes for Research</w:t>
      </w:r>
      <w:r w:rsidR="0054101D" w:rsidRPr="00797379">
        <w:rPr>
          <w:rFonts w:ascii="Franklin Gothic Book" w:hAnsi="Franklin Gothic Book" w:cs="Calibri"/>
          <w:vertAlign w:val="superscript"/>
        </w:rPr>
        <w:t>®</w:t>
      </w:r>
      <w:r w:rsidRPr="00797379">
        <w:t xml:space="preserve"> (AIR</w:t>
      </w:r>
      <w:r w:rsidR="0054101D" w:rsidRPr="00797379">
        <w:rPr>
          <w:rFonts w:ascii="Franklin Gothic Book" w:hAnsi="Franklin Gothic Book" w:cs="Calibri"/>
          <w:vertAlign w:val="superscript"/>
        </w:rPr>
        <w:t>®</w:t>
      </w:r>
      <w:r w:rsidRPr="00797379">
        <w:t xml:space="preserve">), to conduct a comprehensive review of </w:t>
      </w:r>
      <w:r w:rsidR="002B2259" w:rsidRPr="00797379">
        <w:t>Winchester Public Schools</w:t>
      </w:r>
      <w:r w:rsidRPr="00797379">
        <w:t xml:space="preserve"> (</w:t>
      </w:r>
      <w:r w:rsidR="0054101D" w:rsidRPr="00797379">
        <w:t xml:space="preserve">hereafter, </w:t>
      </w:r>
      <w:r w:rsidR="00775797" w:rsidRPr="00797379">
        <w:t>WPS</w:t>
      </w:r>
      <w:r w:rsidRPr="00797379">
        <w:t xml:space="preserve">) in </w:t>
      </w:r>
      <w:r w:rsidR="002B2259" w:rsidRPr="00797379">
        <w:t xml:space="preserve">December </w:t>
      </w:r>
      <w:r w:rsidRPr="00797379">
        <w:t>20</w:t>
      </w:r>
      <w:r w:rsidR="003F28AA" w:rsidRPr="00797379">
        <w:t>2</w:t>
      </w:r>
      <w:r w:rsidR="002B2259" w:rsidRPr="00797379">
        <w:t>5</w:t>
      </w:r>
      <w:r w:rsidRPr="00797379">
        <w:t xml:space="preserve">. Data collection activities associated with the review </w:t>
      </w:r>
      <w:r w:rsidR="02F46E2F" w:rsidRPr="00797379">
        <w:rPr>
          <w:rFonts w:ascii="Franklin Gothic Book" w:eastAsia="Franklin Gothic Book" w:hAnsi="Franklin Gothic Book" w:cs="Franklin Gothic Book"/>
        </w:rPr>
        <w:t>included interviews, focus groups, and document reviews and were</w:t>
      </w:r>
      <w:r w:rsidR="02F46E2F" w:rsidRPr="00797379">
        <w:t xml:space="preserve"> </w:t>
      </w:r>
      <w:r w:rsidR="00DE09E1" w:rsidRPr="00797379">
        <w:t>designed to understand</w:t>
      </w:r>
      <w:r w:rsidRPr="00797379">
        <w:t xml:space="preserve"> how </w:t>
      </w:r>
      <w:r w:rsidR="00B47B03" w:rsidRPr="00797379">
        <w:t>districts</w:t>
      </w:r>
      <w:r w:rsidRPr="00797379">
        <w:t xml:space="preserve"> operate in support of continuous improvement efforts. The review focused on the six standards (and related indicators) that DESE has identified as being important components of district effectiveness.</w:t>
      </w:r>
      <w:r w:rsidR="007B718B" w:rsidRPr="00797379">
        <w:t xml:space="preserve"> The resulting report provide</w:t>
      </w:r>
      <w:r w:rsidR="002F7904" w:rsidRPr="00797379">
        <w:t>s</w:t>
      </w:r>
      <w:r w:rsidR="007E4538" w:rsidRPr="00797379">
        <w:t xml:space="preserve"> an in-depth look at district </w:t>
      </w:r>
      <w:r w:rsidR="00D97DA0" w:rsidRPr="00797379">
        <w:t xml:space="preserve">systems, </w:t>
      </w:r>
      <w:r w:rsidR="00C612B4" w:rsidRPr="00797379">
        <w:t>policies</w:t>
      </w:r>
      <w:r w:rsidR="00D97DA0" w:rsidRPr="00797379">
        <w:t>, and practices and includes recommendations</w:t>
      </w:r>
      <w:r w:rsidR="007B718B" w:rsidRPr="00797379">
        <w:t xml:space="preserve"> </w:t>
      </w:r>
      <w:r w:rsidR="002F7904" w:rsidRPr="00797379">
        <w:t>to</w:t>
      </w:r>
      <w:r w:rsidR="007B718B" w:rsidRPr="00797379">
        <w:t xml:space="preserve"> promote systemic improvements and advance equitable student outcomes and experiences.</w:t>
      </w:r>
      <w:r w:rsidR="00256C3C" w:rsidRPr="00797379">
        <w:rPr>
          <w:rStyle w:val="FootnoteReference"/>
        </w:rPr>
        <w:footnoteReference w:id="2"/>
      </w:r>
    </w:p>
    <w:p w14:paraId="41D8CE26" w14:textId="3FCD0EE7" w:rsidR="000B1DD2" w:rsidRPr="00797379" w:rsidRDefault="18845F70" w:rsidP="00E55C8B">
      <w:pPr>
        <w:pStyle w:val="BodyText"/>
        <w:spacing w:before="0"/>
      </w:pPr>
      <w:r w:rsidRPr="00797379">
        <w:rPr>
          <w:rFonts w:ascii="Franklin Gothic Book" w:eastAsia="Franklin Gothic Book" w:hAnsi="Franklin Gothic Book" w:cs="Franklin Gothic Book"/>
        </w:rPr>
        <w:t xml:space="preserve">In addition, </w:t>
      </w:r>
      <w:r w:rsidR="001F3736" w:rsidRPr="00797379">
        <w:rPr>
          <w:rFonts w:ascii="Franklin Gothic Book" w:eastAsia="Franklin Gothic Book" w:hAnsi="Franklin Gothic Book" w:cs="Franklin Gothic Book"/>
        </w:rPr>
        <w:t>three</w:t>
      </w:r>
      <w:r w:rsidR="001F3736" w:rsidRPr="00797379">
        <w:t xml:space="preserve"> </w:t>
      </w:r>
      <w:r w:rsidR="008672D4" w:rsidRPr="00797379">
        <w:t>observers</w:t>
      </w:r>
      <w:r w:rsidR="000935EF" w:rsidRPr="00797379">
        <w:t xml:space="preserve"> conducted</w:t>
      </w:r>
      <w:r w:rsidR="008672D4" w:rsidRPr="00797379">
        <w:t xml:space="preserve"> </w:t>
      </w:r>
      <w:r w:rsidR="000935EF" w:rsidRPr="00797379">
        <w:t xml:space="preserve">74 </w:t>
      </w:r>
      <w:r w:rsidR="00EE4CDF" w:rsidRPr="00797379">
        <w:t>observations</w:t>
      </w:r>
      <w:r w:rsidR="000935EF" w:rsidRPr="00797379">
        <w:t xml:space="preserve"> in a sample of classrooms across grade levels during a </w:t>
      </w:r>
      <w:r w:rsidR="008672D4" w:rsidRPr="00797379">
        <w:t>visit</w:t>
      </w:r>
      <w:r w:rsidR="000935EF" w:rsidRPr="00797379">
        <w:t xml:space="preserve"> to </w:t>
      </w:r>
      <w:r w:rsidR="00775797" w:rsidRPr="00797379">
        <w:t xml:space="preserve">WPS </w:t>
      </w:r>
      <w:r w:rsidR="008672D4" w:rsidRPr="00797379">
        <w:t xml:space="preserve">during the week of </w:t>
      </w:r>
      <w:r w:rsidR="002B2259" w:rsidRPr="00797379">
        <w:t>December 8</w:t>
      </w:r>
      <w:r w:rsidR="000935EF" w:rsidRPr="00797379">
        <w:t>, 2025</w:t>
      </w:r>
      <w:r w:rsidR="008672D4" w:rsidRPr="00797379">
        <w:t xml:space="preserve">. </w:t>
      </w:r>
      <w:r w:rsidR="000935EF" w:rsidRPr="00797379">
        <w:t xml:space="preserve">They </w:t>
      </w:r>
      <w:r w:rsidR="008672D4" w:rsidRPr="00797379">
        <w:t xml:space="preserve">focused </w:t>
      </w:r>
      <w:r w:rsidR="007D2F6E" w:rsidRPr="00797379">
        <w:t xml:space="preserve">primarily </w:t>
      </w:r>
      <w:r w:rsidR="008672D4" w:rsidRPr="00797379">
        <w:t xml:space="preserve">on literacy, English language arts (ELA), and mathematics. </w:t>
      </w:r>
      <w:r w:rsidR="000935EF" w:rsidRPr="00797379">
        <w:t xml:space="preserve">The observers used </w:t>
      </w:r>
      <w:r w:rsidR="008672D4" w:rsidRPr="00797379">
        <w:t>The Teachstone Classroom Assessment Scoring System (CLASS) protocol, developed by the Center for Advanced Study of Teaching and Learning at the University of Virginia</w:t>
      </w:r>
      <w:r w:rsidR="008672D4" w:rsidRPr="00797379">
        <w:rPr>
          <w:rStyle w:val="FootnoteReference"/>
        </w:rPr>
        <w:footnoteReference w:id="3"/>
      </w:r>
      <w:r w:rsidR="000935EF" w:rsidRPr="00797379">
        <w:t xml:space="preserve"> to</w:t>
      </w:r>
      <w:r w:rsidR="008672D4" w:rsidRPr="00797379">
        <w:t xml:space="preserve"> guide all classroom observations in the district. </w:t>
      </w:r>
      <w:r w:rsidR="000935EF" w:rsidRPr="00797379">
        <w:t>The observers</w:t>
      </w:r>
      <w:r w:rsidR="008672D4" w:rsidRPr="00797379">
        <w:t xml:space="preserve"> </w:t>
      </w:r>
      <w:r w:rsidR="000935EF" w:rsidRPr="00797379">
        <w:t>followed</w:t>
      </w:r>
      <w:r w:rsidR="008672D4" w:rsidRPr="00797379">
        <w:t xml:space="preserve"> three grade-band levels of the CLASS protocols: K-3, Upper Elementary (4-5), and Secondary (6</w:t>
      </w:r>
      <w:r w:rsidR="000935EF" w:rsidRPr="00797379">
        <w:t>-</w:t>
      </w:r>
      <w:r w:rsidR="008672D4" w:rsidRPr="00797379">
        <w:t>12).</w:t>
      </w:r>
    </w:p>
    <w:p w14:paraId="294F0C09" w14:textId="28C9E3F7" w:rsidR="000B1DD2" w:rsidRPr="00797379" w:rsidRDefault="000B1DD2" w:rsidP="00393F4E">
      <w:pPr>
        <w:pStyle w:val="Heading3"/>
        <w:rPr>
          <w:rStyle w:val="Hyperlink"/>
          <w:color w:val="2F5496" w:themeColor="accent5" w:themeShade="BF"/>
          <w:u w:val="none"/>
        </w:rPr>
      </w:pPr>
      <w:hyperlink w:anchor="_Leadership_and_Governance" w:history="1">
        <w:r w:rsidRPr="00797379">
          <w:rPr>
            <w:rStyle w:val="Hyperlink"/>
            <w:color w:val="2F5496" w:themeColor="accent5" w:themeShade="BF"/>
            <w:u w:val="none"/>
          </w:rPr>
          <w:t>Leadership and Governance</w:t>
        </w:r>
      </w:hyperlink>
    </w:p>
    <w:p w14:paraId="3960319B" w14:textId="46B6F4E6" w:rsidR="00006AC8" w:rsidRPr="000670AA" w:rsidRDefault="00006AC8" w:rsidP="00E55C8B">
      <w:pPr>
        <w:spacing w:after="120"/>
        <w:rPr>
          <w:rFonts w:ascii="Franklin Gothic Book" w:eastAsia="Times New Roman" w:hAnsi="Franklin Gothic Book" w:cs="Times New Roman"/>
        </w:rPr>
      </w:pPr>
      <w:r w:rsidRPr="000670AA">
        <w:rPr>
          <w:rFonts w:ascii="Franklin Gothic Book" w:eastAsia="Times New Roman" w:hAnsi="Franklin Gothic Book" w:cs="Times New Roman"/>
        </w:rPr>
        <w:t xml:space="preserve">Winchester </w:t>
      </w:r>
      <w:r>
        <w:rPr>
          <w:rFonts w:ascii="Franklin Gothic Book" w:eastAsia="Times New Roman" w:hAnsi="Franklin Gothic Book" w:cs="Times New Roman"/>
        </w:rPr>
        <w:t xml:space="preserve">district central office </w:t>
      </w:r>
      <w:r w:rsidRPr="000670AA">
        <w:rPr>
          <w:rFonts w:ascii="Franklin Gothic Book" w:eastAsia="Times New Roman" w:hAnsi="Franklin Gothic Book" w:cs="Times New Roman"/>
        </w:rPr>
        <w:t xml:space="preserve">is led by </w:t>
      </w:r>
      <w:r>
        <w:rPr>
          <w:rFonts w:ascii="Franklin Gothic Book" w:eastAsia="Times New Roman" w:hAnsi="Franklin Gothic Book" w:cs="Times New Roman"/>
        </w:rPr>
        <w:t xml:space="preserve">the </w:t>
      </w:r>
      <w:r w:rsidR="00E55C8B">
        <w:rPr>
          <w:rFonts w:ascii="Franklin Gothic Book" w:eastAsia="Times New Roman" w:hAnsi="Franklin Gothic Book" w:cs="Times New Roman"/>
        </w:rPr>
        <w:t>s</w:t>
      </w:r>
      <w:r w:rsidRPr="000670AA">
        <w:rPr>
          <w:rFonts w:ascii="Franklin Gothic Book" w:eastAsia="Times New Roman" w:hAnsi="Franklin Gothic Book" w:cs="Times New Roman"/>
        </w:rPr>
        <w:t>uperintendent, who has served the district for five years, including one year as interim superintendent</w:t>
      </w:r>
      <w:r w:rsidR="00CF487A">
        <w:rPr>
          <w:rFonts w:ascii="Franklin Gothic Book" w:eastAsia="Times New Roman" w:hAnsi="Franklin Gothic Book" w:cs="Times New Roman"/>
        </w:rPr>
        <w:t>,</w:t>
      </w:r>
      <w:r>
        <w:rPr>
          <w:rFonts w:ascii="Franklin Gothic Book" w:eastAsia="Times New Roman" w:hAnsi="Franklin Gothic Book" w:cs="Times New Roman"/>
        </w:rPr>
        <w:t xml:space="preserve"> and t</w:t>
      </w:r>
      <w:r w:rsidRPr="000670AA">
        <w:rPr>
          <w:rFonts w:ascii="Franklin Gothic Book" w:eastAsia="Times New Roman" w:hAnsi="Franklin Gothic Book" w:cs="Times New Roman"/>
        </w:rPr>
        <w:t>he central office team</w:t>
      </w:r>
      <w:r w:rsidR="00CF487A">
        <w:rPr>
          <w:rFonts w:ascii="Franklin Gothic Book" w:eastAsia="Times New Roman" w:hAnsi="Franklin Gothic Book" w:cs="Times New Roman"/>
        </w:rPr>
        <w:t>, which</w:t>
      </w:r>
      <w:r w:rsidRPr="000670AA">
        <w:rPr>
          <w:rFonts w:ascii="Franklin Gothic Book" w:eastAsia="Times New Roman" w:hAnsi="Franklin Gothic Book" w:cs="Times New Roman"/>
        </w:rPr>
        <w:t xml:space="preserve"> includes two assistant superintendents, a director of </w:t>
      </w:r>
      <w:r w:rsidR="00E55C8B">
        <w:rPr>
          <w:rFonts w:ascii="Franklin Gothic Book" w:eastAsia="Times New Roman" w:hAnsi="Franklin Gothic Book" w:cs="Times New Roman"/>
        </w:rPr>
        <w:t>f</w:t>
      </w:r>
      <w:r w:rsidRPr="000670AA">
        <w:rPr>
          <w:rFonts w:ascii="Franklin Gothic Book" w:eastAsia="Times New Roman" w:hAnsi="Franklin Gothic Book" w:cs="Times New Roman"/>
        </w:rPr>
        <w:t xml:space="preserve">inance and </w:t>
      </w:r>
      <w:r w:rsidR="00E55C8B">
        <w:rPr>
          <w:rFonts w:ascii="Franklin Gothic Book" w:eastAsia="Times New Roman" w:hAnsi="Franklin Gothic Book" w:cs="Times New Roman"/>
        </w:rPr>
        <w:t>o</w:t>
      </w:r>
      <w:r w:rsidRPr="000670AA">
        <w:rPr>
          <w:rFonts w:ascii="Franklin Gothic Book" w:eastAsia="Times New Roman" w:hAnsi="Franklin Gothic Book" w:cs="Times New Roman"/>
        </w:rPr>
        <w:t xml:space="preserve">perations, a manager of </w:t>
      </w:r>
      <w:r w:rsidR="00E55C8B">
        <w:rPr>
          <w:rFonts w:ascii="Franklin Gothic Book" w:eastAsia="Times New Roman" w:hAnsi="Franklin Gothic Book" w:cs="Times New Roman"/>
        </w:rPr>
        <w:t>f</w:t>
      </w:r>
      <w:r w:rsidRPr="000670AA">
        <w:rPr>
          <w:rFonts w:ascii="Franklin Gothic Book" w:eastAsia="Times New Roman" w:hAnsi="Franklin Gothic Book" w:cs="Times New Roman"/>
        </w:rPr>
        <w:t xml:space="preserve">inance and </w:t>
      </w:r>
      <w:r w:rsidR="00E55C8B">
        <w:rPr>
          <w:rFonts w:ascii="Franklin Gothic Book" w:eastAsia="Times New Roman" w:hAnsi="Franklin Gothic Book" w:cs="Times New Roman"/>
        </w:rPr>
        <w:t>h</w:t>
      </w:r>
      <w:r w:rsidRPr="000670AA">
        <w:rPr>
          <w:rFonts w:ascii="Franklin Gothic Book" w:eastAsia="Times New Roman" w:hAnsi="Franklin Gothic Book" w:cs="Times New Roman"/>
        </w:rPr>
        <w:t xml:space="preserve">uman </w:t>
      </w:r>
      <w:r w:rsidR="00E55C8B">
        <w:rPr>
          <w:rFonts w:ascii="Franklin Gothic Book" w:eastAsia="Times New Roman" w:hAnsi="Franklin Gothic Book" w:cs="Times New Roman"/>
        </w:rPr>
        <w:t>r</w:t>
      </w:r>
      <w:r w:rsidRPr="000670AA">
        <w:rPr>
          <w:rFonts w:ascii="Franklin Gothic Book" w:eastAsia="Times New Roman" w:hAnsi="Franklin Gothic Book" w:cs="Times New Roman"/>
        </w:rPr>
        <w:t xml:space="preserve">esources, a director of </w:t>
      </w:r>
      <w:r w:rsidR="00E55C8B">
        <w:rPr>
          <w:rFonts w:ascii="Franklin Gothic Book" w:eastAsia="Times New Roman" w:hAnsi="Franklin Gothic Book" w:cs="Times New Roman"/>
        </w:rPr>
        <w:t>s</w:t>
      </w:r>
      <w:r w:rsidRPr="000670AA">
        <w:rPr>
          <w:rFonts w:ascii="Franklin Gothic Book" w:eastAsia="Times New Roman" w:hAnsi="Franklin Gothic Book" w:cs="Times New Roman"/>
        </w:rPr>
        <w:t xml:space="preserve">pecial </w:t>
      </w:r>
      <w:r w:rsidR="00E55C8B">
        <w:rPr>
          <w:rFonts w:ascii="Franklin Gothic Book" w:eastAsia="Times New Roman" w:hAnsi="Franklin Gothic Book" w:cs="Times New Roman"/>
        </w:rPr>
        <w:t>e</w:t>
      </w:r>
      <w:r w:rsidRPr="000670AA">
        <w:rPr>
          <w:rFonts w:ascii="Franklin Gothic Book" w:eastAsia="Times New Roman" w:hAnsi="Franklin Gothic Book" w:cs="Times New Roman"/>
        </w:rPr>
        <w:t xml:space="preserve">ducation, and a director of </w:t>
      </w:r>
      <w:r w:rsidR="00E55C8B">
        <w:rPr>
          <w:rFonts w:ascii="Franklin Gothic Book" w:eastAsia="Times New Roman" w:hAnsi="Franklin Gothic Book" w:cs="Times New Roman"/>
        </w:rPr>
        <w:t>s</w:t>
      </w:r>
      <w:r w:rsidRPr="000670AA">
        <w:rPr>
          <w:rFonts w:ascii="Franklin Gothic Book" w:eastAsia="Times New Roman" w:hAnsi="Franklin Gothic Book" w:cs="Times New Roman"/>
        </w:rPr>
        <w:t>ocial-</w:t>
      </w:r>
      <w:r w:rsidR="00E55C8B">
        <w:rPr>
          <w:rFonts w:ascii="Franklin Gothic Book" w:eastAsia="Times New Roman" w:hAnsi="Franklin Gothic Book" w:cs="Times New Roman"/>
        </w:rPr>
        <w:t>e</w:t>
      </w:r>
      <w:r w:rsidRPr="000670AA">
        <w:rPr>
          <w:rFonts w:ascii="Franklin Gothic Book" w:eastAsia="Times New Roman" w:hAnsi="Franklin Gothic Book" w:cs="Times New Roman"/>
        </w:rPr>
        <w:t xml:space="preserve">motional </w:t>
      </w:r>
      <w:r w:rsidR="00E55C8B">
        <w:rPr>
          <w:rFonts w:ascii="Franklin Gothic Book" w:eastAsia="Times New Roman" w:hAnsi="Franklin Gothic Book" w:cs="Times New Roman"/>
        </w:rPr>
        <w:t>l</w:t>
      </w:r>
      <w:r w:rsidRPr="000670AA">
        <w:rPr>
          <w:rFonts w:ascii="Franklin Gothic Book" w:eastAsia="Times New Roman" w:hAnsi="Franklin Gothic Book" w:cs="Times New Roman"/>
        </w:rPr>
        <w:t xml:space="preserve">earning and counseling. The central office team meets weekly, and a larger leadership team of approximately 40 district and school leaders meets monthly with a focus on data-informed </w:t>
      </w:r>
      <w:r w:rsidR="00FF12A0">
        <w:rPr>
          <w:rFonts w:ascii="Franklin Gothic Book" w:eastAsia="Times New Roman" w:hAnsi="Franklin Gothic Book" w:cs="Times New Roman"/>
        </w:rPr>
        <w:t>decision-making</w:t>
      </w:r>
      <w:r w:rsidRPr="000670AA">
        <w:rPr>
          <w:rFonts w:ascii="Franklin Gothic Book" w:eastAsia="Times New Roman" w:hAnsi="Franklin Gothic Book" w:cs="Times New Roman"/>
        </w:rPr>
        <w:t>. School committee members and district leaders described their working relationship as collaborative and productive, and town officials similarly reported a cooperative relationship with the district, particularly around budget development and capital planning. Stakeholders consistently cited the superintendent's stable leadership as an asset during a period of significant instructional and cultural change.</w:t>
      </w:r>
    </w:p>
    <w:p w14:paraId="3A5BDBFA" w14:textId="0A1967AD" w:rsidR="00006AC8" w:rsidRPr="000670AA" w:rsidRDefault="00006AC8" w:rsidP="00E55C8B">
      <w:pPr>
        <w:spacing w:after="120"/>
        <w:rPr>
          <w:rFonts w:ascii="Franklin Gothic Book" w:eastAsia="Times New Roman" w:hAnsi="Franklin Gothic Book" w:cs="Times New Roman"/>
        </w:rPr>
      </w:pPr>
      <w:r w:rsidRPr="000670AA">
        <w:rPr>
          <w:rFonts w:ascii="Franklin Gothic Book" w:eastAsia="Times New Roman" w:hAnsi="Franklin Gothic Book" w:cs="Times New Roman"/>
        </w:rPr>
        <w:t xml:space="preserve">The district's strategic plan, WPS 2030, outlines priorities across teaching and learning, community well-being, and operations, and is used to anchor school innovation plans developed collaboratively by principals, coordinators, and teachers during summer retreats. Nearly all focus groups identified the same three district priorities — literacy, equity, and social-emotional learning — reflecting broad alignment around the plan. The district engages families and community members through school councils, PTOs, a Special Education Parent Advisory Committee, an English Learner Parent Advisory Council, and platforms such as ThoughtExchange and ParentSquare. However, family focus group participants noted variability in </w:t>
      </w:r>
      <w:r w:rsidR="00994DD7">
        <w:rPr>
          <w:rFonts w:ascii="Franklin Gothic Book" w:eastAsia="Times New Roman" w:hAnsi="Franklin Gothic Book" w:cs="Times New Roman"/>
        </w:rPr>
        <w:t xml:space="preserve">the quality of </w:t>
      </w:r>
      <w:r w:rsidRPr="000670AA">
        <w:rPr>
          <w:rFonts w:ascii="Franklin Gothic Book" w:eastAsia="Times New Roman" w:hAnsi="Franklin Gothic Book" w:cs="Times New Roman"/>
        </w:rPr>
        <w:t xml:space="preserve">communication across school levels, particularly at the middle school, where outreach can </w:t>
      </w:r>
      <w:r w:rsidR="00FA1619">
        <w:rPr>
          <w:rFonts w:ascii="Franklin Gothic Book" w:eastAsia="Times New Roman" w:hAnsi="Franklin Gothic Book" w:cs="Times New Roman"/>
        </w:rPr>
        <w:t>vary based</w:t>
      </w:r>
      <w:r w:rsidRPr="000670AA">
        <w:rPr>
          <w:rFonts w:ascii="Franklin Gothic Book" w:eastAsia="Times New Roman" w:hAnsi="Franklin Gothic Book" w:cs="Times New Roman"/>
        </w:rPr>
        <w:t xml:space="preserve"> on individual teacher teams rather than consistent districtwide expectations. </w:t>
      </w:r>
    </w:p>
    <w:bookmarkEnd w:id="10"/>
    <w:p w14:paraId="770E4914" w14:textId="5450BE1B" w:rsidR="000B1DD2" w:rsidRPr="00797379" w:rsidRDefault="00B527CE" w:rsidP="003447AE">
      <w:pPr>
        <w:pStyle w:val="Heading3"/>
      </w:pPr>
      <w:r w:rsidRPr="00797379">
        <w:fldChar w:fldCharType="begin"/>
      </w:r>
      <w:r w:rsidRPr="00797379">
        <w:instrText xml:space="preserve"> HYPERLINK  \l "_Curriculum_and_Instruction" </w:instrText>
      </w:r>
      <w:r w:rsidRPr="00797379">
        <w:fldChar w:fldCharType="separate"/>
      </w:r>
      <w:r w:rsidR="000B1DD2" w:rsidRPr="00797379">
        <w:rPr>
          <w:rStyle w:val="Hyperlink"/>
          <w:color w:val="2F5496" w:themeColor="accent5" w:themeShade="BF"/>
          <w:u w:val="none"/>
        </w:rPr>
        <w:t>Curriculum and Instruction</w:t>
      </w:r>
      <w:r w:rsidRPr="00797379">
        <w:rPr>
          <w:rStyle w:val="Hyperlink"/>
          <w:color w:val="2F5496" w:themeColor="accent5" w:themeShade="BF"/>
          <w:u w:val="none"/>
        </w:rPr>
        <w:fldChar w:fldCharType="end"/>
      </w:r>
    </w:p>
    <w:p w14:paraId="540C7F44" w14:textId="4D39D1AD" w:rsidR="00AA3F1F" w:rsidRPr="000670AA" w:rsidRDefault="00AA3F1F" w:rsidP="00E55C8B">
      <w:pPr>
        <w:spacing w:after="120"/>
        <w:rPr>
          <w:rFonts w:ascii="Franklin Gothic Book" w:eastAsia="Times New Roman" w:hAnsi="Franklin Gothic Book" w:cs="Times New Roman"/>
        </w:rPr>
      </w:pPr>
      <w:r w:rsidRPr="000670AA">
        <w:rPr>
          <w:rFonts w:ascii="Franklin Gothic Book" w:eastAsia="Times New Roman" w:hAnsi="Franklin Gothic Book" w:cs="Times New Roman"/>
        </w:rPr>
        <w:t xml:space="preserve">The assistant superintendent for </w:t>
      </w:r>
      <w:r w:rsidR="006A4A63">
        <w:rPr>
          <w:rFonts w:ascii="Franklin Gothic Book" w:eastAsia="Times New Roman" w:hAnsi="Franklin Gothic Book" w:cs="Times New Roman"/>
        </w:rPr>
        <w:t>c</w:t>
      </w:r>
      <w:r w:rsidRPr="000670AA">
        <w:rPr>
          <w:rFonts w:ascii="Franklin Gothic Book" w:eastAsia="Times New Roman" w:hAnsi="Franklin Gothic Book" w:cs="Times New Roman"/>
        </w:rPr>
        <w:t xml:space="preserve">urriculum, </w:t>
      </w:r>
      <w:r w:rsidR="006A4A63">
        <w:rPr>
          <w:rFonts w:ascii="Franklin Gothic Book" w:eastAsia="Times New Roman" w:hAnsi="Franklin Gothic Book" w:cs="Times New Roman"/>
        </w:rPr>
        <w:t>i</w:t>
      </w:r>
      <w:r w:rsidRPr="000670AA">
        <w:rPr>
          <w:rFonts w:ascii="Franklin Gothic Book" w:eastAsia="Times New Roman" w:hAnsi="Franklin Gothic Book" w:cs="Times New Roman"/>
        </w:rPr>
        <w:t xml:space="preserve">nstruction, and </w:t>
      </w:r>
      <w:r w:rsidR="006A4A63">
        <w:rPr>
          <w:rFonts w:ascii="Franklin Gothic Book" w:eastAsia="Times New Roman" w:hAnsi="Franklin Gothic Book" w:cs="Times New Roman"/>
        </w:rPr>
        <w:t>a</w:t>
      </w:r>
      <w:r w:rsidRPr="000670AA">
        <w:rPr>
          <w:rFonts w:ascii="Franklin Gothic Book" w:eastAsia="Times New Roman" w:hAnsi="Franklin Gothic Book" w:cs="Times New Roman"/>
        </w:rPr>
        <w:t>ssessment oversees curriculum and instruction in Winchester, supported by the assistant superintendent for elementary education, literacy and math specialists at the elementary level, and content area directors and coordinators across the district. The district has articulated a clear instructional focus centered on equity, student engagement, and culturally responsive practices, operationalized through initiatives such as the Elementary Literacy Team and summer planning retreats. However, district leaders acknowledged that a commonly shared instructional vision specifying the core approaches educators will use districtwide has not yet been developed, and school leaders and teachers reported only partial awareness of the current instructional focus.</w:t>
      </w:r>
    </w:p>
    <w:p w14:paraId="7E7B2645" w14:textId="3C14DE5E" w:rsidR="00AA3F1F" w:rsidRPr="000670AA" w:rsidRDefault="00AA3F1F" w:rsidP="00E55C8B">
      <w:pPr>
        <w:spacing w:after="120"/>
        <w:rPr>
          <w:rFonts w:ascii="Franklin Gothic Book" w:eastAsia="Times New Roman" w:hAnsi="Franklin Gothic Book" w:cs="Times New Roman"/>
        </w:rPr>
      </w:pPr>
      <w:r w:rsidRPr="000670AA">
        <w:rPr>
          <w:rFonts w:ascii="Franklin Gothic Book" w:eastAsia="Times New Roman" w:hAnsi="Franklin Gothic Book" w:cs="Times New Roman"/>
        </w:rPr>
        <w:t>The district has a structured curriculum review process that emphasizes standards alignment, stakeholder input, and annual review by curriculum coordinators. Some programs in use meet expectations on EdReports, and the district is currently piloting two new K-5 ELA curricula</w:t>
      </w:r>
      <w:r>
        <w:rPr>
          <w:rFonts w:ascii="Franklin Gothic Book" w:eastAsia="Times New Roman" w:hAnsi="Franklin Gothic Book" w:cs="Times New Roman"/>
        </w:rPr>
        <w:t xml:space="preserve">, </w:t>
      </w:r>
      <w:r w:rsidRPr="000670AA">
        <w:rPr>
          <w:rFonts w:ascii="Franklin Gothic Book" w:eastAsia="Times New Roman" w:hAnsi="Franklin Gothic Book" w:cs="Times New Roman"/>
        </w:rPr>
        <w:t>grounded in the Science of Reading, following community concerns about evidence-based literacy instruction. At the secondary level, curricula are largely teacher- and district-developed and have not been externally rated. Vertical alignment between elementary and secondary levels remains an area of active development. Tiered academic interventions are well established at the elementary level, but structured Tier 2 and Tier 3 supports at the secondary level are limited. The district offers a broad range of coursework at the high school level, though scheduling constraints limit elective access for ninth and tenth graders</w:t>
      </w:r>
      <w:r w:rsidR="00D92836">
        <w:rPr>
          <w:rFonts w:ascii="Franklin Gothic Book" w:eastAsia="Times New Roman" w:hAnsi="Franklin Gothic Book" w:cs="Times New Roman"/>
        </w:rPr>
        <w:t xml:space="preserve">. Additionally, </w:t>
      </w:r>
      <w:r w:rsidRPr="000670AA">
        <w:rPr>
          <w:rFonts w:ascii="Franklin Gothic Book" w:eastAsia="Times New Roman" w:hAnsi="Franklin Gothic Book" w:cs="Times New Roman"/>
        </w:rPr>
        <w:t xml:space="preserve">some multilingual learners and students </w:t>
      </w:r>
      <w:r w:rsidR="00D92836">
        <w:rPr>
          <w:rFonts w:ascii="Franklin Gothic Book" w:eastAsia="Times New Roman" w:hAnsi="Franklin Gothic Book" w:cs="Times New Roman"/>
        </w:rPr>
        <w:t xml:space="preserve">who require </w:t>
      </w:r>
      <w:r w:rsidRPr="000670AA">
        <w:rPr>
          <w:rFonts w:ascii="Franklin Gothic Book" w:eastAsia="Times New Roman" w:hAnsi="Franklin Gothic Book" w:cs="Times New Roman"/>
        </w:rPr>
        <w:t>additional support do not always receive timely accommodations.</w:t>
      </w:r>
    </w:p>
    <w:p w14:paraId="65498654" w14:textId="3E760A2A" w:rsidR="000B1DD2" w:rsidRPr="00797379" w:rsidRDefault="000B1DD2" w:rsidP="003447AE">
      <w:pPr>
        <w:pStyle w:val="Heading3"/>
      </w:pPr>
      <w:hyperlink w:anchor="_Assessment" w:history="1">
        <w:r w:rsidRPr="00797379">
          <w:rPr>
            <w:rStyle w:val="Hyperlink"/>
            <w:color w:val="2F5496" w:themeColor="accent5" w:themeShade="BF"/>
            <w:u w:val="none"/>
          </w:rPr>
          <w:t>Assessment</w:t>
        </w:r>
      </w:hyperlink>
    </w:p>
    <w:p w14:paraId="5BEF8EA4" w14:textId="1BD88C8C" w:rsidR="00750813" w:rsidRPr="000670AA" w:rsidRDefault="00750813" w:rsidP="00E55C8B">
      <w:pPr>
        <w:spacing w:after="120"/>
        <w:rPr>
          <w:rFonts w:ascii="Franklin Gothic Book" w:eastAsia="Times New Roman" w:hAnsi="Franklin Gothic Book" w:cs="Times New Roman"/>
        </w:rPr>
      </w:pPr>
      <w:r w:rsidRPr="000670AA">
        <w:rPr>
          <w:rFonts w:ascii="Franklin Gothic Book" w:eastAsia="Times New Roman" w:hAnsi="Franklin Gothic Book" w:cs="Times New Roman"/>
        </w:rPr>
        <w:t xml:space="preserve">Winchester </w:t>
      </w:r>
      <w:r w:rsidR="003E451C">
        <w:rPr>
          <w:rFonts w:ascii="Franklin Gothic Book" w:eastAsia="Times New Roman" w:hAnsi="Franklin Gothic Book" w:cs="Times New Roman"/>
        </w:rPr>
        <w:t>utilizes varied</w:t>
      </w:r>
      <w:r w:rsidRPr="000670AA">
        <w:rPr>
          <w:rFonts w:ascii="Franklin Gothic Book" w:eastAsia="Times New Roman" w:hAnsi="Franklin Gothic Book" w:cs="Times New Roman"/>
        </w:rPr>
        <w:t xml:space="preserve"> academic and non-academic assessments administered multiple times per year, including mCLASS with DIBELS for early literacy, district-developed common assessments across all core content areas, and WIDA assessments for </w:t>
      </w:r>
      <w:r w:rsidR="003E451C">
        <w:rPr>
          <w:rFonts w:ascii="Franklin Gothic Book" w:eastAsia="Times New Roman" w:hAnsi="Franklin Gothic Book" w:cs="Times New Roman"/>
        </w:rPr>
        <w:t>English</w:t>
      </w:r>
      <w:r w:rsidRPr="000670AA">
        <w:rPr>
          <w:rFonts w:ascii="Franklin Gothic Book" w:eastAsia="Times New Roman" w:hAnsi="Franklin Gothic Book" w:cs="Times New Roman"/>
        </w:rPr>
        <w:t xml:space="preserve"> learners. The district also uses population-level climate and well-being surveys such as the YRBS and MCIEA dashboards to monitor student well-being and inform planning. However, the district does not yet have a clearly articulated vision for how data should be used across schools, and data practices were described by teachers and principals as fragmented and inconsistent, particularly across grade levels. Formal academic screeners are less common at the secondary level, and the absence of a universal social-emotional screener means individual students' social-emotional needs are identified largely through anecdotal observation. The district does not publicly share its assessment plan or schedule, and consistent protocols for data review and data literacy training for staff have not yet been established. Grading practices vary considerably across levels and among individual teachers, creating confusion for families</w:t>
      </w:r>
      <w:r>
        <w:rPr>
          <w:rFonts w:ascii="Franklin Gothic Book" w:eastAsia="Times New Roman" w:hAnsi="Franklin Gothic Book" w:cs="Times New Roman"/>
        </w:rPr>
        <w:t xml:space="preserve">, </w:t>
      </w:r>
      <w:r w:rsidRPr="000670AA">
        <w:rPr>
          <w:rFonts w:ascii="Franklin Gothic Book" w:eastAsia="Times New Roman" w:hAnsi="Franklin Gothic Book" w:cs="Times New Roman"/>
        </w:rPr>
        <w:t>particularly around transitions between standards-based and traditional grading</w:t>
      </w:r>
      <w:r>
        <w:rPr>
          <w:rFonts w:ascii="Franklin Gothic Book" w:eastAsia="Times New Roman" w:hAnsi="Franklin Gothic Book" w:cs="Times New Roman"/>
        </w:rPr>
        <w:t xml:space="preserve">, </w:t>
      </w:r>
      <w:r w:rsidRPr="000670AA">
        <w:rPr>
          <w:rFonts w:ascii="Franklin Gothic Book" w:eastAsia="Times New Roman" w:hAnsi="Franklin Gothic Book" w:cs="Times New Roman"/>
        </w:rPr>
        <w:t>and a districtwide grading policy has not been developed.</w:t>
      </w:r>
    </w:p>
    <w:p w14:paraId="05B6D72B" w14:textId="149183DD" w:rsidR="000B1DD2" w:rsidRPr="00797379" w:rsidRDefault="000B1DD2" w:rsidP="003447AE">
      <w:pPr>
        <w:pStyle w:val="Heading3"/>
      </w:pPr>
      <w:hyperlink w:anchor="_Human_Resources_and" w:history="1">
        <w:r w:rsidRPr="00797379">
          <w:rPr>
            <w:rStyle w:val="Hyperlink"/>
            <w:color w:val="2F5496" w:themeColor="accent5" w:themeShade="BF"/>
            <w:u w:val="none"/>
          </w:rPr>
          <w:t>Human Resources and Professional Development</w:t>
        </w:r>
      </w:hyperlink>
    </w:p>
    <w:p w14:paraId="118C303D" w14:textId="29704013" w:rsidR="00902775" w:rsidRPr="000670AA" w:rsidRDefault="00902775" w:rsidP="00E55C8B">
      <w:pPr>
        <w:spacing w:after="120"/>
        <w:rPr>
          <w:rFonts w:ascii="Franklin Gothic Book" w:eastAsia="Times New Roman" w:hAnsi="Franklin Gothic Book" w:cs="Times New Roman"/>
        </w:rPr>
      </w:pPr>
      <w:r w:rsidRPr="000670AA">
        <w:rPr>
          <w:rFonts w:ascii="Franklin Gothic Book" w:eastAsia="Times New Roman" w:hAnsi="Franklin Gothic Book" w:cs="Times New Roman"/>
        </w:rPr>
        <w:t xml:space="preserve">Winchester's HR office is staffed by a finance/HR manager and an HR coordinator who share clerical support with the Accounts Payable office. The district uses TalentEd for hiring workflows and onboarding, and an Employee Self-Service portal gives staff access to pay stubs, benefits, and tax forms. Hiring follows a structured, multistep process that includes committee-based interviews, performance tasks, and licensure verification, and school leaders reported meaningful autonomy in candidate selection. Staff retention is strong, with a teacher retention rate of 92.3 percent in 2025, </w:t>
      </w:r>
      <w:r w:rsidR="00993AAB">
        <w:rPr>
          <w:rFonts w:ascii="Franklin Gothic Book" w:eastAsia="Times New Roman" w:hAnsi="Franklin Gothic Book" w:cs="Times New Roman"/>
        </w:rPr>
        <w:t xml:space="preserve">which is </w:t>
      </w:r>
      <w:r w:rsidRPr="000670AA">
        <w:rPr>
          <w:rFonts w:ascii="Franklin Gothic Book" w:eastAsia="Times New Roman" w:hAnsi="Franklin Gothic Book" w:cs="Times New Roman"/>
        </w:rPr>
        <w:t>well above the state average</w:t>
      </w:r>
      <w:r w:rsidR="00F4286A">
        <w:rPr>
          <w:rFonts w:ascii="Franklin Gothic Book" w:eastAsia="Times New Roman" w:hAnsi="Franklin Gothic Book" w:cs="Times New Roman"/>
        </w:rPr>
        <w:t xml:space="preserve"> and</w:t>
      </w:r>
      <w:r w:rsidR="000D0348">
        <w:rPr>
          <w:rFonts w:ascii="Franklin Gothic Book" w:eastAsia="Times New Roman" w:hAnsi="Franklin Gothic Book" w:cs="Times New Roman"/>
        </w:rPr>
        <w:t xml:space="preserve">, according to staff, </w:t>
      </w:r>
      <w:r w:rsidRPr="000670AA">
        <w:rPr>
          <w:rFonts w:ascii="Franklin Gothic Book" w:eastAsia="Times New Roman" w:hAnsi="Franklin Gothic Book" w:cs="Times New Roman"/>
        </w:rPr>
        <w:t>reflect</w:t>
      </w:r>
      <w:r w:rsidR="00F4286A">
        <w:rPr>
          <w:rFonts w:ascii="Franklin Gothic Book" w:eastAsia="Times New Roman" w:hAnsi="Franklin Gothic Book" w:cs="Times New Roman"/>
        </w:rPr>
        <w:t xml:space="preserve">s </w:t>
      </w:r>
      <w:r w:rsidRPr="000670AA">
        <w:rPr>
          <w:rFonts w:ascii="Franklin Gothic Book" w:eastAsia="Times New Roman" w:hAnsi="Franklin Gothic Book" w:cs="Times New Roman"/>
        </w:rPr>
        <w:t>competitive compensation and a stable working environment.</w:t>
      </w:r>
    </w:p>
    <w:p w14:paraId="4A235679" w14:textId="7163D648" w:rsidR="00902775" w:rsidRPr="000670AA" w:rsidRDefault="00902775" w:rsidP="00E55C8B">
      <w:pPr>
        <w:spacing w:after="120"/>
        <w:rPr>
          <w:rFonts w:ascii="Franklin Gothic Book" w:eastAsia="Times New Roman" w:hAnsi="Franklin Gothic Book" w:cs="Times New Roman"/>
        </w:rPr>
      </w:pPr>
      <w:r w:rsidRPr="000670AA">
        <w:rPr>
          <w:rFonts w:ascii="Franklin Gothic Book" w:eastAsia="Times New Roman" w:hAnsi="Franklin Gothic Book" w:cs="Times New Roman"/>
        </w:rPr>
        <w:t xml:space="preserve">The district acknowledges that limited HR staffing has contributed to reactive rather than strategic workforce planning, particularly when recent enrollment declines required position reductions without sufficient proactive redistribution across schools. The district also lacks a clear strategy for recruiting a more diverse workforce. Educator evaluations are completed in Teachpoint and include all required components; however, </w:t>
      </w:r>
      <w:r w:rsidR="001B57B0">
        <w:rPr>
          <w:rFonts w:ascii="Franklin Gothic Book" w:eastAsia="Times New Roman" w:hAnsi="Franklin Gothic Book" w:cs="Times New Roman"/>
        </w:rPr>
        <w:t>only half of reviewed teacher evaluations included</w:t>
      </w:r>
      <w:r w:rsidRPr="000670AA">
        <w:rPr>
          <w:rFonts w:ascii="Franklin Gothic Book" w:eastAsia="Times New Roman" w:hAnsi="Franklin Gothic Book" w:cs="Times New Roman"/>
        </w:rPr>
        <w:t xml:space="preserve"> constructive feedback </w:t>
      </w:r>
      <w:r w:rsidR="001B57B0">
        <w:rPr>
          <w:rFonts w:ascii="Franklin Gothic Book" w:eastAsia="Times New Roman" w:hAnsi="Franklin Gothic Book" w:cs="Times New Roman"/>
        </w:rPr>
        <w:t>and about three fourths of administrator evaluations reviewed received assessments of progress towards goals and standards</w:t>
      </w:r>
      <w:r w:rsidRPr="000670AA">
        <w:rPr>
          <w:rFonts w:ascii="Franklin Gothic Book" w:eastAsia="Times New Roman" w:hAnsi="Franklin Gothic Book" w:cs="Times New Roman"/>
        </w:rPr>
        <w:t>. Informal observations and feedback vary across buildings, and WEA representatives noted inconsistency in expectations by school. Professional development is aligned with district priorities and developed collaboratively through a joint labor-management committee, though teachers noted it can be reactive rather than proactive. Collaborative planning time is limited, particularly at the secondary level, and the district does not currently have formal structures in place to recognize educator excellence.</w:t>
      </w:r>
    </w:p>
    <w:p w14:paraId="2D5F1324" w14:textId="3E4B4BAC" w:rsidR="000B1DD2" w:rsidRPr="00797379" w:rsidRDefault="000B1DD2" w:rsidP="003447AE">
      <w:pPr>
        <w:pStyle w:val="Heading3"/>
      </w:pPr>
      <w:hyperlink w:anchor="_Student_Support" w:history="1">
        <w:r w:rsidRPr="00797379">
          <w:rPr>
            <w:rStyle w:val="Hyperlink"/>
            <w:color w:val="2F5496" w:themeColor="accent5" w:themeShade="BF"/>
            <w:u w:val="none"/>
          </w:rPr>
          <w:t>Student Support</w:t>
        </w:r>
      </w:hyperlink>
    </w:p>
    <w:p w14:paraId="1CA56ACA" w14:textId="7C87C8E2" w:rsidR="00A06360" w:rsidRPr="000670AA" w:rsidRDefault="00A06360" w:rsidP="00E55C8B">
      <w:pPr>
        <w:spacing w:after="120"/>
        <w:rPr>
          <w:rFonts w:ascii="Franklin Gothic Book" w:eastAsia="Times New Roman" w:hAnsi="Franklin Gothic Book" w:cs="Times New Roman"/>
        </w:rPr>
      </w:pPr>
      <w:r w:rsidRPr="000670AA">
        <w:rPr>
          <w:rFonts w:ascii="Franklin Gothic Book" w:eastAsia="Times New Roman" w:hAnsi="Franklin Gothic Book" w:cs="Times New Roman"/>
        </w:rPr>
        <w:t xml:space="preserve">Winchester has several structures in place to promote safe and supportive school climates. The district integrated social-emotional learning into its instructional framework over a decade ago and employs SEL coaches at the elementary and middle school levels to deliver explicit instruction and provide professional development for staff. </w:t>
      </w:r>
      <w:r>
        <w:rPr>
          <w:rFonts w:ascii="Franklin Gothic Book" w:eastAsia="Times New Roman" w:hAnsi="Franklin Gothic Book" w:cs="Times New Roman"/>
        </w:rPr>
        <w:t>Teachers and students reported b</w:t>
      </w:r>
      <w:r w:rsidRPr="000670AA">
        <w:rPr>
          <w:rFonts w:ascii="Franklin Gothic Book" w:eastAsia="Times New Roman" w:hAnsi="Franklin Gothic Book" w:cs="Times New Roman"/>
        </w:rPr>
        <w:t>ehavioral expectations are consistently understood across grade levels</w:t>
      </w:r>
      <w:r>
        <w:rPr>
          <w:rFonts w:ascii="Franklin Gothic Book" w:eastAsia="Times New Roman" w:hAnsi="Franklin Gothic Book" w:cs="Times New Roman"/>
        </w:rPr>
        <w:t xml:space="preserve"> and </w:t>
      </w:r>
      <w:r w:rsidRPr="000670AA">
        <w:rPr>
          <w:rFonts w:ascii="Franklin Gothic Book" w:eastAsia="Times New Roman" w:hAnsi="Franklin Gothic Book" w:cs="Times New Roman"/>
        </w:rPr>
        <w:t>CLASS observation scores in the high range for Behavior Management across all grade bands</w:t>
      </w:r>
      <w:r>
        <w:rPr>
          <w:rFonts w:ascii="Franklin Gothic Book" w:eastAsia="Times New Roman" w:hAnsi="Franklin Gothic Book" w:cs="Times New Roman"/>
        </w:rPr>
        <w:t xml:space="preserve"> support this assertion</w:t>
      </w:r>
      <w:r w:rsidRPr="000670AA">
        <w:rPr>
          <w:rFonts w:ascii="Franklin Gothic Book" w:eastAsia="Times New Roman" w:hAnsi="Franklin Gothic Book" w:cs="Times New Roman"/>
        </w:rPr>
        <w:t xml:space="preserve">. The district monitors student well-being through population-level tools such as the YRBS and MCIEA surveys and has responded to identified gaps — particularly around LGBTQ+ student needs — through initiatives such as GSA groups, Day of Dialogue events, and partnerships with external agencies. The district also maintains strong community partnerships with organizations such as the Winchester Foundation for Educational Excellence, The EnKa Society, and the Coalition for a Safer Community to address student and family needs, </w:t>
      </w:r>
      <w:r w:rsidRPr="00881CCF">
        <w:rPr>
          <w:rFonts w:ascii="Franklin Gothic Book" w:eastAsia="Times New Roman" w:hAnsi="Franklin Gothic Book" w:cs="Times New Roman"/>
        </w:rPr>
        <w:t>predominantly</w:t>
      </w:r>
      <w:r w:rsidR="00492AA3">
        <w:rPr>
          <w:rFonts w:ascii="Franklin Gothic Book" w:eastAsia="Times New Roman" w:hAnsi="Franklin Gothic Book" w:cs="Times New Roman"/>
        </w:rPr>
        <w:t xml:space="preserve"> </w:t>
      </w:r>
      <w:r w:rsidRPr="000670AA">
        <w:rPr>
          <w:rFonts w:ascii="Franklin Gothic Book" w:eastAsia="Times New Roman" w:hAnsi="Franklin Gothic Book" w:cs="Times New Roman"/>
        </w:rPr>
        <w:t>around mental health and wellness. Students benefit from a broad range of extracurricular opportunities, including over 100 clubs at the high school, Unified Sports teams, and structured leadership pathways at all grade levels.</w:t>
      </w:r>
    </w:p>
    <w:p w14:paraId="10FE9948" w14:textId="1E208DC1" w:rsidR="00A06360" w:rsidRPr="000670AA" w:rsidRDefault="00A06360" w:rsidP="00E55C8B">
      <w:pPr>
        <w:spacing w:after="120"/>
        <w:rPr>
          <w:rFonts w:ascii="Franklin Gothic Book" w:eastAsia="Times New Roman" w:hAnsi="Franklin Gothic Book" w:cs="Times New Roman"/>
        </w:rPr>
      </w:pPr>
      <w:r w:rsidRPr="000670AA">
        <w:rPr>
          <w:rFonts w:ascii="Franklin Gothic Book" w:eastAsia="Times New Roman" w:hAnsi="Franklin Gothic Book" w:cs="Times New Roman"/>
        </w:rPr>
        <w:t>The district has several areas for growth in student support. While MTSS is organized into three tiers and well documented at the elementary level, implementation varies at the middle and high schools, and staff reported confusion around the roles and responsibilities of</w:t>
      </w:r>
      <w:r w:rsidR="001540BC">
        <w:rPr>
          <w:rFonts w:ascii="Franklin Gothic Book" w:eastAsia="Times New Roman" w:hAnsi="Franklin Gothic Book" w:cs="Times New Roman"/>
        </w:rPr>
        <w:t xml:space="preserve"> school support team</w:t>
      </w:r>
      <w:r w:rsidR="00AD004A">
        <w:rPr>
          <w:rFonts w:ascii="Franklin Gothic Book" w:eastAsia="Times New Roman" w:hAnsi="Franklin Gothic Book" w:cs="Times New Roman"/>
        </w:rPr>
        <w:t>s</w:t>
      </w:r>
      <w:r w:rsidRPr="000670AA">
        <w:rPr>
          <w:rFonts w:ascii="Franklin Gothic Book" w:eastAsia="Times New Roman" w:hAnsi="Franklin Gothic Book" w:cs="Times New Roman"/>
        </w:rPr>
        <w:t xml:space="preserve"> </w:t>
      </w:r>
      <w:r w:rsidR="00AD004A">
        <w:rPr>
          <w:rFonts w:ascii="Franklin Gothic Book" w:eastAsia="Times New Roman" w:hAnsi="Franklin Gothic Book" w:cs="Times New Roman"/>
        </w:rPr>
        <w:t>(</w:t>
      </w:r>
      <w:r w:rsidRPr="000670AA">
        <w:rPr>
          <w:rFonts w:ascii="Franklin Gothic Book" w:eastAsia="Times New Roman" w:hAnsi="Franklin Gothic Book" w:cs="Times New Roman"/>
        </w:rPr>
        <w:t>SST</w:t>
      </w:r>
      <w:r w:rsidR="00AD004A">
        <w:rPr>
          <w:rFonts w:ascii="Franklin Gothic Book" w:eastAsia="Times New Roman" w:hAnsi="Franklin Gothic Book" w:cs="Times New Roman"/>
        </w:rPr>
        <w:t>s)</w:t>
      </w:r>
      <w:r w:rsidRPr="000670AA">
        <w:rPr>
          <w:rFonts w:ascii="Franklin Gothic Book" w:eastAsia="Times New Roman" w:hAnsi="Franklin Gothic Book" w:cs="Times New Roman"/>
        </w:rPr>
        <w:t xml:space="preserve"> and </w:t>
      </w:r>
      <w:r w:rsidR="003F4655">
        <w:rPr>
          <w:rFonts w:ascii="Franklin Gothic Book" w:eastAsia="Times New Roman" w:hAnsi="Franklin Gothic Book" w:cs="Times New Roman"/>
        </w:rPr>
        <w:t>student response teams (</w:t>
      </w:r>
      <w:r w:rsidRPr="000670AA">
        <w:rPr>
          <w:rFonts w:ascii="Franklin Gothic Book" w:eastAsia="Times New Roman" w:hAnsi="Franklin Gothic Book" w:cs="Times New Roman"/>
        </w:rPr>
        <w:t>SRT</w:t>
      </w:r>
      <w:r w:rsidR="003F4655">
        <w:rPr>
          <w:rFonts w:ascii="Franklin Gothic Book" w:eastAsia="Times New Roman" w:hAnsi="Franklin Gothic Book" w:cs="Times New Roman"/>
        </w:rPr>
        <w:t>s)</w:t>
      </w:r>
      <w:r w:rsidRPr="000670AA">
        <w:rPr>
          <w:rFonts w:ascii="Franklin Gothic Book" w:eastAsia="Times New Roman" w:hAnsi="Franklin Gothic Book" w:cs="Times New Roman"/>
        </w:rPr>
        <w:t xml:space="preserve"> and the acronyms used across levels. The SST process relies on paper-based, siloed records, limiting the ability to track student histories and monitor interventions systematically and the district has identified centralizing these data systems as a priority. Chronic absenteeism, identified as a district-level concern since the pandemic, is monitored weekly but largely through anecdotal data rather than objective screening tools. Mental health supports exist at all levels but are not consistently visible or accessible to all students and families, and the absence of a universal social-emotional screener limits the district's ability to proactively identify students in need. Family communication around student support processes, particularly during transitions between grade levels, remains inconsistent and is an area the district has identified for improvement.</w:t>
      </w:r>
    </w:p>
    <w:p w14:paraId="202DC286" w14:textId="586E6819" w:rsidR="000B1DD2" w:rsidRPr="00797379" w:rsidRDefault="000B1DD2" w:rsidP="003447AE">
      <w:pPr>
        <w:pStyle w:val="Heading3"/>
      </w:pPr>
      <w:hyperlink w:anchor="_Financial_and_Asset" w:history="1">
        <w:r w:rsidRPr="00797379">
          <w:rPr>
            <w:rStyle w:val="Hyperlink"/>
            <w:color w:val="2F5496" w:themeColor="accent5" w:themeShade="BF"/>
            <w:u w:val="none"/>
          </w:rPr>
          <w:t>Financial and Asset Management</w:t>
        </w:r>
      </w:hyperlink>
    </w:p>
    <w:bookmarkEnd w:id="11"/>
    <w:p w14:paraId="45FC4E6E" w14:textId="6DDCC1D3" w:rsidR="00826AEA" w:rsidRPr="000670AA" w:rsidRDefault="00826AEA" w:rsidP="00E55C8B">
      <w:pPr>
        <w:spacing w:after="120"/>
        <w:rPr>
          <w:rFonts w:ascii="Franklin Gothic Book" w:eastAsia="Times New Roman" w:hAnsi="Franklin Gothic Book" w:cs="Times New Roman"/>
        </w:rPr>
      </w:pPr>
      <w:r w:rsidRPr="000670AA">
        <w:rPr>
          <w:rFonts w:ascii="Franklin Gothic Book" w:eastAsia="Times New Roman" w:hAnsi="Franklin Gothic Book" w:cs="Times New Roman"/>
        </w:rPr>
        <w:t>Winchester's business office is staffed by a director of finance and operations, an HR manager, a payroll coordinator, an HR/accounting specialist, and one administrative assistant, and oversees a broad range of functions including human resources, technology, transportation, food services, and building rentals. The district uses Munis for financial management and adheres to Chapter 30B procurement guidelines, with requisitions requiring electronic approval and weekly bill reviews conducted in partnership with the town's Comptroller's office. The district's budget development process is closely aligned with WPS 2030 strategic priorities, informed by broad community input, and developed collaboratively with the school committee. In fiscal year 2024, the district exceeded net school spending requirements by 42.5 percent. Capital planning is a strength, supported by a five-year plan updated annually, condition assessments by external consultants, and a town-managed software system that tracks lifecycle data for all school buildings. Technology assets are tracked through an IT ticketing system with projected replacement cycles.</w:t>
      </w:r>
    </w:p>
    <w:p w14:paraId="7B599F49" w14:textId="61EAF9DB" w:rsidR="00826AEA" w:rsidRPr="000670AA" w:rsidRDefault="00826AEA" w:rsidP="00E55C8B">
      <w:pPr>
        <w:spacing w:after="120"/>
        <w:rPr>
          <w:rFonts w:ascii="Franklin Gothic Book" w:eastAsia="Times New Roman" w:hAnsi="Franklin Gothic Book" w:cs="Times New Roman"/>
        </w:rPr>
      </w:pPr>
      <w:r w:rsidRPr="000670AA">
        <w:rPr>
          <w:rFonts w:ascii="Franklin Gothic Book" w:eastAsia="Times New Roman" w:hAnsi="Franklin Gothic Book" w:cs="Times New Roman"/>
        </w:rPr>
        <w:t>The business office operates with a lean staff that leaders acknowledged creates strain during peak budget cycles, and standard operating procedures exist but have not yet been compiled into a comprehensive resource manual. The division of fiscal responsibilities between the district and town</w:t>
      </w:r>
      <w:r>
        <w:rPr>
          <w:rFonts w:ascii="Franklin Gothic Book" w:eastAsia="Times New Roman" w:hAnsi="Franklin Gothic Book" w:cs="Times New Roman"/>
        </w:rPr>
        <w:t xml:space="preserve">, </w:t>
      </w:r>
      <w:r w:rsidRPr="000670AA">
        <w:rPr>
          <w:rFonts w:ascii="Franklin Gothic Book" w:eastAsia="Times New Roman" w:hAnsi="Franklin Gothic Book" w:cs="Times New Roman"/>
        </w:rPr>
        <w:t>while long-standing and generally effective</w:t>
      </w:r>
      <w:r>
        <w:rPr>
          <w:rFonts w:ascii="Franklin Gothic Book" w:eastAsia="Times New Roman" w:hAnsi="Franklin Gothic Book" w:cs="Times New Roman"/>
        </w:rPr>
        <w:t xml:space="preserve">, </w:t>
      </w:r>
      <w:r w:rsidRPr="000670AA">
        <w:rPr>
          <w:rFonts w:ascii="Franklin Gothic Book" w:eastAsia="Times New Roman" w:hAnsi="Franklin Gothic Book" w:cs="Times New Roman"/>
        </w:rPr>
        <w:t>is based on informal practice rather than a formal memorandum of understanding, an area district leaders identified for formalization. The district strategically blends restricted and unrestricted funds to support key initiatives, but formal sustainability plans for grant-funded positions and programs are not consistently documented, with current planning relying heavily on annual override discussions. The district also acknowledged that budget allocations do not yet provide adequate funding for specialized Tier 2 academic and social-emotional supports</w:t>
      </w:r>
      <w:r>
        <w:rPr>
          <w:rFonts w:ascii="Franklin Gothic Book" w:eastAsia="Times New Roman" w:hAnsi="Franklin Gothic Book" w:cs="Times New Roman"/>
        </w:rPr>
        <w:t>, a</w:t>
      </w:r>
      <w:r w:rsidRPr="000670AA">
        <w:rPr>
          <w:rFonts w:ascii="Franklin Gothic Book" w:eastAsia="Times New Roman" w:hAnsi="Franklin Gothic Book" w:cs="Times New Roman"/>
        </w:rPr>
        <w:t xml:space="preserve"> gap that district and school leaders identified as directly affecting student outcomes. Declining elementary enrollment has required position reductions in recent years, and leaders noted that equitably distributing resources across five separate neighborhood elementary schools presents ongoing challenges.</w:t>
      </w:r>
    </w:p>
    <w:p w14:paraId="7A47C448" w14:textId="1C3557AE" w:rsidR="003D6ECF" w:rsidRPr="00797379" w:rsidRDefault="002B2259" w:rsidP="004663E2">
      <w:pPr>
        <w:pStyle w:val="Heading2"/>
      </w:pPr>
      <w:bookmarkStart w:id="12" w:name="_Toc223625537"/>
      <w:r w:rsidRPr="00797379">
        <w:t>Winchester</w:t>
      </w:r>
      <w:r w:rsidR="003D6ECF" w:rsidRPr="00797379">
        <w:t xml:space="preserve"> </w:t>
      </w:r>
      <w:r w:rsidR="00D30A74" w:rsidRPr="00797379">
        <w:t xml:space="preserve">Public Schools: </w:t>
      </w:r>
      <w:r w:rsidR="003D6ECF" w:rsidRPr="00797379">
        <w:t>District Review Overview</w:t>
      </w:r>
      <w:bookmarkEnd w:id="12"/>
    </w:p>
    <w:p w14:paraId="2E41F691" w14:textId="77777777" w:rsidR="003D6ECF" w:rsidRPr="00797379" w:rsidRDefault="003D6ECF" w:rsidP="004663E2">
      <w:pPr>
        <w:pStyle w:val="Heading3"/>
      </w:pPr>
      <w:bookmarkStart w:id="13" w:name="_Toc273777149"/>
      <w:bookmarkStart w:id="14" w:name="_Toc277066412"/>
      <w:bookmarkStart w:id="15" w:name="_Toc338665638"/>
      <w:r w:rsidRPr="00797379">
        <w:t>Purpose</w:t>
      </w:r>
      <w:bookmarkEnd w:id="13"/>
      <w:bookmarkEnd w:id="14"/>
      <w:bookmarkEnd w:id="15"/>
    </w:p>
    <w:p w14:paraId="339CEE9F" w14:textId="11024FDA" w:rsidR="003D6ECF" w:rsidRPr="00797379" w:rsidRDefault="003D6ECF" w:rsidP="004663E2">
      <w:pPr>
        <w:pStyle w:val="BodyTextposthead"/>
        <w:rPr>
          <w:rFonts w:cs="Calibri"/>
          <w:bCs/>
        </w:rPr>
      </w:pPr>
      <w:r w:rsidRPr="00797379">
        <w:t xml:space="preserve">Conducted under Chapter 15, Section 55A of the Massachusetts General Laws, </w:t>
      </w:r>
      <w:r w:rsidR="00D30A74" w:rsidRPr="00797379">
        <w:t xml:space="preserve">comprehensive </w:t>
      </w:r>
      <w:r w:rsidRPr="00797379">
        <w:t xml:space="preserve">district reviews support local school districts in establishing or strengthening a cycle of continuous improvement. Reviews </w:t>
      </w:r>
      <w:r w:rsidR="00D30A74" w:rsidRPr="00797379">
        <w:t xml:space="preserve">carefully </w:t>
      </w:r>
      <w:r w:rsidRPr="00797379">
        <w:t xml:space="preserve">consider the effectiveness of systemwide functions, </w:t>
      </w:r>
      <w:r w:rsidR="00D30A74" w:rsidRPr="00797379">
        <w:t>referring</w:t>
      </w:r>
      <w:r w:rsidRPr="00797379">
        <w:t xml:space="preserve"> to the six district standards used by DESE: </w:t>
      </w:r>
      <w:r w:rsidR="000258B2" w:rsidRPr="00797379">
        <w:t xml:space="preserve">(a) </w:t>
      </w:r>
      <w:r w:rsidRPr="00797379">
        <w:t xml:space="preserve">Leadership and Governance, </w:t>
      </w:r>
      <w:r w:rsidR="000258B2" w:rsidRPr="00797379">
        <w:t xml:space="preserve">(b) </w:t>
      </w:r>
      <w:r w:rsidRPr="00797379">
        <w:t xml:space="preserve">Curriculum and Instruction, </w:t>
      </w:r>
      <w:r w:rsidR="000258B2" w:rsidRPr="00797379">
        <w:t xml:space="preserve">(c) </w:t>
      </w:r>
      <w:r w:rsidRPr="00797379">
        <w:t xml:space="preserve">Assessment, </w:t>
      </w:r>
      <w:r w:rsidR="000258B2" w:rsidRPr="00797379">
        <w:t xml:space="preserve">(d) </w:t>
      </w:r>
      <w:r w:rsidRPr="00797379">
        <w:t xml:space="preserve">Human Resources and Professional Development, </w:t>
      </w:r>
      <w:r w:rsidR="000258B2" w:rsidRPr="00797379">
        <w:t xml:space="preserve">(e) </w:t>
      </w:r>
      <w:r w:rsidRPr="00797379">
        <w:t xml:space="preserve">Student Support, and </w:t>
      </w:r>
      <w:r w:rsidR="000258B2" w:rsidRPr="00797379">
        <w:t xml:space="preserve">(f) </w:t>
      </w:r>
      <w:r w:rsidRPr="00797379">
        <w:t xml:space="preserve">Financial and Asset Management. Reviews </w:t>
      </w:r>
      <w:r w:rsidR="00D740FB" w:rsidRPr="00797379">
        <w:t>provide the state, district leaders, and the public with an in-depth look into the systems, structures, and practices of a district and how they affect student experiences and opportunities.</w:t>
      </w:r>
      <w:r w:rsidR="0079466E" w:rsidRPr="00797379">
        <w:t xml:space="preserve"> Dis</w:t>
      </w:r>
      <w:r w:rsidR="00F01D16" w:rsidRPr="00797379">
        <w:t>trict reviews provide information and recommendations</w:t>
      </w:r>
      <w:r w:rsidR="00793B34" w:rsidRPr="00797379">
        <w:t xml:space="preserve"> to </w:t>
      </w:r>
      <w:r w:rsidR="00B81D99" w:rsidRPr="00797379">
        <w:t>support districts in</w:t>
      </w:r>
      <w:r w:rsidR="00793B34" w:rsidRPr="00797379">
        <w:rPr>
          <w:rFonts w:cs="Calibri"/>
          <w:bCs/>
        </w:rPr>
        <w:t xml:space="preserve"> </w:t>
      </w:r>
      <w:r w:rsidR="00B81D99" w:rsidRPr="00797379">
        <w:rPr>
          <w:rFonts w:cs="Calibri"/>
          <w:bCs/>
        </w:rPr>
        <w:t xml:space="preserve">implementing </w:t>
      </w:r>
      <w:r w:rsidR="007E7A6E" w:rsidRPr="00797379">
        <w:rPr>
          <w:rFonts w:cs="Calibri"/>
          <w:bCs/>
        </w:rPr>
        <w:t>systemic improvements and advance equitable student outcomes and experiences.</w:t>
      </w:r>
    </w:p>
    <w:p w14:paraId="267B0A5A" w14:textId="77777777" w:rsidR="003D6ECF" w:rsidRPr="00797379" w:rsidRDefault="003D6ECF" w:rsidP="004663E2">
      <w:pPr>
        <w:pStyle w:val="Heading3"/>
      </w:pPr>
      <w:bookmarkStart w:id="16" w:name="_Toc273777151"/>
      <w:bookmarkStart w:id="17" w:name="_Toc277066413"/>
      <w:bookmarkStart w:id="18" w:name="_Toc338665639"/>
      <w:r w:rsidRPr="00797379">
        <w:t>Methodology</w:t>
      </w:r>
      <w:bookmarkEnd w:id="16"/>
      <w:bookmarkEnd w:id="17"/>
      <w:bookmarkEnd w:id="18"/>
    </w:p>
    <w:p w14:paraId="3BAA195B" w14:textId="69E1D1A9" w:rsidR="00CD3927" w:rsidRPr="00797379" w:rsidRDefault="003D6ECF" w:rsidP="004663E2">
      <w:pPr>
        <w:pStyle w:val="BodyTextposthead"/>
      </w:pPr>
      <w:r w:rsidRPr="00797379">
        <w:t xml:space="preserve">A district review team </w:t>
      </w:r>
      <w:r w:rsidR="000B56E3" w:rsidRPr="00797379">
        <w:t>comprising</w:t>
      </w:r>
      <w:r w:rsidRPr="00797379">
        <w:t xml:space="preserve"> AIR staff members and subcontractors, with expertise in each district standard, review</w:t>
      </w:r>
      <w:r w:rsidR="000B56E3" w:rsidRPr="00797379">
        <w:t>ed</w:t>
      </w:r>
      <w:r w:rsidRPr="00797379">
        <w:t xml:space="preserve"> documentation and extant data prior to conducting an on</w:t>
      </w:r>
      <w:r w:rsidR="00D30A74" w:rsidRPr="00797379">
        <w:t>-</w:t>
      </w:r>
      <w:r w:rsidRPr="00797379">
        <w:t>site visit. On</w:t>
      </w:r>
      <w:r w:rsidR="00D30A74" w:rsidRPr="00797379">
        <w:t>-</w:t>
      </w:r>
      <w:r w:rsidRPr="00797379">
        <w:t>site data collection include</w:t>
      </w:r>
      <w:r w:rsidR="000B56E3" w:rsidRPr="00797379">
        <w:t>d</w:t>
      </w:r>
      <w:r w:rsidRPr="00797379">
        <w:t xml:space="preserve"> team members conducting interviews and focus group sessions with a wide range of stakeholders, including </w:t>
      </w:r>
      <w:r w:rsidR="009F03CD" w:rsidRPr="00797379">
        <w:t xml:space="preserve">municipal </w:t>
      </w:r>
      <w:r w:rsidR="00132A2B" w:rsidRPr="00797379">
        <w:t>staff</w:t>
      </w:r>
      <w:r w:rsidR="009F03CD" w:rsidRPr="00797379">
        <w:t xml:space="preserve">, </w:t>
      </w:r>
      <w:r w:rsidRPr="00797379">
        <w:t xml:space="preserve">school committee members, teachers’ association representatives, district and school administrators, teachers, students, and students’ families. </w:t>
      </w:r>
      <w:r w:rsidR="00F97066" w:rsidRPr="00797379">
        <w:t>Reviewers also conduct</w:t>
      </w:r>
      <w:r w:rsidR="000B56E3" w:rsidRPr="00797379">
        <w:t>ed</w:t>
      </w:r>
      <w:r w:rsidR="00F97066" w:rsidRPr="00797379">
        <w:t xml:space="preserve"> focus groups and v</w:t>
      </w:r>
      <w:r w:rsidR="005803A6" w:rsidRPr="00797379">
        <w:t xml:space="preserve">irtual interviews as needed. </w:t>
      </w:r>
      <w:r w:rsidR="00491ACB" w:rsidRPr="00797379">
        <w:t xml:space="preserve">Information about review activities and the site visit schedule is in Appendix A. </w:t>
      </w:r>
      <w:r w:rsidRPr="00797379">
        <w:t>Team members also observe</w:t>
      </w:r>
      <w:r w:rsidR="000B56E3" w:rsidRPr="00797379">
        <w:t>d</w:t>
      </w:r>
      <w:r w:rsidRPr="00797379">
        <w:t xml:space="preserve"> classroom instruction and collect</w:t>
      </w:r>
      <w:r w:rsidR="000B56E3" w:rsidRPr="00797379">
        <w:t>ed</w:t>
      </w:r>
      <w:r w:rsidRPr="00797379">
        <w:t xml:space="preserve"> data using the CLASS protocol. </w:t>
      </w:r>
      <w:r w:rsidR="005803A6" w:rsidRPr="00797379">
        <w:t>The Districtwide Instructional Observation Report</w:t>
      </w:r>
      <w:r w:rsidR="00E17050" w:rsidRPr="00797379">
        <w:t>, the</w:t>
      </w:r>
      <w:r w:rsidR="00006535" w:rsidRPr="00797379">
        <w:t xml:space="preserve"> result from these classroom observations</w:t>
      </w:r>
      <w:r w:rsidR="00212C5A" w:rsidRPr="00797379">
        <w:t>,</w:t>
      </w:r>
      <w:r w:rsidR="005803A6" w:rsidRPr="00797379">
        <w:t xml:space="preserve"> is </w:t>
      </w:r>
      <w:r w:rsidR="009D0554" w:rsidRPr="00797379">
        <w:t>i</w:t>
      </w:r>
      <w:r w:rsidR="005803A6" w:rsidRPr="00797379">
        <w:t xml:space="preserve">n Appendix </w:t>
      </w:r>
      <w:r w:rsidR="00006535" w:rsidRPr="00797379">
        <w:t>B</w:t>
      </w:r>
      <w:r w:rsidR="00CD3927" w:rsidRPr="00797379">
        <w:t>.</w:t>
      </w:r>
    </w:p>
    <w:p w14:paraId="5948E833" w14:textId="621B1B45" w:rsidR="003D6ECF" w:rsidRPr="00797379" w:rsidRDefault="007A3B7C" w:rsidP="004663E2">
      <w:pPr>
        <w:pStyle w:val="BodyText"/>
        <w:rPr>
          <w:color w:val="000080"/>
        </w:rPr>
      </w:pPr>
      <w:r w:rsidRPr="00797379">
        <w:t xml:space="preserve">Following the site visit, all interview and focus group data </w:t>
      </w:r>
      <w:r w:rsidR="005026EB" w:rsidRPr="00797379">
        <w:t xml:space="preserve">was </w:t>
      </w:r>
      <w:r w:rsidRPr="00797379">
        <w:t xml:space="preserve">transcribed using automated transcription. The transcripts </w:t>
      </w:r>
      <w:r w:rsidR="005026EB" w:rsidRPr="00797379">
        <w:t xml:space="preserve">were </w:t>
      </w:r>
      <w:r w:rsidRPr="00797379">
        <w:t>then coded using both deterministic coding, based on the protocol questions</w:t>
      </w:r>
      <w:r w:rsidR="00D5457E" w:rsidRPr="00797379">
        <w:t>,</w:t>
      </w:r>
      <w:r w:rsidRPr="00797379">
        <w:t xml:space="preserve"> </w:t>
      </w:r>
      <w:r w:rsidR="005026EB" w:rsidRPr="00797379">
        <w:t>and</w:t>
      </w:r>
      <w:r w:rsidRPr="00797379">
        <w:t xml:space="preserve"> natural language processing models. Team members analyze</w:t>
      </w:r>
      <w:r w:rsidR="005026EB" w:rsidRPr="00797379">
        <w:t>d</w:t>
      </w:r>
      <w:r w:rsidRPr="00797379">
        <w:t xml:space="preserve"> the coded data to develop a set of objective findings. </w:t>
      </w:r>
      <w:r w:rsidR="003D6ECF" w:rsidRPr="00797379">
        <w:t>The team lead and multiple quality assurance reviewers, including DESE staff, then review</w:t>
      </w:r>
      <w:r w:rsidR="005026EB" w:rsidRPr="00797379">
        <w:t>ed</w:t>
      </w:r>
      <w:r w:rsidR="003D6ECF" w:rsidRPr="00797379">
        <w:t xml:space="preserve"> the initial draft of the report. DESE staff </w:t>
      </w:r>
      <w:r w:rsidR="00775797" w:rsidRPr="00797379">
        <w:t xml:space="preserve">first </w:t>
      </w:r>
      <w:r w:rsidR="003D6ECF" w:rsidRPr="00797379">
        <w:t>provide</w:t>
      </w:r>
      <w:r w:rsidR="005026EB" w:rsidRPr="00797379">
        <w:t>d</w:t>
      </w:r>
      <w:r w:rsidR="003D6ECF" w:rsidRPr="00797379">
        <w:t xml:space="preserve"> recommendations for the district, based on the findings of strengths and areas of growth identified</w:t>
      </w:r>
      <w:r w:rsidR="00D30A74" w:rsidRPr="00797379">
        <w:t>,</w:t>
      </w:r>
      <w:r w:rsidR="003D6ECF" w:rsidRPr="00797379">
        <w:t xml:space="preserve"> </w:t>
      </w:r>
      <w:r w:rsidR="005026EB" w:rsidRPr="00797379">
        <w:t xml:space="preserve">and then </w:t>
      </w:r>
      <w:r w:rsidR="003D6ECF" w:rsidRPr="00797379">
        <w:t>AIR finalize</w:t>
      </w:r>
      <w:r w:rsidR="005026EB" w:rsidRPr="00797379">
        <w:t>d</w:t>
      </w:r>
      <w:r w:rsidR="003D6ECF" w:rsidRPr="00797379">
        <w:t xml:space="preserve"> and submit</w:t>
      </w:r>
      <w:r w:rsidR="005026EB" w:rsidRPr="00797379">
        <w:t>ted</w:t>
      </w:r>
      <w:r w:rsidR="003D6ECF" w:rsidRPr="00797379">
        <w:t xml:space="preserve"> the report to DESE</w:t>
      </w:r>
      <w:r w:rsidR="003D6ECF" w:rsidRPr="00797379">
        <w:rPr>
          <w:color w:val="000080"/>
        </w:rPr>
        <w:t>. D</w:t>
      </w:r>
      <w:r w:rsidR="003D6ECF" w:rsidRPr="00797379">
        <w:t>ESE preview</w:t>
      </w:r>
      <w:r w:rsidR="005026EB" w:rsidRPr="00797379">
        <w:t>ed the report</w:t>
      </w:r>
      <w:r w:rsidR="003D6ECF" w:rsidRPr="00797379">
        <w:t xml:space="preserve"> and then </w:t>
      </w:r>
      <w:r w:rsidR="005026EB" w:rsidRPr="00797379">
        <w:t>sent it</w:t>
      </w:r>
      <w:r w:rsidR="003D6ECF" w:rsidRPr="00797379">
        <w:t xml:space="preserve"> to the district for factual review before publishing it on the DESE website.</w:t>
      </w:r>
      <w:r w:rsidR="00C268FD" w:rsidRPr="00797379">
        <w:t xml:space="preserve"> </w:t>
      </w:r>
      <w:r w:rsidR="00D3025F" w:rsidRPr="00797379">
        <w:t>DESE also provide</w:t>
      </w:r>
      <w:r w:rsidR="001F79B8" w:rsidRPr="00797379">
        <w:t>d</w:t>
      </w:r>
      <w:r w:rsidR="00D3025F" w:rsidRPr="00797379">
        <w:t xml:space="preserve"> </w:t>
      </w:r>
      <w:r w:rsidR="00C268FD" w:rsidRPr="00797379">
        <w:t>additional resources to support implementation of DESE’s District Standards and Indicators</w:t>
      </w:r>
      <w:r w:rsidR="009D0554" w:rsidRPr="00797379">
        <w:t>, summarized</w:t>
      </w:r>
      <w:r w:rsidR="00D3025F" w:rsidRPr="00797379">
        <w:t xml:space="preserve"> in Appendix </w:t>
      </w:r>
      <w:r w:rsidR="00006535" w:rsidRPr="00797379">
        <w:t>C</w:t>
      </w:r>
      <w:r w:rsidR="00C268FD" w:rsidRPr="00797379">
        <w:t>.</w:t>
      </w:r>
    </w:p>
    <w:p w14:paraId="5D00CDA2" w14:textId="77777777" w:rsidR="003D6ECF" w:rsidRPr="00797379" w:rsidRDefault="003D6ECF" w:rsidP="004663E2">
      <w:pPr>
        <w:pStyle w:val="Heading3"/>
      </w:pPr>
      <w:r w:rsidRPr="00797379">
        <w:t>Site Visit</w:t>
      </w:r>
    </w:p>
    <w:p w14:paraId="02DDA948" w14:textId="1344FE84" w:rsidR="003D6ECF" w:rsidRPr="00797379" w:rsidRDefault="003D6ECF" w:rsidP="004663E2">
      <w:pPr>
        <w:pStyle w:val="BodyTextposthead"/>
      </w:pPr>
      <w:r w:rsidRPr="00797379">
        <w:t xml:space="preserve">The site visit to </w:t>
      </w:r>
      <w:r w:rsidR="00922E1F" w:rsidRPr="00797379">
        <w:t>WPS</w:t>
      </w:r>
      <w:r w:rsidR="0090491C" w:rsidRPr="00797379">
        <w:t xml:space="preserve"> </w:t>
      </w:r>
      <w:r w:rsidR="00922E1F" w:rsidRPr="00797379">
        <w:t>occurred</w:t>
      </w:r>
      <w:r w:rsidRPr="00797379">
        <w:t xml:space="preserve"> during the week of </w:t>
      </w:r>
      <w:r w:rsidR="00CF3BFD" w:rsidRPr="00797379">
        <w:t>December 8, 2025</w:t>
      </w:r>
      <w:r w:rsidRPr="00797379">
        <w:t xml:space="preserve">. The site visit included </w:t>
      </w:r>
      <w:r w:rsidR="00801599" w:rsidRPr="00797379">
        <w:t>18</w:t>
      </w:r>
      <w:r w:rsidRPr="00797379">
        <w:t xml:space="preserve"> hours of interviews and focus groups with approximately </w:t>
      </w:r>
      <w:r w:rsidR="00801599" w:rsidRPr="00797379">
        <w:t>65</w:t>
      </w:r>
      <w:r w:rsidRPr="00797379">
        <w:t xml:space="preserve"> stakeholders, including school committee members, district administrators, school staff, students, students’ families, and teachers’ association representatives. The review team conducted </w:t>
      </w:r>
      <w:r w:rsidR="0090491C" w:rsidRPr="00797379">
        <w:t xml:space="preserve">three </w:t>
      </w:r>
      <w:r w:rsidRPr="00797379">
        <w:t xml:space="preserve">teacher focus groups with </w:t>
      </w:r>
      <w:r w:rsidR="0090491C" w:rsidRPr="00797379">
        <w:t xml:space="preserve">eight </w:t>
      </w:r>
      <w:r w:rsidRPr="00797379">
        <w:t>elementary</w:t>
      </w:r>
      <w:r w:rsidR="00D02CA3" w:rsidRPr="00797379">
        <w:t xml:space="preserve"> </w:t>
      </w:r>
      <w:r w:rsidRPr="00797379">
        <w:t xml:space="preserve">school teachers, </w:t>
      </w:r>
      <w:r w:rsidR="0090491C" w:rsidRPr="00797379">
        <w:t>seven</w:t>
      </w:r>
      <w:r w:rsidR="00D30A74" w:rsidRPr="00797379">
        <w:t xml:space="preserve"> </w:t>
      </w:r>
      <w:r w:rsidRPr="00797379">
        <w:t>middle</w:t>
      </w:r>
      <w:r w:rsidR="00D02CA3" w:rsidRPr="00797379">
        <w:t xml:space="preserve"> </w:t>
      </w:r>
      <w:r w:rsidRPr="00797379">
        <w:t xml:space="preserve">school teachers, and </w:t>
      </w:r>
      <w:r w:rsidR="0090491C" w:rsidRPr="00797379">
        <w:t xml:space="preserve">eight </w:t>
      </w:r>
      <w:r w:rsidRPr="00797379">
        <w:t>high</w:t>
      </w:r>
      <w:r w:rsidR="00D02CA3" w:rsidRPr="00797379">
        <w:t xml:space="preserve"> </w:t>
      </w:r>
      <w:r w:rsidRPr="00797379">
        <w:t>school teachers</w:t>
      </w:r>
      <w:r w:rsidR="00FC43E8" w:rsidRPr="00797379">
        <w:t xml:space="preserve">; </w:t>
      </w:r>
      <w:r w:rsidR="0090491C" w:rsidRPr="00797379">
        <w:t xml:space="preserve">two </w:t>
      </w:r>
      <w:r w:rsidR="00FC43E8" w:rsidRPr="00797379">
        <w:rPr>
          <w:rStyle w:val="normaltextrun"/>
          <w:rFonts w:ascii="Franklin Gothic Book" w:hAnsi="Franklin Gothic Book"/>
          <w:color w:val="000000"/>
          <w:shd w:val="clear" w:color="auto" w:fill="FFFFFF"/>
        </w:rPr>
        <w:t xml:space="preserve">focus groups with </w:t>
      </w:r>
      <w:r w:rsidR="0090491C" w:rsidRPr="00797379">
        <w:t xml:space="preserve">eight </w:t>
      </w:r>
      <w:r w:rsidR="00FC43E8" w:rsidRPr="00797379">
        <w:rPr>
          <w:rStyle w:val="normaltextrun"/>
          <w:rFonts w:ascii="Franklin Gothic Book" w:hAnsi="Franklin Gothic Book"/>
          <w:color w:val="000000"/>
          <w:shd w:val="clear" w:color="auto" w:fill="FFFFFF"/>
        </w:rPr>
        <w:t xml:space="preserve">middle school and </w:t>
      </w:r>
      <w:r w:rsidR="0090491C" w:rsidRPr="00797379">
        <w:t xml:space="preserve">eight </w:t>
      </w:r>
      <w:r w:rsidR="00FC43E8" w:rsidRPr="00797379">
        <w:rPr>
          <w:rStyle w:val="normaltextrun"/>
          <w:rFonts w:ascii="Franklin Gothic Book" w:hAnsi="Franklin Gothic Book"/>
          <w:color w:val="000000"/>
          <w:shd w:val="clear" w:color="auto" w:fill="FFFFFF"/>
        </w:rPr>
        <w:t xml:space="preserve">high school students; and </w:t>
      </w:r>
      <w:r w:rsidR="0090491C" w:rsidRPr="00797379">
        <w:t xml:space="preserve">one </w:t>
      </w:r>
      <w:r w:rsidR="00FC43E8" w:rsidRPr="00797379">
        <w:rPr>
          <w:rStyle w:val="normaltextrun"/>
          <w:rFonts w:ascii="Franklin Gothic Book" w:hAnsi="Franklin Gothic Book"/>
          <w:color w:val="000000"/>
          <w:shd w:val="clear" w:color="auto" w:fill="FFFFFF"/>
        </w:rPr>
        <w:t xml:space="preserve">family focus group with </w:t>
      </w:r>
      <w:r w:rsidR="0090491C" w:rsidRPr="00797379">
        <w:t xml:space="preserve">six </w:t>
      </w:r>
      <w:r w:rsidR="00FC43E8" w:rsidRPr="00797379">
        <w:rPr>
          <w:rStyle w:val="normaltextrun"/>
          <w:rFonts w:ascii="Franklin Gothic Book" w:hAnsi="Franklin Gothic Book"/>
          <w:color w:val="000000"/>
          <w:shd w:val="clear" w:color="auto" w:fill="FFFFFF"/>
        </w:rPr>
        <w:t>parents</w:t>
      </w:r>
      <w:r w:rsidR="00FC43E8" w:rsidRPr="00797379">
        <w:rPr>
          <w:rStyle w:val="normaltextrun"/>
          <w:rFonts w:ascii="Franklin Gothic Book" w:hAnsi="Franklin Gothic Book"/>
          <w:shd w:val="clear" w:color="auto" w:fill="FFFFFF"/>
        </w:rPr>
        <w:t>.</w:t>
      </w:r>
      <w:r w:rsidR="2976EE1D" w:rsidRPr="00797379">
        <w:rPr>
          <w:rStyle w:val="normaltextrun"/>
          <w:rFonts w:ascii="Franklin Gothic Book" w:hAnsi="Franklin Gothic Book"/>
          <w:shd w:val="clear" w:color="auto" w:fill="FFFFFF"/>
        </w:rPr>
        <w:t xml:space="preserve"> </w:t>
      </w:r>
      <w:r w:rsidR="001E0B31" w:rsidRPr="00797379">
        <w:rPr>
          <w:rStyle w:val="normaltextrun"/>
          <w:rFonts w:ascii="Franklin Gothic Book" w:eastAsia="Franklin Gothic Book" w:hAnsi="Franklin Gothic Book" w:cs="Franklin Gothic Book"/>
        </w:rPr>
        <w:t>Data collection also included distributing a questionnaire to district leaders as well as to each principal to gather information about district and school processes and operations</w:t>
      </w:r>
      <w:r w:rsidR="00EC5067" w:rsidRPr="00797379">
        <w:rPr>
          <w:rStyle w:val="normaltextrun"/>
          <w:rFonts w:ascii="Franklin Gothic Book" w:eastAsia="Franklin Gothic Book" w:hAnsi="Franklin Gothic Book" w:cs="Franklin Gothic Book"/>
        </w:rPr>
        <w:t>. R</w:t>
      </w:r>
      <w:r w:rsidR="001E0B31" w:rsidRPr="00797379">
        <w:rPr>
          <w:rStyle w:val="normaltextrun"/>
          <w:rFonts w:ascii="Franklin Gothic Book" w:eastAsia="Franklin Gothic Book" w:hAnsi="Franklin Gothic Book" w:cs="Franklin Gothic Book"/>
        </w:rPr>
        <w:t xml:space="preserve">espondents completed the district questionnaire and </w:t>
      </w:r>
      <w:r w:rsidR="00EC5067" w:rsidRPr="00797379">
        <w:rPr>
          <w:rStyle w:val="normaltextrun"/>
          <w:rFonts w:ascii="Franklin Gothic Book" w:eastAsia="Franklin Gothic Book" w:hAnsi="Franklin Gothic Book" w:cs="Franklin Gothic Book"/>
        </w:rPr>
        <w:t xml:space="preserve">seven </w:t>
      </w:r>
      <w:r w:rsidR="001E0B31" w:rsidRPr="00797379">
        <w:rPr>
          <w:rStyle w:val="normaltextrun"/>
          <w:rFonts w:ascii="Franklin Gothic Book" w:eastAsia="Franklin Gothic Book" w:hAnsi="Franklin Gothic Book" w:cs="Franklin Gothic Book"/>
        </w:rPr>
        <w:t xml:space="preserve">of </w:t>
      </w:r>
      <w:r w:rsidR="00EC5067" w:rsidRPr="00797379">
        <w:rPr>
          <w:rStyle w:val="normaltextrun"/>
          <w:rFonts w:ascii="Franklin Gothic Book" w:eastAsia="Franklin Gothic Book" w:hAnsi="Franklin Gothic Book" w:cs="Franklin Gothic Book"/>
        </w:rPr>
        <w:t xml:space="preserve">seven </w:t>
      </w:r>
      <w:r w:rsidR="001E0B31" w:rsidRPr="00797379">
        <w:rPr>
          <w:rStyle w:val="normaltextrun"/>
          <w:rFonts w:ascii="Franklin Gothic Book" w:eastAsia="Franklin Gothic Book" w:hAnsi="Franklin Gothic Book" w:cs="Franklin Gothic Book"/>
        </w:rPr>
        <w:t>principal questionnaires.</w:t>
      </w:r>
    </w:p>
    <w:p w14:paraId="698EEF1B" w14:textId="28072AFE" w:rsidR="003D6ECF" w:rsidRPr="00797379" w:rsidRDefault="003D6ECF" w:rsidP="004663E2">
      <w:pPr>
        <w:pStyle w:val="BodyText"/>
      </w:pPr>
      <w:r w:rsidRPr="00797379">
        <w:t xml:space="preserve">The site team also conducted </w:t>
      </w:r>
      <w:r w:rsidR="00B734E9" w:rsidRPr="00797379">
        <w:t>74</w:t>
      </w:r>
      <w:r w:rsidRPr="00797379">
        <w:t xml:space="preserve"> observations of classroom instruction in </w:t>
      </w:r>
      <w:r w:rsidR="00EC5067" w:rsidRPr="00797379">
        <w:t xml:space="preserve">seven </w:t>
      </w:r>
      <w:r w:rsidRPr="00797379">
        <w:t>schools.</w:t>
      </w:r>
      <w:r w:rsidR="00B72349" w:rsidRPr="00797379">
        <w:rPr>
          <w:rStyle w:val="CommentReference"/>
        </w:rPr>
        <w:t xml:space="preserve"> </w:t>
      </w:r>
      <w:r w:rsidR="008857E4">
        <w:t>Te</w:t>
      </w:r>
      <w:r w:rsidRPr="00797379">
        <w:t xml:space="preserve">am members </w:t>
      </w:r>
      <w:r w:rsidR="008857E4">
        <w:t xml:space="preserve">who are certified in the </w:t>
      </w:r>
      <w:r w:rsidR="008857E4" w:rsidRPr="00797379">
        <w:t>Teachstone CLASS protocol</w:t>
      </w:r>
      <w:r w:rsidR="008857E4">
        <w:t xml:space="preserve"> </w:t>
      </w:r>
      <w:r w:rsidRPr="00797379">
        <w:t xml:space="preserve">conducted </w:t>
      </w:r>
      <w:r w:rsidR="008857E4">
        <w:t xml:space="preserve">these </w:t>
      </w:r>
      <w:r w:rsidRPr="00797379">
        <w:t>instructional observations.</w:t>
      </w:r>
    </w:p>
    <w:p w14:paraId="2B77C53A" w14:textId="77777777" w:rsidR="003D6ECF" w:rsidRPr="00797379" w:rsidRDefault="003D6ECF" w:rsidP="004663E2">
      <w:pPr>
        <w:pStyle w:val="Heading3"/>
      </w:pPr>
      <w:r w:rsidRPr="00797379">
        <w:t>District Profile</w:t>
      </w:r>
    </w:p>
    <w:p w14:paraId="57F7CB31" w14:textId="0E80311C" w:rsidR="00D327E1" w:rsidRPr="00797379" w:rsidRDefault="00D327E1" w:rsidP="004663E2">
      <w:pPr>
        <w:pStyle w:val="BodyTextposthead"/>
      </w:pPr>
      <w:r w:rsidRPr="00797379">
        <w:t>The Town of Winchester is located in eastern Massachusetts</w:t>
      </w:r>
      <w:r w:rsidR="00154469" w:rsidRPr="00797379">
        <w:t>,</w:t>
      </w:r>
      <w:r w:rsidRPr="00797379">
        <w:t xml:space="preserve"> and borders the </w:t>
      </w:r>
      <w:r w:rsidR="00700545">
        <w:t>municipalities</w:t>
      </w:r>
      <w:r w:rsidRPr="00797379">
        <w:t xml:space="preserve"> of </w:t>
      </w:r>
      <w:r w:rsidR="00F05C1B" w:rsidRPr="00797379">
        <w:t xml:space="preserve">Arlington, </w:t>
      </w:r>
      <w:r w:rsidRPr="00797379">
        <w:t xml:space="preserve">Woburn, Lexington, </w:t>
      </w:r>
      <w:r w:rsidR="009A7C3A" w:rsidRPr="00797379">
        <w:t xml:space="preserve">Medford, </w:t>
      </w:r>
      <w:r w:rsidRPr="00797379">
        <w:t xml:space="preserve">and Stoneham. </w:t>
      </w:r>
      <w:r w:rsidR="12D4C294">
        <w:t>According to</w:t>
      </w:r>
      <w:r w:rsidR="00826AEA">
        <w:t xml:space="preserve"> government census data</w:t>
      </w:r>
      <w:r w:rsidR="12D4C294">
        <w:t>, Winchester’s median income from 20</w:t>
      </w:r>
      <w:r w:rsidR="54264D70">
        <w:t>20</w:t>
      </w:r>
      <w:r w:rsidR="12D4C294">
        <w:t>-202</w:t>
      </w:r>
      <w:r w:rsidR="5E28C924">
        <w:t>4</w:t>
      </w:r>
      <w:r w:rsidR="12D4C294">
        <w:t xml:space="preserve"> was $2</w:t>
      </w:r>
      <w:r w:rsidR="0C068E67">
        <w:t>30</w:t>
      </w:r>
      <w:r w:rsidR="12D4C294">
        <w:t>,1</w:t>
      </w:r>
      <w:r w:rsidR="0F0FC4EC">
        <w:t>98</w:t>
      </w:r>
      <w:r w:rsidR="12D4C294">
        <w:t>, which is above the state median income of $10</w:t>
      </w:r>
      <w:r w:rsidR="0DEF2E0E">
        <w:t>3</w:t>
      </w:r>
      <w:r w:rsidR="12D4C294">
        <w:t>,</w:t>
      </w:r>
      <w:r w:rsidR="1BA4774F">
        <w:t>960</w:t>
      </w:r>
      <w:r w:rsidR="12D4C294">
        <w:t>. In 202</w:t>
      </w:r>
      <w:r w:rsidR="3ACF5B8D">
        <w:t>4</w:t>
      </w:r>
      <w:r w:rsidRPr="00797379">
        <w:t>, Winchester had an estimated 23,953 residents.</w:t>
      </w:r>
    </w:p>
    <w:p w14:paraId="047DAD22" w14:textId="2FD7F55A" w:rsidR="00A942D3" w:rsidRPr="00797379" w:rsidRDefault="30193FFC" w:rsidP="004663E2">
      <w:pPr>
        <w:pStyle w:val="BodyText"/>
      </w:pPr>
      <w:r w:rsidRPr="00797379">
        <w:t xml:space="preserve">The superintendent of </w:t>
      </w:r>
      <w:r w:rsidR="003A6710" w:rsidRPr="00797379">
        <w:rPr>
          <w:color w:val="000000"/>
        </w:rPr>
        <w:t xml:space="preserve">Winchester </w:t>
      </w:r>
      <w:r w:rsidRPr="00797379">
        <w:t xml:space="preserve">is </w:t>
      </w:r>
      <w:r w:rsidR="003561E5" w:rsidRPr="00797379">
        <w:t>Dr. Frank Hackett</w:t>
      </w:r>
      <w:r w:rsidRPr="00797379">
        <w:t xml:space="preserve">, who was appointed in </w:t>
      </w:r>
      <w:r w:rsidR="00280976" w:rsidRPr="00797379">
        <w:t>July 202</w:t>
      </w:r>
      <w:r w:rsidR="009C6483" w:rsidRPr="00797379">
        <w:t>2</w:t>
      </w:r>
      <w:r w:rsidRPr="00797379">
        <w:t xml:space="preserve">. </w:t>
      </w:r>
      <w:r w:rsidR="000F3006" w:rsidRPr="00797379">
        <w:t>A</w:t>
      </w:r>
      <w:r w:rsidRPr="00797379">
        <w:t xml:space="preserve"> school committee of </w:t>
      </w:r>
      <w:r w:rsidR="00154469" w:rsidRPr="00797379">
        <w:t xml:space="preserve">seven </w:t>
      </w:r>
      <w:r w:rsidRPr="00797379">
        <w:t>members</w:t>
      </w:r>
      <w:r w:rsidR="000F3006" w:rsidRPr="00797379">
        <w:t>,</w:t>
      </w:r>
      <w:r w:rsidRPr="00797379">
        <w:t xml:space="preserve"> elected for </w:t>
      </w:r>
      <w:r w:rsidR="000F3006" w:rsidRPr="00797379">
        <w:t>two</w:t>
      </w:r>
      <w:r w:rsidR="00280976" w:rsidRPr="00797379">
        <w:t>-</w:t>
      </w:r>
      <w:r w:rsidRPr="00797379">
        <w:t>year terms</w:t>
      </w:r>
      <w:r w:rsidR="000F3006" w:rsidRPr="00797379">
        <w:t>, also governs the district</w:t>
      </w:r>
      <w:r w:rsidRPr="00797379">
        <w:t>.</w:t>
      </w:r>
    </w:p>
    <w:p w14:paraId="5C72CAA4" w14:textId="09C98895" w:rsidR="00A942D3" w:rsidRPr="00797379" w:rsidRDefault="30193FFC" w:rsidP="004663E2">
      <w:pPr>
        <w:pStyle w:val="BodyText"/>
      </w:pPr>
      <w:r w:rsidRPr="00797379">
        <w:t>In the 202</w:t>
      </w:r>
      <w:r w:rsidR="008A695B" w:rsidRPr="00797379">
        <w:t>5</w:t>
      </w:r>
      <w:r w:rsidRPr="00797379">
        <w:t>-202</w:t>
      </w:r>
      <w:r w:rsidR="008A695B" w:rsidRPr="00797379">
        <w:t>6</w:t>
      </w:r>
      <w:r w:rsidRPr="00797379">
        <w:t xml:space="preserve"> school year, </w:t>
      </w:r>
      <w:r w:rsidR="00922E1F" w:rsidRPr="00797379">
        <w:t>WPS</w:t>
      </w:r>
      <w:r w:rsidRPr="00797379">
        <w:t xml:space="preserve"> served </w:t>
      </w:r>
      <w:r w:rsidR="00014A74" w:rsidRPr="00797379">
        <w:t>4,3</w:t>
      </w:r>
      <w:r w:rsidR="00EB40D6">
        <w:t>4</w:t>
      </w:r>
      <w:r w:rsidR="00014A74" w:rsidRPr="00797379">
        <w:t>1</w:t>
      </w:r>
      <w:r w:rsidRPr="00797379">
        <w:t xml:space="preserve"> students across </w:t>
      </w:r>
      <w:r w:rsidR="009038B8" w:rsidRPr="00797379">
        <w:t>seven</w:t>
      </w:r>
      <w:r w:rsidR="000F3006" w:rsidRPr="00797379">
        <w:t xml:space="preserve"> </w:t>
      </w:r>
      <w:r w:rsidRPr="00797379">
        <w:t>schools. Since the 202</w:t>
      </w:r>
      <w:r w:rsidR="008A695B" w:rsidRPr="00797379">
        <w:t>1</w:t>
      </w:r>
      <w:r w:rsidRPr="00797379">
        <w:t>-</w:t>
      </w:r>
      <w:r w:rsidR="00F3657A" w:rsidRPr="00797379">
        <w:t>20</w:t>
      </w:r>
      <w:r w:rsidRPr="00797379">
        <w:t>2</w:t>
      </w:r>
      <w:r w:rsidR="008A695B" w:rsidRPr="00797379">
        <w:t>2</w:t>
      </w:r>
      <w:r w:rsidRPr="00797379">
        <w:t xml:space="preserve"> school year, total enrollment has </w:t>
      </w:r>
      <w:r w:rsidR="002E2EB6" w:rsidRPr="00797379">
        <w:t>decreased</w:t>
      </w:r>
      <w:r w:rsidRPr="00797379">
        <w:t xml:space="preserve"> by </w:t>
      </w:r>
      <w:r w:rsidR="00701445">
        <w:t>21</w:t>
      </w:r>
      <w:r w:rsidR="008A695B" w:rsidRPr="00797379">
        <w:t xml:space="preserve"> </w:t>
      </w:r>
      <w:r w:rsidRPr="00797379">
        <w:t>students. Table 1 provides an overview of student enrollment by school for the 202</w:t>
      </w:r>
      <w:r w:rsidR="008A695B" w:rsidRPr="00797379">
        <w:t>5</w:t>
      </w:r>
      <w:r w:rsidR="008024CA" w:rsidRPr="00797379">
        <w:t>-</w:t>
      </w:r>
      <w:r w:rsidRPr="00797379">
        <w:t>202</w:t>
      </w:r>
      <w:r w:rsidR="008A695B" w:rsidRPr="00797379">
        <w:t>6</w:t>
      </w:r>
      <w:r w:rsidRPr="00797379">
        <w:t xml:space="preserve"> school year.</w:t>
      </w:r>
    </w:p>
    <w:p w14:paraId="1525FC54" w14:textId="4BF5DBF5" w:rsidR="00A942D3" w:rsidRPr="00797379" w:rsidRDefault="30193FFC" w:rsidP="004663E2">
      <w:pPr>
        <w:pStyle w:val="TableTitle0"/>
      </w:pPr>
      <w:bookmarkStart w:id="19" w:name="_Toc220932401"/>
      <w:r w:rsidRPr="00797379">
        <w:t>Table 1. Schools, Type, Grades Served, and Enrollment, 202</w:t>
      </w:r>
      <w:r w:rsidR="008A695B" w:rsidRPr="00797379">
        <w:t>5</w:t>
      </w:r>
      <w:r w:rsidRPr="00797379">
        <w:t>-202</w:t>
      </w:r>
      <w:r w:rsidR="008A695B" w:rsidRPr="00797379">
        <w:t>6</w:t>
      </w:r>
      <w:bookmarkEnd w:id="19"/>
    </w:p>
    <w:tbl>
      <w:tblPr>
        <w:tblStyle w:val="MSVTable1"/>
        <w:tblW w:w="5000" w:type="pct"/>
        <w:tblLayout w:type="fixed"/>
        <w:tblLook w:val="0020" w:firstRow="1" w:lastRow="0" w:firstColumn="0" w:lastColumn="0" w:noHBand="0" w:noVBand="0"/>
      </w:tblPr>
      <w:tblGrid>
        <w:gridCol w:w="3772"/>
        <w:gridCol w:w="1980"/>
        <w:gridCol w:w="1678"/>
        <w:gridCol w:w="1914"/>
      </w:tblGrid>
      <w:tr w:rsidR="37EFC250" w:rsidRPr="00797379" w14:paraId="1BBB85AD" w14:textId="77777777" w:rsidTr="00621C36">
        <w:trPr>
          <w:cnfStyle w:val="100000000000" w:firstRow="1" w:lastRow="0" w:firstColumn="0" w:lastColumn="0" w:oddVBand="0" w:evenVBand="0" w:oddHBand="0" w:evenHBand="0" w:firstRowFirstColumn="0" w:firstRowLastColumn="0" w:lastRowFirstColumn="0" w:lastRowLastColumn="0"/>
          <w:trHeight w:val="300"/>
          <w:tblHeader/>
        </w:trPr>
        <w:tc>
          <w:tcPr>
            <w:tcW w:w="3772" w:type="dxa"/>
            <w:shd w:val="clear" w:color="auto" w:fill="2F5496"/>
          </w:tcPr>
          <w:p w14:paraId="39770C1E" w14:textId="38CABFBA" w:rsidR="37EFC250" w:rsidRPr="00797379" w:rsidRDefault="37EFC250" w:rsidP="0050573E">
            <w:pPr>
              <w:pStyle w:val="TableColHeadingCenter"/>
              <w:rPr>
                <w:bCs/>
              </w:rPr>
            </w:pPr>
            <w:r w:rsidRPr="00797379">
              <w:t>School</w:t>
            </w:r>
          </w:p>
        </w:tc>
        <w:tc>
          <w:tcPr>
            <w:tcW w:w="1980" w:type="dxa"/>
            <w:shd w:val="clear" w:color="auto" w:fill="2F5496"/>
          </w:tcPr>
          <w:p w14:paraId="26EE3300" w14:textId="6FB02BBF" w:rsidR="37EFC250" w:rsidRPr="00797379" w:rsidRDefault="37EFC250" w:rsidP="0050573E">
            <w:pPr>
              <w:pStyle w:val="TableColHeadingCenter"/>
            </w:pPr>
            <w:r w:rsidRPr="00797379">
              <w:t>Type</w:t>
            </w:r>
          </w:p>
        </w:tc>
        <w:tc>
          <w:tcPr>
            <w:tcW w:w="1678" w:type="dxa"/>
            <w:shd w:val="clear" w:color="auto" w:fill="2F5496"/>
          </w:tcPr>
          <w:p w14:paraId="42EB77C4" w14:textId="0462FD0C" w:rsidR="37EFC250" w:rsidRPr="00797379" w:rsidRDefault="37EFC250" w:rsidP="0050573E">
            <w:pPr>
              <w:pStyle w:val="TableColHeadingCenter"/>
            </w:pPr>
            <w:r w:rsidRPr="00797379">
              <w:t>Grades served</w:t>
            </w:r>
          </w:p>
        </w:tc>
        <w:tc>
          <w:tcPr>
            <w:tcW w:w="1914" w:type="dxa"/>
            <w:shd w:val="clear" w:color="auto" w:fill="2F5496"/>
          </w:tcPr>
          <w:p w14:paraId="1551B54C" w14:textId="7791E953" w:rsidR="37EFC250" w:rsidRPr="00797379" w:rsidRDefault="37EFC250" w:rsidP="0050573E">
            <w:pPr>
              <w:pStyle w:val="TableColHeadingCenter"/>
            </w:pPr>
            <w:r w:rsidRPr="00797379">
              <w:t>Enrollment</w:t>
            </w:r>
          </w:p>
        </w:tc>
      </w:tr>
      <w:tr w:rsidR="37EFC250" w:rsidRPr="00797379" w14:paraId="25CD4070" w14:textId="77777777" w:rsidTr="00621C36">
        <w:trPr>
          <w:cnfStyle w:val="000000100000" w:firstRow="0" w:lastRow="0" w:firstColumn="0" w:lastColumn="0" w:oddVBand="0" w:evenVBand="0" w:oddHBand="1" w:evenHBand="0" w:firstRowFirstColumn="0" w:firstRowLastColumn="0" w:lastRowFirstColumn="0" w:lastRowLastColumn="0"/>
          <w:trHeight w:val="300"/>
        </w:trPr>
        <w:tc>
          <w:tcPr>
            <w:tcW w:w="3772" w:type="dxa"/>
          </w:tcPr>
          <w:p w14:paraId="0F0C4CB2" w14:textId="285BF613" w:rsidR="37EFC250" w:rsidRPr="00F8423E" w:rsidRDefault="00562136" w:rsidP="00972F9C">
            <w:pPr>
              <w:pStyle w:val="TableSubheading"/>
              <w:rPr>
                <w:rFonts w:asciiTheme="minorHAnsi" w:hAnsiTheme="minorHAnsi"/>
              </w:rPr>
            </w:pPr>
            <w:r w:rsidRPr="00F8423E">
              <w:rPr>
                <w:rFonts w:asciiTheme="minorHAnsi" w:hAnsiTheme="minorHAnsi"/>
              </w:rPr>
              <w:t>Ambrose</w:t>
            </w:r>
          </w:p>
        </w:tc>
        <w:tc>
          <w:tcPr>
            <w:tcW w:w="1980" w:type="dxa"/>
          </w:tcPr>
          <w:p w14:paraId="7084ECF0" w14:textId="5F6335F6" w:rsidR="37EFC250" w:rsidRPr="00797379" w:rsidRDefault="00562136" w:rsidP="00594DC2">
            <w:pPr>
              <w:pStyle w:val="TableTextCentered"/>
            </w:pPr>
            <w:r w:rsidRPr="00797379">
              <w:t>Elementary</w:t>
            </w:r>
          </w:p>
        </w:tc>
        <w:tc>
          <w:tcPr>
            <w:tcW w:w="1678" w:type="dxa"/>
          </w:tcPr>
          <w:p w14:paraId="734BC1B6" w14:textId="09D15DC6" w:rsidR="37EFC250" w:rsidRPr="00797379" w:rsidRDefault="00562136" w:rsidP="00594DC2">
            <w:pPr>
              <w:pStyle w:val="TableTextCentered"/>
            </w:pPr>
            <w:r w:rsidRPr="00797379">
              <w:t>K-5</w:t>
            </w:r>
          </w:p>
        </w:tc>
        <w:tc>
          <w:tcPr>
            <w:tcW w:w="1914" w:type="dxa"/>
          </w:tcPr>
          <w:p w14:paraId="21536A39" w14:textId="6D56282A" w:rsidR="37EFC250" w:rsidRPr="00797379" w:rsidRDefault="00B92639" w:rsidP="00594DC2">
            <w:pPr>
              <w:pStyle w:val="TableTextCentered"/>
            </w:pPr>
            <w:r w:rsidRPr="00797379">
              <w:t>3</w:t>
            </w:r>
            <w:r w:rsidR="00701445">
              <w:t>77</w:t>
            </w:r>
          </w:p>
        </w:tc>
      </w:tr>
      <w:tr w:rsidR="00EE75C2" w:rsidRPr="00797379" w14:paraId="539D7C6B" w14:textId="77777777" w:rsidTr="00621C36">
        <w:trPr>
          <w:trHeight w:val="300"/>
        </w:trPr>
        <w:tc>
          <w:tcPr>
            <w:tcW w:w="3772" w:type="dxa"/>
          </w:tcPr>
          <w:p w14:paraId="538D946E" w14:textId="64DCAAF1" w:rsidR="00EE75C2" w:rsidRPr="00F8423E" w:rsidRDefault="00B92639" w:rsidP="00972F9C">
            <w:pPr>
              <w:pStyle w:val="TableSubheading"/>
              <w:rPr>
                <w:rFonts w:asciiTheme="minorHAnsi" w:hAnsiTheme="minorHAnsi"/>
              </w:rPr>
            </w:pPr>
            <w:r w:rsidRPr="00F8423E">
              <w:rPr>
                <w:rFonts w:asciiTheme="minorHAnsi" w:hAnsiTheme="minorHAnsi"/>
              </w:rPr>
              <w:t>Lincoln</w:t>
            </w:r>
          </w:p>
        </w:tc>
        <w:tc>
          <w:tcPr>
            <w:tcW w:w="1980" w:type="dxa"/>
          </w:tcPr>
          <w:p w14:paraId="7984288F" w14:textId="1D2E35E4" w:rsidR="00EE75C2" w:rsidRPr="00797379" w:rsidRDefault="00B92639" w:rsidP="00594DC2">
            <w:pPr>
              <w:pStyle w:val="TableTextCentered"/>
            </w:pPr>
            <w:r w:rsidRPr="00797379">
              <w:t>Elementary</w:t>
            </w:r>
          </w:p>
        </w:tc>
        <w:tc>
          <w:tcPr>
            <w:tcW w:w="1678" w:type="dxa"/>
          </w:tcPr>
          <w:p w14:paraId="5E14E5AA" w14:textId="650B4FAA" w:rsidR="00EE75C2" w:rsidRPr="00797379" w:rsidRDefault="0047460B" w:rsidP="00594DC2">
            <w:pPr>
              <w:pStyle w:val="TableTextCentered"/>
            </w:pPr>
            <w:r w:rsidRPr="00797379">
              <w:t>K-5</w:t>
            </w:r>
          </w:p>
        </w:tc>
        <w:tc>
          <w:tcPr>
            <w:tcW w:w="1914" w:type="dxa"/>
          </w:tcPr>
          <w:p w14:paraId="62BBA45D" w14:textId="1D4FBAD0" w:rsidR="00EE75C2" w:rsidRPr="00797379" w:rsidRDefault="00701445" w:rsidP="00594DC2">
            <w:pPr>
              <w:pStyle w:val="TableTextCentered"/>
            </w:pPr>
            <w:r>
              <w:t>338</w:t>
            </w:r>
          </w:p>
        </w:tc>
      </w:tr>
      <w:tr w:rsidR="00EE75C2" w:rsidRPr="00797379" w14:paraId="61503310" w14:textId="77777777" w:rsidTr="00621C36">
        <w:trPr>
          <w:cnfStyle w:val="000000100000" w:firstRow="0" w:lastRow="0" w:firstColumn="0" w:lastColumn="0" w:oddVBand="0" w:evenVBand="0" w:oddHBand="1" w:evenHBand="0" w:firstRowFirstColumn="0" w:firstRowLastColumn="0" w:lastRowFirstColumn="0" w:lastRowLastColumn="0"/>
          <w:trHeight w:val="300"/>
        </w:trPr>
        <w:tc>
          <w:tcPr>
            <w:tcW w:w="3772" w:type="dxa"/>
          </w:tcPr>
          <w:p w14:paraId="55BA8CAD" w14:textId="6AF053B8" w:rsidR="00EE75C2" w:rsidRPr="00F8423E" w:rsidRDefault="0047460B" w:rsidP="00972F9C">
            <w:pPr>
              <w:pStyle w:val="TableSubheading"/>
              <w:rPr>
                <w:rFonts w:asciiTheme="minorHAnsi" w:hAnsiTheme="minorHAnsi"/>
              </w:rPr>
            </w:pPr>
            <w:r w:rsidRPr="00F8423E">
              <w:rPr>
                <w:rFonts w:asciiTheme="minorHAnsi" w:hAnsiTheme="minorHAnsi"/>
              </w:rPr>
              <w:t>Lynch</w:t>
            </w:r>
          </w:p>
        </w:tc>
        <w:tc>
          <w:tcPr>
            <w:tcW w:w="1980" w:type="dxa"/>
          </w:tcPr>
          <w:p w14:paraId="70B3AC5A" w14:textId="10D63663" w:rsidR="00EE75C2" w:rsidRPr="00797379" w:rsidRDefault="00B92639" w:rsidP="00594DC2">
            <w:pPr>
              <w:pStyle w:val="TableTextCentered"/>
            </w:pPr>
            <w:r w:rsidRPr="00797379">
              <w:t>Elementary</w:t>
            </w:r>
          </w:p>
        </w:tc>
        <w:tc>
          <w:tcPr>
            <w:tcW w:w="1678" w:type="dxa"/>
          </w:tcPr>
          <w:p w14:paraId="37E7DAED" w14:textId="20877093" w:rsidR="00EE75C2" w:rsidRPr="00797379" w:rsidRDefault="0047460B" w:rsidP="00594DC2">
            <w:pPr>
              <w:pStyle w:val="TableTextCentered"/>
            </w:pPr>
            <w:r w:rsidRPr="00797379">
              <w:t>PK-5</w:t>
            </w:r>
          </w:p>
        </w:tc>
        <w:tc>
          <w:tcPr>
            <w:tcW w:w="1914" w:type="dxa"/>
          </w:tcPr>
          <w:p w14:paraId="54C69508" w14:textId="16BE723D" w:rsidR="00EE75C2" w:rsidRPr="00797379" w:rsidRDefault="00C05BB1" w:rsidP="00594DC2">
            <w:pPr>
              <w:pStyle w:val="TableTextCentered"/>
            </w:pPr>
            <w:r>
              <w:t>472</w:t>
            </w:r>
          </w:p>
        </w:tc>
      </w:tr>
      <w:tr w:rsidR="00EE75C2" w:rsidRPr="00797379" w14:paraId="0E9094E8" w14:textId="77777777" w:rsidTr="00621C36">
        <w:trPr>
          <w:trHeight w:val="300"/>
        </w:trPr>
        <w:tc>
          <w:tcPr>
            <w:tcW w:w="3772" w:type="dxa"/>
          </w:tcPr>
          <w:p w14:paraId="015D2131" w14:textId="2008786C" w:rsidR="00EE75C2" w:rsidRPr="00F8423E" w:rsidRDefault="00280EA2" w:rsidP="00972F9C">
            <w:pPr>
              <w:pStyle w:val="TableSubheading"/>
              <w:rPr>
                <w:rFonts w:asciiTheme="minorHAnsi" w:hAnsiTheme="minorHAnsi"/>
              </w:rPr>
            </w:pPr>
            <w:r w:rsidRPr="00F8423E">
              <w:rPr>
                <w:rFonts w:asciiTheme="minorHAnsi" w:hAnsiTheme="minorHAnsi"/>
              </w:rPr>
              <w:t>McCall</w:t>
            </w:r>
          </w:p>
        </w:tc>
        <w:tc>
          <w:tcPr>
            <w:tcW w:w="1980" w:type="dxa"/>
          </w:tcPr>
          <w:p w14:paraId="6CCEFADD" w14:textId="30DFAFA2" w:rsidR="00EE75C2" w:rsidRPr="00797379" w:rsidRDefault="00280EA2" w:rsidP="00594DC2">
            <w:pPr>
              <w:pStyle w:val="TableTextCentered"/>
            </w:pPr>
            <w:r w:rsidRPr="00797379">
              <w:t>Middle</w:t>
            </w:r>
          </w:p>
        </w:tc>
        <w:tc>
          <w:tcPr>
            <w:tcW w:w="1678" w:type="dxa"/>
          </w:tcPr>
          <w:p w14:paraId="5B7AD49D" w14:textId="53243405" w:rsidR="00EE75C2" w:rsidRPr="00797379" w:rsidRDefault="00280EA2" w:rsidP="00594DC2">
            <w:pPr>
              <w:pStyle w:val="TableTextCentered"/>
            </w:pPr>
            <w:r w:rsidRPr="00797379">
              <w:t>6-8</w:t>
            </w:r>
          </w:p>
        </w:tc>
        <w:tc>
          <w:tcPr>
            <w:tcW w:w="1914" w:type="dxa"/>
          </w:tcPr>
          <w:p w14:paraId="123B78A9" w14:textId="23315C3D" w:rsidR="00EE75C2" w:rsidRPr="00797379" w:rsidRDefault="004E4C05" w:rsidP="00594DC2">
            <w:pPr>
              <w:pStyle w:val="TableTextCentered"/>
            </w:pPr>
            <w:r w:rsidRPr="00797379">
              <w:t>1</w:t>
            </w:r>
            <w:r w:rsidR="005014D9" w:rsidRPr="00797379">
              <w:t>,</w:t>
            </w:r>
            <w:r w:rsidRPr="00797379">
              <w:t>0</w:t>
            </w:r>
            <w:r w:rsidR="00C05BB1">
              <w:t>53</w:t>
            </w:r>
          </w:p>
        </w:tc>
      </w:tr>
      <w:tr w:rsidR="00280EA2" w:rsidRPr="00797379" w14:paraId="5AE8DAC4" w14:textId="77777777" w:rsidTr="00621C36">
        <w:trPr>
          <w:cnfStyle w:val="000000100000" w:firstRow="0" w:lastRow="0" w:firstColumn="0" w:lastColumn="0" w:oddVBand="0" w:evenVBand="0" w:oddHBand="1" w:evenHBand="0" w:firstRowFirstColumn="0" w:firstRowLastColumn="0" w:lastRowFirstColumn="0" w:lastRowLastColumn="0"/>
          <w:trHeight w:val="300"/>
        </w:trPr>
        <w:tc>
          <w:tcPr>
            <w:tcW w:w="3772" w:type="dxa"/>
          </w:tcPr>
          <w:p w14:paraId="2CDEC927" w14:textId="62C97BD5" w:rsidR="00280EA2" w:rsidRPr="00F8423E" w:rsidRDefault="004E4C05" w:rsidP="00972F9C">
            <w:pPr>
              <w:pStyle w:val="TableSubheading"/>
              <w:rPr>
                <w:rFonts w:asciiTheme="minorHAnsi" w:hAnsiTheme="minorHAnsi"/>
              </w:rPr>
            </w:pPr>
            <w:r w:rsidRPr="00F8423E">
              <w:rPr>
                <w:rFonts w:asciiTheme="minorHAnsi" w:hAnsiTheme="minorHAnsi"/>
              </w:rPr>
              <w:t>Muraco</w:t>
            </w:r>
          </w:p>
        </w:tc>
        <w:tc>
          <w:tcPr>
            <w:tcW w:w="1980" w:type="dxa"/>
          </w:tcPr>
          <w:p w14:paraId="79D7980F" w14:textId="02BAFA6F" w:rsidR="00280EA2" w:rsidRPr="00797379" w:rsidRDefault="00280EA2" w:rsidP="00594DC2">
            <w:pPr>
              <w:pStyle w:val="TableTextCentered"/>
            </w:pPr>
            <w:r w:rsidRPr="00797379">
              <w:t>Elementary</w:t>
            </w:r>
          </w:p>
        </w:tc>
        <w:tc>
          <w:tcPr>
            <w:tcW w:w="1678" w:type="dxa"/>
          </w:tcPr>
          <w:p w14:paraId="5EF16ECF" w14:textId="62348FD9" w:rsidR="00280EA2" w:rsidRPr="00797379" w:rsidRDefault="004E4C05" w:rsidP="00594DC2">
            <w:pPr>
              <w:pStyle w:val="TableTextCentered"/>
            </w:pPr>
            <w:r w:rsidRPr="00797379">
              <w:t>K-5</w:t>
            </w:r>
          </w:p>
        </w:tc>
        <w:tc>
          <w:tcPr>
            <w:tcW w:w="1914" w:type="dxa"/>
          </w:tcPr>
          <w:p w14:paraId="6F34E2AC" w14:textId="37AC4DFA" w:rsidR="00280EA2" w:rsidRPr="00797379" w:rsidRDefault="00C05BB1" w:rsidP="00594DC2">
            <w:pPr>
              <w:pStyle w:val="TableTextCentered"/>
            </w:pPr>
            <w:r>
              <w:t>296</w:t>
            </w:r>
          </w:p>
        </w:tc>
      </w:tr>
      <w:tr w:rsidR="00280EA2" w:rsidRPr="00797379" w14:paraId="2544C143" w14:textId="77777777" w:rsidTr="00621C36">
        <w:trPr>
          <w:trHeight w:val="300"/>
        </w:trPr>
        <w:tc>
          <w:tcPr>
            <w:tcW w:w="3772" w:type="dxa"/>
          </w:tcPr>
          <w:p w14:paraId="1C069256" w14:textId="6501EC97" w:rsidR="00280EA2" w:rsidRPr="00F8423E" w:rsidRDefault="001B69BD" w:rsidP="00972F9C">
            <w:pPr>
              <w:pStyle w:val="TableSubheading"/>
              <w:rPr>
                <w:rFonts w:asciiTheme="minorHAnsi" w:hAnsiTheme="minorHAnsi"/>
              </w:rPr>
            </w:pPr>
            <w:r w:rsidRPr="00F8423E">
              <w:rPr>
                <w:rFonts w:asciiTheme="minorHAnsi" w:hAnsiTheme="minorHAnsi"/>
              </w:rPr>
              <w:t>Vinson-Owen</w:t>
            </w:r>
          </w:p>
        </w:tc>
        <w:tc>
          <w:tcPr>
            <w:tcW w:w="1980" w:type="dxa"/>
          </w:tcPr>
          <w:p w14:paraId="4328AD4E" w14:textId="5A261F1B" w:rsidR="00280EA2" w:rsidRPr="00797379" w:rsidRDefault="00280EA2" w:rsidP="00594DC2">
            <w:pPr>
              <w:pStyle w:val="TableTextCentered"/>
            </w:pPr>
            <w:r w:rsidRPr="00797379">
              <w:t>Elementary</w:t>
            </w:r>
          </w:p>
        </w:tc>
        <w:tc>
          <w:tcPr>
            <w:tcW w:w="1678" w:type="dxa"/>
          </w:tcPr>
          <w:p w14:paraId="0A8D6ECB" w14:textId="0572892C" w:rsidR="00280EA2" w:rsidRPr="00797379" w:rsidRDefault="001B69BD" w:rsidP="00594DC2">
            <w:pPr>
              <w:pStyle w:val="TableTextCentered"/>
            </w:pPr>
            <w:r w:rsidRPr="00797379">
              <w:t>K-5</w:t>
            </w:r>
          </w:p>
        </w:tc>
        <w:tc>
          <w:tcPr>
            <w:tcW w:w="1914" w:type="dxa"/>
          </w:tcPr>
          <w:p w14:paraId="6EE012F9" w14:textId="6838440A" w:rsidR="00280EA2" w:rsidRPr="00797379" w:rsidRDefault="00CE3AF0" w:rsidP="00594DC2">
            <w:pPr>
              <w:pStyle w:val="TableTextCentered"/>
            </w:pPr>
            <w:r>
              <w:t>387</w:t>
            </w:r>
          </w:p>
        </w:tc>
      </w:tr>
      <w:tr w:rsidR="00280EA2" w:rsidRPr="00797379" w14:paraId="4ED0FC3C" w14:textId="77777777" w:rsidTr="00621C36">
        <w:trPr>
          <w:cnfStyle w:val="000000100000" w:firstRow="0" w:lastRow="0" w:firstColumn="0" w:lastColumn="0" w:oddVBand="0" w:evenVBand="0" w:oddHBand="1" w:evenHBand="0" w:firstRowFirstColumn="0" w:firstRowLastColumn="0" w:lastRowFirstColumn="0" w:lastRowLastColumn="0"/>
          <w:trHeight w:val="300"/>
        </w:trPr>
        <w:tc>
          <w:tcPr>
            <w:tcW w:w="3772" w:type="dxa"/>
          </w:tcPr>
          <w:p w14:paraId="1721E62E" w14:textId="30894F1D" w:rsidR="00280EA2" w:rsidRPr="00F8423E" w:rsidRDefault="001B69BD" w:rsidP="00972F9C">
            <w:pPr>
              <w:pStyle w:val="TableSubheading"/>
              <w:rPr>
                <w:rFonts w:asciiTheme="minorHAnsi" w:hAnsiTheme="minorHAnsi"/>
              </w:rPr>
            </w:pPr>
            <w:r w:rsidRPr="00F8423E">
              <w:rPr>
                <w:rFonts w:asciiTheme="minorHAnsi" w:hAnsiTheme="minorHAnsi"/>
              </w:rPr>
              <w:t>Wi</w:t>
            </w:r>
            <w:r w:rsidR="004C27BE" w:rsidRPr="00F8423E">
              <w:rPr>
                <w:rFonts w:asciiTheme="minorHAnsi" w:hAnsiTheme="minorHAnsi"/>
              </w:rPr>
              <w:t>nchester High</w:t>
            </w:r>
          </w:p>
        </w:tc>
        <w:tc>
          <w:tcPr>
            <w:tcW w:w="1980" w:type="dxa"/>
          </w:tcPr>
          <w:p w14:paraId="0A883E78" w14:textId="142D06AE" w:rsidR="00280EA2" w:rsidRPr="00797379" w:rsidRDefault="004C27BE" w:rsidP="00594DC2">
            <w:pPr>
              <w:pStyle w:val="TableTextCentered"/>
            </w:pPr>
            <w:r w:rsidRPr="00797379">
              <w:t>High</w:t>
            </w:r>
          </w:p>
        </w:tc>
        <w:tc>
          <w:tcPr>
            <w:tcW w:w="1678" w:type="dxa"/>
          </w:tcPr>
          <w:p w14:paraId="27D12736" w14:textId="526847A3" w:rsidR="00280EA2" w:rsidRPr="00797379" w:rsidRDefault="004C27BE" w:rsidP="00594DC2">
            <w:pPr>
              <w:pStyle w:val="TableTextCentered"/>
            </w:pPr>
            <w:r w:rsidRPr="00797379">
              <w:t>9-12</w:t>
            </w:r>
          </w:p>
        </w:tc>
        <w:tc>
          <w:tcPr>
            <w:tcW w:w="1914" w:type="dxa"/>
          </w:tcPr>
          <w:p w14:paraId="1DD9FD23" w14:textId="03C234B3" w:rsidR="00280EA2" w:rsidRPr="00797379" w:rsidRDefault="00CE3AF0" w:rsidP="00594DC2">
            <w:pPr>
              <w:pStyle w:val="TableTextCentered"/>
            </w:pPr>
            <w:r>
              <w:t>1,418</w:t>
            </w:r>
          </w:p>
        </w:tc>
      </w:tr>
      <w:tr w:rsidR="00A454D4" w:rsidRPr="00797379" w14:paraId="2A319174" w14:textId="77777777" w:rsidTr="00621C36">
        <w:trPr>
          <w:trHeight w:val="300"/>
        </w:trPr>
        <w:tc>
          <w:tcPr>
            <w:tcW w:w="3772" w:type="dxa"/>
          </w:tcPr>
          <w:p w14:paraId="388477CA" w14:textId="276CCED2" w:rsidR="00A454D4" w:rsidRPr="00F8423E" w:rsidRDefault="00A454D4" w:rsidP="00494FB3">
            <w:pPr>
              <w:pStyle w:val="TableSubheading"/>
              <w:rPr>
                <w:rFonts w:asciiTheme="minorHAnsi" w:hAnsiTheme="minorHAnsi"/>
              </w:rPr>
            </w:pPr>
            <w:r w:rsidRPr="00F8423E">
              <w:rPr>
                <w:rFonts w:asciiTheme="minorHAnsi" w:hAnsiTheme="minorHAnsi"/>
              </w:rPr>
              <w:t>Total</w:t>
            </w:r>
          </w:p>
        </w:tc>
        <w:tc>
          <w:tcPr>
            <w:tcW w:w="1980" w:type="dxa"/>
          </w:tcPr>
          <w:p w14:paraId="4CF44744" w14:textId="2851E0B7" w:rsidR="00A454D4" w:rsidRPr="00F8423E" w:rsidRDefault="003976A2" w:rsidP="00A454D4">
            <w:pPr>
              <w:pStyle w:val="TableSubheading"/>
              <w:jc w:val="center"/>
              <w:rPr>
                <w:rFonts w:ascii="Franklin Gothic Book" w:hAnsi="Franklin Gothic Book"/>
              </w:rPr>
            </w:pPr>
            <w:r>
              <w:rPr>
                <w:rFonts w:ascii="Franklin Gothic Book" w:hAnsi="Franklin Gothic Book"/>
              </w:rPr>
              <w:t>N</w:t>
            </w:r>
            <w:r w:rsidR="006F4630">
              <w:rPr>
                <w:rFonts w:ascii="Franklin Gothic Book" w:hAnsi="Franklin Gothic Book"/>
              </w:rPr>
              <w:t>/</w:t>
            </w:r>
            <w:r>
              <w:rPr>
                <w:rFonts w:ascii="Franklin Gothic Book" w:hAnsi="Franklin Gothic Book"/>
              </w:rPr>
              <w:t>A</w:t>
            </w:r>
          </w:p>
        </w:tc>
        <w:tc>
          <w:tcPr>
            <w:tcW w:w="1678" w:type="dxa"/>
          </w:tcPr>
          <w:p w14:paraId="7DD51D36" w14:textId="6826844D" w:rsidR="00A454D4" w:rsidRPr="00F8423E" w:rsidRDefault="003976A2" w:rsidP="00A454D4">
            <w:pPr>
              <w:pStyle w:val="TableSubheading"/>
              <w:jc w:val="center"/>
              <w:rPr>
                <w:rFonts w:ascii="Franklin Gothic Book" w:hAnsi="Franklin Gothic Book"/>
              </w:rPr>
            </w:pPr>
            <w:r>
              <w:rPr>
                <w:rFonts w:ascii="Franklin Gothic Book" w:hAnsi="Franklin Gothic Book"/>
              </w:rPr>
              <w:t>N</w:t>
            </w:r>
            <w:r w:rsidR="006F4630">
              <w:rPr>
                <w:rFonts w:ascii="Franklin Gothic Book" w:hAnsi="Franklin Gothic Book"/>
              </w:rPr>
              <w:t>/</w:t>
            </w:r>
            <w:r>
              <w:rPr>
                <w:rFonts w:ascii="Franklin Gothic Book" w:hAnsi="Franklin Gothic Book"/>
              </w:rPr>
              <w:t>A</w:t>
            </w:r>
          </w:p>
        </w:tc>
        <w:tc>
          <w:tcPr>
            <w:tcW w:w="1914" w:type="dxa"/>
          </w:tcPr>
          <w:p w14:paraId="5EEE3711" w14:textId="4C6C57FF" w:rsidR="00A454D4" w:rsidRPr="00F8423E" w:rsidRDefault="00A454D4" w:rsidP="00494FB3">
            <w:pPr>
              <w:pStyle w:val="TableTextCentered"/>
              <w:rPr>
                <w:rFonts w:ascii="Franklin Gothic Book" w:hAnsi="Franklin Gothic Book"/>
                <w:b/>
                <w:bCs/>
              </w:rPr>
            </w:pPr>
            <w:r w:rsidRPr="00F8423E">
              <w:rPr>
                <w:rFonts w:ascii="Franklin Gothic Book" w:hAnsi="Franklin Gothic Book"/>
                <w:b/>
                <w:bCs/>
              </w:rPr>
              <w:t>4,3</w:t>
            </w:r>
            <w:r w:rsidR="008D44D1">
              <w:rPr>
                <w:rFonts w:ascii="Franklin Gothic Book" w:hAnsi="Franklin Gothic Book"/>
                <w:b/>
                <w:bCs/>
              </w:rPr>
              <w:t>41</w:t>
            </w:r>
          </w:p>
        </w:tc>
      </w:tr>
    </w:tbl>
    <w:p w14:paraId="18464E54" w14:textId="34863BA2" w:rsidR="00A942D3" w:rsidRPr="00797379" w:rsidRDefault="30193FFC" w:rsidP="004663E2">
      <w:pPr>
        <w:pStyle w:val="BodyText"/>
      </w:pPr>
      <w:r w:rsidRPr="00797379">
        <w:t xml:space="preserve">Figure 1 shows the distribution of </w:t>
      </w:r>
      <w:r w:rsidR="00922E1F" w:rsidRPr="00797379">
        <w:t>WPS</w:t>
      </w:r>
      <w:r w:rsidR="00882C08" w:rsidRPr="00797379">
        <w:t xml:space="preserve"> </w:t>
      </w:r>
      <w:r w:rsidRPr="00797379">
        <w:t>students</w:t>
      </w:r>
      <w:r w:rsidR="00882C08" w:rsidRPr="00797379">
        <w:t xml:space="preserve"> by</w:t>
      </w:r>
      <w:r w:rsidRPr="00797379">
        <w:t xml:space="preserve"> race/ethnicity. Figure 2 shows student makeup for selected populations as compared </w:t>
      </w:r>
      <w:r w:rsidR="00882C08" w:rsidRPr="00797379">
        <w:t xml:space="preserve">with </w:t>
      </w:r>
      <w:r w:rsidRPr="00797379">
        <w:t>state averages. In the 202</w:t>
      </w:r>
      <w:r w:rsidR="008A695B" w:rsidRPr="00797379">
        <w:t>5</w:t>
      </w:r>
      <w:r w:rsidRPr="00797379">
        <w:t>-202</w:t>
      </w:r>
      <w:r w:rsidR="008A695B" w:rsidRPr="00797379">
        <w:t>6</w:t>
      </w:r>
      <w:r w:rsidRPr="00797379">
        <w:t xml:space="preserve"> school year, </w:t>
      </w:r>
      <w:r w:rsidR="00CD74F9" w:rsidRPr="00797379">
        <w:t>22</w:t>
      </w:r>
      <w:r w:rsidR="008A695B" w:rsidRPr="00797379">
        <w:t xml:space="preserve"> </w:t>
      </w:r>
      <w:r w:rsidRPr="00797379">
        <w:t xml:space="preserve">percent </w:t>
      </w:r>
      <w:r w:rsidR="00922E1F" w:rsidRPr="00797379">
        <w:t xml:space="preserve">of students </w:t>
      </w:r>
      <w:r w:rsidRPr="00797379">
        <w:t xml:space="preserve">spoke a first language other than English, and </w:t>
      </w:r>
      <w:r w:rsidR="00D776F8">
        <w:t>3</w:t>
      </w:r>
      <w:r w:rsidR="008A695B" w:rsidRPr="00797379">
        <w:t xml:space="preserve"> </w:t>
      </w:r>
      <w:r w:rsidRPr="00797379">
        <w:t xml:space="preserve">percent were English </w:t>
      </w:r>
      <w:r w:rsidR="00882C08" w:rsidRPr="00797379">
        <w:t>L</w:t>
      </w:r>
      <w:r w:rsidRPr="00797379">
        <w:t>earners. Full enrollment figures compared with the state are in Tables D1 and D2 in Appendix D. Appendix D also provides additional information about district enrollment, student attendance, and expenditures.</w:t>
      </w:r>
    </w:p>
    <w:p w14:paraId="35A63F4D" w14:textId="6149E349" w:rsidR="00A942D3" w:rsidRPr="00797379" w:rsidRDefault="30193FFC" w:rsidP="004663E2">
      <w:pPr>
        <w:pStyle w:val="TableTitle0"/>
      </w:pPr>
      <w:bookmarkStart w:id="20" w:name="_Toc220932402"/>
      <w:r w:rsidRPr="00797379">
        <w:t>Figure 1. Distribution of Students, by Race/Ethnicity (202</w:t>
      </w:r>
      <w:r w:rsidR="008A695B" w:rsidRPr="00797379">
        <w:t>5</w:t>
      </w:r>
      <w:r w:rsidRPr="00797379">
        <w:t>-202</w:t>
      </w:r>
      <w:r w:rsidR="008A695B" w:rsidRPr="00797379">
        <w:t>6</w:t>
      </w:r>
      <w:r w:rsidRPr="00797379">
        <w:t>)</w:t>
      </w:r>
      <w:bookmarkEnd w:id="20"/>
    </w:p>
    <w:p w14:paraId="21EE8A5B" w14:textId="3892BB9B" w:rsidR="00CE1C66" w:rsidRPr="00797379" w:rsidRDefault="00281009" w:rsidP="00DB3056">
      <w:pPr>
        <w:pStyle w:val="BodyTextposthead"/>
        <w:rPr>
          <w:rFonts w:ascii="Franklin Gothic Book" w:eastAsia="Franklin Gothic Book" w:hAnsi="Franklin Gothic Book" w:cs="Franklin Gothic Book"/>
        </w:rPr>
      </w:pPr>
      <w:r>
        <w:rPr>
          <w:noProof/>
        </w:rPr>
        <w:drawing>
          <wp:inline distT="0" distB="0" distL="0" distR="0" wp14:anchorId="2394896A" wp14:editId="07627BC1">
            <wp:extent cx="5943600" cy="2057400"/>
            <wp:effectExtent l="0" t="0" r="0" b="0"/>
            <wp:docPr id="947185229" name="Chart 1" descr="This is a pie chart showing the distribution of students by race/ethnicity in Winchester. Most students (65%) are White; 21% are Asian; 8% are Multi-Race;; 4% are Hispanic/Latino; and 2% Black or African-American.">
              <a:extLst xmlns:a="http://schemas.openxmlformats.org/drawingml/2006/main">
                <a:ext uri="{FF2B5EF4-FFF2-40B4-BE49-F238E27FC236}">
                  <a16:creationId xmlns:a16="http://schemas.microsoft.com/office/drawing/2014/main" id="{6442E775-BF81-480A-8AE9-7A4857D123B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10AB1FB" w14:textId="02FA6C08" w:rsidR="00A942D3" w:rsidRPr="00797379" w:rsidRDefault="30193FFC" w:rsidP="00DB3056">
      <w:pPr>
        <w:pStyle w:val="TableTitle0"/>
      </w:pPr>
      <w:bookmarkStart w:id="21" w:name="_Toc220932403"/>
      <w:r w:rsidRPr="00797379">
        <w:t>Figure 2. Distribution of Students, by Selected Populations (202</w:t>
      </w:r>
      <w:r w:rsidR="008A695B" w:rsidRPr="00797379">
        <w:t>5</w:t>
      </w:r>
      <w:r w:rsidRPr="00797379">
        <w:t>-202</w:t>
      </w:r>
      <w:r w:rsidR="008A695B" w:rsidRPr="00797379">
        <w:t>6</w:t>
      </w:r>
      <w:r w:rsidRPr="00797379">
        <w:t>)</w:t>
      </w:r>
      <w:bookmarkEnd w:id="21"/>
    </w:p>
    <w:p w14:paraId="78B4350F" w14:textId="1F4E2D58" w:rsidR="00A942D3" w:rsidRPr="00797379" w:rsidRDefault="00014B64" w:rsidP="00DB3056">
      <w:pPr>
        <w:pStyle w:val="BodyTextposthead"/>
        <w:rPr>
          <w:rFonts w:ascii="Franklin Gothic Book" w:eastAsia="Franklin Gothic Book" w:hAnsi="Franklin Gothic Book" w:cs="Franklin Gothic Book"/>
          <w:color w:val="000000" w:themeColor="text1"/>
        </w:rPr>
      </w:pPr>
      <w:r>
        <w:rPr>
          <w:noProof/>
        </w:rPr>
        <w:drawing>
          <wp:inline distT="0" distB="0" distL="0" distR="0" wp14:anchorId="7F28E08D" wp14:editId="3D986E29">
            <wp:extent cx="5936566" cy="2722098"/>
            <wp:effectExtent l="0" t="0" r="7620" b="2540"/>
            <wp:docPr id="600508102" name="Chart 1" descr="This is a clustered column chart showing the distribution of students by selected populations (High Needs, English Learners, First Language Not English, Low Income, and Students With Disabilities) for Triton and the state. In all instances, Winchester has a smaller portion of selected populations than the state average.">
              <a:extLst xmlns:a="http://schemas.openxmlformats.org/drawingml/2006/main">
                <a:ext uri="{FF2B5EF4-FFF2-40B4-BE49-F238E27FC236}">
                  <a16:creationId xmlns:a16="http://schemas.microsoft.com/office/drawing/2014/main" id="{6BA91307-21C5-46DD-8680-5BD22CAC8D4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105118C" w14:textId="55FDF66C" w:rsidR="00A942D3" w:rsidRPr="00797379" w:rsidRDefault="30193FFC" w:rsidP="00884AF1">
      <w:pPr>
        <w:pStyle w:val="BodyText"/>
      </w:pPr>
      <w:r w:rsidRPr="00797379">
        <w:t xml:space="preserve">Figure 3 shows the percentage of </w:t>
      </w:r>
      <w:r w:rsidR="00F679CD" w:rsidRPr="00797379">
        <w:t>WPS</w:t>
      </w:r>
      <w:r w:rsidR="008B56DD" w:rsidRPr="00797379">
        <w:t xml:space="preserve"> </w:t>
      </w:r>
      <w:r w:rsidRPr="00797379">
        <w:t xml:space="preserve">students meeting or exceeding expectations on the Massachusetts Comprehensive Assessment System (MCAS) as compared </w:t>
      </w:r>
      <w:r w:rsidR="008B56DD" w:rsidRPr="00797379">
        <w:t>with</w:t>
      </w:r>
      <w:r w:rsidRPr="00797379">
        <w:t xml:space="preserve"> the statewide percentage of students meeting or exceeding expectations on MCAS. In 202</w:t>
      </w:r>
      <w:r w:rsidR="008A695B" w:rsidRPr="00797379">
        <w:t>5</w:t>
      </w:r>
      <w:r w:rsidRPr="00797379">
        <w:t xml:space="preserve">, the percentage of students meeting or exceeding expectations was </w:t>
      </w:r>
      <w:r w:rsidR="008A695B" w:rsidRPr="00797379">
        <w:t>higher</w:t>
      </w:r>
      <w:r w:rsidRPr="00797379">
        <w:t xml:space="preserve"> for </w:t>
      </w:r>
      <w:r w:rsidR="00E34D3E" w:rsidRPr="00797379">
        <w:t>WPS</w:t>
      </w:r>
      <w:r w:rsidRPr="00797379">
        <w:t xml:space="preserve"> in Grades</w:t>
      </w:r>
      <w:r w:rsidR="00F43707" w:rsidRPr="00797379">
        <w:t> </w:t>
      </w:r>
      <w:r w:rsidRPr="00797379">
        <w:t xml:space="preserve">3-8 (ELA and mathematics), </w:t>
      </w:r>
      <w:r w:rsidR="008B56DD" w:rsidRPr="00797379">
        <w:t xml:space="preserve">Grades </w:t>
      </w:r>
      <w:r w:rsidRPr="00797379">
        <w:t xml:space="preserve">5 and 8 (science), and </w:t>
      </w:r>
      <w:r w:rsidR="008B56DD" w:rsidRPr="00797379">
        <w:t xml:space="preserve">Grade </w:t>
      </w:r>
      <w:r w:rsidRPr="00797379">
        <w:t>10 (ELA, mathematics, science)</w:t>
      </w:r>
      <w:r w:rsidR="00E34D3E" w:rsidRPr="00797379">
        <w:t xml:space="preserve"> than for the state</w:t>
      </w:r>
      <w:r w:rsidRPr="00797379">
        <w:t>.</w:t>
      </w:r>
    </w:p>
    <w:p w14:paraId="5DDCCEF9" w14:textId="26CD9F9E" w:rsidR="00A942D3" w:rsidRPr="00797379" w:rsidRDefault="30193FFC" w:rsidP="00F43707">
      <w:pPr>
        <w:pStyle w:val="TableTitle0"/>
      </w:pPr>
      <w:bookmarkStart w:id="22" w:name="_Toc220932404"/>
      <w:r w:rsidRPr="00797379">
        <w:t>Figure 3. Percentage of Students Meeting or Exceeding Expectations, MCAS, 202</w:t>
      </w:r>
      <w:r w:rsidR="00ED6493" w:rsidRPr="00797379">
        <w:t>5</w:t>
      </w:r>
      <w:bookmarkEnd w:id="22"/>
    </w:p>
    <w:p w14:paraId="49D69503" w14:textId="024872FC" w:rsidR="00A942D3" w:rsidRPr="00797379" w:rsidRDefault="00FC630F" w:rsidP="37EFC250">
      <w:pPr>
        <w:spacing w:after="120"/>
        <w:rPr>
          <w:rFonts w:ascii="Franklin Gothic Book" w:eastAsia="Franklin Gothic Book" w:hAnsi="Franklin Gothic Book" w:cs="Franklin Gothic Book"/>
          <w:color w:val="000000" w:themeColor="text1"/>
        </w:rPr>
      </w:pPr>
      <w:r w:rsidRPr="00797379">
        <w:rPr>
          <w:noProof/>
        </w:rPr>
        <w:drawing>
          <wp:inline distT="0" distB="0" distL="0" distR="0" wp14:anchorId="306FF0FC" wp14:editId="0D2ECDBC">
            <wp:extent cx="5905500" cy="2743200"/>
            <wp:effectExtent l="0" t="0" r="0" b="0"/>
            <wp:docPr id="1578312916" name="Chart 1" descr="This is a clustered column chart showing the percentage of students meeting or exceeding expectations for MCAS in ELA, Math, and Science for Winchester and the state. In all instances, Winchester has a larger percentage of students meeting or exceeding expectations than the state average.">
              <a:extLst xmlns:a="http://schemas.openxmlformats.org/drawingml/2006/main">
                <a:ext uri="{FF2B5EF4-FFF2-40B4-BE49-F238E27FC236}">
                  <a16:creationId xmlns:a16="http://schemas.microsoft.com/office/drawing/2014/main" id="{91769E6C-52CA-564D-B52C-AF8B67F5D2F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2B138D80" w14:textId="2BD60CB1" w:rsidR="00A942D3" w:rsidRPr="00797379" w:rsidRDefault="0054106B" w:rsidP="00D72A67">
      <w:pPr>
        <w:pStyle w:val="BodyText"/>
      </w:pPr>
      <w:r w:rsidRPr="00797379">
        <w:t>WPS</w:t>
      </w:r>
      <w:r w:rsidR="009514FC">
        <w:t>’s</w:t>
      </w:r>
      <w:r w:rsidR="008B56DD" w:rsidRPr="00797379">
        <w:t xml:space="preserve"> H</w:t>
      </w:r>
      <w:r w:rsidR="30193FFC" w:rsidRPr="00797379">
        <w:t xml:space="preserve">igh </w:t>
      </w:r>
      <w:r w:rsidR="008B56DD" w:rsidRPr="00797379">
        <w:t>N</w:t>
      </w:r>
      <w:r w:rsidR="30193FFC" w:rsidRPr="00797379">
        <w:t>eeds</w:t>
      </w:r>
      <w:r w:rsidR="00826AEA">
        <w:t xml:space="preserve"> students</w:t>
      </w:r>
      <w:r w:rsidR="009514FC">
        <w:t>, who</w:t>
      </w:r>
      <w:r w:rsidR="00826AEA">
        <w:t xml:space="preserve"> </w:t>
      </w:r>
      <w:r w:rsidR="30193FFC" w:rsidRPr="00797379">
        <w:t xml:space="preserve">comprise </w:t>
      </w:r>
      <w:r w:rsidR="00487370" w:rsidRPr="00797379">
        <w:t>28.1</w:t>
      </w:r>
      <w:r w:rsidR="00ED6493" w:rsidRPr="00797379">
        <w:t xml:space="preserve"> </w:t>
      </w:r>
      <w:r w:rsidR="30193FFC" w:rsidRPr="00797379">
        <w:t>percent of the district in 202</w:t>
      </w:r>
      <w:r w:rsidR="00ED6493" w:rsidRPr="00797379">
        <w:t>5</w:t>
      </w:r>
      <w:r w:rsidR="30193FFC" w:rsidRPr="00797379">
        <w:t>, met or exceeded expectations on the 202</w:t>
      </w:r>
      <w:r w:rsidR="00ED6493" w:rsidRPr="00797379">
        <w:t>5</w:t>
      </w:r>
      <w:r w:rsidR="30193FFC" w:rsidRPr="00797379">
        <w:t xml:space="preserve"> MCAS assessments at rates </w:t>
      </w:r>
      <w:r w:rsidR="00487370" w:rsidRPr="00797379">
        <w:t>8</w:t>
      </w:r>
      <w:r w:rsidR="00ED6493" w:rsidRPr="00797379">
        <w:t xml:space="preserve"> </w:t>
      </w:r>
      <w:r w:rsidR="30193FFC" w:rsidRPr="00797379">
        <w:t xml:space="preserve">to </w:t>
      </w:r>
      <w:r w:rsidR="00487370" w:rsidRPr="00797379">
        <w:t>28</w:t>
      </w:r>
      <w:r w:rsidR="00ED6493" w:rsidRPr="00797379">
        <w:t xml:space="preserve"> </w:t>
      </w:r>
      <w:r w:rsidR="30193FFC" w:rsidRPr="00797379">
        <w:t xml:space="preserve">percentage points </w:t>
      </w:r>
      <w:r w:rsidR="00BE58FB" w:rsidRPr="00797379">
        <w:t>above</w:t>
      </w:r>
      <w:r w:rsidR="30193FFC" w:rsidRPr="00797379">
        <w:t xml:space="preserve"> </w:t>
      </w:r>
      <w:r w:rsidR="008B56DD" w:rsidRPr="00797379">
        <w:t xml:space="preserve">High Needs </w:t>
      </w:r>
      <w:r w:rsidR="00E11623" w:rsidRPr="00797379">
        <w:t xml:space="preserve">students </w:t>
      </w:r>
      <w:r w:rsidR="30193FFC" w:rsidRPr="00797379">
        <w:t>across the state (Figure 4).</w:t>
      </w:r>
    </w:p>
    <w:p w14:paraId="54408CEB" w14:textId="61933A76" w:rsidR="00A942D3" w:rsidRPr="00797379" w:rsidRDefault="30193FFC" w:rsidP="37EFC250">
      <w:pPr>
        <w:pStyle w:val="TableTitle0"/>
        <w:rPr>
          <w:rFonts w:eastAsia="Franklin Gothic Demi" w:cs="Franklin Gothic Demi"/>
          <w:color w:val="000000" w:themeColor="text1"/>
        </w:rPr>
      </w:pPr>
      <w:bookmarkStart w:id="23" w:name="_Toc220932405"/>
      <w:r w:rsidRPr="00797379">
        <w:rPr>
          <w:rFonts w:eastAsia="Franklin Gothic Demi" w:cs="Franklin Gothic Demi"/>
          <w:color w:val="000000" w:themeColor="text1"/>
        </w:rPr>
        <w:t>Figure 4. Percentage of High Needs Students Meeting or Exceeding Expectations, MCAS, 202</w:t>
      </w:r>
      <w:r w:rsidR="00ED6493" w:rsidRPr="00797379">
        <w:rPr>
          <w:rFonts w:eastAsia="Franklin Gothic Demi" w:cs="Franklin Gothic Demi"/>
          <w:color w:val="000000" w:themeColor="text1"/>
        </w:rPr>
        <w:t>5</w:t>
      </w:r>
      <w:bookmarkEnd w:id="23"/>
    </w:p>
    <w:p w14:paraId="6A6E2DF7" w14:textId="1AA3BD30" w:rsidR="00A942D3" w:rsidRPr="00797379" w:rsidRDefault="00FC630F" w:rsidP="37EFC250">
      <w:pPr>
        <w:spacing w:after="120"/>
        <w:rPr>
          <w:rFonts w:ascii="Franklin Gothic Book" w:eastAsia="Franklin Gothic Book" w:hAnsi="Franklin Gothic Book" w:cs="Franklin Gothic Book"/>
          <w:color w:val="000000" w:themeColor="text1"/>
        </w:rPr>
      </w:pPr>
      <w:r w:rsidRPr="00797379">
        <w:rPr>
          <w:noProof/>
        </w:rPr>
        <w:drawing>
          <wp:inline distT="0" distB="0" distL="0" distR="0" wp14:anchorId="169DA777" wp14:editId="673C5681">
            <wp:extent cx="5915025" cy="2743200"/>
            <wp:effectExtent l="0" t="0" r="9525" b="0"/>
            <wp:docPr id="908494295" name="Chart 1" descr="This is a clustered column chart showing the percentage of High Needs students meeting or exceeding expectations for MCAS in ELA, Math, and Science for Winchester and the state. In all instances, Winchester has a larger percentage of High Needs students meeting or exceeding expectations than the state average.">
              <a:extLst xmlns:a="http://schemas.openxmlformats.org/drawingml/2006/main">
                <a:ext uri="{FF2B5EF4-FFF2-40B4-BE49-F238E27FC236}">
                  <a16:creationId xmlns:a16="http://schemas.microsoft.com/office/drawing/2014/main" id="{1102F843-E1E7-0119-BF01-FD2371EFF9F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53F4134F" w14:textId="5E2D2392" w:rsidR="00A942D3" w:rsidRPr="00797379" w:rsidRDefault="00B91441" w:rsidP="00D72A67">
      <w:pPr>
        <w:pStyle w:val="BodyText"/>
      </w:pPr>
      <w:r w:rsidRPr="00797379">
        <w:t>WPS’s</w:t>
      </w:r>
      <w:r w:rsidR="00402344" w:rsidRPr="00797379">
        <w:t xml:space="preserve"> </w:t>
      </w:r>
      <w:r w:rsidR="30193FFC" w:rsidRPr="00797379">
        <w:t>202</w:t>
      </w:r>
      <w:r w:rsidR="00ED6493" w:rsidRPr="00797379">
        <w:t>4</w:t>
      </w:r>
      <w:r w:rsidR="30193FFC" w:rsidRPr="00797379">
        <w:t xml:space="preserve"> four-year cohort graduation rate </w:t>
      </w:r>
      <w:r w:rsidRPr="00797379">
        <w:t>(</w:t>
      </w:r>
      <w:r w:rsidR="00402344" w:rsidRPr="00797379">
        <w:t xml:space="preserve">95.6 </w:t>
      </w:r>
      <w:r w:rsidR="30193FFC" w:rsidRPr="00797379">
        <w:t xml:space="preserve">percent) was </w:t>
      </w:r>
      <w:r w:rsidR="00402344" w:rsidRPr="00797379">
        <w:t xml:space="preserve">7.2 </w:t>
      </w:r>
      <w:r w:rsidR="30193FFC" w:rsidRPr="00797379">
        <w:t xml:space="preserve">percentage points </w:t>
      </w:r>
      <w:r w:rsidR="00ED6493" w:rsidRPr="00797379">
        <w:t>higher</w:t>
      </w:r>
      <w:r w:rsidR="30193FFC" w:rsidRPr="00797379">
        <w:t xml:space="preserve"> than the state rate </w:t>
      </w:r>
      <w:r w:rsidRPr="00797379">
        <w:t>(</w:t>
      </w:r>
      <w:r w:rsidR="00C336B0" w:rsidRPr="00797379">
        <w:t>88.4</w:t>
      </w:r>
      <w:r w:rsidR="00D72A67" w:rsidRPr="00797379">
        <w:t> </w:t>
      </w:r>
      <w:r w:rsidR="30193FFC" w:rsidRPr="00797379">
        <w:t>percent). Furthermore</w:t>
      </w:r>
      <w:r w:rsidR="00E11623">
        <w:t>,</w:t>
      </w:r>
      <w:r w:rsidR="008705C2">
        <w:t xml:space="preserve"> in 2024</w:t>
      </w:r>
      <w:r w:rsidR="30193FFC" w:rsidRPr="00797379">
        <w:t xml:space="preserve">, the district’s dropout rate </w:t>
      </w:r>
      <w:r w:rsidR="008705C2">
        <w:t>was</w:t>
      </w:r>
      <w:r w:rsidR="30193FFC" w:rsidRPr="00797379">
        <w:t xml:space="preserve"> </w:t>
      </w:r>
      <w:r w:rsidR="00D07069">
        <w:t>1.9 percentage points less than the state rate</w:t>
      </w:r>
      <w:r w:rsidR="00BF65D4">
        <w:t xml:space="preserve"> (0.1</w:t>
      </w:r>
      <w:r w:rsidR="00700545">
        <w:t xml:space="preserve"> percent</w:t>
      </w:r>
      <w:r w:rsidR="00BF65D4">
        <w:t xml:space="preserve"> vs. 2.0</w:t>
      </w:r>
      <w:r w:rsidR="00700545">
        <w:t xml:space="preserve"> percent</w:t>
      </w:r>
      <w:r w:rsidR="00BF65D4">
        <w:t>)</w:t>
      </w:r>
      <w:r w:rsidR="00C336B0" w:rsidRPr="00797379">
        <w:t>.</w:t>
      </w:r>
    </w:p>
    <w:p w14:paraId="217B70F2" w14:textId="36F63981" w:rsidR="00A942D3" w:rsidRPr="00797379" w:rsidRDefault="30193FFC" w:rsidP="00D72A67">
      <w:pPr>
        <w:pStyle w:val="BodyText"/>
      </w:pPr>
      <w:r w:rsidRPr="00797379">
        <w:t xml:space="preserve">Of students who graduated from </w:t>
      </w:r>
      <w:r w:rsidR="000624B7" w:rsidRPr="00797379">
        <w:t>WPS</w:t>
      </w:r>
      <w:r w:rsidRPr="00797379">
        <w:t xml:space="preserve"> in 202</w:t>
      </w:r>
      <w:r w:rsidR="00ED6493" w:rsidRPr="00797379">
        <w:t>3</w:t>
      </w:r>
      <w:r w:rsidRPr="00797379">
        <w:t>-202</w:t>
      </w:r>
      <w:r w:rsidR="00ED6493" w:rsidRPr="00797379">
        <w:t>4</w:t>
      </w:r>
      <w:r w:rsidRPr="00797379">
        <w:t xml:space="preserve">, </w:t>
      </w:r>
      <w:r w:rsidR="00FC693F" w:rsidRPr="00797379">
        <w:rPr>
          <w:color w:val="000000" w:themeColor="text1"/>
        </w:rPr>
        <w:t xml:space="preserve">84.1 </w:t>
      </w:r>
      <w:r w:rsidRPr="00797379">
        <w:t>percent went on to attend college or university by March 202</w:t>
      </w:r>
      <w:r w:rsidR="00ED6493" w:rsidRPr="00797379">
        <w:t>5</w:t>
      </w:r>
      <w:r w:rsidRPr="00797379">
        <w:t xml:space="preserve">, which is </w:t>
      </w:r>
      <w:r w:rsidR="00712EF0" w:rsidRPr="00797379">
        <w:t>more</w:t>
      </w:r>
      <w:r w:rsidRPr="00797379">
        <w:t xml:space="preserve"> </w:t>
      </w:r>
      <w:r w:rsidR="001A30E7" w:rsidRPr="00797379">
        <w:t xml:space="preserve">than </w:t>
      </w:r>
      <w:r w:rsidRPr="00797379">
        <w:t xml:space="preserve">the state rate of </w:t>
      </w:r>
      <w:r w:rsidR="00712EF0" w:rsidRPr="00797379">
        <w:rPr>
          <w:color w:val="000000" w:themeColor="text1"/>
        </w:rPr>
        <w:t xml:space="preserve">63.5 </w:t>
      </w:r>
      <w:r w:rsidRPr="00797379">
        <w:t xml:space="preserve">percent. Additionally, </w:t>
      </w:r>
      <w:r w:rsidR="00BB2E28">
        <w:rPr>
          <w:color w:val="000000" w:themeColor="text1"/>
        </w:rPr>
        <w:t xml:space="preserve">2.2 </w:t>
      </w:r>
      <w:r w:rsidRPr="00797379">
        <w:t>percent of 202</w:t>
      </w:r>
      <w:r w:rsidR="00224E41">
        <w:t>4</w:t>
      </w:r>
      <w:r w:rsidRPr="00797379">
        <w:t>-202</w:t>
      </w:r>
      <w:r w:rsidR="00224E41">
        <w:t>5</w:t>
      </w:r>
      <w:r w:rsidRPr="00797379">
        <w:t xml:space="preserve"> graduates planned on entering the workforce or an apprenticeship after high school compared </w:t>
      </w:r>
      <w:r w:rsidR="000624B7" w:rsidRPr="00797379">
        <w:t>with</w:t>
      </w:r>
      <w:r w:rsidRPr="00797379">
        <w:t xml:space="preserve"> </w:t>
      </w:r>
      <w:r w:rsidR="00CD145E">
        <w:rPr>
          <w:color w:val="000000" w:themeColor="text1"/>
        </w:rPr>
        <w:t>13.8</w:t>
      </w:r>
      <w:r w:rsidR="00712EF0" w:rsidRPr="00797379">
        <w:rPr>
          <w:color w:val="000000" w:themeColor="text1"/>
        </w:rPr>
        <w:t xml:space="preserve"> </w:t>
      </w:r>
      <w:r w:rsidRPr="00797379">
        <w:t>percent of students across the state.</w:t>
      </w:r>
    </w:p>
    <w:p w14:paraId="48490565" w14:textId="62F7B103" w:rsidR="00A942D3" w:rsidRPr="00797379" w:rsidRDefault="30193FFC" w:rsidP="37EFC250">
      <w:pPr>
        <w:pStyle w:val="BodyText"/>
        <w:rPr>
          <w:rFonts w:ascii="Franklin Gothic Book" w:eastAsia="Franklin Gothic Book" w:hAnsi="Franklin Gothic Book" w:cs="Franklin Gothic Book"/>
        </w:rPr>
      </w:pPr>
      <w:r w:rsidRPr="00797379">
        <w:rPr>
          <w:rFonts w:ascii="Franklin Gothic Book" w:eastAsia="Franklin Gothic Book" w:hAnsi="Franklin Gothic Book" w:cs="Franklin Gothic Book"/>
        </w:rPr>
        <w:t>In 202</w:t>
      </w:r>
      <w:r w:rsidR="00ED6493" w:rsidRPr="00797379">
        <w:rPr>
          <w:rFonts w:ascii="Franklin Gothic Book" w:eastAsia="Franklin Gothic Book" w:hAnsi="Franklin Gothic Book" w:cs="Franklin Gothic Book"/>
        </w:rPr>
        <w:t>5</w:t>
      </w:r>
      <w:r w:rsidR="007E5815" w:rsidRPr="00797379">
        <w:rPr>
          <w:rFonts w:ascii="Franklin Gothic Book" w:eastAsia="Franklin Gothic Book" w:hAnsi="Franklin Gothic Book" w:cs="Franklin Gothic Book"/>
        </w:rPr>
        <w:t>, in</w:t>
      </w:r>
      <w:r w:rsidRPr="00797379">
        <w:rPr>
          <w:rFonts w:ascii="Franklin Gothic Book" w:eastAsia="Franklin Gothic Book" w:hAnsi="Franklin Gothic Book" w:cs="Franklin Gothic Book"/>
        </w:rPr>
        <w:t xml:space="preserve"> statewide accountability results, </w:t>
      </w:r>
      <w:r w:rsidR="001A30E7" w:rsidRPr="00797379">
        <w:rPr>
          <w:rFonts w:ascii="Franklin Gothic Book" w:eastAsia="Franklin Gothic Book" w:hAnsi="Franklin Gothic Book" w:cs="Franklin Gothic Book"/>
          <w:color w:val="000000" w:themeColor="text1"/>
        </w:rPr>
        <w:t>no</w:t>
      </w:r>
      <w:r w:rsidR="00ED6493" w:rsidRPr="00797379">
        <w:rPr>
          <w:rFonts w:ascii="Franklin Gothic Book" w:eastAsia="Franklin Gothic Book" w:hAnsi="Franklin Gothic Book" w:cs="Franklin Gothic Book"/>
          <w:color w:val="000000" w:themeColor="text1"/>
        </w:rPr>
        <w:t xml:space="preserve"> </w:t>
      </w:r>
      <w:r w:rsidRPr="00797379">
        <w:rPr>
          <w:rFonts w:ascii="Franklin Gothic Book" w:eastAsia="Franklin Gothic Book" w:hAnsi="Franklin Gothic Book" w:cs="Franklin Gothic Book"/>
        </w:rPr>
        <w:t xml:space="preserve">schools </w:t>
      </w:r>
      <w:r w:rsidR="007E5815" w:rsidRPr="00797379">
        <w:rPr>
          <w:rFonts w:ascii="Franklin Gothic Book" w:eastAsia="Franklin Gothic Book" w:hAnsi="Franklin Gothic Book" w:cs="Franklin Gothic Book"/>
        </w:rPr>
        <w:t xml:space="preserve">in WPS </w:t>
      </w:r>
      <w:r w:rsidRPr="00797379">
        <w:rPr>
          <w:rFonts w:ascii="Franklin Gothic Book" w:eastAsia="Franklin Gothic Book" w:hAnsi="Franklin Gothic Book" w:cs="Franklin Gothic Book"/>
        </w:rPr>
        <w:t>were identified as requiring assistance or intervention</w:t>
      </w:r>
      <w:r w:rsidR="00AD075C">
        <w:rPr>
          <w:rFonts w:ascii="Franklin Gothic Book" w:eastAsia="Franklin Gothic Book" w:hAnsi="Franklin Gothic Book" w:cs="Franklin Gothic Book"/>
        </w:rPr>
        <w:t>.</w:t>
      </w:r>
      <w:r w:rsidRPr="00797379">
        <w:rPr>
          <w:rFonts w:ascii="Franklin Gothic Book" w:eastAsia="Franklin Gothic Book" w:hAnsi="Franklin Gothic Book" w:cs="Franklin Gothic Book"/>
        </w:rPr>
        <w:t xml:space="preserve"> </w:t>
      </w:r>
      <w:r w:rsidR="00700545">
        <w:rPr>
          <w:rFonts w:ascii="Franklin Gothic Book" w:eastAsia="Franklin Gothic Book" w:hAnsi="Franklin Gothic Book" w:cs="Franklin Gothic Book"/>
        </w:rPr>
        <w:t>A</w:t>
      </w:r>
      <w:r w:rsidR="00341CBE">
        <w:rPr>
          <w:rFonts w:ascii="Franklin Gothic Book" w:eastAsia="Franklin Gothic Book" w:hAnsi="Franklin Gothic Book" w:cs="Franklin Gothic Book"/>
        </w:rPr>
        <w:t xml:space="preserve">ll schools </w:t>
      </w:r>
      <w:r w:rsidR="00700545">
        <w:rPr>
          <w:rFonts w:ascii="Franklin Gothic Book" w:eastAsia="Franklin Gothic Book" w:hAnsi="Franklin Gothic Book" w:cs="Franklin Gothic Book"/>
        </w:rPr>
        <w:t>we</w:t>
      </w:r>
      <w:r w:rsidR="00341CBE">
        <w:rPr>
          <w:rFonts w:ascii="Franklin Gothic Book" w:eastAsia="Franklin Gothic Book" w:hAnsi="Franklin Gothic Book" w:cs="Franklin Gothic Book"/>
        </w:rPr>
        <w:t xml:space="preserve">re </w:t>
      </w:r>
      <w:r w:rsidR="00700545">
        <w:rPr>
          <w:rFonts w:ascii="Franklin Gothic Book" w:eastAsia="Franklin Gothic Book" w:hAnsi="Franklin Gothic Book" w:cs="Franklin Gothic Book"/>
        </w:rPr>
        <w:t xml:space="preserve">at or above </w:t>
      </w:r>
      <w:r w:rsidR="00341CBE">
        <w:rPr>
          <w:rFonts w:ascii="Franklin Gothic Book" w:eastAsia="Franklin Gothic Book" w:hAnsi="Franklin Gothic Book" w:cs="Franklin Gothic Book"/>
        </w:rPr>
        <w:t>the 90</w:t>
      </w:r>
      <w:r w:rsidR="00341CBE" w:rsidRPr="00341CBE">
        <w:rPr>
          <w:rFonts w:ascii="Franklin Gothic Book" w:eastAsia="Franklin Gothic Book" w:hAnsi="Franklin Gothic Book" w:cs="Franklin Gothic Book"/>
          <w:vertAlign w:val="superscript"/>
        </w:rPr>
        <w:t>th</w:t>
      </w:r>
      <w:r w:rsidR="00341CBE">
        <w:rPr>
          <w:rFonts w:ascii="Franklin Gothic Book" w:eastAsia="Franklin Gothic Book" w:hAnsi="Franklin Gothic Book" w:cs="Franklin Gothic Book"/>
        </w:rPr>
        <w:t xml:space="preserve"> percentile of schools </w:t>
      </w:r>
      <w:r w:rsidR="00700545">
        <w:rPr>
          <w:rFonts w:ascii="Franklin Gothic Book" w:eastAsia="Franklin Gothic Book" w:hAnsi="Franklin Gothic Book" w:cs="Franklin Gothic Book"/>
        </w:rPr>
        <w:t>as compared to other schools within the same gradespan</w:t>
      </w:r>
      <w:r w:rsidR="00341CBE">
        <w:rPr>
          <w:rFonts w:ascii="Franklin Gothic Book" w:eastAsia="Franklin Gothic Book" w:hAnsi="Franklin Gothic Book" w:cs="Franklin Gothic Book"/>
        </w:rPr>
        <w:t>.</w:t>
      </w:r>
    </w:p>
    <w:p w14:paraId="542B66B4" w14:textId="1BA187DB" w:rsidR="00A942D3" w:rsidRPr="00797379" w:rsidRDefault="00EB5685" w:rsidP="37EFC250">
      <w:pPr>
        <w:pStyle w:val="BodyText"/>
        <w:rPr>
          <w:rFonts w:ascii="Franklin Gothic Book" w:eastAsia="Franklin Gothic Book" w:hAnsi="Franklin Gothic Book" w:cs="Franklin Gothic Book"/>
          <w:color w:val="000000" w:themeColor="text1"/>
        </w:rPr>
      </w:pPr>
      <w:r w:rsidRPr="00797379">
        <w:rPr>
          <w:rFonts w:ascii="Franklin Gothic Book" w:eastAsia="Franklin Gothic Book" w:hAnsi="Franklin Gothic Book" w:cs="Franklin Gothic Book"/>
        </w:rPr>
        <w:t>In fiscal year 2024, the total in-district per-pupil expenditure for</w:t>
      </w:r>
      <w:r w:rsidR="00D72A67" w:rsidRPr="00797379">
        <w:rPr>
          <w:rFonts w:ascii="Franklin Gothic Book" w:eastAsia="Franklin Gothic Book" w:hAnsi="Franklin Gothic Book" w:cs="Franklin Gothic Book"/>
        </w:rPr>
        <w:t xml:space="preserve"> </w:t>
      </w:r>
      <w:r w:rsidRPr="00797379">
        <w:rPr>
          <w:rFonts w:ascii="Franklin Gothic Book" w:eastAsia="Franklin Gothic Book" w:hAnsi="Franklin Gothic Book" w:cs="Franklin Gothic Book"/>
        </w:rPr>
        <w:t>Winchester</w:t>
      </w:r>
      <w:r w:rsidR="00D72A67" w:rsidRPr="00797379">
        <w:rPr>
          <w:rFonts w:ascii="Franklin Gothic Book" w:eastAsia="Franklin Gothic Book" w:hAnsi="Franklin Gothic Book" w:cs="Franklin Gothic Book"/>
        </w:rPr>
        <w:t xml:space="preserve"> </w:t>
      </w:r>
      <w:r w:rsidRPr="00797379">
        <w:rPr>
          <w:rFonts w:ascii="Franklin Gothic Book" w:eastAsia="Franklin Gothic Book" w:hAnsi="Franklin Gothic Book" w:cs="Franklin Gothic Book"/>
        </w:rPr>
        <w:t xml:space="preserve">was $18,726, which </w:t>
      </w:r>
      <w:r w:rsidR="00CC6B38" w:rsidRPr="00797379">
        <w:rPr>
          <w:rFonts w:ascii="Franklin Gothic Book" w:eastAsia="Franklin Gothic Book" w:hAnsi="Franklin Gothic Book" w:cs="Franklin Gothic Book"/>
        </w:rPr>
        <w:t xml:space="preserve">was </w:t>
      </w:r>
      <w:r w:rsidRPr="00797379">
        <w:rPr>
          <w:rFonts w:ascii="Franklin Gothic Book" w:eastAsia="Franklin Gothic Book" w:hAnsi="Franklin Gothic Book" w:cs="Franklin Gothic Book"/>
        </w:rPr>
        <w:t>$2,515 less</w:t>
      </w:r>
      <w:r w:rsidR="00D72A67" w:rsidRPr="00797379">
        <w:rPr>
          <w:rFonts w:ascii="Franklin Gothic Book" w:eastAsia="Franklin Gothic Book" w:hAnsi="Franklin Gothic Book" w:cs="Franklin Gothic Book"/>
        </w:rPr>
        <w:t xml:space="preserve"> </w:t>
      </w:r>
      <w:r w:rsidRPr="00797379">
        <w:rPr>
          <w:rFonts w:ascii="Franklin Gothic Book" w:eastAsia="Franklin Gothic Book" w:hAnsi="Franklin Gothic Book" w:cs="Franklin Gothic Book"/>
        </w:rPr>
        <w:t>than the average in-district per-pupil expenditure in districts with similar demographics ($21,241), and</w:t>
      </w:r>
      <w:r w:rsidR="00D72A67" w:rsidRPr="00797379">
        <w:rPr>
          <w:rFonts w:ascii="Franklin Gothic Book" w:eastAsia="Franklin Gothic Book" w:hAnsi="Franklin Gothic Book" w:cs="Franklin Gothic Book"/>
        </w:rPr>
        <w:t xml:space="preserve"> </w:t>
      </w:r>
      <w:r w:rsidRPr="00797379">
        <w:rPr>
          <w:rFonts w:ascii="Franklin Gothic Book" w:eastAsia="Franklin Gothic Book" w:hAnsi="Franklin Gothic Book" w:cs="Franklin Gothic Book"/>
        </w:rPr>
        <w:t>$3,804 less</w:t>
      </w:r>
      <w:r w:rsidR="00D72A67" w:rsidRPr="00797379">
        <w:rPr>
          <w:rFonts w:ascii="Franklin Gothic Book" w:eastAsia="Franklin Gothic Book" w:hAnsi="Franklin Gothic Book" w:cs="Franklin Gothic Book"/>
        </w:rPr>
        <w:t xml:space="preserve"> </w:t>
      </w:r>
      <w:r w:rsidRPr="00797379">
        <w:rPr>
          <w:rFonts w:ascii="Franklin Gothic Book" w:eastAsia="Franklin Gothic Book" w:hAnsi="Franklin Gothic Book" w:cs="Franklin Gothic Book"/>
        </w:rPr>
        <w:t>than the average in-district per-pupil expenditures in districts of similar wealth ($22,530).</w:t>
      </w:r>
      <w:r w:rsidR="00D72A67" w:rsidRPr="00797379">
        <w:rPr>
          <w:rFonts w:ascii="Franklin Gothic Book" w:eastAsia="Franklin Gothic Book" w:hAnsi="Franklin Gothic Book" w:cs="Franklin Gothic Book"/>
        </w:rPr>
        <w:t xml:space="preserve"> </w:t>
      </w:r>
      <w:r w:rsidRPr="00797379">
        <w:rPr>
          <w:rFonts w:ascii="Franklin Gothic Book" w:eastAsia="Franklin Gothic Book" w:hAnsi="Franklin Gothic Book" w:cs="Franklin Gothic Book"/>
        </w:rPr>
        <w:t>In-district per</w:t>
      </w:r>
      <w:r w:rsidR="00633A51" w:rsidRPr="00797379">
        <w:rPr>
          <w:rFonts w:ascii="Franklin Gothic Book" w:eastAsia="Franklin Gothic Book" w:hAnsi="Franklin Gothic Book" w:cs="Franklin Gothic Book"/>
        </w:rPr>
        <w:t>-</w:t>
      </w:r>
      <w:r w:rsidRPr="00797379">
        <w:rPr>
          <w:rFonts w:ascii="Franklin Gothic Book" w:eastAsia="Franklin Gothic Book" w:hAnsi="Franklin Gothic Book" w:cs="Franklin Gothic Book"/>
        </w:rPr>
        <w:t>pupil expenditures for</w:t>
      </w:r>
      <w:r w:rsidR="00D72A67" w:rsidRPr="00797379">
        <w:rPr>
          <w:rFonts w:ascii="Franklin Gothic Book" w:eastAsia="Franklin Gothic Book" w:hAnsi="Franklin Gothic Book" w:cs="Franklin Gothic Book"/>
        </w:rPr>
        <w:t xml:space="preserve"> </w:t>
      </w:r>
      <w:r w:rsidRPr="00797379">
        <w:rPr>
          <w:rFonts w:ascii="Franklin Gothic Book" w:eastAsia="Franklin Gothic Book" w:hAnsi="Franklin Gothic Book" w:cs="Franklin Gothic Book"/>
        </w:rPr>
        <w:t>Winchester</w:t>
      </w:r>
      <w:r w:rsidR="00D72A67" w:rsidRPr="00797379">
        <w:rPr>
          <w:rFonts w:ascii="Franklin Gothic Book" w:eastAsia="Franklin Gothic Book" w:hAnsi="Franklin Gothic Book" w:cs="Franklin Gothic Book"/>
        </w:rPr>
        <w:t xml:space="preserve"> </w:t>
      </w:r>
      <w:r w:rsidRPr="00797379">
        <w:rPr>
          <w:rFonts w:ascii="Franklin Gothic Book" w:eastAsia="Franklin Gothic Book" w:hAnsi="Franklin Gothic Book" w:cs="Franklin Gothic Book"/>
        </w:rPr>
        <w:t>were</w:t>
      </w:r>
      <w:r w:rsidR="00D72A67" w:rsidRPr="00797379">
        <w:rPr>
          <w:rFonts w:ascii="Franklin Gothic Book" w:eastAsia="Franklin Gothic Book" w:hAnsi="Franklin Gothic Book" w:cs="Franklin Gothic Book"/>
        </w:rPr>
        <w:t xml:space="preserve"> </w:t>
      </w:r>
      <w:r w:rsidRPr="00797379">
        <w:rPr>
          <w:rFonts w:ascii="Franklin Gothic Book" w:eastAsia="Franklin Gothic Book" w:hAnsi="Franklin Gothic Book" w:cs="Franklin Gothic Book"/>
        </w:rPr>
        <w:t>$3,682</w:t>
      </w:r>
      <w:r w:rsidR="00D72A67" w:rsidRPr="00797379">
        <w:rPr>
          <w:rFonts w:ascii="Franklin Gothic Book" w:eastAsia="Franklin Gothic Book" w:hAnsi="Franklin Gothic Book" w:cs="Franklin Gothic Book"/>
        </w:rPr>
        <w:t xml:space="preserve"> </w:t>
      </w:r>
      <w:r w:rsidRPr="00797379">
        <w:rPr>
          <w:rFonts w:ascii="Franklin Gothic Book" w:eastAsia="Franklin Gothic Book" w:hAnsi="Franklin Gothic Book" w:cs="Franklin Gothic Book"/>
        </w:rPr>
        <w:t>less</w:t>
      </w:r>
      <w:r w:rsidR="00D72A67" w:rsidRPr="00797379">
        <w:rPr>
          <w:rFonts w:ascii="Franklin Gothic Book" w:eastAsia="Franklin Gothic Book" w:hAnsi="Franklin Gothic Book" w:cs="Franklin Gothic Book"/>
        </w:rPr>
        <w:t xml:space="preserve"> </w:t>
      </w:r>
      <w:r w:rsidRPr="00797379">
        <w:rPr>
          <w:rFonts w:ascii="Franklin Gothic Book" w:eastAsia="Franklin Gothic Book" w:hAnsi="Franklin Gothic Book" w:cs="Franklin Gothic Book"/>
        </w:rPr>
        <w:t>than the average state</w:t>
      </w:r>
      <w:r w:rsidR="00D72A67" w:rsidRPr="00797379">
        <w:rPr>
          <w:rFonts w:ascii="Franklin Gothic Book" w:eastAsia="Franklin Gothic Book" w:hAnsi="Franklin Gothic Book" w:cs="Franklin Gothic Book"/>
        </w:rPr>
        <w:t xml:space="preserve"> </w:t>
      </w:r>
      <w:r w:rsidRPr="00797379">
        <w:rPr>
          <w:rFonts w:ascii="Franklin Gothic Book" w:eastAsia="Franklin Gothic Book" w:hAnsi="Franklin Gothic Book" w:cs="Franklin Gothic Book"/>
        </w:rPr>
        <w:t>in-district</w:t>
      </w:r>
      <w:r w:rsidR="00D72A67" w:rsidRPr="00797379">
        <w:rPr>
          <w:rFonts w:ascii="Franklin Gothic Book" w:eastAsia="Franklin Gothic Book" w:hAnsi="Franklin Gothic Book" w:cs="Franklin Gothic Book"/>
        </w:rPr>
        <w:t xml:space="preserve"> </w:t>
      </w:r>
      <w:r w:rsidRPr="00797379">
        <w:rPr>
          <w:rFonts w:ascii="Franklin Gothic Book" w:eastAsia="Franklin Gothic Book" w:hAnsi="Franklin Gothic Book" w:cs="Franklin Gothic Book"/>
        </w:rPr>
        <w:t>spending per pupil ($22,408). Actual net school spending</w:t>
      </w:r>
      <w:r w:rsidR="00D72A67" w:rsidRPr="00797379">
        <w:rPr>
          <w:rFonts w:ascii="Franklin Gothic Book" w:eastAsia="Franklin Gothic Book" w:hAnsi="Franklin Gothic Book" w:cs="Franklin Gothic Book"/>
        </w:rPr>
        <w:t xml:space="preserve"> </w:t>
      </w:r>
      <w:r w:rsidRPr="00797379">
        <w:rPr>
          <w:rFonts w:ascii="Franklin Gothic Book" w:eastAsia="Franklin Gothic Book" w:hAnsi="Franklin Gothic Book" w:cs="Franklin Gothic Book"/>
        </w:rPr>
        <w:t>was greater</w:t>
      </w:r>
      <w:r w:rsidR="00D72A67" w:rsidRPr="00797379">
        <w:rPr>
          <w:rFonts w:ascii="Franklin Gothic Book" w:eastAsia="Franklin Gothic Book" w:hAnsi="Franklin Gothic Book" w:cs="Franklin Gothic Book"/>
        </w:rPr>
        <w:t xml:space="preserve"> </w:t>
      </w:r>
      <w:r w:rsidRPr="00797379">
        <w:rPr>
          <w:rFonts w:ascii="Franklin Gothic Book" w:eastAsia="Franklin Gothic Book" w:hAnsi="Franklin Gothic Book" w:cs="Franklin Gothic Book"/>
        </w:rPr>
        <w:t>than what is required by the Chapter 70 state education aid program, as shown in Table D5</w:t>
      </w:r>
      <w:r w:rsidR="00D72A67" w:rsidRPr="00797379">
        <w:rPr>
          <w:rFonts w:ascii="Franklin Gothic Book" w:eastAsia="Franklin Gothic Book" w:hAnsi="Franklin Gothic Book" w:cs="Franklin Gothic Book"/>
        </w:rPr>
        <w:t xml:space="preserve"> </w:t>
      </w:r>
      <w:r w:rsidRPr="00797379">
        <w:rPr>
          <w:rFonts w:ascii="Franklin Gothic Book" w:eastAsia="Franklin Gothic Book" w:hAnsi="Franklin Gothic Book" w:cs="Franklin Gothic Book"/>
        </w:rPr>
        <w:t>in Appendix</w:t>
      </w:r>
      <w:r w:rsidR="00D72A67" w:rsidRPr="00797379">
        <w:rPr>
          <w:rFonts w:ascii="Franklin Gothic Book" w:eastAsia="Franklin Gothic Book" w:hAnsi="Franklin Gothic Book" w:cs="Franklin Gothic Book"/>
        </w:rPr>
        <w:t> </w:t>
      </w:r>
      <w:r w:rsidRPr="00797379">
        <w:rPr>
          <w:rFonts w:ascii="Franklin Gothic Book" w:eastAsia="Franklin Gothic Book" w:hAnsi="Franklin Gothic Book" w:cs="Franklin Gothic Book"/>
        </w:rPr>
        <w:t>D</w:t>
      </w:r>
      <w:r w:rsidR="30193FFC" w:rsidRPr="00797379">
        <w:rPr>
          <w:rFonts w:ascii="Franklin Gothic Book" w:eastAsia="Franklin Gothic Book" w:hAnsi="Franklin Gothic Book" w:cs="Franklin Gothic Book"/>
          <w:color w:val="000000" w:themeColor="text1"/>
        </w:rPr>
        <w:t>.</w:t>
      </w:r>
    </w:p>
    <w:p w14:paraId="6A1DF5CC" w14:textId="5E248148" w:rsidR="00A942D3" w:rsidRPr="00797379" w:rsidRDefault="30193FFC" w:rsidP="00D72A67">
      <w:pPr>
        <w:pStyle w:val="Heading3"/>
      </w:pPr>
      <w:r w:rsidRPr="00797379">
        <w:t>Classroom Observations</w:t>
      </w:r>
    </w:p>
    <w:p w14:paraId="6F7608E0" w14:textId="10FB79A2" w:rsidR="00A942D3" w:rsidRPr="00797379" w:rsidRDefault="00A63714" w:rsidP="001D599B">
      <w:pPr>
        <w:pStyle w:val="BodyTextposthead"/>
      </w:pPr>
      <w:r w:rsidRPr="00797379">
        <w:t>Three</w:t>
      </w:r>
      <w:r w:rsidR="30193FFC" w:rsidRPr="00797379">
        <w:t xml:space="preserve"> observers, who focused primarily on instruction in the classroom, visited </w:t>
      </w:r>
      <w:r w:rsidR="00D17F5C" w:rsidRPr="00797379">
        <w:t xml:space="preserve">WPS </w:t>
      </w:r>
      <w:r w:rsidR="30193FFC" w:rsidRPr="00797379">
        <w:t xml:space="preserve">during the week of </w:t>
      </w:r>
      <w:r w:rsidR="00764C77" w:rsidRPr="00797379">
        <w:t xml:space="preserve">December 8, </w:t>
      </w:r>
      <w:r w:rsidRPr="00797379">
        <w:t>2025</w:t>
      </w:r>
      <w:r w:rsidR="30193FFC" w:rsidRPr="00797379">
        <w:t xml:space="preserve">. The observers conducted </w:t>
      </w:r>
      <w:r w:rsidR="00764C77" w:rsidRPr="00797379">
        <w:t>74</w:t>
      </w:r>
      <w:r w:rsidR="30193FFC" w:rsidRPr="00797379">
        <w:t xml:space="preserve"> observations in a sample of classrooms across grade levels, focused on literacy, ELA, and mathematics. </w:t>
      </w:r>
      <w:r w:rsidR="003F7D1D" w:rsidRPr="00797379">
        <w:t>During these observations, st</w:t>
      </w:r>
      <w:r w:rsidR="00FF6B56" w:rsidRPr="00797379">
        <w:t xml:space="preserve">aff </w:t>
      </w:r>
      <w:r w:rsidR="002C40B3" w:rsidRPr="00797379">
        <w:t xml:space="preserve">also </w:t>
      </w:r>
      <w:r w:rsidR="00FB240F" w:rsidRPr="00797379">
        <w:t xml:space="preserve">monitored classrooms for the use of high-quality instructional materials, as rated on </w:t>
      </w:r>
      <w:r w:rsidR="00D17F5C" w:rsidRPr="00797379">
        <w:t>CUrriculum RAtings by TEachers (</w:t>
      </w:r>
      <w:r w:rsidR="00D17F5C" w:rsidRPr="00797379">
        <w:rPr>
          <w:rFonts w:ascii="Franklin Gothic Book" w:eastAsia="Franklin Gothic Book" w:hAnsi="Franklin Gothic Book" w:cs="Franklin Gothic Book"/>
          <w:color w:val="000000" w:themeColor="text1"/>
        </w:rPr>
        <w:t>CURATE)</w:t>
      </w:r>
      <w:r w:rsidR="00D17F5C" w:rsidRPr="00797379">
        <w:rPr>
          <w:rStyle w:val="FootnoteReference"/>
          <w:rFonts w:eastAsia="Franklin Gothic Book"/>
          <w:color w:val="000000" w:themeColor="text1"/>
        </w:rPr>
        <w:footnoteReference w:id="4"/>
      </w:r>
      <w:r w:rsidR="00FB240F" w:rsidRPr="00797379">
        <w:t xml:space="preserve"> or EdReports.</w:t>
      </w:r>
      <w:r w:rsidR="002C40B3" w:rsidRPr="00797379">
        <w:t xml:space="preserve"> T</w:t>
      </w:r>
      <w:r w:rsidR="30193FFC" w:rsidRPr="00797379">
        <w:t>he CLASS protocol guided all classroom observations in the district. These observations used the three grade-band levels of CLASS protocols: K-3, Upper Elementary (4-5), and Secondary (6</w:t>
      </w:r>
      <w:r w:rsidR="001D599B" w:rsidRPr="00797379">
        <w:t>-</w:t>
      </w:r>
      <w:r w:rsidR="30193FFC" w:rsidRPr="00797379">
        <w:t>12).</w:t>
      </w:r>
    </w:p>
    <w:p w14:paraId="6D799CEB" w14:textId="5DBA7AAD" w:rsidR="00A942D3" w:rsidRPr="00797379" w:rsidRDefault="30193FFC" w:rsidP="00D72A67">
      <w:pPr>
        <w:pStyle w:val="BodyText"/>
      </w:pPr>
      <w:r w:rsidRPr="00797379">
        <w:t>The K-3 protocol includes 10 classroom dimensions related to three domains: Emotional Support, Classroom Organization, and Instructional Support. The Upper Elementary and Secondary protocols include 11 classroom dimensions related to three domains: Emotional Support, Classroom Organization, and Instructional Support, in addition to Student Engagement. The three domains observed at all levels broadly are defined as follows:</w:t>
      </w:r>
    </w:p>
    <w:p w14:paraId="10D87567" w14:textId="7C4DB8F4" w:rsidR="00A942D3" w:rsidRPr="00797379" w:rsidRDefault="30193FFC" w:rsidP="00D72A67">
      <w:pPr>
        <w:pStyle w:val="Bullet1"/>
      </w:pPr>
      <w:r w:rsidRPr="00797379">
        <w:rPr>
          <w:rStyle w:val="Bodytextdemi0"/>
          <w:rFonts w:eastAsia="Franklin Gothic Demi" w:cs="Franklin Gothic Demi"/>
          <w:bCs w:val="0"/>
          <w:color w:val="000000" w:themeColor="text1"/>
        </w:rPr>
        <w:t>Emotional Support.</w:t>
      </w:r>
      <w:r w:rsidRPr="00797379">
        <w:t xml:space="preserve"> Describes the social-emotional functioning of the classroom, including teacher-student relationships and responsiveness to social-emotional needs.</w:t>
      </w:r>
    </w:p>
    <w:p w14:paraId="78C6E315" w14:textId="0539D551" w:rsidR="00A942D3" w:rsidRPr="00797379" w:rsidRDefault="30193FFC" w:rsidP="00D72A67">
      <w:pPr>
        <w:pStyle w:val="Bullet1"/>
      </w:pPr>
      <w:r w:rsidRPr="00797379">
        <w:rPr>
          <w:rStyle w:val="Bodytextdemi0"/>
          <w:rFonts w:eastAsia="Franklin Gothic Demi" w:cs="Franklin Gothic Demi"/>
          <w:bCs w:val="0"/>
          <w:color w:val="000000" w:themeColor="text1"/>
        </w:rPr>
        <w:t>Classroom Organization.</w:t>
      </w:r>
      <w:r w:rsidRPr="00797379">
        <w:t xml:space="preserve"> Describes the management of students’ behavior, time, and attention in the classroom.</w:t>
      </w:r>
    </w:p>
    <w:p w14:paraId="54F528EF" w14:textId="4A1D9519" w:rsidR="00A942D3" w:rsidRPr="00797379" w:rsidRDefault="30193FFC" w:rsidP="00D72A67">
      <w:pPr>
        <w:pStyle w:val="Bullet1"/>
      </w:pPr>
      <w:r w:rsidRPr="00797379">
        <w:rPr>
          <w:rStyle w:val="Bodytextdemi0"/>
          <w:rFonts w:eastAsia="Franklin Gothic Demi" w:cs="Franklin Gothic Demi"/>
          <w:bCs w:val="0"/>
          <w:color w:val="000000" w:themeColor="text1"/>
        </w:rPr>
        <w:t>Instructional Support.</w:t>
      </w:r>
      <w:r w:rsidRPr="00797379">
        <w:t xml:space="preserve"> Describes the efforts to support cognitive and language development, including cognitive demand of the assigned tasks, the focus on higher</w:t>
      </w:r>
      <w:r w:rsidR="001D599B" w:rsidRPr="00797379">
        <w:t>-</w:t>
      </w:r>
      <w:r w:rsidRPr="00797379">
        <w:t>order thinking skills, and the use of process-oriented feedback.</w:t>
      </w:r>
    </w:p>
    <w:p w14:paraId="3F1C1056" w14:textId="54116432" w:rsidR="00A942D3" w:rsidRPr="00797379" w:rsidRDefault="001D599B" w:rsidP="00803B75">
      <w:pPr>
        <w:pStyle w:val="BodyText"/>
      </w:pPr>
      <w:r w:rsidRPr="00797379">
        <w:t>T</w:t>
      </w:r>
      <w:r w:rsidR="30193FFC" w:rsidRPr="00797379">
        <w:t>he observer</w:t>
      </w:r>
      <w:r w:rsidRPr="00797379">
        <w:t>s conducted classroom visits and</w:t>
      </w:r>
      <w:r w:rsidR="30193FFC" w:rsidRPr="00797379">
        <w:t xml:space="preserve"> rate</w:t>
      </w:r>
      <w:r w:rsidRPr="00797379">
        <w:t>d</w:t>
      </w:r>
      <w:r w:rsidR="30193FFC" w:rsidRPr="00797379">
        <w:t xml:space="preserve"> each dimension (including Student Engagement) on a scale </w:t>
      </w:r>
      <w:r w:rsidRPr="00797379">
        <w:t xml:space="preserve">from </w:t>
      </w:r>
      <w:r w:rsidR="30193FFC" w:rsidRPr="00797379">
        <w:t>1 to 7. A rating of 1 or 2 (low range) indicates that the dimension was never or rarely evident during the visit. A rating of 3, 4, or 5 (middle range) indicates that the dimension was evident but not exhibited consistently or in a way that included all students. A rating of 6 or 7 (high range) indicates that the dimension was reflected in all or most classroom activities and in a way that included all or most students.</w:t>
      </w:r>
    </w:p>
    <w:p w14:paraId="241C64CF" w14:textId="7B4D0900" w:rsidR="00A942D3" w:rsidRPr="00797379" w:rsidRDefault="30193FFC" w:rsidP="00803B75">
      <w:pPr>
        <w:pStyle w:val="BodyText"/>
      </w:pPr>
      <w:r w:rsidRPr="00797379">
        <w:t xml:space="preserve">In </w:t>
      </w:r>
      <w:r w:rsidR="00333897" w:rsidRPr="00797379">
        <w:t>WPS</w:t>
      </w:r>
      <w:r w:rsidRPr="00797379">
        <w:t xml:space="preserve">, ratings are provided across three grade bands: K-5, 6-8, and 9-12. For each grade band, ratings are provided across the overarching domains as well as at individual dimensions within those domains. Figure 5 shows average ratings, by domain, for each grade band. The full report of findings from observations conducted in </w:t>
      </w:r>
      <w:r w:rsidR="00333897" w:rsidRPr="00797379">
        <w:t xml:space="preserve">WPS </w:t>
      </w:r>
      <w:r w:rsidRPr="00797379">
        <w:t>is in Appendix</w:t>
      </w:r>
      <w:r w:rsidR="00333897" w:rsidRPr="00797379">
        <w:rPr>
          <w:rFonts w:ascii="Arial" w:eastAsia="Arial" w:hAnsi="Arial" w:cs="Arial"/>
        </w:rPr>
        <w:t xml:space="preserve"> </w:t>
      </w:r>
      <w:r w:rsidRPr="00797379">
        <w:t xml:space="preserve">B, and summary results are in Tables 17, 18, and 19 in </w:t>
      </w:r>
      <w:r w:rsidR="00333897" w:rsidRPr="00797379">
        <w:t>A</w:t>
      </w:r>
      <w:r w:rsidRPr="00797379">
        <w:t>ppendix</w:t>
      </w:r>
      <w:r w:rsidR="00333897" w:rsidRPr="00797379">
        <w:t xml:space="preserve"> B</w:t>
      </w:r>
      <w:r w:rsidRPr="00797379">
        <w:t>.</w:t>
      </w:r>
    </w:p>
    <w:p w14:paraId="1C4AF23A" w14:textId="4BED034E" w:rsidR="00A942D3" w:rsidRPr="00797379" w:rsidRDefault="30193FFC" w:rsidP="00CD3927">
      <w:pPr>
        <w:pStyle w:val="TableTitle0"/>
      </w:pPr>
      <w:bookmarkStart w:id="26" w:name="_Toc220932406"/>
      <w:r w:rsidRPr="00797379">
        <w:t xml:space="preserve">Figure 5. </w:t>
      </w:r>
      <w:r w:rsidR="00C45598" w:rsidRPr="00797379">
        <w:t>Winchester</w:t>
      </w:r>
      <w:r w:rsidRPr="00797379">
        <w:t xml:space="preserve"> CLASS Domain Averages by Grade Band</w:t>
      </w:r>
      <w:bookmarkEnd w:id="26"/>
    </w:p>
    <w:p w14:paraId="33CA92AD" w14:textId="7081624D" w:rsidR="00F43949" w:rsidRPr="00797379" w:rsidRDefault="00F43949" w:rsidP="00CD3927">
      <w:pPr>
        <w:pStyle w:val="BodyTextposthead"/>
        <w:rPr>
          <w:rFonts w:ascii="Franklin Gothic Book" w:eastAsia="Franklin Gothic Book" w:hAnsi="Franklin Gothic Book" w:cs="Franklin Gothic Book"/>
          <w:color w:val="000000" w:themeColor="text1"/>
        </w:rPr>
      </w:pPr>
      <w:r w:rsidRPr="00797379">
        <w:rPr>
          <w:noProof/>
        </w:rPr>
        <w:drawing>
          <wp:inline distT="0" distB="0" distL="0" distR="0" wp14:anchorId="2EA51531" wp14:editId="09C4B110">
            <wp:extent cx="5905500" cy="2743200"/>
            <wp:effectExtent l="0" t="0" r="0" b="0"/>
            <wp:docPr id="584585954" name="Chart 1" descr="This is a clustered column chart showing CLASS domain averages by grade band. Grades K-5 scored higher than other grade bands for Emotional Support; Grades 4-5 scored higher than others for Student Engagement; and Grades 9-12 scored higher than other grade bands for Classroom Organization. Instructional Support received the lowest scores in all three grade bands. ">
              <a:extLst xmlns:a="http://schemas.openxmlformats.org/drawingml/2006/main">
                <a:ext uri="{FF2B5EF4-FFF2-40B4-BE49-F238E27FC236}">
                  <a16:creationId xmlns:a16="http://schemas.microsoft.com/office/drawing/2014/main" id="{1A3B2F75-2028-49C5-9594-67C56258519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7C3892B1" w14:textId="1BF5E912" w:rsidR="00A942D3" w:rsidRPr="00797379" w:rsidRDefault="00333897" w:rsidP="00B64978">
      <w:pPr>
        <w:pStyle w:val="BodyText"/>
      </w:pPr>
      <w:r w:rsidRPr="00797379">
        <w:t>I</w:t>
      </w:r>
      <w:r w:rsidR="30193FFC" w:rsidRPr="00797379">
        <w:t xml:space="preserve">n the </w:t>
      </w:r>
      <w:r w:rsidR="00834ECF">
        <w:t>P</w:t>
      </w:r>
      <w:r w:rsidR="30193FFC" w:rsidRPr="00797379">
        <w:t>K-5 grade band, instructional observations suggest generally strong evidence of classroom organization</w:t>
      </w:r>
      <w:r w:rsidRPr="00797379">
        <w:t xml:space="preserve">. Observations also suggest </w:t>
      </w:r>
      <w:r w:rsidR="30193FFC" w:rsidRPr="00797379">
        <w:t xml:space="preserve">moderately strong evidence of </w:t>
      </w:r>
      <w:r w:rsidRPr="00797379">
        <w:t>E</w:t>
      </w:r>
      <w:r w:rsidR="30193FFC" w:rsidRPr="00797379">
        <w:t xml:space="preserve">motional </w:t>
      </w:r>
      <w:r w:rsidRPr="00797379">
        <w:t>S</w:t>
      </w:r>
      <w:r w:rsidR="30193FFC" w:rsidRPr="00797379">
        <w:t xml:space="preserve">upport and </w:t>
      </w:r>
      <w:r w:rsidRPr="00797379">
        <w:t>S</w:t>
      </w:r>
      <w:r w:rsidR="30193FFC" w:rsidRPr="00797379">
        <w:t xml:space="preserve">tudent </w:t>
      </w:r>
      <w:r w:rsidRPr="00797379">
        <w:t>E</w:t>
      </w:r>
      <w:r w:rsidR="30193FFC" w:rsidRPr="00797379">
        <w:t xml:space="preserve">ngagement </w:t>
      </w:r>
      <w:r w:rsidRPr="00797379">
        <w:t xml:space="preserve">in </w:t>
      </w:r>
      <w:r w:rsidR="30193FFC" w:rsidRPr="00797379">
        <w:t>Grades 4-5</w:t>
      </w:r>
      <w:r w:rsidRPr="00797379">
        <w:t xml:space="preserve">, </w:t>
      </w:r>
      <w:r w:rsidR="30193FFC" w:rsidRPr="00797379">
        <w:t>and mixed evidence of consistently rigorous instructional support. In the 6-8 and 9</w:t>
      </w:r>
      <w:r w:rsidR="00641C64" w:rsidRPr="00797379">
        <w:t>-</w:t>
      </w:r>
      <w:r w:rsidR="30193FFC" w:rsidRPr="00797379">
        <w:t>12</w:t>
      </w:r>
      <w:r w:rsidR="005C7A57" w:rsidRPr="00797379">
        <w:t xml:space="preserve"> </w:t>
      </w:r>
      <w:r w:rsidR="30193FFC" w:rsidRPr="00797379">
        <w:t xml:space="preserve">grade bands, instructional observations provide evidence of consistently strong classroom organization and mixed evidence of consistently strong </w:t>
      </w:r>
      <w:r w:rsidR="005C7A57" w:rsidRPr="00797379">
        <w:t>E</w:t>
      </w:r>
      <w:r w:rsidR="30193FFC" w:rsidRPr="00797379">
        <w:t xml:space="preserve">motional </w:t>
      </w:r>
      <w:r w:rsidR="005C7A57" w:rsidRPr="00797379">
        <w:t>S</w:t>
      </w:r>
      <w:r w:rsidR="30193FFC" w:rsidRPr="00797379">
        <w:t xml:space="preserve">upport, </w:t>
      </w:r>
      <w:r w:rsidR="005C7A57" w:rsidRPr="00797379">
        <w:t>S</w:t>
      </w:r>
      <w:r w:rsidR="30193FFC" w:rsidRPr="00797379">
        <w:t xml:space="preserve">tudent </w:t>
      </w:r>
      <w:r w:rsidR="005C7A57" w:rsidRPr="00797379">
        <w:t>E</w:t>
      </w:r>
      <w:r w:rsidR="30193FFC" w:rsidRPr="00797379">
        <w:t xml:space="preserve">ngagement, and rigorous </w:t>
      </w:r>
      <w:r w:rsidR="005C7A57" w:rsidRPr="00797379">
        <w:t>I</w:t>
      </w:r>
      <w:r w:rsidR="30193FFC" w:rsidRPr="00797379">
        <w:t xml:space="preserve">nstructional </w:t>
      </w:r>
      <w:r w:rsidR="005C7A57" w:rsidRPr="00797379">
        <w:t>S</w:t>
      </w:r>
      <w:r w:rsidR="30193FFC" w:rsidRPr="00797379">
        <w:t>upport.</w:t>
      </w:r>
    </w:p>
    <w:p w14:paraId="5A4DB43F" w14:textId="77777777" w:rsidR="008D6102" w:rsidRPr="00797379" w:rsidRDefault="008D6102" w:rsidP="00B64978">
      <w:pPr>
        <w:pStyle w:val="Heading2"/>
      </w:pPr>
      <w:bookmarkStart w:id="27" w:name="_Leadership_and_Governance"/>
      <w:bookmarkStart w:id="28" w:name="_Toc101446227"/>
      <w:bookmarkStart w:id="29" w:name="_Toc223625538"/>
      <w:bookmarkStart w:id="30" w:name="_Toc350870261"/>
      <w:bookmarkEnd w:id="27"/>
      <w:r w:rsidRPr="00797379">
        <w:t>Leadership and Governance</w:t>
      </w:r>
      <w:bookmarkEnd w:id="28"/>
      <w:bookmarkEnd w:id="29"/>
    </w:p>
    <w:p w14:paraId="63244A6E" w14:textId="0337636B" w:rsidR="00A7777E" w:rsidRPr="00797379" w:rsidRDefault="00A7777E" w:rsidP="00B64978">
      <w:pPr>
        <w:pStyle w:val="BodyTextposthead"/>
      </w:pPr>
      <w:r w:rsidRPr="00797379">
        <w:t xml:space="preserve">This section examines the extent to which school committees, district leaders, school leaders, and advisory council members work collaboratively and strategically to promote high-quality teaching and learning that is </w:t>
      </w:r>
      <w:r w:rsidR="00356554" w:rsidRPr="00797379">
        <w:t xml:space="preserve">(a) </w:t>
      </w:r>
      <w:r w:rsidRPr="00797379">
        <w:t xml:space="preserve">antiracist, inclusive, multilingual, and multicultural; </w:t>
      </w:r>
      <w:r w:rsidR="00356554" w:rsidRPr="00797379">
        <w:t xml:space="preserve">(b) </w:t>
      </w:r>
      <w:r w:rsidRPr="00797379">
        <w:t xml:space="preserve">values and affirms each student and their families; and </w:t>
      </w:r>
      <w:r w:rsidR="00356554" w:rsidRPr="00797379">
        <w:t xml:space="preserve">(c) </w:t>
      </w:r>
      <w:r w:rsidRPr="00797379">
        <w:t xml:space="preserve">creates equitable opportunities and experiences for all students, particularly those who have been historically underserved. It also focuses on the extent to which districts establish, implement, and evaluate policies, plans, procedures, systems, and budgets </w:t>
      </w:r>
      <w:r w:rsidR="00356554" w:rsidRPr="00797379">
        <w:t>by</w:t>
      </w:r>
      <w:r w:rsidRPr="00797379">
        <w:t xml:space="preserve"> focus</w:t>
      </w:r>
      <w:r w:rsidR="00356554" w:rsidRPr="00797379">
        <w:t>ing</w:t>
      </w:r>
      <w:r w:rsidRPr="00797379">
        <w:t xml:space="preserve"> on achieving districtwide strategic objectives</w:t>
      </w:r>
      <w:r w:rsidR="00356554" w:rsidRPr="00797379">
        <w:t xml:space="preserve">. This occurs </w:t>
      </w:r>
      <w:r w:rsidRPr="00797379">
        <w:t xml:space="preserve">in part through equitable and effective use of resources, </w:t>
      </w:r>
      <w:r w:rsidR="00356554" w:rsidRPr="00797379">
        <w:t>which</w:t>
      </w:r>
      <w:r w:rsidRPr="00797379">
        <w:t xml:space="preserve"> ultimately lead</w:t>
      </w:r>
      <w:r w:rsidR="00641C64" w:rsidRPr="00797379">
        <w:t>s</w:t>
      </w:r>
      <w:r w:rsidRPr="00797379">
        <w:t xml:space="preserve"> to high-quality teaching and learning for all students.</w:t>
      </w:r>
    </w:p>
    <w:p w14:paraId="6CCEFE2D" w14:textId="7BCF0E93" w:rsidR="00B72349" w:rsidRPr="00797379" w:rsidRDefault="00944D9E" w:rsidP="00B64978">
      <w:pPr>
        <w:pStyle w:val="BodyText"/>
        <w:rPr>
          <w:rFonts w:ascii="Franklin Gothic Demi" w:hAnsi="Franklin Gothic Demi"/>
        </w:rPr>
      </w:pPr>
      <w:r w:rsidRPr="00797379">
        <w:t xml:space="preserve">Table </w:t>
      </w:r>
      <w:r w:rsidR="000F34B4" w:rsidRPr="00797379">
        <w:t xml:space="preserve">2 </w:t>
      </w:r>
      <w:r w:rsidRPr="00797379">
        <w:t>summarizes key strengths and areas for growth in leadership and governance</w:t>
      </w:r>
      <w:r w:rsidR="00672224" w:rsidRPr="00797379">
        <w:t xml:space="preserve"> in </w:t>
      </w:r>
      <w:r w:rsidR="002B2259" w:rsidRPr="00797379">
        <w:t>Winchester</w:t>
      </w:r>
      <w:r w:rsidRPr="00797379">
        <w:t>.</w:t>
      </w:r>
    </w:p>
    <w:p w14:paraId="5317D7CB" w14:textId="084955CD" w:rsidR="003D6ECF" w:rsidRPr="00797379" w:rsidRDefault="003D6ECF" w:rsidP="00B64978">
      <w:pPr>
        <w:pStyle w:val="TableTitle0"/>
      </w:pPr>
      <w:bookmarkStart w:id="31" w:name="_Toc220932407"/>
      <w:r w:rsidRPr="00797379">
        <w:t xml:space="preserve">Table </w:t>
      </w:r>
      <w:r w:rsidR="00BD049B" w:rsidRPr="00797379">
        <w:t>2</w:t>
      </w:r>
      <w:r w:rsidRPr="00797379">
        <w:t xml:space="preserve">. Summary of </w:t>
      </w:r>
      <w:r w:rsidR="00944D9E" w:rsidRPr="00797379">
        <w:t xml:space="preserve">Key Strengths </w:t>
      </w:r>
      <w:r w:rsidRPr="00797379">
        <w:t xml:space="preserve">and </w:t>
      </w:r>
      <w:r w:rsidR="00944D9E" w:rsidRPr="00797379">
        <w:t xml:space="preserve">Areas </w:t>
      </w:r>
      <w:r w:rsidRPr="00797379">
        <w:t xml:space="preserve">for </w:t>
      </w:r>
      <w:r w:rsidR="00944D9E" w:rsidRPr="00797379">
        <w:t>Growth:</w:t>
      </w:r>
      <w:r w:rsidRPr="00797379">
        <w:t xml:space="preserve"> Leadership and Governance</w:t>
      </w:r>
      <w:r w:rsidR="00C0766E" w:rsidRPr="00797379">
        <w:t xml:space="preserve"> Standard</w:t>
      </w:r>
      <w:bookmarkEnd w:id="31"/>
    </w:p>
    <w:tbl>
      <w:tblPr>
        <w:tblStyle w:val="MSVTable1"/>
        <w:tblW w:w="5000" w:type="pct"/>
        <w:tblLayout w:type="fixed"/>
        <w:tblLook w:val="04A0" w:firstRow="1" w:lastRow="0" w:firstColumn="1" w:lastColumn="0" w:noHBand="0" w:noVBand="1"/>
      </w:tblPr>
      <w:tblGrid>
        <w:gridCol w:w="1972"/>
        <w:gridCol w:w="3686"/>
        <w:gridCol w:w="3686"/>
      </w:tblGrid>
      <w:tr w:rsidR="003D6ECF" w:rsidRPr="00797379" w14:paraId="1BA64263" w14:textId="77777777" w:rsidTr="003E7B84">
        <w:trPr>
          <w:cnfStyle w:val="100000000000" w:firstRow="1" w:lastRow="0" w:firstColumn="0" w:lastColumn="0" w:oddVBand="0" w:evenVBand="0" w:oddHBand="0" w:evenHBand="0" w:firstRowFirstColumn="0" w:firstRowLastColumn="0" w:lastRowFirstColumn="0" w:lastRowLastColumn="0"/>
          <w:tblHeader/>
        </w:trPr>
        <w:tc>
          <w:tcPr>
            <w:tcW w:w="1972" w:type="dxa"/>
          </w:tcPr>
          <w:p w14:paraId="54BE6202" w14:textId="77777777" w:rsidR="003D6ECF" w:rsidRPr="00797379" w:rsidRDefault="003D6ECF" w:rsidP="00B64978">
            <w:pPr>
              <w:pStyle w:val="TableColHeadingCenter"/>
            </w:pPr>
            <w:r w:rsidRPr="00797379">
              <w:t>Indicator</w:t>
            </w:r>
          </w:p>
        </w:tc>
        <w:tc>
          <w:tcPr>
            <w:tcW w:w="3686" w:type="dxa"/>
          </w:tcPr>
          <w:p w14:paraId="26C2C9B5" w14:textId="77777777" w:rsidR="003D6ECF" w:rsidRPr="00797379" w:rsidRDefault="003D6ECF" w:rsidP="00B64978">
            <w:pPr>
              <w:pStyle w:val="TableColHeadingCenter"/>
            </w:pPr>
            <w:r w:rsidRPr="00797379">
              <w:t>Strengths</w:t>
            </w:r>
          </w:p>
        </w:tc>
        <w:tc>
          <w:tcPr>
            <w:tcW w:w="3686" w:type="dxa"/>
          </w:tcPr>
          <w:p w14:paraId="19C0FC93" w14:textId="398D47A8" w:rsidR="003D6ECF" w:rsidRPr="00797379" w:rsidRDefault="003D6ECF" w:rsidP="00B64978">
            <w:pPr>
              <w:pStyle w:val="TableColHeadingCenter"/>
            </w:pPr>
            <w:r w:rsidRPr="00797379">
              <w:t xml:space="preserve">Areas for </w:t>
            </w:r>
            <w:r w:rsidR="00944D9E" w:rsidRPr="00797379">
              <w:t>growth</w:t>
            </w:r>
          </w:p>
        </w:tc>
      </w:tr>
      <w:tr w:rsidR="003D6ECF" w:rsidRPr="00797379" w14:paraId="684F20FE" w14:textId="77777777" w:rsidTr="003E7B84">
        <w:trPr>
          <w:cnfStyle w:val="000000100000" w:firstRow="0" w:lastRow="0" w:firstColumn="0" w:lastColumn="0" w:oddVBand="0" w:evenVBand="0" w:oddHBand="1" w:evenHBand="0" w:firstRowFirstColumn="0" w:firstRowLastColumn="0" w:lastRowFirstColumn="0" w:lastRowLastColumn="0"/>
        </w:trPr>
        <w:tc>
          <w:tcPr>
            <w:tcW w:w="1972" w:type="dxa"/>
          </w:tcPr>
          <w:p w14:paraId="544D7F2B" w14:textId="01152A48" w:rsidR="003D6ECF" w:rsidRPr="00797379" w:rsidRDefault="00895032" w:rsidP="00A24C94">
            <w:pPr>
              <w:pStyle w:val="TableSubheading"/>
            </w:pPr>
            <w:hyperlink w:anchor="_Leadership_and_Governing" w:history="1">
              <w:r w:rsidRPr="00797379">
                <w:rPr>
                  <w:rStyle w:val="Hyperlink"/>
                  <w:color w:val="auto"/>
                  <w:u w:val="none"/>
                </w:rPr>
                <w:t>Leadership and Governing Structures</w:t>
              </w:r>
            </w:hyperlink>
          </w:p>
        </w:tc>
        <w:tc>
          <w:tcPr>
            <w:tcW w:w="3686" w:type="dxa"/>
          </w:tcPr>
          <w:p w14:paraId="40A76579" w14:textId="77777777" w:rsidR="003D6ECF" w:rsidRDefault="00341CBE" w:rsidP="00A24C94">
            <w:pPr>
              <w:pStyle w:val="TableBullet1"/>
            </w:pPr>
            <w:r>
              <w:t xml:space="preserve">The district and school committee have a strong collaborative </w:t>
            </w:r>
            <w:r w:rsidR="00B26FF8">
              <w:t xml:space="preserve">working </w:t>
            </w:r>
            <w:r>
              <w:t>relationship.</w:t>
            </w:r>
          </w:p>
          <w:p w14:paraId="0D10115A" w14:textId="77777777" w:rsidR="00B26FF8" w:rsidRDefault="00B26FF8" w:rsidP="00A24C94">
            <w:pPr>
              <w:pStyle w:val="TableBullet1"/>
            </w:pPr>
            <w:r>
              <w:t xml:space="preserve">The leadership team uses </w:t>
            </w:r>
            <w:r w:rsidR="004842B5">
              <w:t>focused data-informed decision making.</w:t>
            </w:r>
          </w:p>
          <w:p w14:paraId="795C99D3" w14:textId="703B659E" w:rsidR="004842B5" w:rsidRPr="00797379" w:rsidRDefault="004842B5" w:rsidP="00A24C94">
            <w:pPr>
              <w:pStyle w:val="TableBullet1"/>
            </w:pPr>
            <w:r>
              <w:t>The district and town have a colla</w:t>
            </w:r>
            <w:r w:rsidR="000D0D94">
              <w:t>borative</w:t>
            </w:r>
            <w:r>
              <w:t xml:space="preserve"> working relationship.</w:t>
            </w:r>
          </w:p>
        </w:tc>
        <w:tc>
          <w:tcPr>
            <w:tcW w:w="3686" w:type="dxa"/>
          </w:tcPr>
          <w:p w14:paraId="7086393F" w14:textId="63229E4D" w:rsidR="003D6ECF" w:rsidRPr="00797379" w:rsidRDefault="005B7B71" w:rsidP="00A24C94">
            <w:pPr>
              <w:pStyle w:val="TableBullet1"/>
            </w:pPr>
            <w:r>
              <w:t>N/A</w:t>
            </w:r>
          </w:p>
        </w:tc>
      </w:tr>
      <w:tr w:rsidR="003D6ECF" w:rsidRPr="00797379" w14:paraId="14B42E08" w14:textId="77777777" w:rsidTr="003E7B84">
        <w:tc>
          <w:tcPr>
            <w:tcW w:w="1972" w:type="dxa"/>
          </w:tcPr>
          <w:p w14:paraId="3EB19AE6" w14:textId="593DF9C6" w:rsidR="003D6ECF" w:rsidRPr="00797379" w:rsidRDefault="00F95311" w:rsidP="00A24C94">
            <w:pPr>
              <w:pStyle w:val="TableSubheading"/>
            </w:pPr>
            <w:hyperlink w:anchor="_Strategic_Planning,_Implementation," w:history="1">
              <w:r w:rsidRPr="00797379">
                <w:rPr>
                  <w:rStyle w:val="Hyperlink"/>
                  <w:color w:val="auto"/>
                  <w:u w:val="none"/>
                </w:rPr>
                <w:t>Strategic Planning, Implementation, and Monitoring</w:t>
              </w:r>
            </w:hyperlink>
          </w:p>
        </w:tc>
        <w:tc>
          <w:tcPr>
            <w:tcW w:w="3686" w:type="dxa"/>
          </w:tcPr>
          <w:p w14:paraId="2ACF6112" w14:textId="4C90D33E" w:rsidR="003D6ECF" w:rsidRPr="00A018A2" w:rsidRDefault="000D0D94" w:rsidP="00A24C94">
            <w:pPr>
              <w:pStyle w:val="TableBullet1"/>
            </w:pPr>
            <w:r w:rsidRPr="00A018A2">
              <w:t>The district’s strategic planning framework, which provides a coherent structure that links planning, implementation, and monitoring of priority initiatives</w:t>
            </w:r>
            <w:r w:rsidR="005137D5" w:rsidRPr="00A018A2">
              <w:t>.</w:t>
            </w:r>
          </w:p>
          <w:p w14:paraId="3C710E27" w14:textId="4037753F" w:rsidR="000D0D94" w:rsidRPr="00797379" w:rsidRDefault="000D0D94" w:rsidP="00A24C94">
            <w:pPr>
              <w:pStyle w:val="TableBullet1"/>
            </w:pPr>
            <w:r w:rsidRPr="00A018A2">
              <w:t xml:space="preserve">The district uses a collaborative process for building school </w:t>
            </w:r>
            <w:r w:rsidR="005137D5" w:rsidRPr="00A018A2">
              <w:t>innovation (</w:t>
            </w:r>
            <w:r w:rsidRPr="00A018A2">
              <w:t>improvement</w:t>
            </w:r>
            <w:r w:rsidR="005137D5" w:rsidRPr="00A018A2">
              <w:t>)</w:t>
            </w:r>
            <w:r w:rsidRPr="00A018A2">
              <w:t xml:space="preserve"> plans</w:t>
            </w:r>
            <w:r w:rsidR="005137D5" w:rsidRPr="00A018A2">
              <w:t>.</w:t>
            </w:r>
          </w:p>
        </w:tc>
        <w:tc>
          <w:tcPr>
            <w:tcW w:w="3686" w:type="dxa"/>
          </w:tcPr>
          <w:p w14:paraId="5838C396" w14:textId="38372D74" w:rsidR="003D6ECF" w:rsidRPr="00797379" w:rsidRDefault="005B7B71" w:rsidP="00A24C94">
            <w:pPr>
              <w:pStyle w:val="TableBullet1"/>
            </w:pPr>
            <w:r>
              <w:t>N/A</w:t>
            </w:r>
          </w:p>
        </w:tc>
      </w:tr>
      <w:tr w:rsidR="003D6ECF" w:rsidRPr="00797379" w14:paraId="22B4591C" w14:textId="77777777" w:rsidTr="003E7B84">
        <w:trPr>
          <w:cnfStyle w:val="000000100000" w:firstRow="0" w:lastRow="0" w:firstColumn="0" w:lastColumn="0" w:oddVBand="0" w:evenVBand="0" w:oddHBand="1" w:evenHBand="0" w:firstRowFirstColumn="0" w:firstRowLastColumn="0" w:lastRowFirstColumn="0" w:lastRowLastColumn="0"/>
        </w:trPr>
        <w:tc>
          <w:tcPr>
            <w:tcW w:w="1972" w:type="dxa"/>
          </w:tcPr>
          <w:p w14:paraId="5F56A8E5" w14:textId="5B7ACDB9" w:rsidR="003D6ECF" w:rsidRPr="00797379" w:rsidRDefault="003D6ECF" w:rsidP="00A24C94">
            <w:pPr>
              <w:pStyle w:val="TableSubheading"/>
            </w:pPr>
            <w:hyperlink w:anchor="_District_Culture" w:history="1">
              <w:r w:rsidRPr="00797379">
                <w:rPr>
                  <w:rStyle w:val="Hyperlink"/>
                  <w:color w:val="auto"/>
                  <w:u w:val="none"/>
                </w:rPr>
                <w:t xml:space="preserve">District </w:t>
              </w:r>
              <w:r w:rsidR="00F95311" w:rsidRPr="00797379">
                <w:rPr>
                  <w:rStyle w:val="Hyperlink"/>
                  <w:color w:val="auto"/>
                  <w:u w:val="none"/>
                </w:rPr>
                <w:t>Culture</w:t>
              </w:r>
            </w:hyperlink>
          </w:p>
        </w:tc>
        <w:tc>
          <w:tcPr>
            <w:tcW w:w="3686" w:type="dxa"/>
          </w:tcPr>
          <w:p w14:paraId="2956C390" w14:textId="6B6CD875" w:rsidR="003D6ECF" w:rsidRPr="00797379" w:rsidRDefault="005B7B71" w:rsidP="00A24C94">
            <w:pPr>
              <w:pStyle w:val="TableBullet1"/>
            </w:pPr>
            <w:r>
              <w:t>N/A</w:t>
            </w:r>
          </w:p>
        </w:tc>
        <w:tc>
          <w:tcPr>
            <w:tcW w:w="3686" w:type="dxa"/>
          </w:tcPr>
          <w:p w14:paraId="0F21E755" w14:textId="4D8CA136" w:rsidR="003D6ECF" w:rsidRPr="00797379" w:rsidRDefault="00A018A2" w:rsidP="00A24C94">
            <w:pPr>
              <w:pStyle w:val="TableBullet1"/>
            </w:pPr>
            <w:r w:rsidRPr="00A018A2">
              <w:t>Ensuring middle school teams have consistent expectations and processes to communicate with families</w:t>
            </w:r>
          </w:p>
        </w:tc>
      </w:tr>
    </w:tbl>
    <w:p w14:paraId="47244709" w14:textId="2F8C3EBE" w:rsidR="003D6ECF" w:rsidRPr="00797379" w:rsidRDefault="00895032" w:rsidP="00A24C94">
      <w:pPr>
        <w:pStyle w:val="Heading3"/>
      </w:pPr>
      <w:bookmarkStart w:id="32" w:name="_School_Committee_Governance"/>
      <w:bookmarkStart w:id="33" w:name="_Leadership_and_Governing"/>
      <w:bookmarkEnd w:id="32"/>
      <w:bookmarkEnd w:id="33"/>
      <w:r w:rsidRPr="00797379">
        <w:t>Leadership and Gov</w:t>
      </w:r>
      <w:r w:rsidR="003D6ECF" w:rsidRPr="00797379">
        <w:t>e</w:t>
      </w:r>
      <w:r w:rsidRPr="00797379">
        <w:t>rning Structures</w:t>
      </w:r>
    </w:p>
    <w:p w14:paraId="6C8C2675" w14:textId="61A4FD3C" w:rsidR="002B2259" w:rsidRPr="00797379" w:rsidRDefault="006A6CE9" w:rsidP="0096666B">
      <w:pPr>
        <w:pStyle w:val="BodyTextposthead"/>
        <w:spacing w:before="240"/>
      </w:pPr>
      <w:r w:rsidRPr="00797379">
        <w:t xml:space="preserve">WPS </w:t>
      </w:r>
      <w:r w:rsidR="002B2259" w:rsidRPr="00797379">
        <w:t>has various leadership and governance structures to support district operations. At the highest level</w:t>
      </w:r>
      <w:r w:rsidRPr="00797379">
        <w:t xml:space="preserve"> is</w:t>
      </w:r>
      <w:r w:rsidR="002B2259" w:rsidRPr="00797379">
        <w:t xml:space="preserve"> </w:t>
      </w:r>
      <w:r w:rsidRPr="00797379">
        <w:t xml:space="preserve">the </w:t>
      </w:r>
      <w:r w:rsidR="002B2259" w:rsidRPr="00797379">
        <w:t>superintendent</w:t>
      </w:r>
      <w:r w:rsidRPr="00797379">
        <w:t>,</w:t>
      </w:r>
      <w:r w:rsidR="002B2259" w:rsidRPr="00797379">
        <w:t xml:space="preserve"> Dr. Frank Hackett, who was appointed in 2022 after serving as the interim superintendent</w:t>
      </w:r>
      <w:r w:rsidRPr="00797379">
        <w:t xml:space="preserve"> in 2021</w:t>
      </w:r>
      <w:r w:rsidR="002B2259" w:rsidRPr="00797379">
        <w:t>. The school committee includes five elected</w:t>
      </w:r>
      <w:r w:rsidR="002B2259" w:rsidRPr="00797379">
        <w:rPr>
          <w:i/>
          <w:iCs/>
        </w:rPr>
        <w:t xml:space="preserve"> </w:t>
      </w:r>
      <w:r w:rsidR="002B2259" w:rsidRPr="00797379">
        <w:t>members, including one chairperson and one vice chair. Representatives of the school committee reported</w:t>
      </w:r>
      <w:r w:rsidR="00DB7470" w:rsidRPr="00797379">
        <w:t xml:space="preserve"> that</w:t>
      </w:r>
      <w:r w:rsidR="002B2259" w:rsidRPr="00797379">
        <w:t xml:space="preserve"> members divide their responsibilities across three subcommittees: </w:t>
      </w:r>
      <w:r w:rsidRPr="00797379">
        <w:t>p</w:t>
      </w:r>
      <w:r w:rsidR="002B2259" w:rsidRPr="00797379">
        <w:t xml:space="preserve">olicy, </w:t>
      </w:r>
      <w:r w:rsidRPr="00797379">
        <w:t>b</w:t>
      </w:r>
      <w:r w:rsidR="002B2259" w:rsidRPr="00797379">
        <w:t xml:space="preserve">udget, and </w:t>
      </w:r>
      <w:r w:rsidRPr="00797379">
        <w:t>c</w:t>
      </w:r>
      <w:r w:rsidR="002B2259" w:rsidRPr="00797379">
        <w:t xml:space="preserve">apital </w:t>
      </w:r>
      <w:r w:rsidRPr="00797379">
        <w:t>p</w:t>
      </w:r>
      <w:r w:rsidR="002B2259" w:rsidRPr="00797379">
        <w:t xml:space="preserve">lanning. School committee members indicated </w:t>
      </w:r>
      <w:r w:rsidRPr="00797379">
        <w:t xml:space="preserve">that </w:t>
      </w:r>
      <w:r w:rsidR="002B2259" w:rsidRPr="00797379">
        <w:t>member</w:t>
      </w:r>
      <w:r w:rsidR="00DB7470" w:rsidRPr="00797379">
        <w:t>s</w:t>
      </w:r>
      <w:r w:rsidR="002B2259" w:rsidRPr="00797379">
        <w:t xml:space="preserve"> also serve on several town committees</w:t>
      </w:r>
      <w:r w:rsidRPr="00797379">
        <w:t>,</w:t>
      </w:r>
      <w:r w:rsidR="002B2259" w:rsidRPr="00797379">
        <w:t xml:space="preserve"> in accordance with Winchester’s Town Charter</w:t>
      </w:r>
      <w:r w:rsidR="00950B26" w:rsidRPr="00797379">
        <w:t xml:space="preserve"> and </w:t>
      </w:r>
      <w:r w:rsidR="002B2259" w:rsidRPr="00797379">
        <w:t xml:space="preserve">By-Laws, and prior actions </w:t>
      </w:r>
      <w:r w:rsidRPr="00797379">
        <w:t>at t</w:t>
      </w:r>
      <w:r w:rsidR="002B2259" w:rsidRPr="00797379">
        <w:t xml:space="preserve">own </w:t>
      </w:r>
      <w:r w:rsidRPr="00797379">
        <w:t>m</w:t>
      </w:r>
      <w:r w:rsidR="002B2259" w:rsidRPr="00797379">
        <w:t>eeting</w:t>
      </w:r>
      <w:r w:rsidRPr="00797379">
        <w:t>s</w:t>
      </w:r>
      <w:r w:rsidR="002B2259" w:rsidRPr="00797379">
        <w:t xml:space="preserve">. Two high school student </w:t>
      </w:r>
      <w:r w:rsidR="14314853" w:rsidRPr="00797379">
        <w:t>representatives</w:t>
      </w:r>
      <w:r w:rsidR="002B2259" w:rsidRPr="00797379">
        <w:t xml:space="preserve"> help committee members understand how proposed decisions or policies may affect students</w:t>
      </w:r>
      <w:r w:rsidR="00683BBA">
        <w:t xml:space="preserve"> and s</w:t>
      </w:r>
      <w:r w:rsidR="00DB17D5" w:rsidRPr="00797379">
        <w:t>chool committee m</w:t>
      </w:r>
      <w:r w:rsidRPr="00797379">
        <w:t>embers</w:t>
      </w:r>
      <w:r w:rsidR="002B2259" w:rsidRPr="00797379">
        <w:t xml:space="preserve"> reported that student representatives contribut</w:t>
      </w:r>
      <w:r w:rsidRPr="00797379">
        <w:t>e</w:t>
      </w:r>
      <w:r w:rsidR="002B2259" w:rsidRPr="00797379">
        <w:t xml:space="preserve"> to policy decisions. For example,</w:t>
      </w:r>
      <w:r w:rsidRPr="00797379">
        <w:t xml:space="preserve"> the </w:t>
      </w:r>
      <w:r w:rsidR="00DB17D5" w:rsidRPr="00797379">
        <w:t>two</w:t>
      </w:r>
      <w:r w:rsidR="002B2259" w:rsidRPr="00797379">
        <w:t xml:space="preserve"> student </w:t>
      </w:r>
      <w:r w:rsidR="7375A270" w:rsidRPr="00797379">
        <w:t>representatives participate</w:t>
      </w:r>
      <w:r w:rsidR="00DB17D5" w:rsidRPr="00797379">
        <w:t>d</w:t>
      </w:r>
      <w:r w:rsidR="002B2259" w:rsidRPr="00797379">
        <w:t xml:space="preserve"> during </w:t>
      </w:r>
      <w:r w:rsidR="006C2B86" w:rsidRPr="00797379">
        <w:t xml:space="preserve">school </w:t>
      </w:r>
      <w:r w:rsidR="002B2259" w:rsidRPr="00797379">
        <w:t>committee meetings</w:t>
      </w:r>
      <w:r w:rsidR="0043316B">
        <w:t xml:space="preserve"> and contributed</w:t>
      </w:r>
      <w:r w:rsidRPr="00797379">
        <w:t xml:space="preserve"> to</w:t>
      </w:r>
      <w:r w:rsidR="002B2259" w:rsidRPr="00797379">
        <w:t xml:space="preserve"> </w:t>
      </w:r>
      <w:r w:rsidR="0043316B">
        <w:t xml:space="preserve">the development of new </w:t>
      </w:r>
      <w:r w:rsidR="002B2259" w:rsidRPr="00797379">
        <w:t>cell-phone policies.</w:t>
      </w:r>
    </w:p>
    <w:p w14:paraId="22A3C078" w14:textId="1193E0C9" w:rsidR="007F2824" w:rsidRPr="007F2824" w:rsidRDefault="002B2259" w:rsidP="0096666B">
      <w:pPr>
        <w:spacing w:before="240" w:after="120"/>
      </w:pPr>
      <w:r w:rsidRPr="00797379">
        <w:t>A review of the district’s website and interviews with school committee members reveal</w:t>
      </w:r>
      <w:r w:rsidR="00B54B22" w:rsidRPr="00797379">
        <w:t>ed</w:t>
      </w:r>
      <w:r w:rsidRPr="00797379">
        <w:t xml:space="preserve"> that the committee has a functioning governance structure, sets educational goals, and implements policies that provide all students with equitable opportunities to excel.</w:t>
      </w:r>
      <w:r w:rsidR="002D5506">
        <w:t xml:space="preserve"> </w:t>
      </w:r>
      <w:r w:rsidR="007F2824" w:rsidRPr="007F2824">
        <w:t>Committee members described their responsibilities as establishing educational goals and policies for Winchester Public Schools; overseeing and monitoring their implementation by the administration; appointing the superintendent; adopting rules and regulations consistent with applicable laws for the administration and management of the district; approving the annual budget; and negotiating all collective bargaining agreements with the Winchester Educational Association (WEA).</w:t>
      </w:r>
    </w:p>
    <w:p w14:paraId="1AD5E977" w14:textId="534EB62D" w:rsidR="007F2824" w:rsidRPr="002D5506" w:rsidRDefault="007F2824" w:rsidP="0096666B">
      <w:pPr>
        <w:pStyle w:val="BodyText"/>
        <w:rPr>
          <w:color w:val="538135" w:themeColor="accent6" w:themeShade="BF"/>
        </w:rPr>
      </w:pPr>
      <w:r w:rsidRPr="00797379">
        <w:t>One school committee member described the working relationship with district leadership as “100</w:t>
      </w:r>
      <w:r w:rsidR="00700545">
        <w:t xml:space="preserve"> percent</w:t>
      </w:r>
      <w:r w:rsidRPr="00797379">
        <w:t xml:space="preserve"> collaborative,” and other members praised the superintendent for his steady, visionary leadership during challenging times, including during the COVID-19 recovery and major curriculum shifts. District leaders also described their working relationship with the school committee as productive and collaborative. District leaders noted they </w:t>
      </w:r>
      <w:r>
        <w:t>apply</w:t>
      </w:r>
      <w:r w:rsidRPr="00797379">
        <w:t xml:space="preserve"> a guiding principle of “no surprises” when working with the school committee to ensure proactive updates and open communication, which they view as essential for maintaining trust.</w:t>
      </w:r>
      <w:r w:rsidR="002D5506">
        <w:t xml:space="preserve"> </w:t>
      </w:r>
      <w:r w:rsidR="002D5506" w:rsidRPr="005B7B71">
        <w:t xml:space="preserve">The collaborative working relationship between the school committee and district leadership is a strength for the district. </w:t>
      </w:r>
    </w:p>
    <w:p w14:paraId="79343726" w14:textId="2A740F86" w:rsidR="00CD3927" w:rsidRPr="00797379" w:rsidRDefault="002B2259" w:rsidP="0096666B">
      <w:pPr>
        <w:pStyle w:val="BodyText"/>
      </w:pPr>
      <w:r w:rsidRPr="00797379">
        <w:t xml:space="preserve">The committee members reported </w:t>
      </w:r>
      <w:r w:rsidR="008C071A" w:rsidRPr="00797379">
        <w:t xml:space="preserve">that they </w:t>
      </w:r>
      <w:r w:rsidRPr="00797379">
        <w:t>us</w:t>
      </w:r>
      <w:r w:rsidR="008C071A" w:rsidRPr="00797379">
        <w:t>e</w:t>
      </w:r>
      <w:r w:rsidRPr="00797379">
        <w:t xml:space="preserve"> demographic data</w:t>
      </w:r>
      <w:r w:rsidR="008C071A" w:rsidRPr="00797379">
        <w:t xml:space="preserve"> </w:t>
      </w:r>
      <w:r w:rsidRPr="00797379">
        <w:t>survey results</w:t>
      </w:r>
      <w:r w:rsidR="008C071A" w:rsidRPr="00797379">
        <w:t xml:space="preserve"> (e.g., Youth Risk Behavior Surveillance System, YRBS)</w:t>
      </w:r>
      <w:r w:rsidRPr="00797379">
        <w:t xml:space="preserve"> and performance trends to inform</w:t>
      </w:r>
      <w:r w:rsidR="008C071A" w:rsidRPr="00797379">
        <w:t xml:space="preserve"> their</w:t>
      </w:r>
      <w:r w:rsidRPr="00797379">
        <w:t xml:space="preserve"> decisions at the policy level. In focus group discussions, school committee members identified several current priorities</w:t>
      </w:r>
      <w:r w:rsidR="008C071A" w:rsidRPr="00797379">
        <w:t xml:space="preserve">, </w:t>
      </w:r>
      <w:r w:rsidRPr="00797379">
        <w:t>includ</w:t>
      </w:r>
      <w:r w:rsidR="008C071A" w:rsidRPr="00797379">
        <w:t>ing</w:t>
      </w:r>
      <w:r w:rsidRPr="00797379">
        <w:t xml:space="preserve"> literacy curriculum alignment, financial sustainability amid a limited commercial tax base, </w:t>
      </w:r>
      <w:r w:rsidR="008C071A" w:rsidRPr="00797379">
        <w:t xml:space="preserve">and </w:t>
      </w:r>
      <w:r w:rsidRPr="00797379">
        <w:t>resource equity among the district’s five elementary schools</w:t>
      </w:r>
      <w:r w:rsidR="008C071A" w:rsidRPr="00797379">
        <w:t xml:space="preserve"> (i.e., addressing the town’s shifting demographics)</w:t>
      </w:r>
      <w:r w:rsidRPr="00797379">
        <w:t xml:space="preserve">. Members also spoke about the intense focus on budget development and contract negotiations with the WEA. </w:t>
      </w:r>
      <w:r w:rsidR="00AC499F">
        <w:t>At the time of the review</w:t>
      </w:r>
      <w:r w:rsidR="006577C0">
        <w:t>, members noted t</w:t>
      </w:r>
      <w:r w:rsidR="00FA61ED">
        <w:t>he</w:t>
      </w:r>
      <w:r w:rsidRPr="00797379">
        <w:t xml:space="preserve"> </w:t>
      </w:r>
      <w:r w:rsidR="007F2824">
        <w:t>2026</w:t>
      </w:r>
      <w:r w:rsidRPr="00797379">
        <w:t xml:space="preserve"> budget require</w:t>
      </w:r>
      <w:r w:rsidR="006577C0">
        <w:t>d</w:t>
      </w:r>
      <w:r w:rsidRPr="00797379">
        <w:t xml:space="preserve"> the town to vote on a tax override</w:t>
      </w:r>
      <w:r w:rsidR="00C451B2">
        <w:rPr>
          <w:rStyle w:val="FootnoteReference"/>
        </w:rPr>
        <w:footnoteReference w:id="5"/>
      </w:r>
      <w:r w:rsidRPr="00797379">
        <w:t xml:space="preserve"> to ensure level spending is maintained. Additionally, members noted they have spent some “late nights” collaborating with district administrators on developing wage proposals for the contract negotiation</w:t>
      </w:r>
      <w:r w:rsidR="00CD3927" w:rsidRPr="00797379">
        <w:t>.</w:t>
      </w:r>
    </w:p>
    <w:p w14:paraId="216AE874" w14:textId="0B0BE61E" w:rsidR="00803B75" w:rsidRPr="00797379" w:rsidRDefault="00236C1C" w:rsidP="0096666B">
      <w:pPr>
        <w:pStyle w:val="BodyText"/>
        <w:rPr>
          <w:color w:val="538135" w:themeColor="accent6" w:themeShade="BF"/>
        </w:rPr>
      </w:pPr>
      <w:r w:rsidRPr="00797379">
        <w:t>The WPS district administration</w:t>
      </w:r>
      <w:r w:rsidR="00C219B2">
        <w:t>’s</w:t>
      </w:r>
      <w:r w:rsidR="002B2259" w:rsidRPr="00797379">
        <w:t xml:space="preserve"> leadership team structure </w:t>
      </w:r>
      <w:r w:rsidR="004B772F">
        <w:t xml:space="preserve">consists of </w:t>
      </w:r>
      <w:r w:rsidR="002B2259" w:rsidRPr="00797379">
        <w:t>two teams</w:t>
      </w:r>
      <w:r w:rsidRPr="00797379">
        <w:t xml:space="preserve">: </w:t>
      </w:r>
      <w:r w:rsidR="002B2259" w:rsidRPr="00797379">
        <w:t xml:space="preserve">the central office team and the large leadership team. The central office team includes two assistant superintendents, a director of </w:t>
      </w:r>
      <w:r w:rsidR="00F97D42">
        <w:t>f</w:t>
      </w:r>
      <w:r w:rsidR="002B2259" w:rsidRPr="00797379">
        <w:t xml:space="preserve">inance </w:t>
      </w:r>
      <w:r w:rsidR="00F97D42">
        <w:t>and o</w:t>
      </w:r>
      <w:r w:rsidR="002B2259" w:rsidRPr="00797379">
        <w:t xml:space="preserve">perations, a </w:t>
      </w:r>
      <w:r w:rsidR="5841E7C2" w:rsidRPr="00797379">
        <w:t>manager</w:t>
      </w:r>
      <w:r w:rsidR="002B2259" w:rsidRPr="00797379">
        <w:t xml:space="preserve"> of </w:t>
      </w:r>
      <w:r w:rsidR="00F97D42">
        <w:t>f</w:t>
      </w:r>
      <w:r w:rsidR="002B2259" w:rsidRPr="00797379">
        <w:t xml:space="preserve">inance and </w:t>
      </w:r>
      <w:r w:rsidR="00F97D42">
        <w:t>h</w:t>
      </w:r>
      <w:r w:rsidR="002B2259" w:rsidRPr="00797379">
        <w:t xml:space="preserve">uman </w:t>
      </w:r>
      <w:r w:rsidR="00F97D42">
        <w:t>r</w:t>
      </w:r>
      <w:r w:rsidR="002B2259" w:rsidRPr="00797379">
        <w:t xml:space="preserve">esources, a director of </w:t>
      </w:r>
      <w:r w:rsidR="00F97D42">
        <w:t>s</w:t>
      </w:r>
      <w:r w:rsidR="002B2259" w:rsidRPr="00797379">
        <w:t xml:space="preserve">pecial </w:t>
      </w:r>
      <w:r w:rsidR="00F97D42">
        <w:t>e</w:t>
      </w:r>
      <w:r w:rsidR="002B2259" w:rsidRPr="00797379">
        <w:t xml:space="preserve">ducation, and a director of </w:t>
      </w:r>
      <w:r w:rsidR="00F97D42">
        <w:t>s</w:t>
      </w:r>
      <w:r w:rsidR="002B2259" w:rsidRPr="00797379">
        <w:t>ocial-</w:t>
      </w:r>
      <w:r w:rsidR="00F97D42">
        <w:t>e</w:t>
      </w:r>
      <w:r w:rsidR="002B2259" w:rsidRPr="00797379">
        <w:t xml:space="preserve">motional </w:t>
      </w:r>
      <w:r w:rsidR="00F97D42">
        <w:t>l</w:t>
      </w:r>
      <w:r w:rsidR="002B2259" w:rsidRPr="00797379">
        <w:t>earning and counseling. According to district leaders</w:t>
      </w:r>
      <w:r w:rsidR="00A53D7B" w:rsidRPr="00797379">
        <w:t>,</w:t>
      </w:r>
      <w:r w:rsidR="00FF0A22" w:rsidRPr="00797379">
        <w:t xml:space="preserve"> the</w:t>
      </w:r>
      <w:r w:rsidR="002B2259" w:rsidRPr="00797379">
        <w:t xml:space="preserve"> </w:t>
      </w:r>
      <w:r w:rsidR="00004BD5" w:rsidRPr="00797379">
        <w:t xml:space="preserve">central office </w:t>
      </w:r>
      <w:r w:rsidR="002B2259" w:rsidRPr="00797379">
        <w:t>team meets weekly to focus on strategic development, strategic plan monitoring, staffing</w:t>
      </w:r>
      <w:r w:rsidR="00004BD5" w:rsidRPr="00797379">
        <w:t>,</w:t>
      </w:r>
      <w:r w:rsidR="002B2259" w:rsidRPr="00797379">
        <w:t xml:space="preserve"> and resource allocation. Additionally, district leaders reported </w:t>
      </w:r>
      <w:bookmarkStart w:id="34" w:name="_Int_vbDB6n2g"/>
      <w:r w:rsidR="00004BD5" w:rsidRPr="00797379">
        <w:t xml:space="preserve">in interviews and focus groups that </w:t>
      </w:r>
      <w:r w:rsidR="00A53D7B" w:rsidRPr="00797379">
        <w:t>the central office team</w:t>
      </w:r>
      <w:r w:rsidR="00004BD5" w:rsidRPr="00797379">
        <w:t xml:space="preserve"> </w:t>
      </w:r>
      <w:r w:rsidR="002B2259" w:rsidRPr="00797379">
        <w:t>meet</w:t>
      </w:r>
      <w:r w:rsidR="00A53D7B" w:rsidRPr="00797379">
        <w:t>s</w:t>
      </w:r>
      <w:bookmarkEnd w:id="34"/>
      <w:r w:rsidR="002B2259" w:rsidRPr="00797379">
        <w:t xml:space="preserve"> formally </w:t>
      </w:r>
      <w:r w:rsidR="00004BD5" w:rsidRPr="00797379">
        <w:t xml:space="preserve">but also </w:t>
      </w:r>
      <w:r w:rsidR="002B2259" w:rsidRPr="00797379">
        <w:t xml:space="preserve">informally as issues emerge. The </w:t>
      </w:r>
      <w:r w:rsidR="00004BD5" w:rsidRPr="00797379">
        <w:t>l</w:t>
      </w:r>
      <w:r w:rsidR="002B2259" w:rsidRPr="00797379">
        <w:t xml:space="preserve">arge </w:t>
      </w:r>
      <w:r w:rsidR="00004BD5" w:rsidRPr="00797379">
        <w:t>l</w:t>
      </w:r>
      <w:r w:rsidR="002B2259" w:rsidRPr="00797379">
        <w:t xml:space="preserve">eadership </w:t>
      </w:r>
      <w:r w:rsidR="00004BD5" w:rsidRPr="00797379">
        <w:t>t</w:t>
      </w:r>
      <w:r w:rsidR="002B2259" w:rsidRPr="00797379">
        <w:t xml:space="preserve">eam </w:t>
      </w:r>
      <w:r w:rsidR="00004BD5" w:rsidRPr="00797379">
        <w:t>includes</w:t>
      </w:r>
      <w:r w:rsidR="002B2259" w:rsidRPr="00797379">
        <w:t xml:space="preserve"> approximately </w:t>
      </w:r>
      <w:r w:rsidR="00004BD5" w:rsidRPr="00797379">
        <w:t xml:space="preserve">40 </w:t>
      </w:r>
      <w:r w:rsidR="002B2259" w:rsidRPr="00797379">
        <w:t>district</w:t>
      </w:r>
      <w:r w:rsidR="00A53D7B" w:rsidRPr="00797379">
        <w:t>-level</w:t>
      </w:r>
      <w:r w:rsidR="002B2259" w:rsidRPr="00797379">
        <w:t xml:space="preserve"> and school-level leaders from across the district</w:t>
      </w:r>
      <w:r w:rsidR="00004BD5" w:rsidRPr="00797379">
        <w:t xml:space="preserve">, </w:t>
      </w:r>
      <w:r w:rsidR="002B2259" w:rsidRPr="00797379">
        <w:t>includ</w:t>
      </w:r>
      <w:r w:rsidR="00004BD5" w:rsidRPr="00797379">
        <w:t>ing</w:t>
      </w:r>
      <w:r w:rsidR="002B2259" w:rsidRPr="00797379">
        <w:t xml:space="preserve"> school principals, assistant principals, content coordinators, and department directors across grade levels. </w:t>
      </w:r>
      <w:r w:rsidR="00004BD5" w:rsidRPr="00797379">
        <w:t xml:space="preserve">The large leadership team meets monthly. </w:t>
      </w:r>
      <w:r w:rsidR="002B2259" w:rsidRPr="00797379">
        <w:t xml:space="preserve">According to district leaders </w:t>
      </w:r>
      <w:r w:rsidR="00004BD5" w:rsidRPr="00797379">
        <w:t>(</w:t>
      </w:r>
      <w:r w:rsidR="002B2259" w:rsidRPr="00797379">
        <w:t xml:space="preserve">and supported </w:t>
      </w:r>
      <w:r w:rsidR="00877921">
        <w:t>by</w:t>
      </w:r>
      <w:r w:rsidR="00877921" w:rsidRPr="00797379">
        <w:t xml:space="preserve"> </w:t>
      </w:r>
      <w:r w:rsidR="00877921">
        <w:t xml:space="preserve">the </w:t>
      </w:r>
      <w:r w:rsidR="002B2259" w:rsidRPr="00797379">
        <w:t xml:space="preserve">review </w:t>
      </w:r>
      <w:r w:rsidR="00004BD5" w:rsidRPr="00797379">
        <w:t>of agendas)</w:t>
      </w:r>
      <w:r w:rsidR="002B2259" w:rsidRPr="00797379">
        <w:t>, these meetings are free of managerial tasks and instead center on data-informed decision</w:t>
      </w:r>
      <w:r w:rsidR="00004BD5" w:rsidRPr="00797379">
        <w:t xml:space="preserve"> </w:t>
      </w:r>
      <w:r w:rsidR="002B2259" w:rsidRPr="00797379">
        <w:t xml:space="preserve">making </w:t>
      </w:r>
      <w:r w:rsidR="237C91E1" w:rsidRPr="00797379">
        <w:t>aligned</w:t>
      </w:r>
      <w:r w:rsidR="002B2259" w:rsidRPr="00797379">
        <w:t xml:space="preserve"> with district goals. Recent agendas included </w:t>
      </w:r>
      <w:r w:rsidR="00004BD5" w:rsidRPr="00797379">
        <w:t xml:space="preserve">discussions on </w:t>
      </w:r>
      <w:r w:rsidR="002B2259" w:rsidRPr="00797379">
        <w:t>Multi-tiered Systems of Support (MTSS)</w:t>
      </w:r>
      <w:r w:rsidR="00004BD5" w:rsidRPr="00797379">
        <w:t>,</w:t>
      </w:r>
      <w:r w:rsidR="002B2259" w:rsidRPr="00797379">
        <w:t xml:space="preserve"> </w:t>
      </w:r>
      <w:r w:rsidR="00004BD5" w:rsidRPr="00797379">
        <w:t xml:space="preserve">developing </w:t>
      </w:r>
      <w:r w:rsidR="002B2259" w:rsidRPr="00797379">
        <w:t>Student Support Teams</w:t>
      </w:r>
      <w:r w:rsidR="007556D6" w:rsidRPr="00797379">
        <w:t xml:space="preserve"> (SST)</w:t>
      </w:r>
      <w:r w:rsidR="002B2259" w:rsidRPr="00797379">
        <w:t xml:space="preserve">, </w:t>
      </w:r>
      <w:r w:rsidR="00004BD5" w:rsidRPr="00797379">
        <w:t>calibrating</w:t>
      </w:r>
      <w:r w:rsidR="002B2259" w:rsidRPr="00797379">
        <w:t xml:space="preserve"> instructional practices, and planning innovation strategies tied to the long-term strategic plan (</w:t>
      </w:r>
      <w:r w:rsidR="00004BD5" w:rsidRPr="00797379">
        <w:t xml:space="preserve">i.e., </w:t>
      </w:r>
      <w:r w:rsidR="002B2259" w:rsidRPr="00797379">
        <w:t xml:space="preserve">WPS 2030). </w:t>
      </w:r>
      <w:r w:rsidR="000402C6" w:rsidRPr="009823E7">
        <w:t>The</w:t>
      </w:r>
      <w:r w:rsidR="00FA61ED" w:rsidRPr="009823E7">
        <w:t xml:space="preserve"> leadership teams’</w:t>
      </w:r>
      <w:r w:rsidR="000402C6" w:rsidRPr="009823E7">
        <w:t xml:space="preserve"> </w:t>
      </w:r>
      <w:r w:rsidR="00FA61ED" w:rsidRPr="009823E7">
        <w:t xml:space="preserve">focus on data informed decision making </w:t>
      </w:r>
      <w:r w:rsidR="000402C6" w:rsidRPr="009823E7">
        <w:t>is a strength for the district</w:t>
      </w:r>
      <w:r w:rsidR="00803B75" w:rsidRPr="009823E7">
        <w:t>.</w:t>
      </w:r>
    </w:p>
    <w:p w14:paraId="74860067" w14:textId="3C224DAC" w:rsidR="002B2259" w:rsidRPr="00797379" w:rsidRDefault="002B2259" w:rsidP="0096666B">
      <w:pPr>
        <w:pStyle w:val="BodyText"/>
      </w:pPr>
      <w:r w:rsidRPr="00797379">
        <w:t>School leaders described the various teams or committees that are active at schools across the district</w:t>
      </w:r>
      <w:r w:rsidR="00544DC8" w:rsidRPr="00797379">
        <w:t xml:space="preserve"> (e.g.,</w:t>
      </w:r>
      <w:r w:rsidRPr="00797379">
        <w:t xml:space="preserve"> </w:t>
      </w:r>
      <w:r w:rsidR="007556D6" w:rsidRPr="00797379">
        <w:t>SST</w:t>
      </w:r>
      <w:r w:rsidRPr="00797379">
        <w:t>, administrative leadership teams, school councils, grade</w:t>
      </w:r>
      <w:r w:rsidR="00544DC8" w:rsidRPr="00797379">
        <w:t>-</w:t>
      </w:r>
      <w:r w:rsidRPr="00797379">
        <w:t>level teams</w:t>
      </w:r>
      <w:r w:rsidR="00544DC8" w:rsidRPr="00797379">
        <w:t>)</w:t>
      </w:r>
      <w:r w:rsidRPr="00797379">
        <w:t xml:space="preserve">. </w:t>
      </w:r>
      <w:r w:rsidR="00544DC8" w:rsidRPr="00797379">
        <w:t>School leaders note</w:t>
      </w:r>
      <w:r w:rsidR="007556D6" w:rsidRPr="00797379">
        <w:t>d</w:t>
      </w:r>
      <w:r w:rsidR="00544DC8" w:rsidRPr="00797379">
        <w:t xml:space="preserve"> that di</w:t>
      </w:r>
      <w:r w:rsidRPr="00797379">
        <w:t xml:space="preserve">strict staff </w:t>
      </w:r>
      <w:r w:rsidR="00544DC8" w:rsidRPr="00797379">
        <w:t>participate in</w:t>
      </w:r>
      <w:r w:rsidRPr="00797379">
        <w:t xml:space="preserve"> school-level instructional leadership activities typically monthly,</w:t>
      </w:r>
      <w:r w:rsidR="00544DC8" w:rsidRPr="00797379">
        <w:t xml:space="preserve"> </w:t>
      </w:r>
      <w:r w:rsidRPr="00797379">
        <w:t xml:space="preserve">and the focus of these interactions </w:t>
      </w:r>
      <w:r w:rsidR="00397A42">
        <w:t>includes</w:t>
      </w:r>
      <w:r w:rsidR="00397A42" w:rsidRPr="00797379">
        <w:t xml:space="preserve"> </w:t>
      </w:r>
      <w:r w:rsidRPr="00797379">
        <w:t>co-observing classrooms, common planning time</w:t>
      </w:r>
      <w:r w:rsidR="00544DC8" w:rsidRPr="00797379">
        <w:t>,</w:t>
      </w:r>
      <w:r w:rsidRPr="00797379">
        <w:t xml:space="preserve"> or professional learning communities. </w:t>
      </w:r>
      <w:r w:rsidR="00544DC8" w:rsidRPr="00797379">
        <w:t>S</w:t>
      </w:r>
      <w:r w:rsidRPr="00797379">
        <w:t xml:space="preserve">chool leaders </w:t>
      </w:r>
      <w:r w:rsidR="00544DC8" w:rsidRPr="00797379">
        <w:t xml:space="preserve">also </w:t>
      </w:r>
      <w:r w:rsidRPr="00797379">
        <w:t xml:space="preserve">reported working with district leaders on planning and revising school improvement strategies. School-based leadership teams vary by </w:t>
      </w:r>
      <w:r w:rsidR="00544DC8" w:rsidRPr="00797379">
        <w:t xml:space="preserve">school </w:t>
      </w:r>
      <w:r w:rsidRPr="00797379">
        <w:t xml:space="preserve">level but share a common focus on instructional improvement and alignment with district priorities. School leaders reported that elementary principals and assistant principals concentrate on supervision, evaluation, and day-to-day instructional needs. Instructional Leadership Teams (ILTs) </w:t>
      </w:r>
      <w:r w:rsidR="00325EB8" w:rsidRPr="00797379">
        <w:t xml:space="preserve">at both the middle and high school secondary levels (Grades 6-12) </w:t>
      </w:r>
      <w:r w:rsidRPr="00797379">
        <w:t>include principals, assistant principals, department directors, and curriculum leaders</w:t>
      </w:r>
      <w:r w:rsidR="003F4224">
        <w:t xml:space="preserve"> and the t</w:t>
      </w:r>
      <w:r w:rsidR="00325EB8" w:rsidRPr="00797379">
        <w:t>eam</w:t>
      </w:r>
      <w:r w:rsidR="003F4224">
        <w:t>’s</w:t>
      </w:r>
      <w:r w:rsidR="00325EB8" w:rsidRPr="00797379">
        <w:t xml:space="preserve"> r</w:t>
      </w:r>
      <w:r w:rsidRPr="00797379">
        <w:t xml:space="preserve">esponsibilities </w:t>
      </w:r>
      <w:r w:rsidR="003F4224">
        <w:t>involve</w:t>
      </w:r>
      <w:r w:rsidRPr="00797379">
        <w:t xml:space="preserve"> </w:t>
      </w:r>
      <w:r w:rsidR="00325EB8" w:rsidRPr="00797379">
        <w:t xml:space="preserve">calibrating practices and </w:t>
      </w:r>
      <w:r w:rsidRPr="00797379">
        <w:t>developing</w:t>
      </w:r>
      <w:r w:rsidR="007D6247" w:rsidRPr="00797379">
        <w:t xml:space="preserve"> school improvement plans</w:t>
      </w:r>
      <w:r w:rsidR="00325EB8" w:rsidRPr="00797379">
        <w:t>. D</w:t>
      </w:r>
      <w:r w:rsidR="007D6247" w:rsidRPr="00797379">
        <w:t xml:space="preserve">istrict </w:t>
      </w:r>
      <w:r w:rsidR="00325EB8" w:rsidRPr="00797379">
        <w:t xml:space="preserve">leaders </w:t>
      </w:r>
      <w:r w:rsidR="007D6247" w:rsidRPr="00797379">
        <w:t>refer</w:t>
      </w:r>
      <w:r w:rsidR="004C2565" w:rsidRPr="00797379">
        <w:t>red</w:t>
      </w:r>
      <w:r w:rsidR="007D6247" w:rsidRPr="00797379">
        <w:t xml:space="preserve"> to </w:t>
      </w:r>
      <w:r w:rsidR="00325EB8" w:rsidRPr="00797379">
        <w:t xml:space="preserve">the latter </w:t>
      </w:r>
      <w:r w:rsidR="007D6247" w:rsidRPr="00797379">
        <w:t>as “</w:t>
      </w:r>
      <w:r w:rsidRPr="00797379">
        <w:t>school innovation plans</w:t>
      </w:r>
      <w:r w:rsidR="007D6247" w:rsidRPr="00797379">
        <w:t>”</w:t>
      </w:r>
      <w:r w:rsidRPr="00797379">
        <w:t xml:space="preserve"> </w:t>
      </w:r>
      <w:r w:rsidR="00325EB8" w:rsidRPr="00797379">
        <w:t xml:space="preserve">that are </w:t>
      </w:r>
      <w:r w:rsidRPr="00797379">
        <w:t>aligned with district goals</w:t>
      </w:r>
      <w:r w:rsidR="00325EB8" w:rsidRPr="00797379">
        <w:t xml:space="preserve"> and </w:t>
      </w:r>
      <w:r w:rsidRPr="00797379">
        <w:t>support</w:t>
      </w:r>
      <w:r w:rsidR="00325EB8" w:rsidRPr="00797379">
        <w:t xml:space="preserve"> </w:t>
      </w:r>
      <w:r w:rsidRPr="00797379">
        <w:t xml:space="preserve">teaching and learning through vertical alignment. ILTs </w:t>
      </w:r>
      <w:r w:rsidR="00325EB8" w:rsidRPr="00797379">
        <w:t>conduct</w:t>
      </w:r>
      <w:r w:rsidRPr="00797379">
        <w:t xml:space="preserve"> walkthroughs and </w:t>
      </w:r>
      <w:r w:rsidR="00BE2DEB" w:rsidRPr="00797379">
        <w:t>engage</w:t>
      </w:r>
      <w:r w:rsidR="00325EB8" w:rsidRPr="00797379">
        <w:t xml:space="preserve"> in </w:t>
      </w:r>
      <w:r w:rsidRPr="00797379">
        <w:t xml:space="preserve">collaborative planning. </w:t>
      </w:r>
      <w:r w:rsidR="00BE2DEB" w:rsidRPr="00797379">
        <w:t>T</w:t>
      </w:r>
      <w:r w:rsidR="00E24BC7" w:rsidRPr="00797379">
        <w:t>eacher</w:t>
      </w:r>
      <w:r w:rsidR="00361847" w:rsidRPr="00797379">
        <w:t xml:space="preserve"> participants</w:t>
      </w:r>
      <w:r w:rsidRPr="00797379">
        <w:t xml:space="preserve"> reported </w:t>
      </w:r>
      <w:r w:rsidR="00BE2DEB" w:rsidRPr="00797379">
        <w:t xml:space="preserve">in focus groups that there are </w:t>
      </w:r>
      <w:r w:rsidRPr="00797379">
        <w:t>frequent departmental meetings</w:t>
      </w:r>
      <w:r w:rsidR="00BE2DEB" w:rsidRPr="00797379">
        <w:t>, supported by school and district leaders,</w:t>
      </w:r>
      <w:r w:rsidRPr="00797379">
        <w:t xml:space="preserve"> to review</w:t>
      </w:r>
      <w:r w:rsidR="3CB29A26" w:rsidRPr="00797379">
        <w:t xml:space="preserve"> </w:t>
      </w:r>
      <w:r w:rsidR="061CD527" w:rsidRPr="00797379">
        <w:t>alignment to</w:t>
      </w:r>
      <w:r w:rsidRPr="00797379">
        <w:t xml:space="preserve"> standards and curriculum coherence.</w:t>
      </w:r>
    </w:p>
    <w:p w14:paraId="3526F591" w14:textId="77777777" w:rsidR="00361C91" w:rsidRPr="00797379" w:rsidRDefault="00361C91" w:rsidP="0096666B">
      <w:pPr>
        <w:pStyle w:val="BodyText"/>
      </w:pPr>
      <w:r w:rsidRPr="00361C91">
        <w:t>The district’s relationship with its teachers’ association also reflects key aspects of collaboration and communication</w:t>
      </w:r>
      <w:r>
        <w:t xml:space="preserve">. </w:t>
      </w:r>
      <w:r w:rsidRPr="00797379">
        <w:t xml:space="preserve">WEA leaders represent </w:t>
      </w:r>
      <w:r>
        <w:t>Winchester's</w:t>
      </w:r>
      <w:r w:rsidRPr="00797379">
        <w:t xml:space="preserve"> teachers. One leader reported that the WEA has a “fairly cordial” relationship with district leaders but noted the union is in the “throes of negotiations” on a new contract. Another leader said the WEA has a “decent working relationship and are able to come to remedies for any kind of situations we have.” Another said, “We find the district administrators to have good listening ears.”</w:t>
      </w:r>
    </w:p>
    <w:p w14:paraId="3C04BFED" w14:textId="5A322238" w:rsidR="00201EB8" w:rsidRDefault="00201EB8" w:rsidP="0096666B">
      <w:pPr>
        <w:pStyle w:val="BodyText"/>
      </w:pPr>
      <w:r>
        <w:t xml:space="preserve">Winchester’s town manager position is currently in transition. </w:t>
      </w:r>
      <w:r w:rsidR="00A8053C">
        <w:t xml:space="preserve">In September 2025, the town appointed an interim town manager while </w:t>
      </w:r>
      <w:r w:rsidR="00F10A0A">
        <w:t xml:space="preserve">a search was being conducted for a permanent town manager. Further, </w:t>
      </w:r>
      <w:r w:rsidR="004D1D1C">
        <w:t xml:space="preserve">in January 2026, the interim town manager </w:t>
      </w:r>
      <w:r w:rsidR="00F44537">
        <w:t xml:space="preserve">left the </w:t>
      </w:r>
      <w:r w:rsidR="000709AC">
        <w:t>position,</w:t>
      </w:r>
      <w:r w:rsidR="00F44537">
        <w:t xml:space="preserve"> and the town installed the second interim town manager in the span of six months. Based on recent news reports</w:t>
      </w:r>
      <w:r w:rsidR="00825B29">
        <w:t xml:space="preserve"> (February 2026)</w:t>
      </w:r>
      <w:r w:rsidR="00F44537">
        <w:t xml:space="preserve">, the town has </w:t>
      </w:r>
      <w:r w:rsidR="00825B29">
        <w:t xml:space="preserve">selected a new </w:t>
      </w:r>
      <w:r w:rsidR="000709AC">
        <w:t>town manager and is in the process of contract negotiations. The current interim town manager</w:t>
      </w:r>
      <w:r w:rsidR="005260F8">
        <w:t xml:space="preserve">, who is also the Town Clerk, will </w:t>
      </w:r>
      <w:r w:rsidR="003258F5">
        <w:t xml:space="preserve">fill the role until the new town manager is in place. </w:t>
      </w:r>
    </w:p>
    <w:p w14:paraId="5F45142D" w14:textId="5F0EEFF9" w:rsidR="002B2259" w:rsidRPr="00797379" w:rsidRDefault="003258F5" w:rsidP="0096666B">
      <w:pPr>
        <w:pStyle w:val="BodyText"/>
      </w:pPr>
      <w:r>
        <w:t xml:space="preserve">The municipal office is </w:t>
      </w:r>
      <w:r w:rsidR="008B0A74">
        <w:t>overseen by t</w:t>
      </w:r>
      <w:r w:rsidR="00C22717" w:rsidRPr="00797379">
        <w:t xml:space="preserve">he </w:t>
      </w:r>
      <w:r w:rsidR="002B2259" w:rsidRPr="00797379">
        <w:t xml:space="preserve">interim town </w:t>
      </w:r>
      <w:r w:rsidR="00941010" w:rsidRPr="00797379">
        <w:t>manager</w:t>
      </w:r>
      <w:r w:rsidR="002B2259" w:rsidRPr="00797379">
        <w:t xml:space="preserve"> </w:t>
      </w:r>
      <w:r w:rsidR="00C22717" w:rsidRPr="00797379">
        <w:t>and</w:t>
      </w:r>
      <w:r w:rsidR="002B2259" w:rsidRPr="00797379">
        <w:t xml:space="preserve"> </w:t>
      </w:r>
      <w:r w:rsidR="00C22717" w:rsidRPr="00797379">
        <w:t xml:space="preserve">the </w:t>
      </w:r>
      <w:r w:rsidR="002B2259" w:rsidRPr="00797379">
        <w:t xml:space="preserve">town comptroller. </w:t>
      </w:r>
      <w:r w:rsidR="00941010">
        <w:t xml:space="preserve">Despite having </w:t>
      </w:r>
      <w:r w:rsidR="002B2259" w:rsidRPr="00797379">
        <w:t xml:space="preserve">no formal </w:t>
      </w:r>
      <w:r w:rsidR="0015361C">
        <w:t>m</w:t>
      </w:r>
      <w:r w:rsidR="002B2259" w:rsidRPr="00797379">
        <w:t xml:space="preserve">emorandum of </w:t>
      </w:r>
      <w:r w:rsidR="00941010">
        <w:t>understanding</w:t>
      </w:r>
      <w:r w:rsidR="002B2259" w:rsidRPr="00797379">
        <w:t xml:space="preserve">, district </w:t>
      </w:r>
      <w:r w:rsidR="007A6E39" w:rsidRPr="00797379">
        <w:t xml:space="preserve">leaders </w:t>
      </w:r>
      <w:r w:rsidR="002B2259" w:rsidRPr="00797379">
        <w:t>and town officials report</w:t>
      </w:r>
      <w:r w:rsidR="0061045D" w:rsidRPr="00797379">
        <w:t>ed</w:t>
      </w:r>
      <w:r w:rsidR="002B2259" w:rsidRPr="00797379">
        <w:t xml:space="preserve"> having a collaborative working relationship and </w:t>
      </w:r>
      <w:r w:rsidR="0061045D" w:rsidRPr="00797379">
        <w:t>an ongoing</w:t>
      </w:r>
      <w:r w:rsidR="002B2259" w:rsidRPr="00797379">
        <w:t xml:space="preserve"> understanding of which entity is responsible for specific activities. Town leaders reported they facilitate and assist </w:t>
      </w:r>
      <w:r w:rsidR="00C22717" w:rsidRPr="00797379">
        <w:t>WPS</w:t>
      </w:r>
      <w:r w:rsidR="002B2259" w:rsidRPr="00797379">
        <w:t xml:space="preserve"> in maintaining the excellence the community expect</w:t>
      </w:r>
      <w:r w:rsidR="00C22717" w:rsidRPr="00797379">
        <w:t>s</w:t>
      </w:r>
      <w:r w:rsidR="002B2259" w:rsidRPr="00797379">
        <w:t xml:space="preserve"> from its schools</w:t>
      </w:r>
      <w:r w:rsidR="00941010">
        <w:t>.</w:t>
      </w:r>
      <w:r w:rsidR="002B2259" w:rsidRPr="00797379">
        <w:t xml:space="preserve"> Town and district </w:t>
      </w:r>
      <w:r w:rsidR="007A6E39" w:rsidRPr="00797379">
        <w:t>leaders</w:t>
      </w:r>
      <w:r w:rsidR="002B2259" w:rsidRPr="00797379">
        <w:t xml:space="preserve"> </w:t>
      </w:r>
      <w:r w:rsidR="007A6E39" w:rsidRPr="00797379">
        <w:t xml:space="preserve">agreed </w:t>
      </w:r>
      <w:r w:rsidR="002B2259" w:rsidRPr="00797379">
        <w:t>that the town oversees most maintenance responsibilities. In areas where responsibilities overlap</w:t>
      </w:r>
      <w:r w:rsidR="007A6E39" w:rsidRPr="00797379">
        <w:t xml:space="preserve">, </w:t>
      </w:r>
      <w:r w:rsidR="002B2259" w:rsidRPr="00797379">
        <w:t>such as replacing items</w:t>
      </w:r>
      <w:r w:rsidR="007A6E39" w:rsidRPr="00797379">
        <w:t xml:space="preserve">, </w:t>
      </w:r>
      <w:r w:rsidR="002B2259" w:rsidRPr="00797379">
        <w:t xml:space="preserve">the town manages general facility needs (e.g., light bulbs), while the district </w:t>
      </w:r>
      <w:r w:rsidR="007A6E39" w:rsidRPr="00797379">
        <w:t>manages</w:t>
      </w:r>
      <w:r w:rsidR="002B2259" w:rsidRPr="00797379">
        <w:t xml:space="preserve"> instructional assets (e.g., desks). In </w:t>
      </w:r>
      <w:r w:rsidR="007A6E39" w:rsidRPr="00797379">
        <w:t>general</w:t>
      </w:r>
      <w:r w:rsidR="002B2259" w:rsidRPr="00797379">
        <w:t>, the district assumes responsibility for anything directly used for instruction.</w:t>
      </w:r>
    </w:p>
    <w:p w14:paraId="74BF6603" w14:textId="3473406F" w:rsidR="00CD3927" w:rsidRPr="00D44909" w:rsidRDefault="002B2259" w:rsidP="0096666B">
      <w:pPr>
        <w:pStyle w:val="BodyText"/>
        <w:rPr>
          <w:color w:val="538135" w:themeColor="accent6" w:themeShade="BF"/>
        </w:rPr>
      </w:pPr>
      <w:r w:rsidRPr="00797379">
        <w:t>Town and district leaders also reported working collaboratively on the budget process, which begins in the summer with joint workshops and continues through March prior to the town meeting</w:t>
      </w:r>
      <w:r w:rsidR="007D6247" w:rsidRPr="00797379">
        <w:t xml:space="preserve"> </w:t>
      </w:r>
      <w:r w:rsidR="007D6247" w:rsidRPr="00797379">
        <w:rPr>
          <w:rFonts w:ascii="Helvetica" w:eastAsia="Times New Roman" w:hAnsi="Helvetica" w:cs="Helvetica"/>
          <w:sz w:val="24"/>
          <w:szCs w:val="24"/>
        </w:rPr>
        <w:t>(</w:t>
      </w:r>
      <w:r w:rsidR="00C52F93" w:rsidRPr="00797379">
        <w:t>se</w:t>
      </w:r>
      <w:r w:rsidR="007D6247" w:rsidRPr="00797379">
        <w:t xml:space="preserve">e </w:t>
      </w:r>
      <w:r w:rsidR="007D6247" w:rsidRPr="00797379">
        <w:rPr>
          <w:i/>
          <w:iCs/>
        </w:rPr>
        <w:t>Budget and Budgeting Process</w:t>
      </w:r>
      <w:r w:rsidR="007D6247" w:rsidRPr="00797379">
        <w:t>)</w:t>
      </w:r>
      <w:r w:rsidRPr="00797379">
        <w:t xml:space="preserve">. The WPS 2030 framework anchors budget requests and override proposals, </w:t>
      </w:r>
      <w:r w:rsidR="004B4C88" w:rsidRPr="00797379">
        <w:t xml:space="preserve">which </w:t>
      </w:r>
      <w:r w:rsidRPr="00797379">
        <w:t>foster</w:t>
      </w:r>
      <w:r w:rsidR="004B4C88" w:rsidRPr="00797379">
        <w:t>s</w:t>
      </w:r>
      <w:r w:rsidRPr="00797379">
        <w:t xml:space="preserve"> transparency and alignment between educational and municipal goals</w:t>
      </w:r>
      <w:r w:rsidR="00CD3927" w:rsidRPr="00797379">
        <w:t>.</w:t>
      </w:r>
      <w:r w:rsidR="00D44909">
        <w:t xml:space="preserve"> </w:t>
      </w:r>
      <w:r w:rsidR="00D44909" w:rsidRPr="0015361C">
        <w:t>The close collaboration and working relationship between town and district leadership is a strength for the district.</w:t>
      </w:r>
    </w:p>
    <w:p w14:paraId="1DE2DB32" w14:textId="69433FAB" w:rsidR="002B2259" w:rsidRPr="00797379" w:rsidRDefault="004B4C88" w:rsidP="0096666B">
      <w:pPr>
        <w:pStyle w:val="BodyText"/>
      </w:pPr>
      <w:r w:rsidRPr="00797379">
        <w:t xml:space="preserve">WPS </w:t>
      </w:r>
      <w:r w:rsidR="002B2259" w:rsidRPr="00797379">
        <w:t xml:space="preserve">district and school leaders actively engage </w:t>
      </w:r>
      <w:r w:rsidRPr="00797379">
        <w:t xml:space="preserve">with </w:t>
      </w:r>
      <w:r w:rsidR="002B2259" w:rsidRPr="00797379">
        <w:t xml:space="preserve">representative school and parent advisory councils, including school councils, Parent Teacher Organizations (PTO), </w:t>
      </w:r>
      <w:r w:rsidR="00593B0C" w:rsidRPr="00797379">
        <w:t xml:space="preserve">the </w:t>
      </w:r>
      <w:r w:rsidR="002B2259" w:rsidRPr="00797379">
        <w:t xml:space="preserve">Special Education Parent Advisory Committee, and </w:t>
      </w:r>
      <w:r w:rsidR="00593B0C" w:rsidRPr="00797379">
        <w:t xml:space="preserve">the </w:t>
      </w:r>
      <w:r w:rsidR="002B2259" w:rsidRPr="00797379">
        <w:t xml:space="preserve">English Learner Parent Advisory Council. </w:t>
      </w:r>
      <w:r w:rsidR="00593B0C" w:rsidRPr="00797379">
        <w:t>S</w:t>
      </w:r>
      <w:r w:rsidR="002B2259" w:rsidRPr="00797379">
        <w:t xml:space="preserve">chool leaders reported </w:t>
      </w:r>
      <w:r w:rsidR="00593B0C" w:rsidRPr="00797379">
        <w:t xml:space="preserve">that they also </w:t>
      </w:r>
      <w:r w:rsidR="002B2259" w:rsidRPr="00797379">
        <w:t>hav</w:t>
      </w:r>
      <w:r w:rsidR="00593B0C" w:rsidRPr="00797379">
        <w:t>e</w:t>
      </w:r>
      <w:r w:rsidR="002B2259" w:rsidRPr="00797379">
        <w:t xml:space="preserve"> representative </w:t>
      </w:r>
      <w:r w:rsidR="00593B0C" w:rsidRPr="00797379">
        <w:t>s</w:t>
      </w:r>
      <w:r w:rsidR="002B2259" w:rsidRPr="00797379">
        <w:t xml:space="preserve">chool </w:t>
      </w:r>
      <w:r w:rsidR="00593B0C" w:rsidRPr="00797379">
        <w:t>c</w:t>
      </w:r>
      <w:r w:rsidR="002B2259" w:rsidRPr="00797379">
        <w:t>ouncils that align with district initiatives and comply with state statutes and regulations. School leaders reported that parent engagement structures are well-established</w:t>
      </w:r>
      <w:r w:rsidR="00593B0C" w:rsidRPr="00797379">
        <w:t>,</w:t>
      </w:r>
      <w:r w:rsidR="002B2259" w:rsidRPr="00797379">
        <w:t xml:space="preserve"> and </w:t>
      </w:r>
      <w:r w:rsidR="00593B0C" w:rsidRPr="00797379">
        <w:t xml:space="preserve">that they </w:t>
      </w:r>
      <w:r w:rsidR="002B2259" w:rsidRPr="00797379">
        <w:t>us</w:t>
      </w:r>
      <w:r w:rsidR="00593B0C" w:rsidRPr="00797379">
        <w:t>e</w:t>
      </w:r>
      <w:r w:rsidR="002B2259" w:rsidRPr="00797379">
        <w:t xml:space="preserve"> ThoughtExchange</w:t>
      </w:r>
      <w:r w:rsidR="00762740">
        <w:t>, an online platform,</w:t>
      </w:r>
      <w:r w:rsidR="002B2259" w:rsidRPr="00797379">
        <w:t xml:space="preserve"> as a tool to engage parents, families, students, and community members. Each school has a parent association with a designated </w:t>
      </w:r>
      <w:r w:rsidR="00F02F85" w:rsidRPr="00797379">
        <w:t>s</w:t>
      </w:r>
      <w:r w:rsidR="002B2259" w:rsidRPr="00797379">
        <w:t xml:space="preserve">chool </w:t>
      </w:r>
      <w:r w:rsidR="00F02F85" w:rsidRPr="00797379">
        <w:t>c</w:t>
      </w:r>
      <w:r w:rsidR="002B2259" w:rsidRPr="00797379">
        <w:t xml:space="preserve">ommittee liaison, ensuring two-way communication between governance and families. The district convenes a broader Parent Information System group </w:t>
      </w:r>
      <w:r w:rsidR="00F02F85" w:rsidRPr="00797379">
        <w:t xml:space="preserve">when it wants </w:t>
      </w:r>
      <w:r w:rsidR="002B2259" w:rsidRPr="00797379">
        <w:t xml:space="preserve">community input </w:t>
      </w:r>
      <w:r w:rsidR="00F02F85" w:rsidRPr="00797379">
        <w:t>in</w:t>
      </w:r>
      <w:r w:rsidR="002B2259" w:rsidRPr="00797379">
        <w:t xml:space="preserve"> important decisions. These bodies provide feedback on priorities, participate in budget discussions, and collaborate on equity initiatives such as field trip funding. School </w:t>
      </w:r>
      <w:r w:rsidR="007665C8" w:rsidRPr="00797379">
        <w:t>c</w:t>
      </w:r>
      <w:r w:rsidR="002B2259" w:rsidRPr="00797379">
        <w:t>ommittee members reported strong community ties through</w:t>
      </w:r>
      <w:r w:rsidR="007665C8" w:rsidRPr="00797379">
        <w:t xml:space="preserve"> their</w:t>
      </w:r>
      <w:r w:rsidR="002B2259" w:rsidRPr="00797379">
        <w:t xml:space="preserve"> participation in local boards focused on social justice and housing.</w:t>
      </w:r>
    </w:p>
    <w:p w14:paraId="5755C838" w14:textId="473F002C" w:rsidR="003D6ECF" w:rsidRPr="00797379" w:rsidRDefault="00F95311" w:rsidP="0096666B">
      <w:pPr>
        <w:pStyle w:val="Heading3"/>
      </w:pPr>
      <w:bookmarkStart w:id="35" w:name="_District_and_School"/>
      <w:bookmarkStart w:id="36" w:name="_Strategic_Planning,_Implementation,"/>
      <w:bookmarkEnd w:id="35"/>
      <w:bookmarkEnd w:id="36"/>
      <w:r w:rsidRPr="00797379">
        <w:t>Strategic Planning, Implementation, and Monitoring</w:t>
      </w:r>
    </w:p>
    <w:p w14:paraId="4035A251" w14:textId="708904D8" w:rsidR="002B2259" w:rsidRPr="00797379" w:rsidRDefault="002B2259" w:rsidP="0096666B">
      <w:pPr>
        <w:pStyle w:val="BodyText"/>
        <w:rPr>
          <w:color w:val="538135" w:themeColor="accent6" w:themeShade="BF"/>
        </w:rPr>
      </w:pPr>
      <w:r w:rsidRPr="00797379">
        <w:t xml:space="preserve">District leaders reported that </w:t>
      </w:r>
      <w:r w:rsidR="007F4950" w:rsidRPr="00797379">
        <w:t>l</w:t>
      </w:r>
      <w:r w:rsidRPr="00797379">
        <w:t xml:space="preserve">eadership teams meet each summer for a “year in review” and strategic alignment sessions, ensuring school-level plans are </w:t>
      </w:r>
      <w:r w:rsidR="00E82B0E" w:rsidRPr="00797379">
        <w:t>tethered</w:t>
      </w:r>
      <w:r w:rsidRPr="00797379">
        <w:t xml:space="preserve"> to district priorities. Based on </w:t>
      </w:r>
      <w:r w:rsidR="000E38E8" w:rsidRPr="00797379">
        <w:t xml:space="preserve">the observers’ </w:t>
      </w:r>
      <w:r w:rsidRPr="00797379">
        <w:t>document review, the district’s strategic plan</w:t>
      </w:r>
      <w:r w:rsidR="00B37FCE">
        <w:t xml:space="preserve"> </w:t>
      </w:r>
      <w:r w:rsidR="007B2D12">
        <w:t>(</w:t>
      </w:r>
      <w:r w:rsidRPr="00797379">
        <w:t>WPS 2030</w:t>
      </w:r>
      <w:r w:rsidR="007B2D12">
        <w:t>)</w:t>
      </w:r>
      <w:r w:rsidRPr="00797379">
        <w:t xml:space="preserve"> outlines priorities across </w:t>
      </w:r>
      <w:r w:rsidR="000E38E8" w:rsidRPr="00797379">
        <w:t>t</w:t>
      </w:r>
      <w:r w:rsidRPr="00797379">
        <w:t xml:space="preserve">eaching </w:t>
      </w:r>
      <w:r w:rsidR="000E38E8" w:rsidRPr="00797379">
        <w:t>and l</w:t>
      </w:r>
      <w:r w:rsidRPr="00797379">
        <w:t xml:space="preserve">earning, </w:t>
      </w:r>
      <w:r w:rsidR="000E38E8" w:rsidRPr="00797379">
        <w:t>c</w:t>
      </w:r>
      <w:r w:rsidRPr="00797379">
        <w:t xml:space="preserve">ommunity </w:t>
      </w:r>
      <w:r w:rsidR="000E38E8" w:rsidRPr="00797379">
        <w:t>and w</w:t>
      </w:r>
      <w:r w:rsidRPr="00797379">
        <w:t>ell</w:t>
      </w:r>
      <w:r w:rsidR="000E38E8" w:rsidRPr="00797379">
        <w:t>-</w:t>
      </w:r>
      <w:r w:rsidRPr="00797379">
        <w:t xml:space="preserve">being, and </w:t>
      </w:r>
      <w:r w:rsidR="000E38E8" w:rsidRPr="00797379">
        <w:t>o</w:t>
      </w:r>
      <w:r w:rsidRPr="00797379">
        <w:t>peration</w:t>
      </w:r>
      <w:r w:rsidR="000E38E8" w:rsidRPr="00797379">
        <w:t>s</w:t>
      </w:r>
      <w:r w:rsidRPr="00797379">
        <w:t xml:space="preserve">. District leaders </w:t>
      </w:r>
      <w:r w:rsidR="008F7D4C" w:rsidRPr="00797379">
        <w:t>said that they use</w:t>
      </w:r>
      <w:r w:rsidRPr="00797379">
        <w:t xml:space="preserve"> WPS 2030 to guide priorities. </w:t>
      </w:r>
      <w:r w:rsidR="00F10DE2" w:rsidRPr="00797379">
        <w:t>WPS 2030</w:t>
      </w:r>
      <w:r w:rsidR="00853C07" w:rsidRPr="00797379">
        <w:t xml:space="preserve"> includes indicators </w:t>
      </w:r>
      <w:r w:rsidR="008878A1">
        <w:t xml:space="preserve">that </w:t>
      </w:r>
      <w:r w:rsidR="00853C07" w:rsidRPr="00797379">
        <w:t>the district will use to guide implementation and monitoring</w:t>
      </w:r>
      <w:r w:rsidR="00272E6C" w:rsidRPr="00797379">
        <w:t xml:space="preserve"> of each priority area</w:t>
      </w:r>
      <w:r w:rsidR="007E60D3" w:rsidRPr="00797379">
        <w:t xml:space="preserve">. For example, to guide </w:t>
      </w:r>
      <w:r w:rsidR="00D71BF4" w:rsidRPr="00797379">
        <w:t>implementation</w:t>
      </w:r>
      <w:r w:rsidR="007E60D3" w:rsidRPr="00797379">
        <w:t xml:space="preserve"> for </w:t>
      </w:r>
      <w:r w:rsidR="00B62AFA" w:rsidRPr="00797379">
        <w:t xml:space="preserve">the </w:t>
      </w:r>
      <w:r w:rsidR="007E60D3" w:rsidRPr="00797379">
        <w:t>teaching and learning</w:t>
      </w:r>
      <w:r w:rsidR="00B62AFA" w:rsidRPr="00797379">
        <w:t xml:space="preserve"> priority</w:t>
      </w:r>
      <w:r w:rsidR="007E60D3" w:rsidRPr="00797379">
        <w:t xml:space="preserve">, </w:t>
      </w:r>
      <w:r w:rsidR="00D86358" w:rsidRPr="00797379">
        <w:t xml:space="preserve">the district </w:t>
      </w:r>
      <w:r w:rsidR="00B62AFA" w:rsidRPr="00797379">
        <w:t xml:space="preserve">will </w:t>
      </w:r>
      <w:r w:rsidR="00D86358" w:rsidRPr="00797379">
        <w:t xml:space="preserve">ensure </w:t>
      </w:r>
      <w:r w:rsidR="00D71BF4" w:rsidRPr="00797379">
        <w:t>curriculum align</w:t>
      </w:r>
      <w:r w:rsidR="00B62AFA" w:rsidRPr="00797379">
        <w:t>s</w:t>
      </w:r>
      <w:r w:rsidR="00D71BF4" w:rsidRPr="00797379">
        <w:t xml:space="preserve"> to state standard</w:t>
      </w:r>
      <w:r w:rsidR="00D86358" w:rsidRPr="00797379">
        <w:t>s</w:t>
      </w:r>
      <w:r w:rsidR="00B62AFA" w:rsidRPr="00797379">
        <w:t>;</w:t>
      </w:r>
      <w:r w:rsidR="00D86358" w:rsidRPr="00797379">
        <w:t xml:space="preserve"> and</w:t>
      </w:r>
      <w:r w:rsidR="00B62AFA" w:rsidRPr="00797379">
        <w:t xml:space="preserve"> for progress monitoring, there will be both </w:t>
      </w:r>
      <w:r w:rsidR="00E823D2" w:rsidRPr="00797379">
        <w:t>district</w:t>
      </w:r>
      <w:r w:rsidR="00B62AFA" w:rsidRPr="00797379">
        <w:t>-</w:t>
      </w:r>
      <w:r w:rsidR="00E823D2" w:rsidRPr="00797379">
        <w:t xml:space="preserve"> and school</w:t>
      </w:r>
      <w:r w:rsidR="00007C85" w:rsidRPr="00797379">
        <w:t>-</w:t>
      </w:r>
      <w:r w:rsidR="00E823D2" w:rsidRPr="00797379">
        <w:t>level walkthroughs.</w:t>
      </w:r>
      <w:r w:rsidR="00853C07" w:rsidRPr="00797379">
        <w:t xml:space="preserve"> </w:t>
      </w:r>
      <w:r w:rsidR="00B62AFA" w:rsidRPr="00797379">
        <w:t>N</w:t>
      </w:r>
      <w:r w:rsidRPr="00797379">
        <w:t xml:space="preserve">early all focus groups across the district identified the same three priority areas for the district: literacy, equity, and </w:t>
      </w:r>
      <w:r w:rsidR="00B62AFA" w:rsidRPr="00797379">
        <w:t>social-emotional learning</w:t>
      </w:r>
      <w:r w:rsidRPr="00797379">
        <w:t xml:space="preserve">. </w:t>
      </w:r>
      <w:r w:rsidRPr="00B37FCE">
        <w:t xml:space="preserve">The district’s strategic planning </w:t>
      </w:r>
      <w:r w:rsidR="007C708F" w:rsidRPr="00B37FCE">
        <w:t>framework</w:t>
      </w:r>
      <w:r w:rsidR="000D0D94" w:rsidRPr="00B37FCE">
        <w:t xml:space="preserve">, </w:t>
      </w:r>
      <w:r w:rsidR="00F36D1F" w:rsidRPr="00B37FCE">
        <w:t xml:space="preserve">which </w:t>
      </w:r>
      <w:r w:rsidR="007C708F" w:rsidRPr="00B37FCE">
        <w:t>provid</w:t>
      </w:r>
      <w:r w:rsidR="00127B18" w:rsidRPr="00B37FCE">
        <w:t>es</w:t>
      </w:r>
      <w:r w:rsidRPr="00B37FCE">
        <w:t xml:space="preserve"> a coherent structure that links planning, implementation, and monitoring of priority initiatives</w:t>
      </w:r>
      <w:r w:rsidR="000D0D94" w:rsidRPr="00B37FCE">
        <w:t xml:space="preserve">, </w:t>
      </w:r>
      <w:r w:rsidRPr="00B37FCE">
        <w:t>is a notable strength</w:t>
      </w:r>
      <w:r w:rsidR="00127B18" w:rsidRPr="00B37FCE">
        <w:t xml:space="preserve"> </w:t>
      </w:r>
      <w:r w:rsidR="00C63BC4" w:rsidRPr="00B37FCE">
        <w:t xml:space="preserve">of </w:t>
      </w:r>
      <w:r w:rsidR="00127B18" w:rsidRPr="00B37FCE">
        <w:t>the district</w:t>
      </w:r>
      <w:r w:rsidRPr="00B37FCE">
        <w:t>.</w:t>
      </w:r>
    </w:p>
    <w:p w14:paraId="17DA0193" w14:textId="4DFAB49A" w:rsidR="00CD3927" w:rsidRPr="00797379" w:rsidRDefault="002B2259" w:rsidP="0096666B">
      <w:pPr>
        <w:pStyle w:val="BodyText"/>
      </w:pPr>
      <w:r w:rsidRPr="00797379">
        <w:t>According to district and town leaders, the strategic planning process involves broad stakeholder engagement</w:t>
      </w:r>
      <w:r w:rsidR="00096097" w:rsidRPr="00797379">
        <w:t xml:space="preserve"> at </w:t>
      </w:r>
      <w:r w:rsidRPr="00797379">
        <w:t>summer vision workshops (includ</w:t>
      </w:r>
      <w:r w:rsidR="008B0D37" w:rsidRPr="00797379">
        <w:t>ing</w:t>
      </w:r>
      <w:r w:rsidRPr="00797379">
        <w:t xml:space="preserve"> the district</w:t>
      </w:r>
      <w:r w:rsidR="008B0D37" w:rsidRPr="00797379">
        <w:t>’</w:t>
      </w:r>
      <w:r w:rsidRPr="00797379">
        <w:t xml:space="preserve">s </w:t>
      </w:r>
      <w:r w:rsidR="008B0D37" w:rsidRPr="00797379">
        <w:t>large leadership team</w:t>
      </w:r>
      <w:r w:rsidRPr="00797379">
        <w:t xml:space="preserve">), </w:t>
      </w:r>
      <w:r w:rsidR="002D2F68" w:rsidRPr="00797379">
        <w:t>s</w:t>
      </w:r>
      <w:r w:rsidRPr="00797379">
        <w:t xml:space="preserve">chool </w:t>
      </w:r>
      <w:r w:rsidR="002D2F68" w:rsidRPr="00797379">
        <w:t>c</w:t>
      </w:r>
      <w:r w:rsidRPr="00797379">
        <w:t xml:space="preserve">ommittee retreats, and </w:t>
      </w:r>
      <w:r w:rsidR="00096097" w:rsidRPr="00797379">
        <w:t xml:space="preserve">during </w:t>
      </w:r>
      <w:r w:rsidRPr="00797379">
        <w:t xml:space="preserve">collaboration with municipal leaders on budget alignment and override planning. District leaders noted they use demographic data, MCAS scores, Massachusetts Consortium for Innovative Education Assessment (MCIEA) dashboards, </w:t>
      </w:r>
      <w:r w:rsidR="00096097" w:rsidRPr="00797379">
        <w:t xml:space="preserve">Dynamic Indicators of Basic Early Literacy Skills (DIBELS), </w:t>
      </w:r>
      <w:r w:rsidRPr="00797379">
        <w:t xml:space="preserve">and YRBS </w:t>
      </w:r>
      <w:r w:rsidR="00EA11B1" w:rsidRPr="00797379">
        <w:t xml:space="preserve">data </w:t>
      </w:r>
      <w:r w:rsidRPr="00797379">
        <w:t>to inform decisions and identify priorities</w:t>
      </w:r>
      <w:r w:rsidR="00CD3927" w:rsidRPr="00797379">
        <w:t>.</w:t>
      </w:r>
    </w:p>
    <w:p w14:paraId="2C4CD9A5" w14:textId="60AD8872" w:rsidR="002B2259" w:rsidRPr="00524346" w:rsidRDefault="002B2259" w:rsidP="0096666B">
      <w:pPr>
        <w:pStyle w:val="BodyText"/>
        <w:rPr>
          <w:color w:val="538135" w:themeColor="accent6" w:themeShade="BF"/>
        </w:rPr>
      </w:pPr>
      <w:r w:rsidRPr="00797379">
        <w:t>In the school leader focus group, all school leaders reported developing school innovation plan</w:t>
      </w:r>
      <w:r w:rsidR="00624D6F" w:rsidRPr="00797379">
        <w:t>s</w:t>
      </w:r>
      <w:r w:rsidRPr="00797379">
        <w:t xml:space="preserve"> (SIP</w:t>
      </w:r>
      <w:r w:rsidR="00624D6F" w:rsidRPr="00797379">
        <w:t>s</w:t>
      </w:r>
      <w:r w:rsidRPr="00797379">
        <w:t xml:space="preserve">) in alignment with the district’s innovation plan. School leaders noted </w:t>
      </w:r>
      <w:r w:rsidR="00782CCA" w:rsidRPr="00797379">
        <w:t>SIP</w:t>
      </w:r>
      <w:r w:rsidRPr="00797379">
        <w:t xml:space="preserve"> development is a collaborative process </w:t>
      </w:r>
      <w:r w:rsidR="00EA11B1" w:rsidRPr="00797379">
        <w:t xml:space="preserve">that </w:t>
      </w:r>
      <w:r w:rsidRPr="00797379">
        <w:t>involves principals, coordinators, and teachers during summer retreats and ongoing collaborative planning time during the school year. School leaders noted</w:t>
      </w:r>
      <w:r w:rsidR="00EA11B1" w:rsidRPr="00797379">
        <w:t xml:space="preserve"> </w:t>
      </w:r>
      <w:r w:rsidRPr="00797379">
        <w:t>that the SIP process</w:t>
      </w:r>
      <w:r w:rsidR="00EA11B1" w:rsidRPr="00797379">
        <w:t>, in part,</w:t>
      </w:r>
      <w:r w:rsidRPr="00797379">
        <w:t xml:space="preserve"> is designed to create systemwide coherence. </w:t>
      </w:r>
      <w:r w:rsidR="00B32CCD" w:rsidRPr="00797379">
        <w:t xml:space="preserve">As </w:t>
      </w:r>
      <w:r w:rsidRPr="00797379">
        <w:t>one principal stated, “</w:t>
      </w:r>
      <w:r w:rsidR="00EA11B1" w:rsidRPr="00797379">
        <w:t>T</w:t>
      </w:r>
      <w:r w:rsidRPr="00797379">
        <w:t>hat’s one of the foci</w:t>
      </w:r>
      <w:r w:rsidR="00EA11B1" w:rsidRPr="00797379">
        <w:t xml:space="preserve"> . . . </w:t>
      </w:r>
      <w:r w:rsidRPr="00797379">
        <w:t>that we’re all consistent across the district.”</w:t>
      </w:r>
      <w:r w:rsidR="00D34629">
        <w:t xml:space="preserve"> </w:t>
      </w:r>
      <w:r w:rsidR="00D34629" w:rsidRPr="00950639">
        <w:t xml:space="preserve">The collaborative </w:t>
      </w:r>
      <w:r w:rsidR="00524346" w:rsidRPr="00950639">
        <w:t xml:space="preserve">process for building SIPs is a strength for Winchester. </w:t>
      </w:r>
    </w:p>
    <w:p w14:paraId="4C899D70" w14:textId="0DC66AB9" w:rsidR="00CD3927" w:rsidRPr="00797379" w:rsidRDefault="00493B8A" w:rsidP="0096666B">
      <w:pPr>
        <w:pStyle w:val="BodyText"/>
      </w:pPr>
      <w:r>
        <w:t>A</w:t>
      </w:r>
      <w:r w:rsidR="00624D6F" w:rsidRPr="00797379">
        <w:t>naly</w:t>
      </w:r>
      <w:r>
        <w:t>sis of</w:t>
      </w:r>
      <w:r w:rsidR="002B2259" w:rsidRPr="00797379">
        <w:t xml:space="preserve"> the SIPs </w:t>
      </w:r>
      <w:r w:rsidR="00624D6F" w:rsidRPr="00797379">
        <w:t xml:space="preserve">during </w:t>
      </w:r>
      <w:r w:rsidR="002B2259" w:rsidRPr="00797379">
        <w:t>document review</w:t>
      </w:r>
      <w:r w:rsidR="00624D6F" w:rsidRPr="00797379">
        <w:t xml:space="preserve"> found </w:t>
      </w:r>
      <w:r w:rsidR="002B2259" w:rsidRPr="00797379">
        <w:t xml:space="preserve">similar </w:t>
      </w:r>
      <w:r w:rsidR="00624D6F" w:rsidRPr="00797379">
        <w:t xml:space="preserve">but also </w:t>
      </w:r>
      <w:r w:rsidR="002B2259" w:rsidRPr="00797379">
        <w:t>differing priorities at the</w:t>
      </w:r>
      <w:r w:rsidR="00950639">
        <w:t xml:space="preserve"> </w:t>
      </w:r>
      <w:r w:rsidR="002B2259" w:rsidRPr="00797379">
        <w:t>elementary schools, middle school, and high school. For example, at the elementary school</w:t>
      </w:r>
      <w:r w:rsidR="00624D6F" w:rsidRPr="00797379">
        <w:t xml:space="preserve"> level</w:t>
      </w:r>
      <w:r w:rsidR="002B2259" w:rsidRPr="00797379">
        <w:t>, SIP</w:t>
      </w:r>
      <w:r w:rsidR="00986892">
        <w:t>s</w:t>
      </w:r>
      <w:r w:rsidR="002B2259" w:rsidRPr="00797379">
        <w:t xml:space="preserve"> focus</w:t>
      </w:r>
      <w:r w:rsidR="00624D6F" w:rsidRPr="00797379">
        <w:t>e</w:t>
      </w:r>
      <w:r w:rsidR="00B97A1E" w:rsidRPr="00797379">
        <w:t>d</w:t>
      </w:r>
      <w:r w:rsidR="002B2259" w:rsidRPr="00797379">
        <w:t xml:space="preserve"> on inclusive learning environments, prioritiz</w:t>
      </w:r>
      <w:r w:rsidR="00B97A1E" w:rsidRPr="00797379">
        <w:t>ing</w:t>
      </w:r>
      <w:r w:rsidR="002B2259" w:rsidRPr="00797379">
        <w:t xml:space="preserve"> standards, equity-focused </w:t>
      </w:r>
      <w:r w:rsidR="00624D6F" w:rsidRPr="00797379">
        <w:t xml:space="preserve">social-emotional learning </w:t>
      </w:r>
      <w:r w:rsidR="002B2259" w:rsidRPr="00797379">
        <w:t>integration, and authentic assessments. Action steps include</w:t>
      </w:r>
      <w:r w:rsidR="000A11C2" w:rsidRPr="00797379">
        <w:t>d</w:t>
      </w:r>
      <w:r w:rsidR="002B2259" w:rsidRPr="00797379">
        <w:t xml:space="preserve"> literacy data meetings, performance-based assessments, and culturally responsive practices. At the McCall Middle School, </w:t>
      </w:r>
      <w:r w:rsidR="00624D6F" w:rsidRPr="00797379">
        <w:t>however, the SIP</w:t>
      </w:r>
      <w:r w:rsidR="002B2259" w:rsidRPr="00797379">
        <w:t xml:space="preserve"> emphasize</w:t>
      </w:r>
      <w:r w:rsidR="00782CCA" w:rsidRPr="00797379">
        <w:t>d</w:t>
      </w:r>
      <w:r w:rsidR="002B2259" w:rsidRPr="00797379">
        <w:t xml:space="preserve"> evaluating the </w:t>
      </w:r>
      <w:r w:rsidR="00782CCA" w:rsidRPr="00797379">
        <w:t>main</w:t>
      </w:r>
      <w:r w:rsidR="00624D6F" w:rsidRPr="00797379">
        <w:t xml:space="preserve"> </w:t>
      </w:r>
      <w:r w:rsidR="002B2259" w:rsidRPr="00797379">
        <w:t xml:space="preserve">schedule for equitable access, improving emotional safety and belonging, and updating emergency protocols. </w:t>
      </w:r>
      <w:r w:rsidR="00624D6F" w:rsidRPr="00797379">
        <w:t xml:space="preserve">Steps </w:t>
      </w:r>
      <w:r w:rsidR="002B2259" w:rsidRPr="00797379">
        <w:t>include</w:t>
      </w:r>
      <w:r w:rsidR="000A11C2" w:rsidRPr="00797379">
        <w:t>d</w:t>
      </w:r>
      <w:r w:rsidR="002B2259" w:rsidRPr="00797379">
        <w:t xml:space="preserve"> data collection through interviews, surveys, and focus groups, with iterative adjustments based on findings. </w:t>
      </w:r>
      <w:r w:rsidR="0087707E" w:rsidRPr="00797379">
        <w:t xml:space="preserve">The SIP for </w:t>
      </w:r>
      <w:r w:rsidR="002B2259" w:rsidRPr="00797379">
        <w:t>Winchester High School</w:t>
      </w:r>
      <w:r w:rsidR="00624D6F" w:rsidRPr="00797379">
        <w:t xml:space="preserve"> </w:t>
      </w:r>
      <w:r w:rsidR="002B2259" w:rsidRPr="00797379">
        <w:t>identifie</w:t>
      </w:r>
      <w:r w:rsidR="00B97A1E" w:rsidRPr="00797379">
        <w:t>d</w:t>
      </w:r>
      <w:r w:rsidR="002B2259" w:rsidRPr="00797379">
        <w:t xml:space="preserve"> removing barriers to access, expanding authentic assessments, and strengthening culturally responsive teaching and </w:t>
      </w:r>
      <w:r w:rsidR="00624D6F" w:rsidRPr="00797379">
        <w:t>social-emotional learning</w:t>
      </w:r>
      <w:r w:rsidR="002B2259" w:rsidRPr="00797379">
        <w:t xml:space="preserve"> practices</w:t>
      </w:r>
      <w:r w:rsidR="00CD3927" w:rsidRPr="00797379">
        <w:t>.</w:t>
      </w:r>
    </w:p>
    <w:p w14:paraId="2619E511" w14:textId="451AE3AE" w:rsidR="00F571E7" w:rsidRPr="00797379" w:rsidRDefault="002B7DA4" w:rsidP="0096666B">
      <w:pPr>
        <w:pStyle w:val="BodyText"/>
      </w:pPr>
      <w:r w:rsidRPr="00797379">
        <w:t>S</w:t>
      </w:r>
      <w:r w:rsidR="002B2259" w:rsidRPr="00797379">
        <w:t>chool leaders and the superintendent revealed</w:t>
      </w:r>
      <w:r w:rsidRPr="00797379">
        <w:t xml:space="preserve"> in discussions</w:t>
      </w:r>
      <w:r w:rsidR="002B2259" w:rsidRPr="00797379">
        <w:t xml:space="preserve"> that district and school leaders implement</w:t>
      </w:r>
      <w:r w:rsidR="00DC77AF" w:rsidRPr="00797379">
        <w:t>ed</w:t>
      </w:r>
      <w:r w:rsidR="002B2259" w:rsidRPr="00797379">
        <w:t xml:space="preserve"> existing </w:t>
      </w:r>
      <w:r w:rsidRPr="00797379">
        <w:t>SIPs</w:t>
      </w:r>
      <w:r w:rsidR="002B2259" w:rsidRPr="00797379">
        <w:t xml:space="preserve"> and </w:t>
      </w:r>
      <w:r w:rsidR="00DC77AF" w:rsidRPr="00797379">
        <w:t xml:space="preserve">had </w:t>
      </w:r>
      <w:r w:rsidR="002B2259" w:rsidRPr="00797379">
        <w:t>formal processes to assess their effectiveness. Leadership teams (</w:t>
      </w:r>
      <w:r w:rsidRPr="00797379">
        <w:t xml:space="preserve">i.e., </w:t>
      </w:r>
      <w:r w:rsidR="002B2259" w:rsidRPr="00797379">
        <w:t xml:space="preserve">central office and large leadership team) meet regularly to review </w:t>
      </w:r>
      <w:r w:rsidRPr="00797379">
        <w:t xml:space="preserve">the district’s </w:t>
      </w:r>
      <w:r w:rsidR="002B2259" w:rsidRPr="00797379">
        <w:t xml:space="preserve">progress on strategic priorities and school plans. </w:t>
      </w:r>
      <w:r w:rsidRPr="00797379">
        <w:t>G</w:t>
      </w:r>
      <w:r w:rsidR="002B2259" w:rsidRPr="00797379">
        <w:t>oals</w:t>
      </w:r>
      <w:r w:rsidRPr="00797379">
        <w:t xml:space="preserve"> are set at annual summer retreats while </w:t>
      </w:r>
      <w:r w:rsidR="002B2259" w:rsidRPr="00797379">
        <w:t>monthly L</w:t>
      </w:r>
      <w:r w:rsidR="009E0E87">
        <w:t xml:space="preserve">arge </w:t>
      </w:r>
      <w:r w:rsidR="002B2259" w:rsidRPr="00797379">
        <w:t>L</w:t>
      </w:r>
      <w:r w:rsidR="009E0E87">
        <w:t xml:space="preserve">earning </w:t>
      </w:r>
      <w:r w:rsidR="002B2259" w:rsidRPr="00797379">
        <w:t>T</w:t>
      </w:r>
      <w:r w:rsidR="009E0E87">
        <w:t>eam</w:t>
      </w:r>
      <w:r w:rsidR="002B2259" w:rsidRPr="00797379">
        <w:t xml:space="preserve"> meetings focus on instructional leadership and data-informed decision</w:t>
      </w:r>
      <w:r w:rsidRPr="00797379">
        <w:t xml:space="preserve"> </w:t>
      </w:r>
      <w:r w:rsidR="002B2259" w:rsidRPr="00797379">
        <w:t>making</w:t>
      </w:r>
      <w:r w:rsidR="00096097" w:rsidRPr="00797379">
        <w:t>.</w:t>
      </w:r>
      <w:r w:rsidR="002B2259" w:rsidRPr="00797379">
        <w:t xml:space="preserve"> </w:t>
      </w:r>
      <w:r w:rsidR="0080334F" w:rsidRPr="00797379">
        <w:t>The d</w:t>
      </w:r>
      <w:r w:rsidR="002B2259" w:rsidRPr="00797379">
        <w:t xml:space="preserve">ata informs adjustments to schedules, instructional practices, and resource allocation. </w:t>
      </w:r>
      <w:r w:rsidR="00DC77AF" w:rsidRPr="00797379">
        <w:t>According to district and school leaders, m</w:t>
      </w:r>
      <w:r w:rsidR="002B2259" w:rsidRPr="00797379">
        <w:t>onitoring across the district occurs through a multilayered system that includes regular review structures, data</w:t>
      </w:r>
      <w:r w:rsidR="0080334F" w:rsidRPr="00797379">
        <w:t>-</w:t>
      </w:r>
      <w:r w:rsidR="002B2259" w:rsidRPr="00797379">
        <w:t>driven decision</w:t>
      </w:r>
      <w:r w:rsidR="0080334F" w:rsidRPr="00797379">
        <w:t xml:space="preserve"> </w:t>
      </w:r>
      <w:r w:rsidR="002B2259" w:rsidRPr="00797379">
        <w:t>making, and ongoing engagement at both the district and school levels</w:t>
      </w:r>
      <w:r w:rsidR="00A63FAF" w:rsidRPr="00797379">
        <w:t>.</w:t>
      </w:r>
    </w:p>
    <w:p w14:paraId="26E8B34E" w14:textId="7B996DE3" w:rsidR="00CD3927" w:rsidRPr="00797379" w:rsidRDefault="00833C92" w:rsidP="0096666B">
      <w:pPr>
        <w:pStyle w:val="BodyText"/>
      </w:pPr>
      <w:r w:rsidRPr="00797379">
        <w:t>Principals also advance innovation plans aligned with WPS 2030</w:t>
      </w:r>
      <w:r w:rsidR="00866496" w:rsidRPr="00797379">
        <w:t xml:space="preserve"> by </w:t>
      </w:r>
      <w:r w:rsidRPr="00797379">
        <w:t>maintaining staff engagement and</w:t>
      </w:r>
      <w:r w:rsidR="00866496" w:rsidRPr="00797379">
        <w:t xml:space="preserve"> conducting</w:t>
      </w:r>
      <w:r w:rsidRPr="00797379">
        <w:t xml:space="preserve"> informal check</w:t>
      </w:r>
      <w:r w:rsidR="00866496" w:rsidRPr="00797379">
        <w:t>-</w:t>
      </w:r>
      <w:r w:rsidRPr="00797379">
        <w:t xml:space="preserve">ins throughout the year. </w:t>
      </w:r>
      <w:r w:rsidR="002B2259" w:rsidRPr="00797379">
        <w:t xml:space="preserve">At the school level, principals and staff monitor implementation through </w:t>
      </w:r>
      <w:r w:rsidR="007E4DCA" w:rsidRPr="00797379">
        <w:t>their SIP, which</w:t>
      </w:r>
      <w:r w:rsidR="002B2259" w:rsidRPr="00797379">
        <w:t xml:space="preserve"> </w:t>
      </w:r>
      <w:r w:rsidR="007E4DCA" w:rsidRPr="00797379">
        <w:t>includes</w:t>
      </w:r>
      <w:r w:rsidR="002B2259" w:rsidRPr="00797379">
        <w:t xml:space="preserve"> clear timelines and evidence indicators</w:t>
      </w:r>
      <w:r w:rsidR="007E4DCA" w:rsidRPr="00797379">
        <w:t>. They also hold</w:t>
      </w:r>
      <w:r w:rsidR="002B2259" w:rsidRPr="00797379">
        <w:t xml:space="preserve"> regular </w:t>
      </w:r>
      <w:r w:rsidR="007E4DCA" w:rsidRPr="00797379">
        <w:t>common planning time</w:t>
      </w:r>
      <w:r w:rsidR="002B2259" w:rsidRPr="00797379">
        <w:t xml:space="preserve">, staff meetings, and literacy data reviews to ensure </w:t>
      </w:r>
      <w:r w:rsidR="007E4DCA" w:rsidRPr="00797379">
        <w:t xml:space="preserve">school </w:t>
      </w:r>
      <w:r w:rsidR="002B2259" w:rsidRPr="00797379">
        <w:t>alignment and fidelity</w:t>
      </w:r>
      <w:r w:rsidR="007E4DCA" w:rsidRPr="00797379">
        <w:t xml:space="preserve"> with the SIP</w:t>
      </w:r>
      <w:r w:rsidR="002B2259" w:rsidRPr="00797379">
        <w:t>. Teachers participate in structured feedback loops</w:t>
      </w:r>
      <w:r w:rsidR="00C16A58" w:rsidRPr="00797379">
        <w:t xml:space="preserve">, </w:t>
      </w:r>
      <w:r w:rsidR="002B2259" w:rsidRPr="00797379">
        <w:t>such as reflection journals, focus groups, and observation rubrics</w:t>
      </w:r>
      <w:r w:rsidR="007E4DCA" w:rsidRPr="00797379">
        <w:t>. I</w:t>
      </w:r>
      <w:r w:rsidR="002B2259" w:rsidRPr="00797379">
        <w:t>nput from families and students is systematically incorporated into decision</w:t>
      </w:r>
      <w:r w:rsidR="007E4DCA" w:rsidRPr="00797379">
        <w:t xml:space="preserve"> </w:t>
      </w:r>
      <w:r w:rsidR="002B2259" w:rsidRPr="00797379">
        <w:t>making. Formal monitoring includes scheduled classroom observations by principals and assistant principals, with elementary leaders and literacy coaches conducting routine data reviews and ensuring alignment with prioritized standards</w:t>
      </w:r>
      <w:r w:rsidR="007E4DCA" w:rsidRPr="00797379">
        <w:t>. M</w:t>
      </w:r>
      <w:r w:rsidR="00C16A58" w:rsidRPr="00797379">
        <w:t xml:space="preserve">iddle and high school </w:t>
      </w:r>
      <w:r w:rsidR="002B2259" w:rsidRPr="00797379">
        <w:t>leaders us</w:t>
      </w:r>
      <w:r w:rsidR="007E4DCA" w:rsidRPr="00797379">
        <w:t>e</w:t>
      </w:r>
      <w:r w:rsidR="002B2259" w:rsidRPr="00797379">
        <w:t xml:space="preserve"> observation and evaluation tools during </w:t>
      </w:r>
      <w:r w:rsidR="007E4DCA" w:rsidRPr="00797379">
        <w:t>What I Need (</w:t>
      </w:r>
      <w:r w:rsidR="002B2259" w:rsidRPr="00797379">
        <w:t>WIN</w:t>
      </w:r>
      <w:r w:rsidR="007E4DCA" w:rsidRPr="00797379">
        <w:t xml:space="preserve">) </w:t>
      </w:r>
      <w:r w:rsidR="00CA11AB" w:rsidRPr="00797379">
        <w:t>B</w:t>
      </w:r>
      <w:r w:rsidR="002B2259" w:rsidRPr="00797379">
        <w:t>lock</w:t>
      </w:r>
      <w:r w:rsidR="00CA11AB" w:rsidRPr="00797379">
        <w:t>s</w:t>
      </w:r>
      <w:r w:rsidR="002B2259" w:rsidRPr="00797379">
        <w:t xml:space="preserve"> and common planning time to examine schoolwide instructional practices. </w:t>
      </w:r>
      <w:r w:rsidR="00CA11AB" w:rsidRPr="00797379">
        <w:t xml:space="preserve">Leaders </w:t>
      </w:r>
      <w:r w:rsidR="002B2259" w:rsidRPr="00797379">
        <w:t xml:space="preserve">complement these systems </w:t>
      </w:r>
      <w:r w:rsidR="00CA11AB" w:rsidRPr="00797379">
        <w:t xml:space="preserve">with </w:t>
      </w:r>
      <w:r w:rsidR="002B2259" w:rsidRPr="00797379">
        <w:t>walkthroughs, collaborative planning sessions, and frequent classroom visits</w:t>
      </w:r>
      <w:r w:rsidR="00CA11AB" w:rsidRPr="00797379">
        <w:t>;</w:t>
      </w:r>
      <w:r w:rsidR="002B2259" w:rsidRPr="00797379">
        <w:t xml:space="preserve"> administrators us</w:t>
      </w:r>
      <w:r w:rsidR="007A6520" w:rsidRPr="00797379">
        <w:t>e</w:t>
      </w:r>
      <w:r w:rsidR="002B2259" w:rsidRPr="00797379">
        <w:t xml:space="preserve"> </w:t>
      </w:r>
      <w:r w:rsidR="007E4DCA" w:rsidRPr="00797379">
        <w:t>common planning time</w:t>
      </w:r>
      <w:r w:rsidR="002B2259" w:rsidRPr="00797379">
        <w:t xml:space="preserve"> to review student work</w:t>
      </w:r>
      <w:r w:rsidR="00CD3927" w:rsidRPr="00797379">
        <w:t>.</w:t>
      </w:r>
    </w:p>
    <w:p w14:paraId="4C9A44B9" w14:textId="00A58275" w:rsidR="003D6ECF" w:rsidRPr="00797379" w:rsidRDefault="003D6ECF" w:rsidP="0096666B">
      <w:pPr>
        <w:pStyle w:val="Heading3"/>
      </w:pPr>
      <w:bookmarkStart w:id="37" w:name="_District_and_School_1"/>
      <w:bookmarkStart w:id="38" w:name="_District_Culture"/>
      <w:bookmarkEnd w:id="37"/>
      <w:bookmarkEnd w:id="38"/>
      <w:r w:rsidRPr="00797379">
        <w:t xml:space="preserve">District </w:t>
      </w:r>
      <w:r w:rsidR="00F95311" w:rsidRPr="00797379">
        <w:t>Culture</w:t>
      </w:r>
    </w:p>
    <w:p w14:paraId="1109CF40" w14:textId="4EA338D7" w:rsidR="00CD3927" w:rsidRPr="00797379" w:rsidRDefault="002B2259" w:rsidP="0096666B">
      <w:pPr>
        <w:pStyle w:val="BodyTextposthead"/>
        <w:spacing w:before="240"/>
        <w:rPr>
          <w:color w:val="538135" w:themeColor="accent6" w:themeShade="BF"/>
        </w:rPr>
      </w:pPr>
      <w:r w:rsidRPr="00797379">
        <w:t>The school committee and district administrators foster a collaborative relationship and reported they have a shared responsibility for student outcomes and fiscal stewardship</w:t>
      </w:r>
      <w:r w:rsidR="00F46C26" w:rsidRPr="00797379">
        <w:t>. B</w:t>
      </w:r>
      <w:r w:rsidRPr="00797379">
        <w:t xml:space="preserve">oth school committee members and district leaders </w:t>
      </w:r>
      <w:r w:rsidR="00F46C26" w:rsidRPr="00797379">
        <w:t xml:space="preserve">in interviews and focus groups emphasized </w:t>
      </w:r>
      <w:r w:rsidRPr="00797379">
        <w:t>transparency and collaboration during budget development</w:t>
      </w:r>
      <w:r w:rsidR="00B11F0E" w:rsidRPr="00797379">
        <w:t>,</w:t>
      </w:r>
      <w:r w:rsidRPr="00797379">
        <w:t xml:space="preserve"> with frequent meetings and public hearings to align priorities and communicate needs to the community. </w:t>
      </w:r>
      <w:r w:rsidR="00B11F0E" w:rsidRPr="00797379">
        <w:t>S</w:t>
      </w:r>
      <w:r w:rsidRPr="00797379">
        <w:t>chool committee member</w:t>
      </w:r>
      <w:r w:rsidR="00B11F0E" w:rsidRPr="00797379">
        <w:t>s</w:t>
      </w:r>
      <w:r w:rsidRPr="00797379">
        <w:t xml:space="preserve"> praised the superintendent for providing steady leadership and </w:t>
      </w:r>
      <w:r w:rsidR="00B11F0E" w:rsidRPr="00797379">
        <w:t xml:space="preserve">the </w:t>
      </w:r>
      <w:r w:rsidRPr="00797379">
        <w:t xml:space="preserve">ability to </w:t>
      </w:r>
      <w:r w:rsidR="00B11F0E" w:rsidRPr="00797379">
        <w:t xml:space="preserve">clearly </w:t>
      </w:r>
      <w:r w:rsidRPr="00797379">
        <w:t xml:space="preserve">communicate complex financial and instructional issues to stakeholder groups. </w:t>
      </w:r>
      <w:r w:rsidR="00B11F0E" w:rsidRPr="00797379">
        <w:t>T</w:t>
      </w:r>
      <w:r w:rsidRPr="00797379">
        <w:t xml:space="preserve">own officials also described </w:t>
      </w:r>
      <w:r w:rsidR="00B11F0E" w:rsidRPr="00797379">
        <w:t>their</w:t>
      </w:r>
      <w:r w:rsidRPr="00797379">
        <w:t xml:space="preserve"> relationship with district leaders as cooperative, particularly around facilities and capital planning. </w:t>
      </w:r>
    </w:p>
    <w:p w14:paraId="24FD8F0B" w14:textId="3563DADE" w:rsidR="00965CB0" w:rsidRDefault="00E97F4D" w:rsidP="0096666B">
      <w:pPr>
        <w:pStyle w:val="ListParagraph"/>
        <w:spacing w:before="240" w:after="120"/>
        <w:ind w:left="0"/>
        <w:contextualSpacing w:val="0"/>
      </w:pPr>
      <w:r w:rsidRPr="00797379">
        <w:rPr>
          <w:rFonts w:ascii="Franklin Gothic Book" w:eastAsia="Franklin Gothic Book" w:hAnsi="Franklin Gothic Book" w:cs="Franklin Gothic Book"/>
        </w:rPr>
        <w:t xml:space="preserve">WPS </w:t>
      </w:r>
      <w:r w:rsidR="002B2259" w:rsidRPr="00797379">
        <w:rPr>
          <w:rFonts w:ascii="Franklin Gothic Book" w:eastAsia="Franklin Gothic Book" w:hAnsi="Franklin Gothic Book" w:cs="Franklin Gothic Book"/>
        </w:rPr>
        <w:t xml:space="preserve">and WEA leaders report ongoing </w:t>
      </w:r>
      <w:r w:rsidRPr="00797379">
        <w:rPr>
          <w:rFonts w:ascii="Franklin Gothic Book" w:eastAsia="Franklin Gothic Book" w:hAnsi="Franklin Gothic Book" w:cs="Franklin Gothic Book"/>
        </w:rPr>
        <w:t xml:space="preserve">discussions </w:t>
      </w:r>
      <w:r w:rsidR="002B2259" w:rsidRPr="00797379">
        <w:rPr>
          <w:rFonts w:ascii="Franklin Gothic Book" w:eastAsia="Franklin Gothic Book" w:hAnsi="Franklin Gothic Book" w:cs="Franklin Gothic Book"/>
        </w:rPr>
        <w:t xml:space="preserve">to address staff concerns and grievances. While formal grievance processes exist in the collective bargaining agreement, </w:t>
      </w:r>
      <w:r w:rsidR="002924D4" w:rsidRPr="00797379">
        <w:rPr>
          <w:rFonts w:ascii="Franklin Gothic Book" w:eastAsia="Franklin Gothic Book" w:hAnsi="Franklin Gothic Book" w:cs="Franklin Gothic Book"/>
        </w:rPr>
        <w:t>most</w:t>
      </w:r>
      <w:r w:rsidR="002B2259" w:rsidRPr="00797379">
        <w:rPr>
          <w:rFonts w:ascii="Franklin Gothic Book" w:eastAsia="Franklin Gothic Book" w:hAnsi="Franklin Gothic Book" w:cs="Franklin Gothic Book"/>
        </w:rPr>
        <w:t xml:space="preserve"> resolution occurs informally through direct communication between union leaders and district administrators</w:t>
      </w:r>
      <w:r w:rsidR="002924D4" w:rsidRPr="00797379">
        <w:rPr>
          <w:rFonts w:ascii="Franklin Gothic Book" w:eastAsia="Franklin Gothic Book" w:hAnsi="Franklin Gothic Book" w:cs="Franklin Gothic Book"/>
        </w:rPr>
        <w:t>.</w:t>
      </w:r>
      <w:r w:rsidR="002B2259" w:rsidRPr="00797379">
        <w:rPr>
          <w:rFonts w:ascii="Franklin Gothic Book" w:eastAsia="Franklin Gothic Book" w:hAnsi="Franklin Gothic Book" w:cs="Franklin Gothic Book"/>
        </w:rPr>
        <w:t xml:space="preserve"> </w:t>
      </w:r>
      <w:r w:rsidR="002924D4" w:rsidRPr="00797379">
        <w:rPr>
          <w:rFonts w:ascii="Franklin Gothic Book" w:eastAsia="Franklin Gothic Book" w:hAnsi="Franklin Gothic Book" w:cs="Franklin Gothic Book"/>
        </w:rPr>
        <w:t>As noted earlier,</w:t>
      </w:r>
      <w:r w:rsidR="002B2259" w:rsidRPr="00797379">
        <w:rPr>
          <w:rFonts w:ascii="Franklin Gothic Book" w:eastAsia="Franklin Gothic Book" w:hAnsi="Franklin Gothic Book" w:cs="Franklin Gothic Book"/>
        </w:rPr>
        <w:t xml:space="preserve"> the WEA and </w:t>
      </w:r>
      <w:r w:rsidR="002924D4" w:rsidRPr="00797379">
        <w:rPr>
          <w:rFonts w:ascii="Franklin Gothic Book" w:eastAsia="Franklin Gothic Book" w:hAnsi="Franklin Gothic Book" w:cs="Franklin Gothic Book"/>
        </w:rPr>
        <w:t>WPS</w:t>
      </w:r>
      <w:r w:rsidR="002B2259" w:rsidRPr="00797379">
        <w:rPr>
          <w:rFonts w:ascii="Franklin Gothic Book" w:eastAsia="Franklin Gothic Book" w:hAnsi="Franklin Gothic Book" w:cs="Franklin Gothic Book"/>
        </w:rPr>
        <w:t xml:space="preserve"> are currently in contract negotiations</w:t>
      </w:r>
      <w:r w:rsidR="002924D4" w:rsidRPr="00797379">
        <w:rPr>
          <w:rFonts w:ascii="Franklin Gothic Book" w:eastAsia="Franklin Gothic Book" w:hAnsi="Franklin Gothic Book" w:cs="Franklin Gothic Book"/>
        </w:rPr>
        <w:t>;</w:t>
      </w:r>
      <w:r w:rsidR="002B2259" w:rsidRPr="00797379">
        <w:rPr>
          <w:rFonts w:ascii="Franklin Gothic Book" w:eastAsia="Franklin Gothic Book" w:hAnsi="Franklin Gothic Book" w:cs="Franklin Gothic Book"/>
        </w:rPr>
        <w:t xml:space="preserve"> one WEA leader </w:t>
      </w:r>
      <w:r w:rsidR="002924D4" w:rsidRPr="00797379">
        <w:rPr>
          <w:rFonts w:ascii="Franklin Gothic Book" w:eastAsia="Franklin Gothic Book" w:hAnsi="Franklin Gothic Book" w:cs="Franklin Gothic Book"/>
        </w:rPr>
        <w:t xml:space="preserve">still </w:t>
      </w:r>
      <w:r w:rsidR="002B2259" w:rsidRPr="00797379">
        <w:rPr>
          <w:rFonts w:ascii="Franklin Gothic Book" w:eastAsia="Franklin Gothic Book" w:hAnsi="Franklin Gothic Book" w:cs="Franklin Gothic Book"/>
        </w:rPr>
        <w:t xml:space="preserve">described the relationship </w:t>
      </w:r>
      <w:r w:rsidR="002924D4" w:rsidRPr="00797379">
        <w:rPr>
          <w:rFonts w:ascii="Franklin Gothic Book" w:eastAsia="Franklin Gothic Book" w:hAnsi="Franklin Gothic Book" w:cs="Franklin Gothic Book"/>
        </w:rPr>
        <w:t>between the WEA and</w:t>
      </w:r>
      <w:r w:rsidR="002B2259" w:rsidRPr="00797379">
        <w:rPr>
          <w:rFonts w:ascii="Franklin Gothic Book" w:eastAsia="Franklin Gothic Book" w:hAnsi="Franklin Gothic Book" w:cs="Franklin Gothic Book"/>
        </w:rPr>
        <w:t xml:space="preserve"> district administration as “cordial and collaborative.”</w:t>
      </w:r>
      <w:r w:rsidR="00260BB2">
        <w:t xml:space="preserve"> </w:t>
      </w:r>
    </w:p>
    <w:p w14:paraId="079EE691" w14:textId="74828925" w:rsidR="00965CB0" w:rsidRDefault="005A24CD" w:rsidP="0096666B">
      <w:pPr>
        <w:pStyle w:val="ListParagraph"/>
        <w:spacing w:before="240" w:after="120"/>
        <w:ind w:left="0"/>
        <w:contextualSpacing w:val="0"/>
      </w:pPr>
      <w:r>
        <w:t xml:space="preserve">Town and school committee leadership also </w:t>
      </w:r>
      <w:r w:rsidR="002315C0">
        <w:t xml:space="preserve">reported having </w:t>
      </w:r>
      <w:r w:rsidR="00C35B4C">
        <w:t>collaborative and cooperative relationships with t</w:t>
      </w:r>
      <w:r w:rsidR="00BE3CE4">
        <w:t xml:space="preserve">he school district noting that they all have similar goals </w:t>
      </w:r>
      <w:r w:rsidR="00BF06BB">
        <w:t xml:space="preserve">to support all students in Winchester’s schools. </w:t>
      </w:r>
      <w:r w:rsidR="007C0B4A">
        <w:t xml:space="preserve">One </w:t>
      </w:r>
      <w:r w:rsidR="00375317">
        <w:t xml:space="preserve">town representative </w:t>
      </w:r>
      <w:r w:rsidR="00AF55E9">
        <w:t>described the central office leadership as “lean but stable</w:t>
      </w:r>
      <w:r w:rsidR="009762BB">
        <w:t>.</w:t>
      </w:r>
      <w:r w:rsidR="00AF55E9">
        <w:t xml:space="preserve">” </w:t>
      </w:r>
      <w:r w:rsidR="009762BB">
        <w:t xml:space="preserve">Similarly, </w:t>
      </w:r>
      <w:r w:rsidR="000A2B26">
        <w:t xml:space="preserve">school committee members noted </w:t>
      </w:r>
      <w:r w:rsidR="009762BB">
        <w:t xml:space="preserve">that </w:t>
      </w:r>
      <w:r w:rsidR="003B54E1">
        <w:t xml:space="preserve">stable </w:t>
      </w:r>
      <w:r w:rsidR="009762BB">
        <w:t>central office leadershi</w:t>
      </w:r>
      <w:r w:rsidR="00FA0F83">
        <w:t xml:space="preserve">p has provided </w:t>
      </w:r>
      <w:r w:rsidR="002A77AC">
        <w:t>continuity</w:t>
      </w:r>
      <w:r w:rsidR="003B54E1">
        <w:t xml:space="preserve"> </w:t>
      </w:r>
      <w:r w:rsidR="002A77AC" w:rsidRPr="00797379">
        <w:t>during a period of significant instructional and cultural change</w:t>
      </w:r>
      <w:r w:rsidR="002A77AC">
        <w:t xml:space="preserve"> in Winchester.</w:t>
      </w:r>
    </w:p>
    <w:p w14:paraId="508BF252" w14:textId="634EED1D" w:rsidR="000B7EC6" w:rsidRDefault="002B2259" w:rsidP="0096666B">
      <w:pPr>
        <w:pStyle w:val="BodyText"/>
      </w:pPr>
      <w:r w:rsidRPr="00797379">
        <w:t xml:space="preserve">In terms of stakeholder engagement, school committee members reported they </w:t>
      </w:r>
      <w:r w:rsidR="002A77AC" w:rsidRPr="00797379">
        <w:t>involve</w:t>
      </w:r>
      <w:r w:rsidRPr="00797379">
        <w:t xml:space="preserve"> community stakeholders through monthly public hearings and budget presentations. District leaders reported engaging stakeholders through multiple channels, including frequent messaging and communication with various stakeholder groups. </w:t>
      </w:r>
      <w:r w:rsidR="00212AF9">
        <w:t>F</w:t>
      </w:r>
      <w:r w:rsidRPr="00797379">
        <w:t xml:space="preserve">amilies </w:t>
      </w:r>
      <w:r w:rsidR="00212AF9">
        <w:t xml:space="preserve">have several opportunities to </w:t>
      </w:r>
      <w:r w:rsidR="008E3B52">
        <w:t xml:space="preserve">participate in school </w:t>
      </w:r>
      <w:r w:rsidR="00FA2D35">
        <w:t>decision making and be informed about school activities</w:t>
      </w:r>
      <w:r w:rsidRPr="00797379">
        <w:t xml:space="preserve"> through parent associations at each school, </w:t>
      </w:r>
      <w:r w:rsidR="0008688F" w:rsidRPr="00797379">
        <w:t>through</w:t>
      </w:r>
      <w:r w:rsidR="00AF49FE" w:rsidRPr="00797379">
        <w:t xml:space="preserve"> </w:t>
      </w:r>
      <w:r w:rsidRPr="00797379">
        <w:t xml:space="preserve">a parent interschool council, and </w:t>
      </w:r>
      <w:r w:rsidR="0008688F" w:rsidRPr="00797379">
        <w:t xml:space="preserve">through </w:t>
      </w:r>
      <w:r w:rsidRPr="00797379">
        <w:t xml:space="preserve">regular updates via ParentSquare. Family </w:t>
      </w:r>
      <w:r w:rsidR="0014611D" w:rsidRPr="00797379">
        <w:t xml:space="preserve">participants in </w:t>
      </w:r>
      <w:r w:rsidRPr="00797379">
        <w:t>focus group</w:t>
      </w:r>
      <w:r w:rsidR="0014611D" w:rsidRPr="00797379">
        <w:t>s</w:t>
      </w:r>
      <w:r w:rsidRPr="00797379">
        <w:t xml:space="preserve"> reported strong communication at the elementary level but variability at the middle and high school. </w:t>
      </w:r>
      <w:r w:rsidRPr="000A6870">
        <w:t>One focus group member stated, “I would agree that elementary school is great, but</w:t>
      </w:r>
      <w:r w:rsidR="0014611D" w:rsidRPr="000A6870">
        <w:t xml:space="preserve"> </w:t>
      </w:r>
      <w:r w:rsidRPr="000A6870">
        <w:t>the middle</w:t>
      </w:r>
      <w:r w:rsidR="0014611D" w:rsidRPr="000A6870">
        <w:t xml:space="preserve"> </w:t>
      </w:r>
      <w:r w:rsidRPr="000A6870">
        <w:t>school is</w:t>
      </w:r>
      <w:r w:rsidR="0014611D" w:rsidRPr="000A6870">
        <w:t xml:space="preserve"> </w:t>
      </w:r>
      <w:r w:rsidRPr="000A6870">
        <w:t>a very different</w:t>
      </w:r>
      <w:r w:rsidR="0014611D" w:rsidRPr="000A6870">
        <w:t xml:space="preserve"> </w:t>
      </w:r>
      <w:r w:rsidRPr="000A6870">
        <w:t>vehicle. It really</w:t>
      </w:r>
      <w:r w:rsidR="0014611D" w:rsidRPr="000A6870">
        <w:t xml:space="preserve"> </w:t>
      </w:r>
      <w:r w:rsidRPr="000A6870">
        <w:t>depends</w:t>
      </w:r>
      <w:r w:rsidR="0014611D" w:rsidRPr="000A6870">
        <w:t xml:space="preserve"> </w:t>
      </w:r>
      <w:r w:rsidRPr="000A6870">
        <w:t>on the team your child gets</w:t>
      </w:r>
      <w:r w:rsidR="00892C5F">
        <w:t>. S</w:t>
      </w:r>
      <w:r w:rsidRPr="000A6870">
        <w:t xml:space="preserve">ome teams send weekly emails and some you never hear anything from.” </w:t>
      </w:r>
      <w:r w:rsidR="00EF1AA1" w:rsidRPr="00723407">
        <w:t xml:space="preserve">Ensuring </w:t>
      </w:r>
      <w:r w:rsidR="00C90C9B" w:rsidRPr="00723407">
        <w:t xml:space="preserve">middle school teams have </w:t>
      </w:r>
      <w:r w:rsidR="00EF1AA1" w:rsidRPr="00723407">
        <w:t xml:space="preserve">consistent </w:t>
      </w:r>
      <w:r w:rsidR="00C90C9B" w:rsidRPr="00723407">
        <w:t xml:space="preserve">expectations and processes to </w:t>
      </w:r>
      <w:r w:rsidR="00EF1AA1" w:rsidRPr="00723407">
        <w:t>communicat</w:t>
      </w:r>
      <w:r w:rsidR="00C90C9B" w:rsidRPr="00723407">
        <w:t>e with</w:t>
      </w:r>
      <w:r w:rsidR="00EF1AA1" w:rsidRPr="00723407">
        <w:t xml:space="preserve"> </w:t>
      </w:r>
      <w:r w:rsidR="00C90C9B" w:rsidRPr="00723407">
        <w:t>families</w:t>
      </w:r>
      <w:r w:rsidR="000A6870" w:rsidRPr="00723407">
        <w:t xml:space="preserve"> is an area </w:t>
      </w:r>
      <w:r w:rsidR="005467B3">
        <w:t>for</w:t>
      </w:r>
      <w:r w:rsidR="005467B3" w:rsidRPr="00723407">
        <w:t xml:space="preserve"> </w:t>
      </w:r>
      <w:r w:rsidR="000A6870" w:rsidRPr="00723407">
        <w:t>growth.</w:t>
      </w:r>
    </w:p>
    <w:p w14:paraId="783066EE" w14:textId="65EB6AC4" w:rsidR="002B2259" w:rsidRPr="00797379" w:rsidRDefault="002B2259" w:rsidP="0096666B">
      <w:pPr>
        <w:pStyle w:val="BodyText"/>
      </w:pPr>
      <w:r w:rsidRPr="000A6870">
        <w:t xml:space="preserve">Teacher </w:t>
      </w:r>
      <w:r w:rsidR="0014611D" w:rsidRPr="000A6870">
        <w:t xml:space="preserve">participants in </w:t>
      </w:r>
      <w:r w:rsidRPr="000A6870">
        <w:t>focus group</w:t>
      </w:r>
      <w:r w:rsidR="0014611D" w:rsidRPr="000A6870">
        <w:t>s</w:t>
      </w:r>
      <w:r w:rsidRPr="000A6870">
        <w:t xml:space="preserve"> reported receiving structured opportunities to provide input to the district during curriculum pilots, grade-level meetings, and professional development committees. </w:t>
      </w:r>
      <w:r w:rsidR="0014611D" w:rsidRPr="000A6870">
        <w:t>T</w:t>
      </w:r>
      <w:r w:rsidRPr="000A6870">
        <w:t xml:space="preserve">eachers </w:t>
      </w:r>
      <w:r w:rsidR="0014611D" w:rsidRPr="000A6870">
        <w:t xml:space="preserve">said that they </w:t>
      </w:r>
      <w:r w:rsidRPr="000A6870">
        <w:t>value</w:t>
      </w:r>
      <w:r w:rsidR="0014611D" w:rsidRPr="000A6870">
        <w:t>d</w:t>
      </w:r>
      <w:r w:rsidRPr="000A6870">
        <w:t xml:space="preserve"> these forums</w:t>
      </w:r>
      <w:r w:rsidR="0014611D" w:rsidRPr="000A6870">
        <w:t xml:space="preserve"> but</w:t>
      </w:r>
      <w:r w:rsidRPr="000A6870">
        <w:t xml:space="preserve"> want</w:t>
      </w:r>
      <w:r w:rsidR="0014611D" w:rsidRPr="000A6870">
        <w:t xml:space="preserve">ed </w:t>
      </w:r>
      <w:r w:rsidRPr="000A6870">
        <w:t>more consistent districtwide communication from district leaders.</w:t>
      </w:r>
    </w:p>
    <w:p w14:paraId="1043824D" w14:textId="40EB9E71" w:rsidR="005D0752" w:rsidRPr="00797379" w:rsidRDefault="005D0752" w:rsidP="00F571E7">
      <w:pPr>
        <w:pStyle w:val="Heading3"/>
      </w:pPr>
      <w:r w:rsidRPr="00797379">
        <w:t>Recommendations</w:t>
      </w:r>
    </w:p>
    <w:p w14:paraId="0DF184CE" w14:textId="7600F7AE" w:rsidR="00FA53C9" w:rsidRPr="00E00D25" w:rsidRDefault="007A5064" w:rsidP="00F571E7">
      <w:pPr>
        <w:pStyle w:val="Bullet1"/>
        <w:rPr>
          <w:bCs/>
          <w:i/>
          <w:iCs/>
        </w:rPr>
      </w:pPr>
      <w:r>
        <w:rPr>
          <w:i/>
          <w:iCs/>
        </w:rPr>
        <w:t xml:space="preserve">The district should increase consistency in family communication </w:t>
      </w:r>
      <w:r w:rsidR="00892C5F">
        <w:rPr>
          <w:i/>
          <w:iCs/>
        </w:rPr>
        <w:t xml:space="preserve">across teaching teams at the middle school by setting clear expectations </w:t>
      </w:r>
      <w:r w:rsidR="009E05FE">
        <w:rPr>
          <w:i/>
          <w:iCs/>
        </w:rPr>
        <w:t xml:space="preserve">and/or issuing formal guidance. </w:t>
      </w:r>
    </w:p>
    <w:p w14:paraId="1DC738E6" w14:textId="77ECEFDB" w:rsidR="008D6102" w:rsidRPr="00797379" w:rsidRDefault="00FA53C9" w:rsidP="00F571E7">
      <w:pPr>
        <w:pStyle w:val="BodyText"/>
        <w:rPr>
          <w:bCs/>
        </w:rPr>
      </w:pPr>
      <w:r w:rsidRPr="00797379">
        <w:t>For related resources, see Appendix C.</w:t>
      </w:r>
      <w:r w:rsidR="008D6102" w:rsidRPr="00797379">
        <w:rPr>
          <w:bCs/>
        </w:rPr>
        <w:br w:type="page"/>
      </w:r>
    </w:p>
    <w:p w14:paraId="7EDE9323" w14:textId="77777777" w:rsidR="008D6102" w:rsidRPr="00797379" w:rsidRDefault="008D6102" w:rsidP="0060143A">
      <w:pPr>
        <w:pStyle w:val="Heading2"/>
      </w:pPr>
      <w:bookmarkStart w:id="39" w:name="_Curriculum_and_Instruction"/>
      <w:bookmarkStart w:id="40" w:name="_Toc101446228"/>
      <w:bookmarkStart w:id="41" w:name="_Toc223625539"/>
      <w:bookmarkEnd w:id="39"/>
      <w:r w:rsidRPr="00797379">
        <w:t>Curriculum and Instruction</w:t>
      </w:r>
      <w:bookmarkEnd w:id="40"/>
      <w:bookmarkEnd w:id="41"/>
    </w:p>
    <w:p w14:paraId="7E2DC369" w14:textId="680B6419" w:rsidR="00E01775" w:rsidRPr="00797379" w:rsidRDefault="00E01775" w:rsidP="002B2DD9">
      <w:pPr>
        <w:pStyle w:val="BodyTextposthead"/>
        <w:spacing w:before="120"/>
      </w:pPr>
      <w:r w:rsidRPr="00797379">
        <w:t>This section examines the extent to which district leaders have established a shared instructional vision, anchored in culturally and linguistically sustaining practices</w:t>
      </w:r>
      <w:r w:rsidR="00026D5D" w:rsidRPr="00797379">
        <w:t xml:space="preserve"> to</w:t>
      </w:r>
      <w:r w:rsidRPr="00797379">
        <w:t xml:space="preserve"> guide all curricular and instructional decisions toward equitable outcomes for all students. It also focuses on the extent to which the district pairs high</w:t>
      </w:r>
      <w:r w:rsidR="00696AD8" w:rsidRPr="00797379">
        <w:t>-</w:t>
      </w:r>
      <w:r w:rsidRPr="00797379">
        <w:t>quality curriculum and instructional materials</w:t>
      </w:r>
      <w:r w:rsidR="00696AD8" w:rsidRPr="00797379">
        <w:t xml:space="preserve"> (HQIM)</w:t>
      </w:r>
      <w:r w:rsidRPr="00797379">
        <w:t>, and high expectations for all students, with individualized supports so that every student can engage in deeper learning and develop the</w:t>
      </w:r>
      <w:r w:rsidR="00026D5D" w:rsidRPr="00797379">
        <w:t>ir</w:t>
      </w:r>
      <w:r w:rsidRPr="00797379">
        <w:t xml:space="preserve"> knowledge and skills </w:t>
      </w:r>
      <w:r w:rsidR="00026D5D" w:rsidRPr="00797379">
        <w:t>to</w:t>
      </w:r>
      <w:r w:rsidRPr="00797379">
        <w:t xml:space="preserve"> prepare them to succeed in college and/or the workplace.</w:t>
      </w:r>
    </w:p>
    <w:p w14:paraId="654F2607" w14:textId="2D460CF6" w:rsidR="000B66C1" w:rsidRPr="00797379" w:rsidRDefault="000B66C1" w:rsidP="0060143A">
      <w:pPr>
        <w:pStyle w:val="BodyText"/>
      </w:pPr>
      <w:r w:rsidRPr="00797379">
        <w:t xml:space="preserve">Table </w:t>
      </w:r>
      <w:r w:rsidR="00BD049B" w:rsidRPr="00797379">
        <w:t xml:space="preserve">3 </w:t>
      </w:r>
      <w:r w:rsidRPr="00797379">
        <w:t>summarizes key strengths and areas for growth in curriculum and instruction.</w:t>
      </w:r>
    </w:p>
    <w:p w14:paraId="7925A4CF" w14:textId="55FE6BC2" w:rsidR="00473308" w:rsidRPr="00797379" w:rsidRDefault="00473308" w:rsidP="0060143A">
      <w:pPr>
        <w:pStyle w:val="TableTitle0"/>
      </w:pPr>
      <w:bookmarkStart w:id="42" w:name="_Toc220932408"/>
      <w:r w:rsidRPr="00797379">
        <w:t xml:space="preserve">Table </w:t>
      </w:r>
      <w:r w:rsidR="00163C7A" w:rsidRPr="00797379">
        <w:t>3</w:t>
      </w:r>
      <w:r w:rsidRPr="00797379">
        <w:t xml:space="preserve">. Summary of </w:t>
      </w:r>
      <w:r w:rsidR="000B66C1" w:rsidRPr="00797379">
        <w:t xml:space="preserve">Key Strengths </w:t>
      </w:r>
      <w:r w:rsidRPr="00797379">
        <w:t xml:space="preserve">and </w:t>
      </w:r>
      <w:r w:rsidR="000B66C1" w:rsidRPr="00797379">
        <w:t xml:space="preserve">Areas </w:t>
      </w:r>
      <w:r w:rsidRPr="00797379">
        <w:t xml:space="preserve">for </w:t>
      </w:r>
      <w:r w:rsidR="000B66C1" w:rsidRPr="00797379">
        <w:t>Growth:</w:t>
      </w:r>
      <w:r w:rsidRPr="00797379">
        <w:t xml:space="preserve"> Curriculum and Instruction</w:t>
      </w:r>
      <w:r w:rsidR="00C0766E" w:rsidRPr="00797379">
        <w:t xml:space="preserve"> Standard</w:t>
      </w:r>
      <w:bookmarkEnd w:id="42"/>
    </w:p>
    <w:tbl>
      <w:tblPr>
        <w:tblStyle w:val="MSVTable1"/>
        <w:tblW w:w="5000" w:type="pct"/>
        <w:tblLook w:val="04A0" w:firstRow="1" w:lastRow="0" w:firstColumn="1" w:lastColumn="0" w:noHBand="0" w:noVBand="1"/>
      </w:tblPr>
      <w:tblGrid>
        <w:gridCol w:w="1973"/>
        <w:gridCol w:w="3686"/>
        <w:gridCol w:w="3685"/>
      </w:tblGrid>
      <w:tr w:rsidR="00473308" w:rsidRPr="00797379" w14:paraId="24E33970" w14:textId="77777777" w:rsidTr="003E7B84">
        <w:trPr>
          <w:cnfStyle w:val="100000000000" w:firstRow="1" w:lastRow="0" w:firstColumn="0" w:lastColumn="0" w:oddVBand="0" w:evenVBand="0" w:oddHBand="0" w:evenHBand="0" w:firstRowFirstColumn="0" w:firstRowLastColumn="0" w:lastRowFirstColumn="0" w:lastRowLastColumn="0"/>
          <w:tblHeader/>
        </w:trPr>
        <w:tc>
          <w:tcPr>
            <w:tcW w:w="1055" w:type="pct"/>
          </w:tcPr>
          <w:p w14:paraId="34309A87" w14:textId="77777777" w:rsidR="00473308" w:rsidRPr="00797379" w:rsidRDefault="00473308" w:rsidP="0060143A">
            <w:pPr>
              <w:pStyle w:val="TableColHeadingCenter"/>
            </w:pPr>
            <w:r w:rsidRPr="00797379">
              <w:t>Indicator</w:t>
            </w:r>
          </w:p>
        </w:tc>
        <w:tc>
          <w:tcPr>
            <w:tcW w:w="1972" w:type="pct"/>
          </w:tcPr>
          <w:p w14:paraId="47A4F44D" w14:textId="77777777" w:rsidR="00473308" w:rsidRPr="00797379" w:rsidRDefault="00473308" w:rsidP="0060143A">
            <w:pPr>
              <w:pStyle w:val="TableColHeadingCenter"/>
            </w:pPr>
            <w:r w:rsidRPr="00797379">
              <w:t>Strengths</w:t>
            </w:r>
          </w:p>
        </w:tc>
        <w:tc>
          <w:tcPr>
            <w:tcW w:w="1972" w:type="pct"/>
          </w:tcPr>
          <w:p w14:paraId="1E3CFDD9" w14:textId="5DA986FA" w:rsidR="00473308" w:rsidRPr="00797379" w:rsidRDefault="00473308" w:rsidP="0060143A">
            <w:pPr>
              <w:pStyle w:val="TableColHeadingCenter"/>
            </w:pPr>
            <w:r w:rsidRPr="00797379">
              <w:t xml:space="preserve">Areas for </w:t>
            </w:r>
            <w:r w:rsidR="000B66C1" w:rsidRPr="00797379">
              <w:t>g</w:t>
            </w:r>
            <w:r w:rsidRPr="00797379">
              <w:t>rowth</w:t>
            </w:r>
          </w:p>
        </w:tc>
      </w:tr>
      <w:tr w:rsidR="00473308" w:rsidRPr="00797379" w14:paraId="1369F705" w14:textId="77777777" w:rsidTr="003E7B84">
        <w:trPr>
          <w:cnfStyle w:val="000000100000" w:firstRow="0" w:lastRow="0" w:firstColumn="0" w:lastColumn="0" w:oddVBand="0" w:evenVBand="0" w:oddHBand="1" w:evenHBand="0" w:firstRowFirstColumn="0" w:firstRowLastColumn="0" w:lastRowFirstColumn="0" w:lastRowLastColumn="0"/>
        </w:trPr>
        <w:tc>
          <w:tcPr>
            <w:tcW w:w="1055" w:type="pct"/>
          </w:tcPr>
          <w:p w14:paraId="3C1F3BBB" w14:textId="06CE8C3D" w:rsidR="00473308" w:rsidRPr="00797379" w:rsidRDefault="0037284E" w:rsidP="0060143A">
            <w:pPr>
              <w:pStyle w:val="TableSubheading"/>
            </w:pPr>
            <w:hyperlink w:anchor="_Instructional_Leadership" w:history="1">
              <w:r w:rsidRPr="00797379">
                <w:rPr>
                  <w:rStyle w:val="Hyperlink"/>
                  <w:color w:val="auto"/>
                  <w:u w:val="none"/>
                </w:rPr>
                <w:t>Instructional Leadership</w:t>
              </w:r>
            </w:hyperlink>
          </w:p>
        </w:tc>
        <w:tc>
          <w:tcPr>
            <w:tcW w:w="1972" w:type="pct"/>
          </w:tcPr>
          <w:p w14:paraId="4EBC7B6F" w14:textId="7D5B53EB" w:rsidR="00473308" w:rsidRPr="00CE2C98" w:rsidRDefault="002D36ED" w:rsidP="0060143A">
            <w:pPr>
              <w:pStyle w:val="TableBullet1"/>
            </w:pPr>
            <w:r w:rsidRPr="00CE2C98">
              <w:t>The district conducts ongoing reviews of instructional priorities.</w:t>
            </w:r>
          </w:p>
        </w:tc>
        <w:tc>
          <w:tcPr>
            <w:tcW w:w="1972" w:type="pct"/>
          </w:tcPr>
          <w:p w14:paraId="2FD82E03" w14:textId="41A4DDFB" w:rsidR="00473308" w:rsidRPr="00CE2C98" w:rsidRDefault="00A3097A" w:rsidP="0060143A">
            <w:pPr>
              <w:pStyle w:val="TableBullet1"/>
            </w:pPr>
            <w:r w:rsidRPr="00CE2C98">
              <w:t>Developing and implementing a commonly shared instructional vision</w:t>
            </w:r>
          </w:p>
        </w:tc>
      </w:tr>
      <w:tr w:rsidR="00473308" w:rsidRPr="00797379" w14:paraId="6F5158ED" w14:textId="77777777" w:rsidTr="003E7B84">
        <w:tc>
          <w:tcPr>
            <w:tcW w:w="1055" w:type="pct"/>
          </w:tcPr>
          <w:p w14:paraId="63362AB2" w14:textId="1DEE2BF2" w:rsidR="00473308" w:rsidRPr="00797379" w:rsidRDefault="008722B8" w:rsidP="0060143A">
            <w:pPr>
              <w:pStyle w:val="TableSubheading"/>
            </w:pPr>
            <w:hyperlink w:anchor="_Curriculum_and_Instructional" w:history="1">
              <w:r w:rsidRPr="00797379">
                <w:rPr>
                  <w:rStyle w:val="Hyperlink"/>
                  <w:color w:val="auto"/>
                  <w:u w:val="none"/>
                </w:rPr>
                <w:t>Curriculum and Instructional Materials</w:t>
              </w:r>
            </w:hyperlink>
          </w:p>
        </w:tc>
        <w:tc>
          <w:tcPr>
            <w:tcW w:w="1972" w:type="pct"/>
          </w:tcPr>
          <w:p w14:paraId="73E5788D" w14:textId="2161F837" w:rsidR="00473308" w:rsidRPr="00CE2C98" w:rsidRDefault="002B2DD9" w:rsidP="0060143A">
            <w:pPr>
              <w:pStyle w:val="TableBullet1"/>
            </w:pPr>
            <w:r w:rsidRPr="00CE2C98">
              <w:t>WPS follows</w:t>
            </w:r>
            <w:r w:rsidR="002D36ED" w:rsidRPr="00CE2C98">
              <w:t xml:space="preserve"> a structured curriculum selection and review process.</w:t>
            </w:r>
          </w:p>
          <w:p w14:paraId="27E8B156" w14:textId="135CDA28" w:rsidR="002D36ED" w:rsidRPr="00CE2C98" w:rsidRDefault="002D36ED" w:rsidP="006F3A2E">
            <w:pPr>
              <w:pStyle w:val="TableBullet1"/>
              <w:numPr>
                <w:ilvl w:val="0"/>
                <w:numId w:val="0"/>
              </w:numPr>
            </w:pPr>
          </w:p>
        </w:tc>
        <w:tc>
          <w:tcPr>
            <w:tcW w:w="1972" w:type="pct"/>
          </w:tcPr>
          <w:p w14:paraId="360FFD44" w14:textId="2A42C0D4" w:rsidR="00473308" w:rsidRPr="00CE2C98" w:rsidRDefault="002D36ED" w:rsidP="0060143A">
            <w:pPr>
              <w:pStyle w:val="TableBullet1"/>
            </w:pPr>
            <w:r w:rsidRPr="00CE2C98">
              <w:t>Strengthening the vertical alignment of curriculum, especially from the elementary to secondary level</w:t>
            </w:r>
          </w:p>
          <w:p w14:paraId="24E7E538" w14:textId="016AB56B" w:rsidR="002D36ED" w:rsidRPr="00CE2C98" w:rsidRDefault="002D36ED" w:rsidP="0060143A">
            <w:pPr>
              <w:pStyle w:val="TableBullet1"/>
            </w:pPr>
            <w:r w:rsidRPr="00CE2C98">
              <w:t>Implementing high-quality instructional materials (HQIM) across grade levels</w:t>
            </w:r>
          </w:p>
        </w:tc>
      </w:tr>
      <w:tr w:rsidR="00473308" w:rsidRPr="00797379" w14:paraId="2815FD55" w14:textId="77777777" w:rsidTr="003E7B84">
        <w:trPr>
          <w:cnfStyle w:val="000000100000" w:firstRow="0" w:lastRow="0" w:firstColumn="0" w:lastColumn="0" w:oddVBand="0" w:evenVBand="0" w:oddHBand="1" w:evenHBand="0" w:firstRowFirstColumn="0" w:firstRowLastColumn="0" w:lastRowFirstColumn="0" w:lastRowLastColumn="0"/>
        </w:trPr>
        <w:tc>
          <w:tcPr>
            <w:tcW w:w="1055" w:type="pct"/>
          </w:tcPr>
          <w:p w14:paraId="1ECD7628" w14:textId="19BE3BC3" w:rsidR="00473308" w:rsidRPr="00797379" w:rsidRDefault="00320588" w:rsidP="0060143A">
            <w:pPr>
              <w:pStyle w:val="TableSubheading"/>
            </w:pPr>
            <w:hyperlink w:anchor="_Equitable_Practices_and" w:history="1">
              <w:r w:rsidRPr="00797379">
                <w:rPr>
                  <w:rStyle w:val="Hyperlink"/>
                  <w:color w:val="auto"/>
                  <w:u w:val="none"/>
                </w:rPr>
                <w:t>Equitable Practices and</w:t>
              </w:r>
              <w:r w:rsidR="00473308" w:rsidRPr="00797379">
                <w:rPr>
                  <w:rStyle w:val="Hyperlink"/>
                  <w:color w:val="auto"/>
                  <w:u w:val="none"/>
                </w:rPr>
                <w:t xml:space="preserve"> </w:t>
              </w:r>
              <w:r w:rsidRPr="00797379">
                <w:rPr>
                  <w:rStyle w:val="Hyperlink"/>
                  <w:color w:val="auto"/>
                  <w:u w:val="none"/>
                </w:rPr>
                <w:t>A</w:t>
              </w:r>
              <w:r w:rsidR="00473308" w:rsidRPr="00797379">
                <w:rPr>
                  <w:rStyle w:val="Hyperlink"/>
                  <w:color w:val="auto"/>
                  <w:u w:val="none"/>
                </w:rPr>
                <w:t>ccess</w:t>
              </w:r>
            </w:hyperlink>
          </w:p>
        </w:tc>
        <w:tc>
          <w:tcPr>
            <w:tcW w:w="1972" w:type="pct"/>
          </w:tcPr>
          <w:p w14:paraId="25D7F32B" w14:textId="6661ACA1" w:rsidR="00473308" w:rsidRPr="00CE2C98" w:rsidRDefault="002D36ED" w:rsidP="0060143A">
            <w:pPr>
              <w:pStyle w:val="TableBullet1"/>
            </w:pPr>
            <w:r w:rsidRPr="00CE2C98">
              <w:t>WPS has established tiered interventions at the elementary level.</w:t>
            </w:r>
          </w:p>
        </w:tc>
        <w:tc>
          <w:tcPr>
            <w:tcW w:w="1972" w:type="pct"/>
          </w:tcPr>
          <w:p w14:paraId="5A399263" w14:textId="77777777" w:rsidR="00473308" w:rsidRPr="00CE2C98" w:rsidRDefault="002D36ED" w:rsidP="0060143A">
            <w:pPr>
              <w:pStyle w:val="TableBullet1"/>
            </w:pPr>
            <w:r w:rsidRPr="00CE2C98">
              <w:t>Enhancing structured academic supports and interventions at the secondary level</w:t>
            </w:r>
          </w:p>
          <w:p w14:paraId="3F011882" w14:textId="017F0836" w:rsidR="00B04D75" w:rsidRPr="00CE2C98" w:rsidRDefault="00B04D75" w:rsidP="0060143A">
            <w:pPr>
              <w:pStyle w:val="TableBullet1"/>
            </w:pPr>
            <w:r w:rsidRPr="00CE2C98">
              <w:t>Ensuring all student groups, especially ELs, have equitable opportunities to take advanced coursework</w:t>
            </w:r>
          </w:p>
        </w:tc>
      </w:tr>
      <w:tr w:rsidR="0037284E" w:rsidRPr="00797379" w14:paraId="0EC4A794" w14:textId="77777777" w:rsidTr="003E7B84">
        <w:tc>
          <w:tcPr>
            <w:tcW w:w="1055" w:type="pct"/>
          </w:tcPr>
          <w:p w14:paraId="78BB75FC" w14:textId="3B30DC47" w:rsidR="0037284E" w:rsidRPr="00797379" w:rsidRDefault="00320588" w:rsidP="0060143A">
            <w:pPr>
              <w:pStyle w:val="TableSubheading"/>
            </w:pPr>
            <w:hyperlink w:anchor="_Effective_Instruction_and" w:history="1">
              <w:r w:rsidRPr="00797379">
                <w:rPr>
                  <w:rStyle w:val="Hyperlink"/>
                  <w:color w:val="auto"/>
                  <w:u w:val="none"/>
                </w:rPr>
                <w:t>Effective Instruction and Curricular Implementation</w:t>
              </w:r>
            </w:hyperlink>
          </w:p>
        </w:tc>
        <w:tc>
          <w:tcPr>
            <w:tcW w:w="1972" w:type="pct"/>
          </w:tcPr>
          <w:p w14:paraId="4AAA2C06" w14:textId="7C2D79EB" w:rsidR="0037284E" w:rsidRPr="00797379" w:rsidRDefault="002B2DD9" w:rsidP="0060143A">
            <w:pPr>
              <w:pStyle w:val="TableBullet1"/>
            </w:pPr>
            <w:r>
              <w:t>N/A</w:t>
            </w:r>
          </w:p>
        </w:tc>
        <w:tc>
          <w:tcPr>
            <w:tcW w:w="1972" w:type="pct"/>
          </w:tcPr>
          <w:p w14:paraId="7D67B62C" w14:textId="12DB48A8" w:rsidR="0037284E" w:rsidRPr="00797379" w:rsidRDefault="002B2DD9" w:rsidP="0060143A">
            <w:pPr>
              <w:pStyle w:val="TableBullet1"/>
            </w:pPr>
            <w:r>
              <w:t>N/A</w:t>
            </w:r>
          </w:p>
        </w:tc>
      </w:tr>
    </w:tbl>
    <w:p w14:paraId="6EA47201" w14:textId="0E589CC2" w:rsidR="00473308" w:rsidRPr="00797379" w:rsidRDefault="0037284E" w:rsidP="0060143A">
      <w:pPr>
        <w:pStyle w:val="Heading3"/>
      </w:pPr>
      <w:r w:rsidRPr="00797379">
        <w:t>Instructional Leadership</w:t>
      </w:r>
    </w:p>
    <w:p w14:paraId="1D18363C" w14:textId="045CE8F5" w:rsidR="00D205E6" w:rsidRPr="00CE2C98" w:rsidRDefault="00D205E6" w:rsidP="00CE2C98">
      <w:pPr>
        <w:pStyle w:val="BodyTextposthead"/>
        <w:spacing w:before="240"/>
      </w:pPr>
      <w:bookmarkStart w:id="43" w:name="_Classroom_Instruction"/>
      <w:bookmarkEnd w:id="43"/>
      <w:r w:rsidRPr="00797379">
        <w:t xml:space="preserve">The assistant superintendent for </w:t>
      </w:r>
      <w:r w:rsidR="002B2DD9">
        <w:t>c</w:t>
      </w:r>
      <w:r w:rsidRPr="00797379">
        <w:t>urriculum</w:t>
      </w:r>
      <w:r w:rsidR="0034679E" w:rsidRPr="00797379">
        <w:t>,</w:t>
      </w:r>
      <w:r w:rsidRPr="00797379">
        <w:t xml:space="preserve"> </w:t>
      </w:r>
      <w:r w:rsidR="002B2DD9">
        <w:t>i</w:t>
      </w:r>
      <w:r w:rsidRPr="00797379">
        <w:t>nstruction</w:t>
      </w:r>
      <w:r w:rsidR="0034679E" w:rsidRPr="00797379">
        <w:t xml:space="preserve">, and </w:t>
      </w:r>
      <w:r w:rsidR="002B2DD9">
        <w:t>a</w:t>
      </w:r>
      <w:r w:rsidR="0034679E" w:rsidRPr="00797379">
        <w:t>ssessment</w:t>
      </w:r>
      <w:r w:rsidRPr="00797379">
        <w:t xml:space="preserve"> is responsible for </w:t>
      </w:r>
      <w:r w:rsidRPr="00CE2C98">
        <w:t xml:space="preserve">overseeing </w:t>
      </w:r>
      <w:r w:rsidR="00190713" w:rsidRPr="00CE2C98">
        <w:t xml:space="preserve">WPS’s </w:t>
      </w:r>
      <w:r w:rsidRPr="00CE2C98">
        <w:t xml:space="preserve">curriculum and instruction, along with the assistant superintendent for </w:t>
      </w:r>
      <w:r w:rsidR="00746C93" w:rsidRPr="00CE2C98">
        <w:t>e</w:t>
      </w:r>
      <w:r w:rsidRPr="00CE2C98">
        <w:t>lementary education. The district has literacy and math specialists at the elementary level as well as content area directors and coordinators across the district. School principals</w:t>
      </w:r>
      <w:r w:rsidR="00190713" w:rsidRPr="00CE2C98">
        <w:t>, as part of the superintendent’s large leadership team,</w:t>
      </w:r>
      <w:r w:rsidRPr="00CE2C98">
        <w:t xml:space="preserve"> work closely </w:t>
      </w:r>
      <w:r w:rsidR="00C81ED9" w:rsidRPr="00CE2C98">
        <w:t xml:space="preserve">with </w:t>
      </w:r>
      <w:r w:rsidR="00190713" w:rsidRPr="00CE2C98">
        <w:t xml:space="preserve">the people in these </w:t>
      </w:r>
      <w:r w:rsidRPr="00CE2C98">
        <w:t>positions, with a focus on curriculum and instruction.</w:t>
      </w:r>
    </w:p>
    <w:p w14:paraId="44E551AC" w14:textId="7ED8B0C8" w:rsidR="00D205E6" w:rsidRPr="00CE2C98" w:rsidRDefault="005E32C6" w:rsidP="00CE2C98">
      <w:pPr>
        <w:spacing w:before="240" w:after="120"/>
      </w:pPr>
      <w:r w:rsidRPr="00CE2C98">
        <w:t>WPS</w:t>
      </w:r>
      <w:r w:rsidR="00D205E6" w:rsidRPr="00CE2C98">
        <w:t xml:space="preserve"> has articulated a clear instructional focus that emphasizes equity, student engagement, and cohesive learning experiences across all grade levels. The focus, repeatedly referenced in district leadership meetings and </w:t>
      </w:r>
      <w:r w:rsidR="00CE3710" w:rsidRPr="00CE2C98">
        <w:t>Elementary Literacy Team (</w:t>
      </w:r>
      <w:r w:rsidR="00D205E6" w:rsidRPr="00CE2C98">
        <w:t>ELT 2.0</w:t>
      </w:r>
      <w:r w:rsidR="00CE3710" w:rsidRPr="00CE2C98">
        <w:t>)</w:t>
      </w:r>
      <w:r w:rsidR="00D205E6" w:rsidRPr="00CE2C98">
        <w:t xml:space="preserve"> sessions, </w:t>
      </w:r>
      <w:r w:rsidR="00C71794" w:rsidRPr="00CE2C98">
        <w:t>is centered</w:t>
      </w:r>
      <w:r w:rsidR="00D37D08" w:rsidRPr="00CE2C98">
        <w:t xml:space="preserve"> on</w:t>
      </w:r>
      <w:r w:rsidR="00D205E6" w:rsidRPr="00CE2C98">
        <w:t xml:space="preserve"> cultivating student-centered classrooms that prioritize social, emotional, and academic well-being. </w:t>
      </w:r>
      <w:r w:rsidR="00EC65D1" w:rsidRPr="00CE2C98">
        <w:t>The</w:t>
      </w:r>
      <w:r w:rsidR="00030FE0" w:rsidRPr="00CE2C98">
        <w:t>se</w:t>
      </w:r>
      <w:r w:rsidR="00EC65D1" w:rsidRPr="00CE2C98">
        <w:t xml:space="preserve"> instructional </w:t>
      </w:r>
      <w:r w:rsidR="00030FE0" w:rsidRPr="00CE2C98">
        <w:t xml:space="preserve">priorities </w:t>
      </w:r>
      <w:r w:rsidR="00D205E6" w:rsidRPr="00CE2C98">
        <w:t>aim to nurture engaged learners and critical thinkers who can access the world through reading, writing, speaking, and listening</w:t>
      </w:r>
      <w:r w:rsidR="009E4509" w:rsidRPr="00CE2C98">
        <w:t>. It aims to</w:t>
      </w:r>
      <w:r w:rsidR="00D205E6" w:rsidRPr="00CE2C98">
        <w:t xml:space="preserve"> ensur</w:t>
      </w:r>
      <w:r w:rsidR="009E4509" w:rsidRPr="00CE2C98">
        <w:t>e</w:t>
      </w:r>
      <w:r w:rsidR="00D205E6" w:rsidRPr="00CE2C98">
        <w:t xml:space="preserve"> that every student experiences a common, culturally responsive, high-quality curriculum. </w:t>
      </w:r>
      <w:r w:rsidR="00E84641" w:rsidRPr="00CE2C98">
        <w:t>The district is also committed to fostering a culture of reflective, innovative teaching supported by collaboration among educators and families</w:t>
      </w:r>
      <w:r w:rsidR="00207DC1" w:rsidRPr="00CE2C98">
        <w:t>.</w:t>
      </w:r>
      <w:r w:rsidR="00E84641" w:rsidRPr="00CE2C98">
        <w:t xml:space="preserve"> </w:t>
      </w:r>
      <w:r w:rsidR="00AE176C" w:rsidRPr="00CE2C98">
        <w:t xml:space="preserve">District leaders reported that </w:t>
      </w:r>
      <w:r w:rsidR="006337BE" w:rsidRPr="00CE2C98">
        <w:t xml:space="preserve">while these </w:t>
      </w:r>
      <w:r w:rsidR="00207DC1" w:rsidRPr="00CE2C98">
        <w:t xml:space="preserve">goals </w:t>
      </w:r>
      <w:r w:rsidR="006337BE" w:rsidRPr="00CE2C98">
        <w:t>are part of their</w:t>
      </w:r>
      <w:r w:rsidR="00AE176C" w:rsidRPr="00CE2C98">
        <w:t xml:space="preserve"> </w:t>
      </w:r>
      <w:r w:rsidR="009D617B" w:rsidRPr="00CE2C98">
        <w:rPr>
          <w:i/>
          <w:iCs/>
        </w:rPr>
        <w:t>instructional focus</w:t>
      </w:r>
      <w:r w:rsidR="006337BE" w:rsidRPr="00CE2C98">
        <w:t xml:space="preserve">, there is </w:t>
      </w:r>
      <w:r w:rsidR="00207DC1" w:rsidRPr="00CE2C98">
        <w:t>no</w:t>
      </w:r>
      <w:r w:rsidR="006337BE" w:rsidRPr="00CE2C98">
        <w:t xml:space="preserve"> commonly shared and understood </w:t>
      </w:r>
      <w:r w:rsidR="006337BE" w:rsidRPr="00CE2C98">
        <w:rPr>
          <w:i/>
          <w:iCs/>
        </w:rPr>
        <w:t>instructional vision</w:t>
      </w:r>
      <w:r w:rsidR="006337BE" w:rsidRPr="00CE2C98">
        <w:t xml:space="preserve">. </w:t>
      </w:r>
      <w:r w:rsidR="00475656">
        <w:t xml:space="preserve">School leaders and teachers reported </w:t>
      </w:r>
      <w:r w:rsidR="00646E06" w:rsidRPr="00CE2C98">
        <w:t>some awareness of the instructional focus</w:t>
      </w:r>
      <w:r w:rsidR="00475656">
        <w:t xml:space="preserve">,  but agreed that </w:t>
      </w:r>
      <w:r w:rsidR="00646E06" w:rsidRPr="00CE2C98">
        <w:t>the district has not yet shared an instructional vision</w:t>
      </w:r>
      <w:r w:rsidR="003D0C78">
        <w:t xml:space="preserve"> </w:t>
      </w:r>
      <w:r w:rsidR="003D0C78" w:rsidRPr="00CE2C98">
        <w:t xml:space="preserve">specifying the core instructional approaches educators will use to meet </w:t>
      </w:r>
      <w:r w:rsidR="003D0C78">
        <w:t>the district’s</w:t>
      </w:r>
      <w:r w:rsidR="003D0C78" w:rsidRPr="00CE2C98">
        <w:t xml:space="preserve"> goals</w:t>
      </w:r>
      <w:r w:rsidR="009D617B" w:rsidRPr="00CE2C98">
        <w:t xml:space="preserve"> </w:t>
      </w:r>
      <w:r w:rsidR="002C535C" w:rsidRPr="00CE2C98">
        <w:t>Developing and implementing</w:t>
      </w:r>
      <w:r w:rsidR="00D205E6" w:rsidRPr="00CE2C98">
        <w:t xml:space="preserve"> a commonly shared instructional vision</w:t>
      </w:r>
      <w:r w:rsidR="002C535C" w:rsidRPr="00CE2C98">
        <w:t xml:space="preserve"> is an area for growth</w:t>
      </w:r>
      <w:r w:rsidR="00FC4378" w:rsidRPr="00CE2C98">
        <w:t xml:space="preserve"> for the district</w:t>
      </w:r>
      <w:r w:rsidR="00D205E6" w:rsidRPr="00CE2C98">
        <w:t>.</w:t>
      </w:r>
    </w:p>
    <w:p w14:paraId="0C57B19E" w14:textId="12085559" w:rsidR="00753CC2" w:rsidRPr="00CE2C98" w:rsidRDefault="00D205E6" w:rsidP="00CE2C98">
      <w:pPr>
        <w:pStyle w:val="BodyText"/>
      </w:pPr>
      <w:r w:rsidRPr="00CE2C98">
        <w:t>T</w:t>
      </w:r>
      <w:r w:rsidR="008F0DA0" w:rsidRPr="00CE2C98">
        <w:t xml:space="preserve">he </w:t>
      </w:r>
      <w:r w:rsidR="00604958" w:rsidRPr="00CE2C98">
        <w:t>district’s</w:t>
      </w:r>
      <w:r w:rsidR="008F0DA0" w:rsidRPr="00CE2C98">
        <w:t xml:space="preserve"> </w:t>
      </w:r>
      <w:r w:rsidR="00CA03A2" w:rsidRPr="00CE2C98">
        <w:t>instructional focus</w:t>
      </w:r>
      <w:r w:rsidRPr="00CE2C98">
        <w:t xml:space="preserve"> is operationalized through districtwide initiatives such as the Elementary Literacy Team and ELT 2.0, which have set goals for literacy cohesion and knowledge</w:t>
      </w:r>
      <w:r w:rsidR="005612C8" w:rsidRPr="00CE2C98">
        <w:t>-</w:t>
      </w:r>
      <w:r w:rsidRPr="00CE2C98">
        <w:t xml:space="preserve">building curricula. </w:t>
      </w:r>
      <w:r w:rsidR="00080A77" w:rsidRPr="00CE2C98">
        <w:t xml:space="preserve">In </w:t>
      </w:r>
      <w:r w:rsidR="00A34C51" w:rsidRPr="00CE2C98">
        <w:t>2025, a</w:t>
      </w:r>
      <w:r w:rsidRPr="00CE2C98">
        <w:t>n inclusive curriculum team was established to review and pilot new</w:t>
      </w:r>
      <w:r w:rsidR="005D1087" w:rsidRPr="00CE2C98">
        <w:t xml:space="preserve"> </w:t>
      </w:r>
      <w:r w:rsidR="002B2DD9" w:rsidRPr="00CE2C98">
        <w:t>g</w:t>
      </w:r>
      <w:r w:rsidR="005D1087" w:rsidRPr="00CE2C98">
        <w:t>rade</w:t>
      </w:r>
      <w:r w:rsidRPr="00CE2C98">
        <w:t xml:space="preserve"> K-5 ELA curriculum, with a focus on improving literacy. </w:t>
      </w:r>
      <w:r w:rsidR="0046159E" w:rsidRPr="00CE2C98">
        <w:t xml:space="preserve">District leaders reported that </w:t>
      </w:r>
      <w:r w:rsidR="00403A64" w:rsidRPr="00CE2C98">
        <w:t>WPS</w:t>
      </w:r>
      <w:r w:rsidR="0046159E" w:rsidRPr="00CE2C98">
        <w:t xml:space="preserve"> has a team of curriculum coordinators at both the elementary and secondary levels </w:t>
      </w:r>
      <w:r w:rsidR="00EB750F" w:rsidRPr="00CE2C98">
        <w:t>to assist with curriculum implementation</w:t>
      </w:r>
      <w:r w:rsidR="00D36C95" w:rsidRPr="00CE2C98">
        <w:t xml:space="preserve"> and alignment.</w:t>
      </w:r>
      <w:r w:rsidR="00EB750F" w:rsidRPr="00CE2C98">
        <w:t xml:space="preserve"> </w:t>
      </w:r>
      <w:r w:rsidR="00403A64" w:rsidRPr="00CE2C98">
        <w:t>A review of l</w:t>
      </w:r>
      <w:r w:rsidRPr="00CE2C98">
        <w:t>eadership documents and superintendent interviews confirm</w:t>
      </w:r>
      <w:r w:rsidR="002A0EB5" w:rsidRPr="00CE2C98">
        <w:t>ed</w:t>
      </w:r>
      <w:r w:rsidRPr="00CE2C98">
        <w:t xml:space="preserve"> that annual planning processes are grounded in </w:t>
      </w:r>
      <w:r w:rsidR="007F67B6" w:rsidRPr="00CE2C98">
        <w:t>the instructional focus</w:t>
      </w:r>
      <w:r w:rsidRPr="00CE2C98">
        <w:t xml:space="preserve">, with summer retreats bringing together principals, assistant principals, and content coordinators to align </w:t>
      </w:r>
      <w:r w:rsidR="00403A64" w:rsidRPr="00CE2C98">
        <w:t>SIPs</w:t>
      </w:r>
      <w:r w:rsidRPr="00CE2C98">
        <w:t xml:space="preserve"> with district priorities. These priorities include literacy, equity, social</w:t>
      </w:r>
      <w:r w:rsidR="00403A64" w:rsidRPr="00CE2C98">
        <w:t>-</w:t>
      </w:r>
      <w:r w:rsidRPr="00CE2C98">
        <w:t xml:space="preserve">emotional learning, </w:t>
      </w:r>
      <w:r w:rsidR="006C4D03" w:rsidRPr="00CE2C98">
        <w:t xml:space="preserve">and </w:t>
      </w:r>
      <w:r w:rsidRPr="00CE2C98">
        <w:t>reflect</w:t>
      </w:r>
      <w:r w:rsidR="006C4D03" w:rsidRPr="00CE2C98">
        <w:t>ions on</w:t>
      </w:r>
      <w:r w:rsidRPr="00CE2C98">
        <w:t xml:space="preserve"> both internal assessments and community feedback. The </w:t>
      </w:r>
      <w:r w:rsidR="007B5DA1" w:rsidRPr="00CE2C98">
        <w:t>ongoing</w:t>
      </w:r>
      <w:r w:rsidR="006C4D03" w:rsidRPr="00CE2C98">
        <w:t xml:space="preserve"> review of </w:t>
      </w:r>
      <w:r w:rsidRPr="00CE2C98">
        <w:t>instructional priorities are strength</w:t>
      </w:r>
      <w:r w:rsidR="006C4D03" w:rsidRPr="00CE2C98">
        <w:t>s</w:t>
      </w:r>
      <w:r w:rsidRPr="00CE2C98">
        <w:t xml:space="preserve"> of the district.</w:t>
      </w:r>
    </w:p>
    <w:p w14:paraId="68501147" w14:textId="22AD83EA" w:rsidR="00473308" w:rsidRPr="00797379" w:rsidRDefault="00473308" w:rsidP="0060143A">
      <w:pPr>
        <w:pStyle w:val="Heading3"/>
      </w:pPr>
      <w:bookmarkStart w:id="44" w:name="_Curriculum_and_Instructional"/>
      <w:bookmarkEnd w:id="44"/>
      <w:r w:rsidRPr="00797379">
        <w:t>C</w:t>
      </w:r>
      <w:r w:rsidR="0037284E" w:rsidRPr="00797379">
        <w:t>urriculum and Instructional Materials</w:t>
      </w:r>
    </w:p>
    <w:p w14:paraId="35C24985" w14:textId="1BEDD9C2" w:rsidR="00CD7F8B" w:rsidRPr="00CE2C98" w:rsidRDefault="006A7FB9" w:rsidP="00CE2C98">
      <w:pPr>
        <w:pStyle w:val="BodyTextposthead"/>
        <w:spacing w:before="240"/>
      </w:pPr>
      <w:r w:rsidRPr="00CE2C98">
        <w:t>WPS</w:t>
      </w:r>
      <w:r w:rsidR="00CD7F8B" w:rsidRPr="00CE2C98">
        <w:t xml:space="preserve"> has a structured curriculum review that emphasizes collaboration, alignment with standards, and stakeholder input. </w:t>
      </w:r>
      <w:r w:rsidR="00E302C0" w:rsidRPr="00CE2C98">
        <w:t>For example, t</w:t>
      </w:r>
      <w:r w:rsidR="00CD7F8B" w:rsidRPr="00CE2C98">
        <w:t>he 2025 Curriculum Checklist outline</w:t>
      </w:r>
      <w:r w:rsidR="00E302C0" w:rsidRPr="00CE2C98">
        <w:t>d</w:t>
      </w:r>
      <w:r w:rsidR="00CD7F8B" w:rsidRPr="00CE2C98">
        <w:t xml:space="preserve"> a multistep approach to review curriculum, beginning with revisiting essential questions and prioritiz</w:t>
      </w:r>
      <w:r w:rsidR="00165331" w:rsidRPr="00CE2C98">
        <w:t>ing</w:t>
      </w:r>
      <w:r w:rsidR="00CD7F8B" w:rsidRPr="00CE2C98">
        <w:t xml:space="preserve"> standards (</w:t>
      </w:r>
      <w:r w:rsidR="00E302C0" w:rsidRPr="00CE2C98">
        <w:t xml:space="preserve">noted in </w:t>
      </w:r>
      <w:r w:rsidR="00CD7F8B" w:rsidRPr="00CE2C98">
        <w:t>green, yellow, red</w:t>
      </w:r>
      <w:r w:rsidR="00E302C0" w:rsidRPr="00CE2C98">
        <w:t xml:space="preserve"> font</w:t>
      </w:r>
      <w:r w:rsidR="00CD7F8B" w:rsidRPr="00CE2C98">
        <w:t>) to ensure depth over breadth of learning. Curriculum leaders reported</w:t>
      </w:r>
      <w:r w:rsidR="00C67D3A" w:rsidRPr="00CE2C98">
        <w:t xml:space="preserve"> using a </w:t>
      </w:r>
      <w:r w:rsidR="00CD7F8B" w:rsidRPr="00CE2C98">
        <w:t xml:space="preserve">checklist during their summer planning </w:t>
      </w:r>
      <w:r w:rsidR="00C67D3A" w:rsidRPr="00CE2C98">
        <w:t xml:space="preserve">retreats </w:t>
      </w:r>
      <w:r w:rsidR="00CD7F8B" w:rsidRPr="00CE2C98">
        <w:t xml:space="preserve">to ensure that curriculum </w:t>
      </w:r>
      <w:r w:rsidR="00C67D3A" w:rsidRPr="00CE2C98">
        <w:t>is aligned to</w:t>
      </w:r>
      <w:r w:rsidR="00CD7F8B" w:rsidRPr="00CE2C98">
        <w:t xml:space="preserve"> standards. </w:t>
      </w:r>
      <w:r w:rsidR="00444E63" w:rsidRPr="00CE2C98">
        <w:t>One d</w:t>
      </w:r>
      <w:r w:rsidR="00CD7F8B" w:rsidRPr="00CE2C98">
        <w:t>istrict leader reported that curriculum coordinators review curriculum “every single summer</w:t>
      </w:r>
      <w:r w:rsidR="00444E63" w:rsidRPr="00CE2C98">
        <w:t>.</w:t>
      </w:r>
      <w:r w:rsidR="00CD7F8B" w:rsidRPr="00CE2C98">
        <w:t xml:space="preserve">” Teachers </w:t>
      </w:r>
      <w:r w:rsidR="002D7B25" w:rsidRPr="00CE2C98">
        <w:t xml:space="preserve">also </w:t>
      </w:r>
      <w:r w:rsidR="00CD7F8B" w:rsidRPr="00CE2C98">
        <w:t>reported frequent curriculum reviews</w:t>
      </w:r>
      <w:r w:rsidR="002D7B25" w:rsidRPr="00CE2C98">
        <w:t xml:space="preserve"> and noted</w:t>
      </w:r>
      <w:r w:rsidR="00CD7F8B" w:rsidRPr="00CE2C98">
        <w:t xml:space="preserve"> recent changes to social studies and math</w:t>
      </w:r>
      <w:r w:rsidR="002D7B25" w:rsidRPr="00CE2C98">
        <w:t>ematics</w:t>
      </w:r>
      <w:r w:rsidR="00CD7F8B" w:rsidRPr="00CE2C98">
        <w:t xml:space="preserve"> curricula at the secondary level. </w:t>
      </w:r>
      <w:r w:rsidR="002D7B25" w:rsidRPr="00CE2C98">
        <w:t>T</w:t>
      </w:r>
      <w:r w:rsidR="00CD7F8B" w:rsidRPr="00CE2C98">
        <w:t>eachers work in grade-level and course teams to reflect on prior implementation, revise standards, and incorporate feedback from curriculum directors and coordinators before moving forward. This iterative process includes cross-level consultation (</w:t>
      </w:r>
      <w:r w:rsidR="008E212B" w:rsidRPr="00CE2C98">
        <w:t xml:space="preserve">i.e., </w:t>
      </w:r>
      <w:r w:rsidR="00CD7F8B" w:rsidRPr="00CE2C98">
        <w:t xml:space="preserve">elementary, middle, high school) to strengthen vertical alignment and coherence across grades. Drafts of curriculum are shared widely for feedback, and revisions are made based on input from colleagues and leadership teams. </w:t>
      </w:r>
      <w:r w:rsidR="008E212B" w:rsidRPr="00CE2C98">
        <w:t>C</w:t>
      </w:r>
      <w:r w:rsidR="00CD7F8B" w:rsidRPr="00CE2C98">
        <w:t>hecklist</w:t>
      </w:r>
      <w:r w:rsidR="008E212B" w:rsidRPr="00CE2C98">
        <w:t>s</w:t>
      </w:r>
      <w:r w:rsidR="00CD7F8B" w:rsidRPr="00CE2C98">
        <w:t xml:space="preserve"> also integrate expectations for updating performance-based assessments and one-page curriculum overviews, ensuring curricular decisions are grounded in evidence of student learning and </w:t>
      </w:r>
      <w:r w:rsidR="008E212B" w:rsidRPr="00CE2C98">
        <w:t xml:space="preserve">are </w:t>
      </w:r>
      <w:r w:rsidR="00CD7F8B" w:rsidRPr="00CE2C98">
        <w:t xml:space="preserve">aligned with district priorities for </w:t>
      </w:r>
      <w:r w:rsidR="008E212B" w:rsidRPr="00CE2C98">
        <w:t xml:space="preserve">integrating </w:t>
      </w:r>
      <w:r w:rsidR="00CD7F8B" w:rsidRPr="00CE2C98">
        <w:t xml:space="preserve">equity and social-emotional learning (e.g., </w:t>
      </w:r>
      <w:r w:rsidR="008E212B" w:rsidRPr="00CE2C98">
        <w:t xml:space="preserve">Collaborative for Academic, Social, and Emotional Learning </w:t>
      </w:r>
      <w:r w:rsidR="00CD7F8B" w:rsidRPr="00CE2C98">
        <w:t>and social justice standards). The district’s curriculum review and selection are ongoing, particularly in ELA and mathematics. For example,</w:t>
      </w:r>
      <w:r w:rsidR="00692FAA" w:rsidRPr="00CE2C98">
        <w:t xml:space="preserve"> following a comprehensive review process, </w:t>
      </w:r>
      <w:r w:rsidR="003E1A00" w:rsidRPr="00CE2C98">
        <w:t xml:space="preserve">Grades </w:t>
      </w:r>
      <w:r w:rsidR="00CD7F8B" w:rsidRPr="00CE2C98">
        <w:t>K</w:t>
      </w:r>
      <w:r w:rsidR="003E1A00" w:rsidRPr="00CE2C98">
        <w:t>-</w:t>
      </w:r>
      <w:r w:rsidR="00CD7F8B" w:rsidRPr="00CE2C98">
        <w:t>5 ELA is in a pilot phase for EL Education (2025) and Arts &amp; Letters (2024)</w:t>
      </w:r>
      <w:r w:rsidR="00692FAA" w:rsidRPr="00CE2C98">
        <w:t>.</w:t>
      </w:r>
      <w:r w:rsidR="00CD7F8B" w:rsidRPr="00CE2C98">
        <w:t xml:space="preserve"> </w:t>
      </w:r>
      <w:r w:rsidR="00692FAA" w:rsidRPr="00CE2C98">
        <w:t xml:space="preserve">According to district leadership and teachers, </w:t>
      </w:r>
      <w:r w:rsidR="00CD7F8B" w:rsidRPr="00CE2C98">
        <w:t>older programs</w:t>
      </w:r>
      <w:r w:rsidR="00692FAA" w:rsidRPr="00CE2C98">
        <w:t>,</w:t>
      </w:r>
      <w:r w:rsidR="00CD7F8B" w:rsidRPr="00CE2C98">
        <w:t xml:space="preserve"> such as Units of Study</w:t>
      </w:r>
      <w:r w:rsidR="00692FAA" w:rsidRPr="00CE2C98">
        <w:t>,</w:t>
      </w:r>
      <w:r w:rsidR="00CD7F8B" w:rsidRPr="00CE2C98">
        <w:t xml:space="preserve"> remain in limited use during the transition. </w:t>
      </w:r>
      <w:r w:rsidR="00091985" w:rsidRPr="00CE2C98">
        <w:t>M</w:t>
      </w:r>
      <w:r w:rsidR="00CD7F8B" w:rsidRPr="00CE2C98">
        <w:t xml:space="preserve">athematics shows a </w:t>
      </w:r>
      <w:r w:rsidR="00091985" w:rsidRPr="00CE2C98">
        <w:t xml:space="preserve">similar </w:t>
      </w:r>
      <w:r w:rsidR="00CD7F8B" w:rsidRPr="00CE2C98">
        <w:t>mix of established programs (</w:t>
      </w:r>
      <w:r w:rsidR="00091985" w:rsidRPr="00CE2C98">
        <w:t xml:space="preserve">e.g., </w:t>
      </w:r>
      <w:r w:rsidR="00CD7F8B" w:rsidRPr="00CE2C98">
        <w:t>Everyday Math) and reviewed options (</w:t>
      </w:r>
      <w:r w:rsidR="00091985" w:rsidRPr="00CE2C98">
        <w:t xml:space="preserve">e.g., </w:t>
      </w:r>
      <w:r w:rsidR="00CD7F8B" w:rsidRPr="00CE2C98">
        <w:t xml:space="preserve">Illustrative </w:t>
      </w:r>
      <w:r w:rsidR="00CD7F8B" w:rsidRPr="00CE2C98">
        <w:rPr>
          <w:rFonts w:cs="Times New Roman"/>
        </w:rPr>
        <w:t>Math</w:t>
      </w:r>
      <w:r w:rsidR="00091985" w:rsidRPr="00CE2C98">
        <w:rPr>
          <w:rFonts w:cs="Times New Roman"/>
        </w:rPr>
        <w:t>|</w:t>
      </w:r>
      <w:r w:rsidR="00CD7F8B" w:rsidRPr="00CE2C98">
        <w:rPr>
          <w:rFonts w:cs="Times New Roman"/>
        </w:rPr>
        <w:t>Kendall</w:t>
      </w:r>
      <w:r w:rsidR="00CD7F8B" w:rsidRPr="00CE2C98">
        <w:t xml:space="preserve"> Hunt), reflecting a deliberate shift toward knowledge-building curricula and alignment with state standards. These processes are informed by CURATE and EdReports ratings</w:t>
      </w:r>
      <w:r w:rsidR="00091985" w:rsidRPr="00CE2C98">
        <w:t>,</w:t>
      </w:r>
      <w:r w:rsidR="00CD7F8B" w:rsidRPr="00CE2C98">
        <w:t xml:space="preserve"> where available</w:t>
      </w:r>
      <w:r w:rsidR="00091985" w:rsidRPr="00CE2C98">
        <w:t xml:space="preserve"> (</w:t>
      </w:r>
      <w:r w:rsidR="00CD7F8B" w:rsidRPr="00CE2C98">
        <w:t>some newer programs are not yet rated</w:t>
      </w:r>
      <w:r w:rsidR="00091985" w:rsidRPr="00CE2C98">
        <w:t>)</w:t>
      </w:r>
      <w:r w:rsidR="00CD7F8B" w:rsidRPr="00CE2C98">
        <w:t xml:space="preserve">. The </w:t>
      </w:r>
      <w:r w:rsidR="001A1792" w:rsidRPr="00CE2C98">
        <w:t>structured</w:t>
      </w:r>
      <w:r w:rsidR="00CD7F8B" w:rsidRPr="00CE2C98">
        <w:t xml:space="preserve"> curriculum selection and review process is a strength for the district.</w:t>
      </w:r>
    </w:p>
    <w:p w14:paraId="2EF85C8D" w14:textId="46C01F6A" w:rsidR="006064D5" w:rsidRPr="00797379" w:rsidRDefault="006064D5" w:rsidP="0060143A">
      <w:pPr>
        <w:pStyle w:val="BodyText"/>
      </w:pPr>
      <w:r w:rsidRPr="00797379">
        <w:t>Table 4 summarizes the status of all districtwide curricula being used.</w:t>
      </w:r>
    </w:p>
    <w:p w14:paraId="09035190" w14:textId="232151CB" w:rsidR="006064D5" w:rsidRPr="00797379" w:rsidRDefault="006064D5" w:rsidP="0060143A">
      <w:pPr>
        <w:pStyle w:val="TableTitle0"/>
      </w:pPr>
      <w:bookmarkStart w:id="45" w:name="_Toc220932409"/>
      <w:r w:rsidRPr="00797379">
        <w:t xml:space="preserve">Table 4. Summary of Districtwide </w:t>
      </w:r>
      <w:r w:rsidR="00560EC0">
        <w:t xml:space="preserve">Comprehensive </w:t>
      </w:r>
      <w:r w:rsidRPr="00797379">
        <w:t>Curricula Being Used</w:t>
      </w:r>
      <w:bookmarkEnd w:id="45"/>
    </w:p>
    <w:tbl>
      <w:tblPr>
        <w:tblStyle w:val="MSVTable1"/>
        <w:tblW w:w="5004" w:type="pct"/>
        <w:tblLook w:val="04A0" w:firstRow="1" w:lastRow="0" w:firstColumn="1" w:lastColumn="0" w:noHBand="0" w:noVBand="1"/>
      </w:tblPr>
      <w:tblGrid>
        <w:gridCol w:w="786"/>
        <w:gridCol w:w="2086"/>
        <w:gridCol w:w="4614"/>
        <w:gridCol w:w="838"/>
        <w:gridCol w:w="1027"/>
      </w:tblGrid>
      <w:tr w:rsidR="00893ED8" w:rsidRPr="00797379" w14:paraId="7D41CAA7" w14:textId="2B477ACE" w:rsidTr="00CE2C98">
        <w:trPr>
          <w:cnfStyle w:val="100000000000" w:firstRow="1" w:lastRow="0" w:firstColumn="0" w:lastColumn="0" w:oddVBand="0" w:evenVBand="0" w:oddHBand="0" w:evenHBand="0" w:firstRowFirstColumn="0" w:firstRowLastColumn="0" w:lastRowFirstColumn="0" w:lastRowLastColumn="0"/>
          <w:tblHeader/>
        </w:trPr>
        <w:tc>
          <w:tcPr>
            <w:tcW w:w="420" w:type="pct"/>
          </w:tcPr>
          <w:p w14:paraId="7A55BC83" w14:textId="1674610D" w:rsidR="00893ED8" w:rsidRPr="00797379" w:rsidRDefault="00893ED8" w:rsidP="0060143A">
            <w:pPr>
              <w:pStyle w:val="TableColHeadingCenter"/>
              <w:rPr>
                <w:szCs w:val="20"/>
              </w:rPr>
            </w:pPr>
            <w:r w:rsidRPr="00797379">
              <w:rPr>
                <w:szCs w:val="20"/>
              </w:rPr>
              <w:t>Grade Level(s)</w:t>
            </w:r>
          </w:p>
        </w:tc>
        <w:tc>
          <w:tcPr>
            <w:tcW w:w="1115" w:type="pct"/>
          </w:tcPr>
          <w:p w14:paraId="462DDE5B" w14:textId="0C57BB8B" w:rsidR="00893ED8" w:rsidRPr="00797379" w:rsidRDefault="00893ED8" w:rsidP="0060143A">
            <w:pPr>
              <w:pStyle w:val="TableColHeadingCenter"/>
              <w:rPr>
                <w:szCs w:val="20"/>
              </w:rPr>
            </w:pPr>
            <w:r w:rsidRPr="00797379">
              <w:rPr>
                <w:szCs w:val="20"/>
              </w:rPr>
              <w:t>Subject</w:t>
            </w:r>
          </w:p>
        </w:tc>
        <w:tc>
          <w:tcPr>
            <w:tcW w:w="2467" w:type="pct"/>
          </w:tcPr>
          <w:p w14:paraId="16DDF827" w14:textId="4BBB810C" w:rsidR="00893ED8" w:rsidRPr="00797379" w:rsidRDefault="00893ED8" w:rsidP="0060143A">
            <w:pPr>
              <w:pStyle w:val="TableColHeadingCenter"/>
              <w:rPr>
                <w:szCs w:val="20"/>
              </w:rPr>
            </w:pPr>
            <w:r w:rsidRPr="00797379">
              <w:rPr>
                <w:szCs w:val="20"/>
              </w:rPr>
              <w:t>Curriculum</w:t>
            </w:r>
          </w:p>
        </w:tc>
        <w:tc>
          <w:tcPr>
            <w:tcW w:w="448" w:type="pct"/>
          </w:tcPr>
          <w:p w14:paraId="43F454C5" w14:textId="56AED2B2" w:rsidR="00893ED8" w:rsidRPr="00797379" w:rsidRDefault="00893ED8" w:rsidP="0060143A">
            <w:pPr>
              <w:pStyle w:val="TableColHeadingCenter"/>
              <w:rPr>
                <w:szCs w:val="20"/>
              </w:rPr>
            </w:pPr>
            <w:r w:rsidRPr="00797379">
              <w:rPr>
                <w:szCs w:val="20"/>
              </w:rPr>
              <w:t>CURATE Rating</w:t>
            </w:r>
          </w:p>
        </w:tc>
        <w:tc>
          <w:tcPr>
            <w:tcW w:w="549" w:type="pct"/>
          </w:tcPr>
          <w:p w14:paraId="703F0D85" w14:textId="154888EF" w:rsidR="00893ED8" w:rsidRPr="00797379" w:rsidRDefault="00893ED8" w:rsidP="0060143A">
            <w:pPr>
              <w:pStyle w:val="TableColHeadingCenter"/>
              <w:rPr>
                <w:szCs w:val="20"/>
              </w:rPr>
            </w:pPr>
            <w:r w:rsidRPr="00797379">
              <w:rPr>
                <w:szCs w:val="20"/>
              </w:rPr>
              <w:t>EdReports Rating</w:t>
            </w:r>
          </w:p>
        </w:tc>
      </w:tr>
      <w:tr w:rsidR="00893ED8" w:rsidRPr="00797379" w14:paraId="51F53E0C" w14:textId="2DAA80B0" w:rsidTr="00CE2C98">
        <w:trPr>
          <w:cnfStyle w:val="000000100000" w:firstRow="0" w:lastRow="0" w:firstColumn="0" w:lastColumn="0" w:oddVBand="0" w:evenVBand="0" w:oddHBand="1" w:evenHBand="0" w:firstRowFirstColumn="0" w:firstRowLastColumn="0" w:lastRowFirstColumn="0" w:lastRowLastColumn="0"/>
        </w:trPr>
        <w:tc>
          <w:tcPr>
            <w:tcW w:w="420" w:type="pct"/>
          </w:tcPr>
          <w:p w14:paraId="600858AF" w14:textId="157176A7" w:rsidR="00893ED8" w:rsidRPr="00797379" w:rsidRDefault="00893ED8" w:rsidP="00704535">
            <w:pPr>
              <w:pStyle w:val="TableSubheading"/>
              <w:spacing w:before="0" w:after="0"/>
              <w:rPr>
                <w:szCs w:val="20"/>
              </w:rPr>
            </w:pPr>
            <w:r w:rsidRPr="00797379">
              <w:rPr>
                <w:szCs w:val="20"/>
              </w:rPr>
              <w:t>K-2</w:t>
            </w:r>
          </w:p>
        </w:tc>
        <w:tc>
          <w:tcPr>
            <w:tcW w:w="1115" w:type="pct"/>
          </w:tcPr>
          <w:p w14:paraId="3B3F20B2" w14:textId="3CE193F3" w:rsidR="00893ED8" w:rsidRPr="00797379" w:rsidRDefault="00893ED8" w:rsidP="00704535">
            <w:pPr>
              <w:pStyle w:val="TableText"/>
              <w:spacing w:before="0" w:after="0"/>
              <w:rPr>
                <w:szCs w:val="20"/>
              </w:rPr>
            </w:pPr>
            <w:r w:rsidRPr="00797379">
              <w:rPr>
                <w:szCs w:val="20"/>
              </w:rPr>
              <w:t>ELA</w:t>
            </w:r>
          </w:p>
        </w:tc>
        <w:tc>
          <w:tcPr>
            <w:tcW w:w="2467" w:type="pct"/>
          </w:tcPr>
          <w:p w14:paraId="4157BF26" w14:textId="5A590A2C" w:rsidR="00893ED8" w:rsidRPr="00797379" w:rsidRDefault="00893ED8" w:rsidP="00704535">
            <w:pPr>
              <w:pStyle w:val="TableText"/>
              <w:spacing w:before="0" w:after="0"/>
              <w:rPr>
                <w:szCs w:val="20"/>
              </w:rPr>
            </w:pPr>
            <w:r w:rsidRPr="00797379">
              <w:rPr>
                <w:rFonts w:cs="Arial"/>
                <w:szCs w:val="20"/>
              </w:rPr>
              <w:t>University of Florida Literacy Institute</w:t>
            </w:r>
          </w:p>
        </w:tc>
        <w:tc>
          <w:tcPr>
            <w:tcW w:w="448" w:type="pct"/>
          </w:tcPr>
          <w:p w14:paraId="0F62214C" w14:textId="24E82270" w:rsidR="00893ED8" w:rsidRPr="00797379" w:rsidRDefault="00893ED8" w:rsidP="00704535">
            <w:pPr>
              <w:pStyle w:val="TableTextCentered"/>
              <w:spacing w:before="0" w:after="0"/>
              <w:rPr>
                <w:szCs w:val="20"/>
              </w:rPr>
            </w:pPr>
            <w:r w:rsidRPr="00797379">
              <w:rPr>
                <w:szCs w:val="20"/>
              </w:rPr>
              <w:t>NR</w:t>
            </w:r>
          </w:p>
        </w:tc>
        <w:tc>
          <w:tcPr>
            <w:tcW w:w="549" w:type="pct"/>
          </w:tcPr>
          <w:p w14:paraId="011798F6" w14:textId="787DDE1A" w:rsidR="00893ED8" w:rsidRPr="00797379" w:rsidRDefault="00893ED8" w:rsidP="00704535">
            <w:pPr>
              <w:pStyle w:val="TableTextCentered"/>
              <w:spacing w:before="0" w:after="0"/>
              <w:rPr>
                <w:szCs w:val="20"/>
              </w:rPr>
            </w:pPr>
            <w:r w:rsidRPr="00797379">
              <w:rPr>
                <w:szCs w:val="20"/>
              </w:rPr>
              <w:t>ME</w:t>
            </w:r>
          </w:p>
        </w:tc>
      </w:tr>
      <w:tr w:rsidR="00893ED8" w:rsidRPr="00797379" w14:paraId="19FEA9CA" w14:textId="333B272D" w:rsidTr="00CE2C98">
        <w:tc>
          <w:tcPr>
            <w:tcW w:w="420" w:type="pct"/>
          </w:tcPr>
          <w:p w14:paraId="51A4AEF1" w14:textId="01BB2C60" w:rsidR="00893ED8" w:rsidRPr="00797379" w:rsidRDefault="00765C1D" w:rsidP="00704535">
            <w:pPr>
              <w:pStyle w:val="TableSubheading"/>
              <w:spacing w:before="0" w:after="0"/>
              <w:rPr>
                <w:szCs w:val="20"/>
              </w:rPr>
            </w:pPr>
            <w:r>
              <w:rPr>
                <w:szCs w:val="20"/>
              </w:rPr>
              <w:t>K-5</w:t>
            </w:r>
          </w:p>
        </w:tc>
        <w:tc>
          <w:tcPr>
            <w:tcW w:w="1115" w:type="pct"/>
          </w:tcPr>
          <w:p w14:paraId="35D83123" w14:textId="6DA3CEA0" w:rsidR="00893ED8" w:rsidRPr="00797379" w:rsidRDefault="00893ED8" w:rsidP="00704535">
            <w:pPr>
              <w:pStyle w:val="TableText"/>
              <w:spacing w:before="0" w:after="0"/>
              <w:rPr>
                <w:szCs w:val="20"/>
              </w:rPr>
            </w:pPr>
            <w:r w:rsidRPr="00797379">
              <w:rPr>
                <w:szCs w:val="20"/>
              </w:rPr>
              <w:t>ELA</w:t>
            </w:r>
          </w:p>
        </w:tc>
        <w:tc>
          <w:tcPr>
            <w:tcW w:w="2467" w:type="pct"/>
          </w:tcPr>
          <w:p w14:paraId="41E1E089" w14:textId="403AB248" w:rsidR="00893ED8" w:rsidRPr="00797379" w:rsidRDefault="00893ED8" w:rsidP="00704535">
            <w:pPr>
              <w:pStyle w:val="TableText"/>
              <w:spacing w:before="0" w:after="0"/>
              <w:rPr>
                <w:szCs w:val="20"/>
              </w:rPr>
            </w:pPr>
            <w:r w:rsidRPr="00797379">
              <w:rPr>
                <w:rFonts w:cs="Arial"/>
                <w:szCs w:val="20"/>
              </w:rPr>
              <w:t>EL Education 2025</w:t>
            </w:r>
          </w:p>
        </w:tc>
        <w:tc>
          <w:tcPr>
            <w:tcW w:w="448" w:type="pct"/>
          </w:tcPr>
          <w:p w14:paraId="052FE8B2" w14:textId="317B2C91" w:rsidR="00893ED8" w:rsidRPr="00797379" w:rsidRDefault="00893ED8" w:rsidP="00704535">
            <w:pPr>
              <w:pStyle w:val="TableTextCentered"/>
              <w:spacing w:before="0" w:after="0"/>
              <w:rPr>
                <w:szCs w:val="20"/>
              </w:rPr>
            </w:pPr>
            <w:r w:rsidRPr="00797379">
              <w:rPr>
                <w:szCs w:val="20"/>
              </w:rPr>
              <w:t>NR</w:t>
            </w:r>
            <w:r w:rsidR="00382A47">
              <w:rPr>
                <w:szCs w:val="20"/>
              </w:rPr>
              <w:t>*</w:t>
            </w:r>
          </w:p>
        </w:tc>
        <w:tc>
          <w:tcPr>
            <w:tcW w:w="549" w:type="pct"/>
          </w:tcPr>
          <w:p w14:paraId="7F5AB4B2" w14:textId="1C3C8E43" w:rsidR="00893ED8" w:rsidRPr="00797379" w:rsidRDefault="00893ED8" w:rsidP="00704535">
            <w:pPr>
              <w:pStyle w:val="TableTextCentered"/>
              <w:spacing w:before="0" w:after="0"/>
              <w:rPr>
                <w:szCs w:val="20"/>
              </w:rPr>
            </w:pPr>
            <w:r w:rsidRPr="00797379">
              <w:rPr>
                <w:szCs w:val="20"/>
              </w:rPr>
              <w:t>NR</w:t>
            </w:r>
          </w:p>
        </w:tc>
      </w:tr>
      <w:tr w:rsidR="00893ED8" w:rsidRPr="00797379" w14:paraId="22A4C1AB" w14:textId="5510AF21" w:rsidTr="00CE2C98">
        <w:trPr>
          <w:cnfStyle w:val="000000100000" w:firstRow="0" w:lastRow="0" w:firstColumn="0" w:lastColumn="0" w:oddVBand="0" w:evenVBand="0" w:oddHBand="1" w:evenHBand="0" w:firstRowFirstColumn="0" w:firstRowLastColumn="0" w:lastRowFirstColumn="0" w:lastRowLastColumn="0"/>
        </w:trPr>
        <w:tc>
          <w:tcPr>
            <w:tcW w:w="420" w:type="pct"/>
          </w:tcPr>
          <w:p w14:paraId="485A3E55" w14:textId="0B8A7F0A" w:rsidR="00893ED8" w:rsidRPr="00797379" w:rsidRDefault="00C42893" w:rsidP="00704535">
            <w:pPr>
              <w:pStyle w:val="TableSubheading"/>
              <w:spacing w:before="0" w:after="0"/>
              <w:rPr>
                <w:szCs w:val="20"/>
              </w:rPr>
            </w:pPr>
            <w:r>
              <w:rPr>
                <w:szCs w:val="20"/>
              </w:rPr>
              <w:t>K-5</w:t>
            </w:r>
          </w:p>
        </w:tc>
        <w:tc>
          <w:tcPr>
            <w:tcW w:w="1115" w:type="pct"/>
          </w:tcPr>
          <w:p w14:paraId="491612E7" w14:textId="65EFBF5E" w:rsidR="00893ED8" w:rsidRPr="00797379" w:rsidRDefault="00893ED8" w:rsidP="00704535">
            <w:pPr>
              <w:pStyle w:val="TableText"/>
              <w:spacing w:before="0" w:after="0"/>
              <w:rPr>
                <w:szCs w:val="20"/>
              </w:rPr>
            </w:pPr>
            <w:r w:rsidRPr="00797379">
              <w:rPr>
                <w:szCs w:val="20"/>
              </w:rPr>
              <w:t>ELA</w:t>
            </w:r>
          </w:p>
        </w:tc>
        <w:tc>
          <w:tcPr>
            <w:tcW w:w="2467" w:type="pct"/>
          </w:tcPr>
          <w:p w14:paraId="6AB79767" w14:textId="398D65B8" w:rsidR="00893ED8" w:rsidRPr="00797379" w:rsidRDefault="00893ED8" w:rsidP="00704535">
            <w:pPr>
              <w:pStyle w:val="TableText"/>
              <w:spacing w:before="0" w:after="0"/>
              <w:rPr>
                <w:szCs w:val="20"/>
              </w:rPr>
            </w:pPr>
            <w:r w:rsidRPr="00797379">
              <w:rPr>
                <w:rFonts w:cs="Arial"/>
                <w:szCs w:val="20"/>
              </w:rPr>
              <w:t>Arts &amp; Letters 2024</w:t>
            </w:r>
          </w:p>
        </w:tc>
        <w:tc>
          <w:tcPr>
            <w:tcW w:w="448" w:type="pct"/>
          </w:tcPr>
          <w:p w14:paraId="183D729B" w14:textId="5D6991DD" w:rsidR="00893ED8" w:rsidRPr="00797379" w:rsidRDefault="00893ED8" w:rsidP="00704535">
            <w:pPr>
              <w:pStyle w:val="TableTextCentered"/>
              <w:spacing w:before="0" w:after="0"/>
              <w:rPr>
                <w:szCs w:val="20"/>
              </w:rPr>
            </w:pPr>
            <w:r w:rsidRPr="00797379">
              <w:rPr>
                <w:szCs w:val="20"/>
              </w:rPr>
              <w:t>NR</w:t>
            </w:r>
            <w:r w:rsidR="00382A47">
              <w:rPr>
                <w:szCs w:val="20"/>
              </w:rPr>
              <w:t>*</w:t>
            </w:r>
          </w:p>
        </w:tc>
        <w:tc>
          <w:tcPr>
            <w:tcW w:w="549" w:type="pct"/>
          </w:tcPr>
          <w:p w14:paraId="7C1B7B26" w14:textId="29143A1A" w:rsidR="00893ED8" w:rsidRPr="00797379" w:rsidRDefault="00893ED8" w:rsidP="00704535">
            <w:pPr>
              <w:pStyle w:val="TableTextCentered"/>
              <w:spacing w:before="0" w:after="0"/>
              <w:rPr>
                <w:szCs w:val="20"/>
              </w:rPr>
            </w:pPr>
            <w:r w:rsidRPr="00797379">
              <w:rPr>
                <w:szCs w:val="20"/>
              </w:rPr>
              <w:t>NR</w:t>
            </w:r>
          </w:p>
        </w:tc>
      </w:tr>
      <w:tr w:rsidR="00893ED8" w:rsidRPr="00797379" w14:paraId="171B65EC" w14:textId="1C362264" w:rsidTr="00CE2C98">
        <w:tc>
          <w:tcPr>
            <w:tcW w:w="420" w:type="pct"/>
          </w:tcPr>
          <w:p w14:paraId="2B985C43" w14:textId="2535796E" w:rsidR="00893ED8" w:rsidRPr="00797379" w:rsidRDefault="00C42893" w:rsidP="00704535">
            <w:pPr>
              <w:pStyle w:val="TableSubheading"/>
              <w:spacing w:before="0" w:after="0"/>
              <w:rPr>
                <w:szCs w:val="20"/>
              </w:rPr>
            </w:pPr>
            <w:r>
              <w:rPr>
                <w:szCs w:val="20"/>
              </w:rPr>
              <w:t>K-5</w:t>
            </w:r>
          </w:p>
        </w:tc>
        <w:tc>
          <w:tcPr>
            <w:tcW w:w="1115" w:type="pct"/>
          </w:tcPr>
          <w:p w14:paraId="0F184013" w14:textId="084B37F7" w:rsidR="00893ED8" w:rsidRPr="00797379" w:rsidRDefault="00893ED8" w:rsidP="00704535">
            <w:pPr>
              <w:pStyle w:val="TableText"/>
              <w:spacing w:before="0" w:after="0"/>
              <w:rPr>
                <w:szCs w:val="20"/>
              </w:rPr>
            </w:pPr>
            <w:r w:rsidRPr="00797379">
              <w:rPr>
                <w:szCs w:val="20"/>
              </w:rPr>
              <w:t>ELA</w:t>
            </w:r>
          </w:p>
        </w:tc>
        <w:tc>
          <w:tcPr>
            <w:tcW w:w="2467" w:type="pct"/>
          </w:tcPr>
          <w:p w14:paraId="305EC230" w14:textId="48AEB80D" w:rsidR="00893ED8" w:rsidRPr="00797379" w:rsidRDefault="00893ED8" w:rsidP="00704535">
            <w:pPr>
              <w:pStyle w:val="TableText"/>
              <w:spacing w:before="0" w:after="0"/>
              <w:rPr>
                <w:szCs w:val="20"/>
              </w:rPr>
            </w:pPr>
            <w:r w:rsidRPr="00797379">
              <w:rPr>
                <w:szCs w:val="20"/>
              </w:rPr>
              <w:t>Fishtank</w:t>
            </w:r>
          </w:p>
        </w:tc>
        <w:tc>
          <w:tcPr>
            <w:tcW w:w="448" w:type="pct"/>
          </w:tcPr>
          <w:p w14:paraId="191D60E8" w14:textId="6088A2B8" w:rsidR="00893ED8" w:rsidRPr="00797379" w:rsidRDefault="00893ED8" w:rsidP="00704535">
            <w:pPr>
              <w:pStyle w:val="TableTextCentered"/>
              <w:spacing w:before="0" w:after="0"/>
              <w:rPr>
                <w:szCs w:val="20"/>
              </w:rPr>
            </w:pPr>
            <w:r w:rsidRPr="00797379">
              <w:rPr>
                <w:szCs w:val="20"/>
              </w:rPr>
              <w:t>PM</w:t>
            </w:r>
          </w:p>
        </w:tc>
        <w:tc>
          <w:tcPr>
            <w:tcW w:w="549" w:type="pct"/>
          </w:tcPr>
          <w:p w14:paraId="63D20741" w14:textId="02F30B6A" w:rsidR="00893ED8" w:rsidRPr="00797379" w:rsidRDefault="00893ED8" w:rsidP="00704535">
            <w:pPr>
              <w:pStyle w:val="TableTextCentered"/>
              <w:spacing w:before="0" w:after="0"/>
              <w:rPr>
                <w:szCs w:val="20"/>
              </w:rPr>
            </w:pPr>
            <w:r w:rsidRPr="00797379">
              <w:rPr>
                <w:szCs w:val="20"/>
              </w:rPr>
              <w:t>PM</w:t>
            </w:r>
          </w:p>
        </w:tc>
      </w:tr>
      <w:tr w:rsidR="00893ED8" w:rsidRPr="00797379" w14:paraId="17485D39" w14:textId="2D97B5BB" w:rsidTr="00CE2C98">
        <w:trPr>
          <w:cnfStyle w:val="000000100000" w:firstRow="0" w:lastRow="0" w:firstColumn="0" w:lastColumn="0" w:oddVBand="0" w:evenVBand="0" w:oddHBand="1" w:evenHBand="0" w:firstRowFirstColumn="0" w:firstRowLastColumn="0" w:lastRowFirstColumn="0" w:lastRowLastColumn="0"/>
        </w:trPr>
        <w:tc>
          <w:tcPr>
            <w:tcW w:w="420" w:type="pct"/>
          </w:tcPr>
          <w:p w14:paraId="42B45DC3" w14:textId="459B2A53" w:rsidR="00893ED8" w:rsidRPr="00797379" w:rsidRDefault="00C42893" w:rsidP="00704535">
            <w:pPr>
              <w:pStyle w:val="TableSubheading"/>
              <w:spacing w:before="0" w:after="0"/>
              <w:rPr>
                <w:szCs w:val="20"/>
              </w:rPr>
            </w:pPr>
            <w:r>
              <w:rPr>
                <w:szCs w:val="20"/>
              </w:rPr>
              <w:t>K-5</w:t>
            </w:r>
          </w:p>
        </w:tc>
        <w:tc>
          <w:tcPr>
            <w:tcW w:w="1115" w:type="pct"/>
          </w:tcPr>
          <w:p w14:paraId="1C7DE892" w14:textId="3633359E" w:rsidR="00893ED8" w:rsidRPr="00797379" w:rsidRDefault="00893ED8" w:rsidP="00704535">
            <w:pPr>
              <w:pStyle w:val="TableText"/>
              <w:spacing w:before="0" w:after="0"/>
              <w:rPr>
                <w:szCs w:val="20"/>
              </w:rPr>
            </w:pPr>
            <w:r w:rsidRPr="00797379">
              <w:rPr>
                <w:szCs w:val="20"/>
              </w:rPr>
              <w:t>ELA</w:t>
            </w:r>
          </w:p>
        </w:tc>
        <w:tc>
          <w:tcPr>
            <w:tcW w:w="2467" w:type="pct"/>
          </w:tcPr>
          <w:p w14:paraId="254FDDA4" w14:textId="659CAF0F" w:rsidR="00893ED8" w:rsidRPr="00797379" w:rsidRDefault="00893ED8" w:rsidP="00704535">
            <w:pPr>
              <w:pStyle w:val="TableText"/>
              <w:spacing w:before="0" w:after="0"/>
              <w:rPr>
                <w:szCs w:val="20"/>
              </w:rPr>
            </w:pPr>
            <w:r w:rsidRPr="00797379">
              <w:rPr>
                <w:szCs w:val="20"/>
              </w:rPr>
              <w:t>Units of Study</w:t>
            </w:r>
          </w:p>
        </w:tc>
        <w:tc>
          <w:tcPr>
            <w:tcW w:w="448" w:type="pct"/>
          </w:tcPr>
          <w:p w14:paraId="27F258E0" w14:textId="410981A7" w:rsidR="00893ED8" w:rsidRPr="00797379" w:rsidRDefault="00893ED8" w:rsidP="00704535">
            <w:pPr>
              <w:pStyle w:val="TableTextCentered"/>
              <w:spacing w:before="0" w:after="0"/>
              <w:rPr>
                <w:szCs w:val="20"/>
              </w:rPr>
            </w:pPr>
            <w:r w:rsidRPr="00797379">
              <w:rPr>
                <w:szCs w:val="20"/>
              </w:rPr>
              <w:t>DNM</w:t>
            </w:r>
          </w:p>
        </w:tc>
        <w:tc>
          <w:tcPr>
            <w:tcW w:w="549" w:type="pct"/>
          </w:tcPr>
          <w:p w14:paraId="3023977C" w14:textId="24BFBA97" w:rsidR="00893ED8" w:rsidRPr="00797379" w:rsidRDefault="00893ED8" w:rsidP="00704535">
            <w:pPr>
              <w:pStyle w:val="TableTextCentered"/>
              <w:spacing w:before="0" w:after="0"/>
              <w:rPr>
                <w:szCs w:val="20"/>
              </w:rPr>
            </w:pPr>
            <w:r w:rsidRPr="00797379">
              <w:rPr>
                <w:szCs w:val="20"/>
              </w:rPr>
              <w:t>DNM</w:t>
            </w:r>
          </w:p>
        </w:tc>
      </w:tr>
      <w:tr w:rsidR="00893ED8" w:rsidRPr="00797379" w14:paraId="368D8D33" w14:textId="3DB88C46" w:rsidTr="00CE2C98">
        <w:tc>
          <w:tcPr>
            <w:tcW w:w="420" w:type="pct"/>
          </w:tcPr>
          <w:p w14:paraId="7660DFAC" w14:textId="502A7EE7" w:rsidR="00893ED8" w:rsidRPr="00797379" w:rsidRDefault="00893ED8" w:rsidP="00704535">
            <w:pPr>
              <w:pStyle w:val="TableSubheading"/>
              <w:spacing w:before="0" w:after="0"/>
              <w:rPr>
                <w:szCs w:val="20"/>
              </w:rPr>
            </w:pPr>
            <w:r w:rsidRPr="00797379">
              <w:rPr>
                <w:szCs w:val="20"/>
              </w:rPr>
              <w:t>6-12</w:t>
            </w:r>
          </w:p>
        </w:tc>
        <w:tc>
          <w:tcPr>
            <w:tcW w:w="1115" w:type="pct"/>
          </w:tcPr>
          <w:p w14:paraId="7D71C0B1" w14:textId="44888F3E" w:rsidR="00893ED8" w:rsidRPr="00797379" w:rsidRDefault="00893ED8" w:rsidP="00704535">
            <w:pPr>
              <w:pStyle w:val="TableText"/>
              <w:spacing w:before="0" w:after="0"/>
              <w:rPr>
                <w:szCs w:val="20"/>
              </w:rPr>
            </w:pPr>
            <w:r w:rsidRPr="00797379">
              <w:rPr>
                <w:szCs w:val="20"/>
              </w:rPr>
              <w:t>ELA</w:t>
            </w:r>
          </w:p>
        </w:tc>
        <w:tc>
          <w:tcPr>
            <w:tcW w:w="2467" w:type="pct"/>
          </w:tcPr>
          <w:p w14:paraId="0FFA4635" w14:textId="59A6F4DE" w:rsidR="00893ED8" w:rsidRPr="00797379" w:rsidRDefault="00893ED8" w:rsidP="00704535">
            <w:pPr>
              <w:pStyle w:val="TableText"/>
              <w:spacing w:before="0" w:after="0"/>
              <w:rPr>
                <w:szCs w:val="20"/>
              </w:rPr>
            </w:pPr>
            <w:r w:rsidRPr="00797379">
              <w:rPr>
                <w:szCs w:val="20"/>
              </w:rPr>
              <w:t>District Developed</w:t>
            </w:r>
          </w:p>
        </w:tc>
        <w:tc>
          <w:tcPr>
            <w:tcW w:w="448" w:type="pct"/>
          </w:tcPr>
          <w:p w14:paraId="0D8B5D78" w14:textId="6DB3F349" w:rsidR="00893ED8" w:rsidRPr="00797379" w:rsidRDefault="00893ED8" w:rsidP="00704535">
            <w:pPr>
              <w:pStyle w:val="TableTextCentered"/>
              <w:spacing w:before="0" w:after="0"/>
              <w:rPr>
                <w:szCs w:val="20"/>
              </w:rPr>
            </w:pPr>
            <w:r w:rsidRPr="00797379">
              <w:rPr>
                <w:szCs w:val="20"/>
              </w:rPr>
              <w:t>NR</w:t>
            </w:r>
          </w:p>
        </w:tc>
        <w:tc>
          <w:tcPr>
            <w:tcW w:w="549" w:type="pct"/>
          </w:tcPr>
          <w:p w14:paraId="6BEA3D89" w14:textId="2B892032" w:rsidR="00893ED8" w:rsidRPr="00797379" w:rsidRDefault="00893ED8" w:rsidP="00704535">
            <w:pPr>
              <w:pStyle w:val="TableTextCentered"/>
              <w:spacing w:before="0" w:after="0"/>
              <w:rPr>
                <w:szCs w:val="20"/>
              </w:rPr>
            </w:pPr>
            <w:r w:rsidRPr="00797379">
              <w:rPr>
                <w:szCs w:val="20"/>
              </w:rPr>
              <w:t>NR</w:t>
            </w:r>
          </w:p>
        </w:tc>
      </w:tr>
      <w:tr w:rsidR="00893ED8" w:rsidRPr="00797379" w14:paraId="5CE3A276" w14:textId="69FACBE6" w:rsidTr="00CE2C98">
        <w:trPr>
          <w:cnfStyle w:val="000000100000" w:firstRow="0" w:lastRow="0" w:firstColumn="0" w:lastColumn="0" w:oddVBand="0" w:evenVBand="0" w:oddHBand="1" w:evenHBand="0" w:firstRowFirstColumn="0" w:firstRowLastColumn="0" w:lastRowFirstColumn="0" w:lastRowLastColumn="0"/>
        </w:trPr>
        <w:tc>
          <w:tcPr>
            <w:tcW w:w="420" w:type="pct"/>
          </w:tcPr>
          <w:p w14:paraId="25A680C9" w14:textId="461CB287" w:rsidR="00893ED8" w:rsidRPr="00797379" w:rsidRDefault="00893ED8" w:rsidP="00704535">
            <w:pPr>
              <w:pStyle w:val="TableSubheading"/>
              <w:spacing w:before="0" w:after="0"/>
              <w:rPr>
                <w:szCs w:val="20"/>
              </w:rPr>
            </w:pPr>
            <w:r w:rsidRPr="00797379">
              <w:rPr>
                <w:szCs w:val="20"/>
              </w:rPr>
              <w:t>11</w:t>
            </w:r>
            <w:r w:rsidR="00F32B34">
              <w:rPr>
                <w:szCs w:val="20"/>
              </w:rPr>
              <w:t>-12</w:t>
            </w:r>
          </w:p>
        </w:tc>
        <w:tc>
          <w:tcPr>
            <w:tcW w:w="1115" w:type="pct"/>
          </w:tcPr>
          <w:p w14:paraId="7FA75351" w14:textId="2CCC96C9" w:rsidR="00893ED8" w:rsidRPr="00797379" w:rsidRDefault="00893ED8" w:rsidP="00704535">
            <w:pPr>
              <w:pStyle w:val="TableText"/>
              <w:spacing w:before="0" w:after="0"/>
              <w:rPr>
                <w:szCs w:val="20"/>
              </w:rPr>
            </w:pPr>
            <w:r w:rsidRPr="00797379">
              <w:rPr>
                <w:szCs w:val="20"/>
              </w:rPr>
              <w:t>ELA</w:t>
            </w:r>
          </w:p>
        </w:tc>
        <w:tc>
          <w:tcPr>
            <w:tcW w:w="2467" w:type="pct"/>
          </w:tcPr>
          <w:p w14:paraId="264085CB" w14:textId="46A4EE90" w:rsidR="00893ED8" w:rsidRPr="00797379" w:rsidRDefault="00893ED8" w:rsidP="00704535">
            <w:pPr>
              <w:pStyle w:val="TableText"/>
              <w:spacing w:before="0" w:after="0"/>
              <w:rPr>
                <w:szCs w:val="20"/>
              </w:rPr>
            </w:pPr>
            <w:r w:rsidRPr="00797379">
              <w:rPr>
                <w:szCs w:val="20"/>
              </w:rPr>
              <w:t>AP EL and Composition</w:t>
            </w:r>
          </w:p>
        </w:tc>
        <w:tc>
          <w:tcPr>
            <w:tcW w:w="448" w:type="pct"/>
          </w:tcPr>
          <w:p w14:paraId="67D46718" w14:textId="4060E055" w:rsidR="00893ED8" w:rsidRPr="00797379" w:rsidRDefault="00893ED8" w:rsidP="00704535">
            <w:pPr>
              <w:pStyle w:val="TableTextCentered"/>
              <w:spacing w:before="0" w:after="0"/>
              <w:rPr>
                <w:szCs w:val="20"/>
              </w:rPr>
            </w:pPr>
            <w:r w:rsidRPr="00797379">
              <w:rPr>
                <w:szCs w:val="20"/>
              </w:rPr>
              <w:t>NR</w:t>
            </w:r>
          </w:p>
        </w:tc>
        <w:tc>
          <w:tcPr>
            <w:tcW w:w="549" w:type="pct"/>
          </w:tcPr>
          <w:p w14:paraId="556D309D" w14:textId="5F8AE46F" w:rsidR="00893ED8" w:rsidRPr="00797379" w:rsidRDefault="00893ED8" w:rsidP="00704535">
            <w:pPr>
              <w:pStyle w:val="TableTextCentered"/>
              <w:spacing w:before="0" w:after="0"/>
              <w:rPr>
                <w:szCs w:val="20"/>
              </w:rPr>
            </w:pPr>
            <w:r w:rsidRPr="00797379">
              <w:rPr>
                <w:szCs w:val="20"/>
              </w:rPr>
              <w:t>NR</w:t>
            </w:r>
          </w:p>
        </w:tc>
      </w:tr>
      <w:tr w:rsidR="00893ED8" w:rsidRPr="00797379" w14:paraId="410861C8" w14:textId="77777777" w:rsidTr="00CE2C98">
        <w:trPr>
          <w:trHeight w:val="264"/>
        </w:trPr>
        <w:tc>
          <w:tcPr>
            <w:tcW w:w="420" w:type="pct"/>
            <w:hideMark/>
          </w:tcPr>
          <w:p w14:paraId="06079A34" w14:textId="77777777" w:rsidR="00893ED8" w:rsidRPr="00797379" w:rsidRDefault="00893ED8" w:rsidP="00704535">
            <w:pPr>
              <w:pStyle w:val="TableSubheading"/>
              <w:spacing w:before="0" w:after="0"/>
              <w:rPr>
                <w:rFonts w:eastAsia="Times New Roman" w:cs="Times New Roman"/>
                <w:szCs w:val="20"/>
              </w:rPr>
            </w:pPr>
            <w:r w:rsidRPr="00797379">
              <w:rPr>
                <w:rFonts w:eastAsia="Times New Roman" w:cs="Times New Roman"/>
                <w:szCs w:val="20"/>
              </w:rPr>
              <w:t>K-5</w:t>
            </w:r>
          </w:p>
        </w:tc>
        <w:tc>
          <w:tcPr>
            <w:tcW w:w="1115" w:type="pct"/>
            <w:hideMark/>
          </w:tcPr>
          <w:p w14:paraId="6CB36533" w14:textId="77777777" w:rsidR="00893ED8" w:rsidRPr="00797379" w:rsidRDefault="00893ED8" w:rsidP="00704535">
            <w:pPr>
              <w:pStyle w:val="TableText"/>
              <w:spacing w:before="0" w:after="0"/>
              <w:rPr>
                <w:rFonts w:eastAsia="Times New Roman" w:cs="Times New Roman"/>
                <w:szCs w:val="20"/>
              </w:rPr>
            </w:pPr>
            <w:r w:rsidRPr="00797379">
              <w:rPr>
                <w:rFonts w:eastAsia="Times New Roman" w:cs="Times New Roman"/>
                <w:szCs w:val="20"/>
              </w:rPr>
              <w:t>Math</w:t>
            </w:r>
          </w:p>
        </w:tc>
        <w:tc>
          <w:tcPr>
            <w:tcW w:w="2467" w:type="pct"/>
            <w:hideMark/>
          </w:tcPr>
          <w:p w14:paraId="393E4B17" w14:textId="77777777" w:rsidR="00893ED8" w:rsidRPr="00797379" w:rsidRDefault="00893ED8" w:rsidP="00704535">
            <w:pPr>
              <w:pStyle w:val="TableText"/>
              <w:spacing w:before="0" w:after="0"/>
              <w:rPr>
                <w:rFonts w:eastAsia="Times New Roman" w:cs="Times New Roman"/>
                <w:szCs w:val="20"/>
              </w:rPr>
            </w:pPr>
            <w:r w:rsidRPr="00797379">
              <w:rPr>
                <w:rFonts w:eastAsia="Times New Roman" w:cs="Times New Roman"/>
                <w:szCs w:val="20"/>
              </w:rPr>
              <w:t>Everyday Math</w:t>
            </w:r>
          </w:p>
        </w:tc>
        <w:tc>
          <w:tcPr>
            <w:tcW w:w="448" w:type="pct"/>
            <w:hideMark/>
          </w:tcPr>
          <w:p w14:paraId="3F8A0F18" w14:textId="2BC15CC2" w:rsidR="00893ED8" w:rsidRPr="00797379" w:rsidRDefault="00893ED8" w:rsidP="00704535">
            <w:pPr>
              <w:pStyle w:val="TableTextCentered"/>
              <w:spacing w:before="0" w:after="0"/>
              <w:rPr>
                <w:rFonts w:eastAsia="Times New Roman" w:cs="Times New Roman"/>
                <w:szCs w:val="20"/>
              </w:rPr>
            </w:pPr>
            <w:r w:rsidRPr="00797379">
              <w:rPr>
                <w:rFonts w:eastAsia="Times New Roman" w:cs="Times New Roman"/>
                <w:szCs w:val="20"/>
              </w:rPr>
              <w:t>NR</w:t>
            </w:r>
          </w:p>
        </w:tc>
        <w:tc>
          <w:tcPr>
            <w:tcW w:w="549" w:type="pct"/>
            <w:hideMark/>
          </w:tcPr>
          <w:p w14:paraId="2E71ED5A" w14:textId="34103912" w:rsidR="00893ED8" w:rsidRPr="00797379" w:rsidRDefault="00893ED8" w:rsidP="00704535">
            <w:pPr>
              <w:pStyle w:val="TableTextCentered"/>
              <w:spacing w:before="0" w:after="0"/>
              <w:rPr>
                <w:rFonts w:eastAsia="Times New Roman" w:cs="Times New Roman"/>
                <w:szCs w:val="20"/>
              </w:rPr>
            </w:pPr>
            <w:r w:rsidRPr="00797379">
              <w:rPr>
                <w:rFonts w:eastAsia="Times New Roman" w:cs="Times New Roman"/>
                <w:szCs w:val="20"/>
              </w:rPr>
              <w:t>ME</w:t>
            </w:r>
          </w:p>
        </w:tc>
      </w:tr>
      <w:tr w:rsidR="00893ED8" w:rsidRPr="00797379" w14:paraId="24994630" w14:textId="77777777" w:rsidTr="00CE2C98">
        <w:trPr>
          <w:cnfStyle w:val="000000100000" w:firstRow="0" w:lastRow="0" w:firstColumn="0" w:lastColumn="0" w:oddVBand="0" w:evenVBand="0" w:oddHBand="1" w:evenHBand="0" w:firstRowFirstColumn="0" w:firstRowLastColumn="0" w:lastRowFirstColumn="0" w:lastRowLastColumn="0"/>
          <w:trHeight w:val="255"/>
        </w:trPr>
        <w:tc>
          <w:tcPr>
            <w:tcW w:w="420" w:type="pct"/>
            <w:hideMark/>
          </w:tcPr>
          <w:p w14:paraId="799C047A" w14:textId="77777777" w:rsidR="00893ED8" w:rsidRPr="00797379" w:rsidRDefault="00893ED8" w:rsidP="00704535">
            <w:pPr>
              <w:pStyle w:val="TableSubheading"/>
              <w:spacing w:before="0" w:after="0"/>
              <w:rPr>
                <w:rFonts w:eastAsia="Times New Roman" w:cs="Times New Roman"/>
                <w:szCs w:val="20"/>
              </w:rPr>
            </w:pPr>
            <w:r w:rsidRPr="00797379">
              <w:rPr>
                <w:rFonts w:eastAsia="Times New Roman" w:cs="Times New Roman"/>
                <w:szCs w:val="20"/>
              </w:rPr>
              <w:t>K-5</w:t>
            </w:r>
          </w:p>
        </w:tc>
        <w:tc>
          <w:tcPr>
            <w:tcW w:w="1115" w:type="pct"/>
            <w:hideMark/>
          </w:tcPr>
          <w:p w14:paraId="7164BFD1" w14:textId="77777777" w:rsidR="00893ED8" w:rsidRPr="00797379" w:rsidRDefault="00893ED8" w:rsidP="00704535">
            <w:pPr>
              <w:pStyle w:val="TableText"/>
              <w:spacing w:before="0" w:after="0"/>
              <w:rPr>
                <w:rFonts w:eastAsia="Times New Roman" w:cs="Times New Roman"/>
                <w:szCs w:val="20"/>
              </w:rPr>
            </w:pPr>
            <w:r w:rsidRPr="00797379">
              <w:rPr>
                <w:rFonts w:eastAsia="Times New Roman" w:cs="Times New Roman"/>
                <w:szCs w:val="20"/>
              </w:rPr>
              <w:t>Math</w:t>
            </w:r>
          </w:p>
        </w:tc>
        <w:tc>
          <w:tcPr>
            <w:tcW w:w="2467" w:type="pct"/>
            <w:hideMark/>
          </w:tcPr>
          <w:p w14:paraId="411FACBD" w14:textId="6D6A4306" w:rsidR="00893ED8" w:rsidRPr="00797379" w:rsidRDefault="00893ED8" w:rsidP="00704535">
            <w:pPr>
              <w:pStyle w:val="TableText"/>
              <w:spacing w:before="0" w:after="0"/>
              <w:rPr>
                <w:rFonts w:eastAsia="Times New Roman" w:cs="Arial"/>
                <w:szCs w:val="20"/>
              </w:rPr>
            </w:pPr>
            <w:r w:rsidRPr="00797379">
              <w:rPr>
                <w:rFonts w:eastAsia="Times New Roman" w:cs="Arial"/>
                <w:szCs w:val="20"/>
              </w:rPr>
              <w:t>Illustrative Math</w:t>
            </w:r>
            <w:r w:rsidRPr="00797379">
              <w:rPr>
                <w:rFonts w:cs="Times New Roman"/>
                <w:sz w:val="22"/>
              </w:rPr>
              <w:t>|</w:t>
            </w:r>
            <w:r w:rsidRPr="00797379">
              <w:rPr>
                <w:rFonts w:eastAsia="Times New Roman" w:cs="Arial"/>
                <w:szCs w:val="20"/>
              </w:rPr>
              <w:t>Kendall Hunt (2021)</w:t>
            </w:r>
          </w:p>
        </w:tc>
        <w:tc>
          <w:tcPr>
            <w:tcW w:w="448" w:type="pct"/>
            <w:hideMark/>
          </w:tcPr>
          <w:p w14:paraId="6A46ACE6" w14:textId="56F298A1" w:rsidR="00893ED8" w:rsidRPr="00797379" w:rsidRDefault="00893ED8" w:rsidP="00704535">
            <w:pPr>
              <w:pStyle w:val="TableTextCentered"/>
              <w:spacing w:before="0" w:after="0"/>
              <w:rPr>
                <w:rFonts w:eastAsia="Times New Roman" w:cs="Times New Roman"/>
                <w:szCs w:val="20"/>
              </w:rPr>
            </w:pPr>
            <w:r w:rsidRPr="00797379">
              <w:rPr>
                <w:rFonts w:eastAsia="Times New Roman" w:cs="Times New Roman"/>
                <w:szCs w:val="20"/>
              </w:rPr>
              <w:t>PM</w:t>
            </w:r>
          </w:p>
        </w:tc>
        <w:tc>
          <w:tcPr>
            <w:tcW w:w="549" w:type="pct"/>
            <w:hideMark/>
          </w:tcPr>
          <w:p w14:paraId="3463E094" w14:textId="33D62EF5" w:rsidR="00893ED8" w:rsidRPr="00797379" w:rsidRDefault="00893ED8" w:rsidP="00704535">
            <w:pPr>
              <w:pStyle w:val="TableTextCentered"/>
              <w:spacing w:before="0" w:after="0"/>
              <w:rPr>
                <w:rFonts w:eastAsia="Times New Roman" w:cs="Times New Roman"/>
                <w:szCs w:val="20"/>
              </w:rPr>
            </w:pPr>
            <w:r w:rsidRPr="00797379">
              <w:rPr>
                <w:rFonts w:eastAsia="Times New Roman" w:cs="Times New Roman"/>
                <w:szCs w:val="20"/>
              </w:rPr>
              <w:t>ME</w:t>
            </w:r>
          </w:p>
        </w:tc>
      </w:tr>
      <w:tr w:rsidR="00893ED8" w:rsidRPr="00797379" w14:paraId="3AEA16C2" w14:textId="77777777" w:rsidTr="00CE2C98">
        <w:trPr>
          <w:trHeight w:val="264"/>
        </w:trPr>
        <w:tc>
          <w:tcPr>
            <w:tcW w:w="420" w:type="pct"/>
            <w:hideMark/>
          </w:tcPr>
          <w:p w14:paraId="27265A8F" w14:textId="3F5E468C" w:rsidR="00893ED8" w:rsidRPr="00797379" w:rsidRDefault="00893ED8" w:rsidP="00704535">
            <w:pPr>
              <w:pStyle w:val="TableSubheading"/>
              <w:spacing w:before="0" w:after="0"/>
              <w:rPr>
                <w:rFonts w:eastAsia="Times New Roman" w:cs="Times New Roman"/>
                <w:szCs w:val="20"/>
              </w:rPr>
            </w:pPr>
            <w:r w:rsidRPr="00797379">
              <w:rPr>
                <w:rFonts w:eastAsia="Times New Roman" w:cs="Times New Roman"/>
                <w:szCs w:val="20"/>
              </w:rPr>
              <w:t>K-</w:t>
            </w:r>
            <w:r w:rsidR="00B61BCF">
              <w:rPr>
                <w:rFonts w:eastAsia="Times New Roman" w:cs="Times New Roman"/>
                <w:szCs w:val="20"/>
              </w:rPr>
              <w:t>10</w:t>
            </w:r>
          </w:p>
        </w:tc>
        <w:tc>
          <w:tcPr>
            <w:tcW w:w="1115" w:type="pct"/>
            <w:hideMark/>
          </w:tcPr>
          <w:p w14:paraId="056CDF7E" w14:textId="77777777" w:rsidR="00893ED8" w:rsidRPr="00797379" w:rsidRDefault="00893ED8" w:rsidP="00704535">
            <w:pPr>
              <w:pStyle w:val="TableText"/>
              <w:spacing w:before="0" w:after="0"/>
              <w:rPr>
                <w:rFonts w:eastAsia="Times New Roman" w:cs="Times New Roman"/>
                <w:szCs w:val="20"/>
              </w:rPr>
            </w:pPr>
            <w:r w:rsidRPr="00797379">
              <w:rPr>
                <w:rFonts w:eastAsia="Times New Roman" w:cs="Times New Roman"/>
                <w:szCs w:val="20"/>
              </w:rPr>
              <w:t>Math</w:t>
            </w:r>
          </w:p>
        </w:tc>
        <w:tc>
          <w:tcPr>
            <w:tcW w:w="2467" w:type="pct"/>
            <w:hideMark/>
          </w:tcPr>
          <w:p w14:paraId="3CC69973" w14:textId="77777777" w:rsidR="00893ED8" w:rsidRPr="00797379" w:rsidRDefault="00893ED8" w:rsidP="00704535">
            <w:pPr>
              <w:pStyle w:val="TableText"/>
              <w:spacing w:before="0" w:after="0"/>
              <w:rPr>
                <w:rFonts w:eastAsia="Times New Roman" w:cs="Times New Roman"/>
                <w:szCs w:val="20"/>
              </w:rPr>
            </w:pPr>
            <w:r w:rsidRPr="00797379">
              <w:rPr>
                <w:rFonts w:eastAsia="Times New Roman" w:cs="Times New Roman"/>
                <w:szCs w:val="20"/>
              </w:rPr>
              <w:t xml:space="preserve">District Developed </w:t>
            </w:r>
          </w:p>
        </w:tc>
        <w:tc>
          <w:tcPr>
            <w:tcW w:w="448" w:type="pct"/>
            <w:hideMark/>
          </w:tcPr>
          <w:p w14:paraId="684FF55F" w14:textId="3AD43802" w:rsidR="00893ED8" w:rsidRPr="00797379" w:rsidRDefault="00893ED8" w:rsidP="00704535">
            <w:pPr>
              <w:pStyle w:val="TableTextCentered"/>
              <w:spacing w:before="0" w:after="0"/>
              <w:rPr>
                <w:rFonts w:eastAsia="Times New Roman" w:cs="Times New Roman"/>
                <w:szCs w:val="20"/>
              </w:rPr>
            </w:pPr>
            <w:r w:rsidRPr="00797379">
              <w:rPr>
                <w:rFonts w:eastAsia="Times New Roman" w:cs="Times New Roman"/>
                <w:szCs w:val="20"/>
              </w:rPr>
              <w:t>NR</w:t>
            </w:r>
          </w:p>
        </w:tc>
        <w:tc>
          <w:tcPr>
            <w:tcW w:w="549" w:type="pct"/>
            <w:hideMark/>
          </w:tcPr>
          <w:p w14:paraId="5E853818" w14:textId="7A7577BE" w:rsidR="00893ED8" w:rsidRPr="00797379" w:rsidRDefault="00893ED8" w:rsidP="00704535">
            <w:pPr>
              <w:pStyle w:val="TableTextCentered"/>
              <w:spacing w:before="0" w:after="0"/>
              <w:rPr>
                <w:rFonts w:eastAsia="Times New Roman" w:cs="Times New Roman"/>
                <w:szCs w:val="20"/>
              </w:rPr>
            </w:pPr>
            <w:r w:rsidRPr="00797379">
              <w:rPr>
                <w:rFonts w:eastAsia="Times New Roman" w:cs="Times New Roman"/>
                <w:szCs w:val="20"/>
              </w:rPr>
              <w:t>NR</w:t>
            </w:r>
          </w:p>
        </w:tc>
      </w:tr>
      <w:tr w:rsidR="00893ED8" w:rsidRPr="00797379" w14:paraId="654B6369" w14:textId="77777777" w:rsidTr="00CE2C98">
        <w:trPr>
          <w:cnfStyle w:val="000000100000" w:firstRow="0" w:lastRow="0" w:firstColumn="0" w:lastColumn="0" w:oddVBand="0" w:evenVBand="0" w:oddHBand="1" w:evenHBand="0" w:firstRowFirstColumn="0" w:firstRowLastColumn="0" w:lastRowFirstColumn="0" w:lastRowLastColumn="0"/>
          <w:trHeight w:val="288"/>
        </w:trPr>
        <w:tc>
          <w:tcPr>
            <w:tcW w:w="420" w:type="pct"/>
            <w:hideMark/>
          </w:tcPr>
          <w:p w14:paraId="09405E73" w14:textId="4EBBC149" w:rsidR="00893ED8" w:rsidRPr="00797379" w:rsidRDefault="00893ED8" w:rsidP="00704535">
            <w:pPr>
              <w:pStyle w:val="TableSubheading"/>
              <w:spacing w:before="0" w:after="0"/>
              <w:rPr>
                <w:rFonts w:eastAsia="Times New Roman" w:cs="Times New Roman"/>
                <w:szCs w:val="20"/>
              </w:rPr>
            </w:pPr>
            <w:r w:rsidRPr="00797379">
              <w:rPr>
                <w:rFonts w:eastAsia="Times New Roman" w:cs="Times New Roman"/>
                <w:szCs w:val="20"/>
              </w:rPr>
              <w:t>10-12</w:t>
            </w:r>
          </w:p>
        </w:tc>
        <w:tc>
          <w:tcPr>
            <w:tcW w:w="1115" w:type="pct"/>
            <w:hideMark/>
          </w:tcPr>
          <w:p w14:paraId="057425E4" w14:textId="77777777" w:rsidR="00893ED8" w:rsidRPr="00797379" w:rsidRDefault="00893ED8" w:rsidP="00704535">
            <w:pPr>
              <w:pStyle w:val="TableText"/>
              <w:spacing w:before="0" w:after="0"/>
              <w:rPr>
                <w:rFonts w:eastAsia="Times New Roman" w:cs="Times New Roman"/>
                <w:szCs w:val="20"/>
              </w:rPr>
            </w:pPr>
            <w:r w:rsidRPr="00797379">
              <w:rPr>
                <w:rFonts w:eastAsia="Times New Roman" w:cs="Times New Roman"/>
                <w:szCs w:val="20"/>
              </w:rPr>
              <w:t>Digital Literacy</w:t>
            </w:r>
          </w:p>
        </w:tc>
        <w:tc>
          <w:tcPr>
            <w:tcW w:w="2467" w:type="pct"/>
            <w:hideMark/>
          </w:tcPr>
          <w:p w14:paraId="53DE5393" w14:textId="77777777" w:rsidR="00893ED8" w:rsidRPr="00797379" w:rsidRDefault="00893ED8" w:rsidP="00704535">
            <w:pPr>
              <w:pStyle w:val="TableText"/>
              <w:spacing w:before="0" w:after="0"/>
              <w:rPr>
                <w:rFonts w:eastAsia="Times New Roman" w:cs="Times New Roman"/>
                <w:szCs w:val="20"/>
              </w:rPr>
            </w:pPr>
            <w:r w:rsidRPr="00797379">
              <w:rPr>
                <w:rFonts w:eastAsia="Times New Roman" w:cs="Times New Roman"/>
                <w:szCs w:val="20"/>
              </w:rPr>
              <w:t>CodeHS, CS Awesome (2025)</w:t>
            </w:r>
          </w:p>
        </w:tc>
        <w:tc>
          <w:tcPr>
            <w:tcW w:w="448" w:type="pct"/>
            <w:hideMark/>
          </w:tcPr>
          <w:p w14:paraId="0ECCFAE3" w14:textId="13F2E018" w:rsidR="00893ED8" w:rsidRPr="00797379" w:rsidRDefault="00893ED8" w:rsidP="00704535">
            <w:pPr>
              <w:pStyle w:val="TableTextCentered"/>
              <w:spacing w:before="0" w:after="0"/>
              <w:rPr>
                <w:rFonts w:eastAsia="Times New Roman" w:cs="Times New Roman"/>
                <w:szCs w:val="20"/>
              </w:rPr>
            </w:pPr>
            <w:r w:rsidRPr="00797379">
              <w:rPr>
                <w:rFonts w:eastAsia="Times New Roman" w:cs="Times New Roman"/>
                <w:szCs w:val="20"/>
              </w:rPr>
              <w:t>NR</w:t>
            </w:r>
          </w:p>
        </w:tc>
        <w:tc>
          <w:tcPr>
            <w:tcW w:w="549" w:type="pct"/>
            <w:hideMark/>
          </w:tcPr>
          <w:p w14:paraId="68C193AE" w14:textId="678BB2A3" w:rsidR="00893ED8" w:rsidRPr="00797379" w:rsidRDefault="00893ED8" w:rsidP="00704535">
            <w:pPr>
              <w:pStyle w:val="TableTextCentered"/>
              <w:spacing w:before="0" w:after="0"/>
              <w:rPr>
                <w:rFonts w:eastAsia="Times New Roman" w:cs="Times New Roman"/>
                <w:szCs w:val="20"/>
              </w:rPr>
            </w:pPr>
            <w:r w:rsidRPr="00797379">
              <w:rPr>
                <w:rFonts w:eastAsia="Times New Roman" w:cs="Times New Roman"/>
                <w:szCs w:val="20"/>
              </w:rPr>
              <w:t>NR</w:t>
            </w:r>
          </w:p>
        </w:tc>
      </w:tr>
      <w:tr w:rsidR="00893ED8" w:rsidRPr="00797379" w14:paraId="1F1B8EB6" w14:textId="77777777" w:rsidTr="00CE2C98">
        <w:trPr>
          <w:trHeight w:val="288"/>
        </w:trPr>
        <w:tc>
          <w:tcPr>
            <w:tcW w:w="420" w:type="pct"/>
            <w:hideMark/>
          </w:tcPr>
          <w:p w14:paraId="18318DE3" w14:textId="211E4898" w:rsidR="00893ED8" w:rsidRPr="00797379" w:rsidRDefault="00893ED8" w:rsidP="00704535">
            <w:pPr>
              <w:pStyle w:val="TableSubheading"/>
              <w:spacing w:before="0" w:after="0"/>
              <w:rPr>
                <w:rFonts w:eastAsia="Times New Roman" w:cs="Times New Roman"/>
                <w:szCs w:val="20"/>
              </w:rPr>
            </w:pPr>
            <w:r w:rsidRPr="00797379">
              <w:rPr>
                <w:rFonts w:eastAsia="Times New Roman" w:cs="Times New Roman"/>
                <w:szCs w:val="20"/>
              </w:rPr>
              <w:t>10-12</w:t>
            </w:r>
          </w:p>
        </w:tc>
        <w:tc>
          <w:tcPr>
            <w:tcW w:w="1115" w:type="pct"/>
            <w:hideMark/>
          </w:tcPr>
          <w:p w14:paraId="401CEFAB" w14:textId="77777777" w:rsidR="00893ED8" w:rsidRPr="00797379" w:rsidRDefault="00893ED8" w:rsidP="00704535">
            <w:pPr>
              <w:pStyle w:val="TableText"/>
              <w:spacing w:before="0" w:after="0"/>
              <w:rPr>
                <w:rFonts w:eastAsia="Times New Roman" w:cs="Times New Roman"/>
                <w:szCs w:val="20"/>
              </w:rPr>
            </w:pPr>
            <w:r w:rsidRPr="00797379">
              <w:rPr>
                <w:rFonts w:eastAsia="Times New Roman" w:cs="Times New Roman"/>
                <w:szCs w:val="20"/>
              </w:rPr>
              <w:t>Digital Literacy</w:t>
            </w:r>
          </w:p>
        </w:tc>
        <w:tc>
          <w:tcPr>
            <w:tcW w:w="2467" w:type="pct"/>
            <w:hideMark/>
          </w:tcPr>
          <w:p w14:paraId="3123416C" w14:textId="77777777" w:rsidR="00893ED8" w:rsidRPr="00797379" w:rsidRDefault="00893ED8" w:rsidP="00704535">
            <w:pPr>
              <w:pStyle w:val="TableText"/>
              <w:spacing w:before="0" w:after="0"/>
              <w:rPr>
                <w:rFonts w:eastAsia="Times New Roman" w:cs="Times New Roman"/>
                <w:szCs w:val="20"/>
              </w:rPr>
            </w:pPr>
            <w:r w:rsidRPr="00797379">
              <w:rPr>
                <w:rFonts w:eastAsia="Times New Roman" w:cs="Times New Roman"/>
                <w:szCs w:val="20"/>
              </w:rPr>
              <w:t>code.org, CMU CS Academy (2025)</w:t>
            </w:r>
          </w:p>
        </w:tc>
        <w:tc>
          <w:tcPr>
            <w:tcW w:w="448" w:type="pct"/>
            <w:hideMark/>
          </w:tcPr>
          <w:p w14:paraId="5D8BE4DC" w14:textId="3F953CBB" w:rsidR="00893ED8" w:rsidRPr="00797379" w:rsidRDefault="00893ED8" w:rsidP="00704535">
            <w:pPr>
              <w:pStyle w:val="TableTextCentered"/>
              <w:spacing w:before="0" w:after="0"/>
              <w:rPr>
                <w:rFonts w:eastAsia="Times New Roman" w:cs="Times New Roman"/>
                <w:szCs w:val="20"/>
              </w:rPr>
            </w:pPr>
            <w:r w:rsidRPr="00797379">
              <w:rPr>
                <w:rFonts w:eastAsia="Times New Roman" w:cs="Times New Roman"/>
                <w:szCs w:val="20"/>
              </w:rPr>
              <w:t>NR</w:t>
            </w:r>
          </w:p>
        </w:tc>
        <w:tc>
          <w:tcPr>
            <w:tcW w:w="549" w:type="pct"/>
            <w:hideMark/>
          </w:tcPr>
          <w:p w14:paraId="5AD7AD2D" w14:textId="5B479A17" w:rsidR="00893ED8" w:rsidRPr="00797379" w:rsidRDefault="00893ED8" w:rsidP="00704535">
            <w:pPr>
              <w:pStyle w:val="TableTextCentered"/>
              <w:spacing w:before="0" w:after="0"/>
              <w:rPr>
                <w:rFonts w:eastAsia="Times New Roman" w:cs="Times New Roman"/>
                <w:szCs w:val="20"/>
              </w:rPr>
            </w:pPr>
            <w:r w:rsidRPr="00797379">
              <w:rPr>
                <w:rFonts w:eastAsia="Times New Roman" w:cs="Times New Roman"/>
                <w:szCs w:val="20"/>
              </w:rPr>
              <w:t>NR</w:t>
            </w:r>
          </w:p>
        </w:tc>
      </w:tr>
      <w:tr w:rsidR="00893ED8" w:rsidRPr="00797379" w14:paraId="3606B592" w14:textId="77777777" w:rsidTr="00CE2C98">
        <w:trPr>
          <w:cnfStyle w:val="000000100000" w:firstRow="0" w:lastRow="0" w:firstColumn="0" w:lastColumn="0" w:oddVBand="0" w:evenVBand="0" w:oddHBand="1" w:evenHBand="0" w:firstRowFirstColumn="0" w:firstRowLastColumn="0" w:lastRowFirstColumn="0" w:lastRowLastColumn="0"/>
          <w:trHeight w:val="288"/>
        </w:trPr>
        <w:tc>
          <w:tcPr>
            <w:tcW w:w="420" w:type="pct"/>
            <w:hideMark/>
          </w:tcPr>
          <w:p w14:paraId="7F3E9D27" w14:textId="73B6BC48" w:rsidR="00893ED8" w:rsidRPr="00797379" w:rsidRDefault="00893ED8" w:rsidP="00704535">
            <w:pPr>
              <w:pStyle w:val="TableSubheading"/>
              <w:spacing w:before="0" w:after="0"/>
              <w:rPr>
                <w:rFonts w:eastAsia="Times New Roman" w:cs="Times New Roman"/>
                <w:szCs w:val="20"/>
              </w:rPr>
            </w:pPr>
            <w:r w:rsidRPr="00797379">
              <w:rPr>
                <w:rFonts w:eastAsia="Times New Roman" w:cs="Times New Roman"/>
                <w:szCs w:val="20"/>
              </w:rPr>
              <w:t>K-10</w:t>
            </w:r>
          </w:p>
        </w:tc>
        <w:tc>
          <w:tcPr>
            <w:tcW w:w="1115" w:type="pct"/>
            <w:hideMark/>
          </w:tcPr>
          <w:p w14:paraId="201FD47C" w14:textId="77777777" w:rsidR="00893ED8" w:rsidRPr="00797379" w:rsidRDefault="00893ED8" w:rsidP="00704535">
            <w:pPr>
              <w:pStyle w:val="TableText"/>
              <w:spacing w:before="0" w:after="0"/>
              <w:rPr>
                <w:rFonts w:eastAsia="Times New Roman" w:cs="Times New Roman"/>
                <w:szCs w:val="20"/>
              </w:rPr>
            </w:pPr>
            <w:r w:rsidRPr="00797379">
              <w:rPr>
                <w:rFonts w:eastAsia="Times New Roman" w:cs="Times New Roman"/>
                <w:szCs w:val="20"/>
              </w:rPr>
              <w:t>Science</w:t>
            </w:r>
          </w:p>
        </w:tc>
        <w:tc>
          <w:tcPr>
            <w:tcW w:w="2467" w:type="pct"/>
            <w:hideMark/>
          </w:tcPr>
          <w:p w14:paraId="00276182" w14:textId="77777777" w:rsidR="00893ED8" w:rsidRPr="00797379" w:rsidRDefault="00893ED8" w:rsidP="00704535">
            <w:pPr>
              <w:pStyle w:val="TableText"/>
              <w:spacing w:before="0" w:after="0"/>
              <w:rPr>
                <w:rFonts w:eastAsia="Times New Roman" w:cs="Times New Roman"/>
                <w:szCs w:val="20"/>
              </w:rPr>
            </w:pPr>
            <w:r w:rsidRPr="00797379">
              <w:rPr>
                <w:rFonts w:eastAsia="Times New Roman" w:cs="Times New Roman"/>
                <w:szCs w:val="20"/>
              </w:rPr>
              <w:t xml:space="preserve">District Developed </w:t>
            </w:r>
          </w:p>
        </w:tc>
        <w:tc>
          <w:tcPr>
            <w:tcW w:w="448" w:type="pct"/>
            <w:hideMark/>
          </w:tcPr>
          <w:p w14:paraId="4B2C6179" w14:textId="64EF3B1F" w:rsidR="00893ED8" w:rsidRPr="00797379" w:rsidRDefault="00893ED8" w:rsidP="00704535">
            <w:pPr>
              <w:pStyle w:val="TableTextCentered"/>
              <w:spacing w:before="0" w:after="0"/>
              <w:rPr>
                <w:rFonts w:eastAsia="Times New Roman" w:cs="Times New Roman"/>
                <w:szCs w:val="20"/>
              </w:rPr>
            </w:pPr>
            <w:r w:rsidRPr="00797379">
              <w:rPr>
                <w:rFonts w:eastAsia="Times New Roman" w:cs="Times New Roman"/>
                <w:szCs w:val="20"/>
              </w:rPr>
              <w:t>NR</w:t>
            </w:r>
          </w:p>
        </w:tc>
        <w:tc>
          <w:tcPr>
            <w:tcW w:w="549" w:type="pct"/>
            <w:hideMark/>
          </w:tcPr>
          <w:p w14:paraId="00A4315F" w14:textId="48BBFB23" w:rsidR="00893ED8" w:rsidRPr="00797379" w:rsidRDefault="00893ED8" w:rsidP="00704535">
            <w:pPr>
              <w:pStyle w:val="TableTextCentered"/>
              <w:spacing w:before="0" w:after="0"/>
              <w:rPr>
                <w:rFonts w:eastAsia="Times New Roman" w:cs="Times New Roman"/>
                <w:szCs w:val="20"/>
              </w:rPr>
            </w:pPr>
            <w:r w:rsidRPr="00797379">
              <w:rPr>
                <w:rFonts w:eastAsia="Times New Roman" w:cs="Times New Roman"/>
                <w:szCs w:val="20"/>
              </w:rPr>
              <w:t>NR</w:t>
            </w:r>
          </w:p>
        </w:tc>
      </w:tr>
      <w:tr w:rsidR="00893ED8" w:rsidRPr="00797379" w14:paraId="1E5DDE89" w14:textId="77777777" w:rsidTr="00CE2C98">
        <w:trPr>
          <w:trHeight w:val="288"/>
        </w:trPr>
        <w:tc>
          <w:tcPr>
            <w:tcW w:w="420" w:type="pct"/>
            <w:hideMark/>
          </w:tcPr>
          <w:p w14:paraId="3A707463" w14:textId="77777777" w:rsidR="00893ED8" w:rsidRPr="00797379" w:rsidRDefault="00893ED8" w:rsidP="00704535">
            <w:pPr>
              <w:pStyle w:val="TableSubheading"/>
              <w:spacing w:before="0" w:after="0"/>
              <w:rPr>
                <w:rFonts w:eastAsia="Times New Roman" w:cs="Times New Roman"/>
                <w:szCs w:val="20"/>
              </w:rPr>
            </w:pPr>
            <w:r w:rsidRPr="00797379">
              <w:rPr>
                <w:rFonts w:eastAsia="Times New Roman" w:cs="Times New Roman"/>
                <w:szCs w:val="20"/>
              </w:rPr>
              <w:t>K-5</w:t>
            </w:r>
          </w:p>
        </w:tc>
        <w:tc>
          <w:tcPr>
            <w:tcW w:w="1115" w:type="pct"/>
            <w:hideMark/>
          </w:tcPr>
          <w:p w14:paraId="072DD0CF" w14:textId="77777777" w:rsidR="00893ED8" w:rsidRPr="00797379" w:rsidRDefault="00893ED8" w:rsidP="00704535">
            <w:pPr>
              <w:pStyle w:val="TableText"/>
              <w:spacing w:before="0" w:after="0"/>
              <w:rPr>
                <w:rFonts w:eastAsia="Times New Roman" w:cs="Times New Roman"/>
                <w:szCs w:val="20"/>
              </w:rPr>
            </w:pPr>
            <w:r w:rsidRPr="00797379">
              <w:rPr>
                <w:rFonts w:eastAsia="Times New Roman" w:cs="Times New Roman"/>
                <w:szCs w:val="20"/>
              </w:rPr>
              <w:t>Science</w:t>
            </w:r>
          </w:p>
        </w:tc>
        <w:tc>
          <w:tcPr>
            <w:tcW w:w="2467" w:type="pct"/>
            <w:hideMark/>
          </w:tcPr>
          <w:p w14:paraId="03B05CAF" w14:textId="77777777" w:rsidR="00893ED8" w:rsidRPr="00797379" w:rsidRDefault="00893ED8" w:rsidP="00704535">
            <w:pPr>
              <w:pStyle w:val="TableText"/>
              <w:spacing w:before="0" w:after="0"/>
              <w:rPr>
                <w:rFonts w:eastAsia="Times New Roman" w:cs="Times New Roman"/>
                <w:szCs w:val="20"/>
              </w:rPr>
            </w:pPr>
            <w:r w:rsidRPr="00797379">
              <w:rPr>
                <w:rFonts w:eastAsia="Times New Roman" w:cs="Times New Roman"/>
                <w:szCs w:val="20"/>
              </w:rPr>
              <w:t>Mystery Science</w:t>
            </w:r>
          </w:p>
        </w:tc>
        <w:tc>
          <w:tcPr>
            <w:tcW w:w="448" w:type="pct"/>
            <w:hideMark/>
          </w:tcPr>
          <w:p w14:paraId="7E68C682" w14:textId="6E9E569D" w:rsidR="00893ED8" w:rsidRPr="00797379" w:rsidRDefault="00893ED8" w:rsidP="00704535">
            <w:pPr>
              <w:pStyle w:val="TableTextCentered"/>
              <w:spacing w:before="0" w:after="0"/>
              <w:rPr>
                <w:rFonts w:eastAsia="Times New Roman" w:cs="Times New Roman"/>
                <w:szCs w:val="20"/>
              </w:rPr>
            </w:pPr>
            <w:r w:rsidRPr="00797379">
              <w:rPr>
                <w:rFonts w:eastAsia="Times New Roman" w:cs="Times New Roman"/>
                <w:szCs w:val="20"/>
              </w:rPr>
              <w:t>NR</w:t>
            </w:r>
          </w:p>
        </w:tc>
        <w:tc>
          <w:tcPr>
            <w:tcW w:w="549" w:type="pct"/>
            <w:hideMark/>
          </w:tcPr>
          <w:p w14:paraId="1494751F" w14:textId="4B6DAA43" w:rsidR="00893ED8" w:rsidRPr="00797379" w:rsidRDefault="00893ED8" w:rsidP="00704535">
            <w:pPr>
              <w:pStyle w:val="TableTextCentered"/>
              <w:spacing w:before="0" w:after="0"/>
              <w:rPr>
                <w:rFonts w:eastAsia="Times New Roman" w:cs="Times New Roman"/>
                <w:szCs w:val="20"/>
              </w:rPr>
            </w:pPr>
            <w:r w:rsidRPr="00797379">
              <w:rPr>
                <w:rFonts w:eastAsia="Times New Roman" w:cs="Times New Roman"/>
                <w:szCs w:val="20"/>
              </w:rPr>
              <w:t>NR</w:t>
            </w:r>
          </w:p>
        </w:tc>
      </w:tr>
      <w:tr w:rsidR="00893ED8" w:rsidRPr="00797379" w14:paraId="7E968B9D" w14:textId="77777777" w:rsidTr="00CE2C98">
        <w:trPr>
          <w:cnfStyle w:val="000000100000" w:firstRow="0" w:lastRow="0" w:firstColumn="0" w:lastColumn="0" w:oddVBand="0" w:evenVBand="0" w:oddHBand="1" w:evenHBand="0" w:firstRowFirstColumn="0" w:firstRowLastColumn="0" w:lastRowFirstColumn="0" w:lastRowLastColumn="0"/>
          <w:trHeight w:val="273"/>
        </w:trPr>
        <w:tc>
          <w:tcPr>
            <w:tcW w:w="420" w:type="pct"/>
            <w:hideMark/>
          </w:tcPr>
          <w:p w14:paraId="5036543E" w14:textId="77777777" w:rsidR="00893ED8" w:rsidRPr="00797379" w:rsidRDefault="00893ED8" w:rsidP="00704535">
            <w:pPr>
              <w:pStyle w:val="TableSubheading"/>
              <w:spacing w:before="0" w:after="0"/>
              <w:rPr>
                <w:rFonts w:eastAsia="Times New Roman" w:cs="Times New Roman"/>
                <w:szCs w:val="20"/>
              </w:rPr>
            </w:pPr>
            <w:r w:rsidRPr="00797379">
              <w:rPr>
                <w:rFonts w:eastAsia="Times New Roman" w:cs="Times New Roman"/>
                <w:szCs w:val="20"/>
              </w:rPr>
              <w:t>10</w:t>
            </w:r>
          </w:p>
        </w:tc>
        <w:tc>
          <w:tcPr>
            <w:tcW w:w="1115" w:type="pct"/>
            <w:hideMark/>
          </w:tcPr>
          <w:p w14:paraId="4F4AB5B3" w14:textId="33A4F7F1" w:rsidR="00893ED8" w:rsidRPr="00797379" w:rsidRDefault="00893ED8" w:rsidP="00704535">
            <w:pPr>
              <w:pStyle w:val="TableText"/>
              <w:spacing w:before="0" w:after="0"/>
              <w:rPr>
                <w:rFonts w:eastAsia="Times New Roman" w:cs="Times New Roman"/>
                <w:szCs w:val="20"/>
              </w:rPr>
            </w:pPr>
            <w:r w:rsidRPr="00797379">
              <w:rPr>
                <w:rFonts w:eastAsia="Times New Roman" w:cs="Times New Roman"/>
                <w:szCs w:val="20"/>
              </w:rPr>
              <w:t>Science</w:t>
            </w:r>
          </w:p>
        </w:tc>
        <w:tc>
          <w:tcPr>
            <w:tcW w:w="2467" w:type="pct"/>
            <w:hideMark/>
          </w:tcPr>
          <w:p w14:paraId="00297271" w14:textId="4A03CAC0" w:rsidR="00893ED8" w:rsidRPr="00797379" w:rsidRDefault="00893ED8" w:rsidP="00704535">
            <w:pPr>
              <w:pStyle w:val="TableText"/>
              <w:spacing w:before="0" w:after="0"/>
              <w:rPr>
                <w:rFonts w:eastAsia="Times New Roman" w:cs="Times New Roman"/>
                <w:szCs w:val="20"/>
              </w:rPr>
            </w:pPr>
            <w:r w:rsidRPr="00797379">
              <w:rPr>
                <w:rFonts w:eastAsia="Times New Roman" w:cs="Times New Roman"/>
                <w:szCs w:val="20"/>
              </w:rPr>
              <w:t>District Developed Environmental</w:t>
            </w:r>
          </w:p>
        </w:tc>
        <w:tc>
          <w:tcPr>
            <w:tcW w:w="448" w:type="pct"/>
            <w:hideMark/>
          </w:tcPr>
          <w:p w14:paraId="21E1F183" w14:textId="3F086189" w:rsidR="00893ED8" w:rsidRPr="00797379" w:rsidRDefault="00893ED8" w:rsidP="00704535">
            <w:pPr>
              <w:pStyle w:val="TableTextCentered"/>
              <w:spacing w:before="0" w:after="0"/>
              <w:rPr>
                <w:rFonts w:eastAsia="Times New Roman" w:cs="Times New Roman"/>
                <w:szCs w:val="20"/>
              </w:rPr>
            </w:pPr>
            <w:r w:rsidRPr="00797379">
              <w:rPr>
                <w:rFonts w:eastAsia="Times New Roman" w:cs="Times New Roman"/>
                <w:szCs w:val="20"/>
              </w:rPr>
              <w:t>NR</w:t>
            </w:r>
          </w:p>
        </w:tc>
        <w:tc>
          <w:tcPr>
            <w:tcW w:w="549" w:type="pct"/>
            <w:hideMark/>
          </w:tcPr>
          <w:p w14:paraId="73FAFBB0" w14:textId="3F929312" w:rsidR="00893ED8" w:rsidRPr="00797379" w:rsidRDefault="00893ED8" w:rsidP="00704535">
            <w:pPr>
              <w:pStyle w:val="TableTextCentered"/>
              <w:spacing w:before="0" w:after="0"/>
              <w:rPr>
                <w:rFonts w:eastAsia="Times New Roman" w:cs="Times New Roman"/>
                <w:szCs w:val="20"/>
              </w:rPr>
            </w:pPr>
            <w:r w:rsidRPr="00797379">
              <w:rPr>
                <w:rFonts w:eastAsia="Times New Roman" w:cs="Times New Roman"/>
                <w:szCs w:val="20"/>
              </w:rPr>
              <w:t>NR</w:t>
            </w:r>
          </w:p>
        </w:tc>
      </w:tr>
      <w:tr w:rsidR="00893ED8" w:rsidRPr="00797379" w14:paraId="6C293607" w14:textId="77777777" w:rsidTr="00CE2C98">
        <w:trPr>
          <w:trHeight w:val="273"/>
        </w:trPr>
        <w:tc>
          <w:tcPr>
            <w:tcW w:w="420" w:type="pct"/>
            <w:hideMark/>
          </w:tcPr>
          <w:p w14:paraId="70770FD3" w14:textId="77777777" w:rsidR="00893ED8" w:rsidRPr="00797379" w:rsidRDefault="00893ED8" w:rsidP="00704535">
            <w:pPr>
              <w:pStyle w:val="TableSubheading"/>
              <w:spacing w:before="0" w:after="0"/>
              <w:rPr>
                <w:rFonts w:eastAsia="Times New Roman" w:cs="Times New Roman"/>
                <w:szCs w:val="20"/>
              </w:rPr>
            </w:pPr>
            <w:r w:rsidRPr="00797379">
              <w:rPr>
                <w:rFonts w:eastAsia="Times New Roman" w:cs="Times New Roman"/>
                <w:szCs w:val="20"/>
              </w:rPr>
              <w:t>11</w:t>
            </w:r>
          </w:p>
        </w:tc>
        <w:tc>
          <w:tcPr>
            <w:tcW w:w="1115" w:type="pct"/>
            <w:hideMark/>
          </w:tcPr>
          <w:p w14:paraId="22A7135B" w14:textId="36F908F9" w:rsidR="00893ED8" w:rsidRPr="00797379" w:rsidRDefault="00893ED8" w:rsidP="00704535">
            <w:pPr>
              <w:pStyle w:val="TableText"/>
              <w:spacing w:before="0" w:after="0"/>
              <w:rPr>
                <w:rFonts w:eastAsia="Times New Roman" w:cs="Times New Roman"/>
                <w:szCs w:val="20"/>
              </w:rPr>
            </w:pPr>
            <w:r w:rsidRPr="00797379">
              <w:rPr>
                <w:rFonts w:eastAsia="Times New Roman" w:cs="Times New Roman"/>
                <w:szCs w:val="20"/>
              </w:rPr>
              <w:t>Science</w:t>
            </w:r>
          </w:p>
        </w:tc>
        <w:tc>
          <w:tcPr>
            <w:tcW w:w="2467" w:type="pct"/>
            <w:hideMark/>
          </w:tcPr>
          <w:p w14:paraId="7E9E4DB7" w14:textId="07A27DA3" w:rsidR="00893ED8" w:rsidRPr="00797379" w:rsidRDefault="00893ED8" w:rsidP="00704535">
            <w:pPr>
              <w:pStyle w:val="TableText"/>
              <w:spacing w:before="0" w:after="0"/>
              <w:rPr>
                <w:rFonts w:eastAsia="Times New Roman" w:cs="Times New Roman"/>
                <w:szCs w:val="20"/>
              </w:rPr>
            </w:pPr>
            <w:r w:rsidRPr="00797379">
              <w:rPr>
                <w:rFonts w:eastAsia="Times New Roman" w:cs="Times New Roman"/>
                <w:szCs w:val="20"/>
              </w:rPr>
              <w:t>District Developed Physics</w:t>
            </w:r>
          </w:p>
        </w:tc>
        <w:tc>
          <w:tcPr>
            <w:tcW w:w="448" w:type="pct"/>
            <w:hideMark/>
          </w:tcPr>
          <w:p w14:paraId="35215AF9" w14:textId="7520EC42" w:rsidR="00893ED8" w:rsidRPr="00797379" w:rsidRDefault="00893ED8" w:rsidP="00704535">
            <w:pPr>
              <w:pStyle w:val="TableTextCentered"/>
              <w:spacing w:before="0" w:after="0"/>
              <w:rPr>
                <w:rFonts w:eastAsia="Times New Roman" w:cs="Times New Roman"/>
                <w:szCs w:val="20"/>
              </w:rPr>
            </w:pPr>
            <w:r w:rsidRPr="00797379">
              <w:rPr>
                <w:rFonts w:eastAsia="Times New Roman" w:cs="Times New Roman"/>
                <w:szCs w:val="20"/>
              </w:rPr>
              <w:t>NR</w:t>
            </w:r>
          </w:p>
        </w:tc>
        <w:tc>
          <w:tcPr>
            <w:tcW w:w="549" w:type="pct"/>
            <w:hideMark/>
          </w:tcPr>
          <w:p w14:paraId="5BABE2D0" w14:textId="0B148E33" w:rsidR="00893ED8" w:rsidRPr="00797379" w:rsidRDefault="00893ED8" w:rsidP="00704535">
            <w:pPr>
              <w:pStyle w:val="TableTextCentered"/>
              <w:spacing w:before="0" w:after="0"/>
              <w:rPr>
                <w:rFonts w:eastAsia="Times New Roman" w:cs="Times New Roman"/>
                <w:szCs w:val="20"/>
              </w:rPr>
            </w:pPr>
            <w:r w:rsidRPr="00797379">
              <w:rPr>
                <w:rFonts w:eastAsia="Times New Roman" w:cs="Times New Roman"/>
                <w:szCs w:val="20"/>
              </w:rPr>
              <w:t>NR</w:t>
            </w:r>
          </w:p>
        </w:tc>
      </w:tr>
      <w:tr w:rsidR="00893ED8" w:rsidRPr="00797379" w14:paraId="3A1896C8" w14:textId="77777777" w:rsidTr="00CE2C98">
        <w:trPr>
          <w:cnfStyle w:val="000000100000" w:firstRow="0" w:lastRow="0" w:firstColumn="0" w:lastColumn="0" w:oddVBand="0" w:evenVBand="0" w:oddHBand="1" w:evenHBand="0" w:firstRowFirstColumn="0" w:firstRowLastColumn="0" w:lastRowFirstColumn="0" w:lastRowLastColumn="0"/>
          <w:trHeight w:val="237"/>
        </w:trPr>
        <w:tc>
          <w:tcPr>
            <w:tcW w:w="420" w:type="pct"/>
            <w:hideMark/>
          </w:tcPr>
          <w:p w14:paraId="5ADE06B0" w14:textId="77777777" w:rsidR="00893ED8" w:rsidRPr="00797379" w:rsidRDefault="00893ED8" w:rsidP="00704535">
            <w:pPr>
              <w:pStyle w:val="TableSubheading"/>
              <w:spacing w:before="0" w:after="0"/>
              <w:rPr>
                <w:rFonts w:eastAsia="Times New Roman" w:cs="Times New Roman"/>
                <w:szCs w:val="20"/>
              </w:rPr>
            </w:pPr>
            <w:r w:rsidRPr="00797379">
              <w:rPr>
                <w:rFonts w:eastAsia="Times New Roman" w:cs="Times New Roman"/>
                <w:szCs w:val="20"/>
              </w:rPr>
              <w:t>11, 12</w:t>
            </w:r>
          </w:p>
        </w:tc>
        <w:tc>
          <w:tcPr>
            <w:tcW w:w="1115" w:type="pct"/>
            <w:hideMark/>
          </w:tcPr>
          <w:p w14:paraId="12B38693" w14:textId="4FBA85C0" w:rsidR="00893ED8" w:rsidRPr="00797379" w:rsidRDefault="00893ED8" w:rsidP="00704535">
            <w:pPr>
              <w:pStyle w:val="TableText"/>
              <w:spacing w:before="0" w:after="0"/>
              <w:rPr>
                <w:rFonts w:eastAsia="Times New Roman" w:cs="Times New Roman"/>
                <w:szCs w:val="20"/>
              </w:rPr>
            </w:pPr>
            <w:r w:rsidRPr="00797379">
              <w:rPr>
                <w:rFonts w:eastAsia="Times New Roman" w:cs="Times New Roman"/>
                <w:szCs w:val="20"/>
              </w:rPr>
              <w:t>Science</w:t>
            </w:r>
          </w:p>
        </w:tc>
        <w:tc>
          <w:tcPr>
            <w:tcW w:w="2467" w:type="pct"/>
            <w:hideMark/>
          </w:tcPr>
          <w:p w14:paraId="0C3E79D1" w14:textId="3CA3F7FE" w:rsidR="00893ED8" w:rsidRPr="00797379" w:rsidRDefault="00893ED8" w:rsidP="00704535">
            <w:pPr>
              <w:pStyle w:val="TableText"/>
              <w:spacing w:before="0" w:after="0"/>
              <w:rPr>
                <w:rFonts w:eastAsia="Times New Roman" w:cs="Times New Roman"/>
                <w:szCs w:val="20"/>
              </w:rPr>
            </w:pPr>
            <w:r w:rsidRPr="00797379">
              <w:rPr>
                <w:rFonts w:eastAsia="Times New Roman" w:cs="Times New Roman"/>
                <w:szCs w:val="20"/>
              </w:rPr>
              <w:t>District Developed A&amp;P</w:t>
            </w:r>
          </w:p>
        </w:tc>
        <w:tc>
          <w:tcPr>
            <w:tcW w:w="448" w:type="pct"/>
            <w:hideMark/>
          </w:tcPr>
          <w:p w14:paraId="054B7DD4" w14:textId="791C2569" w:rsidR="00893ED8" w:rsidRPr="00797379" w:rsidRDefault="00893ED8" w:rsidP="00704535">
            <w:pPr>
              <w:pStyle w:val="TableTextCentered"/>
              <w:spacing w:before="0" w:after="0"/>
              <w:rPr>
                <w:rFonts w:eastAsia="Times New Roman" w:cs="Times New Roman"/>
                <w:szCs w:val="20"/>
              </w:rPr>
            </w:pPr>
            <w:r w:rsidRPr="00797379">
              <w:rPr>
                <w:rFonts w:eastAsia="Times New Roman" w:cs="Times New Roman"/>
                <w:szCs w:val="20"/>
              </w:rPr>
              <w:t>NR</w:t>
            </w:r>
          </w:p>
        </w:tc>
        <w:tc>
          <w:tcPr>
            <w:tcW w:w="549" w:type="pct"/>
            <w:hideMark/>
          </w:tcPr>
          <w:p w14:paraId="3C26DDD2" w14:textId="47D42A93" w:rsidR="00893ED8" w:rsidRPr="00797379" w:rsidRDefault="00893ED8" w:rsidP="00704535">
            <w:pPr>
              <w:pStyle w:val="TableTextCentered"/>
              <w:spacing w:before="0" w:after="0"/>
              <w:rPr>
                <w:rFonts w:eastAsia="Times New Roman" w:cs="Times New Roman"/>
                <w:szCs w:val="20"/>
              </w:rPr>
            </w:pPr>
            <w:r w:rsidRPr="00797379">
              <w:rPr>
                <w:rFonts w:eastAsia="Times New Roman" w:cs="Times New Roman"/>
                <w:szCs w:val="20"/>
              </w:rPr>
              <w:t>NR</w:t>
            </w:r>
          </w:p>
        </w:tc>
      </w:tr>
      <w:tr w:rsidR="00893ED8" w:rsidRPr="00797379" w14:paraId="094AA36E" w14:textId="77777777" w:rsidTr="00CE2C98">
        <w:trPr>
          <w:trHeight w:val="273"/>
        </w:trPr>
        <w:tc>
          <w:tcPr>
            <w:tcW w:w="420" w:type="pct"/>
            <w:hideMark/>
          </w:tcPr>
          <w:p w14:paraId="248E5804" w14:textId="77777777" w:rsidR="00893ED8" w:rsidRPr="00797379" w:rsidRDefault="00893ED8" w:rsidP="00704535">
            <w:pPr>
              <w:pStyle w:val="TableSubheading"/>
              <w:spacing w:before="0" w:after="0"/>
              <w:rPr>
                <w:rFonts w:eastAsia="Times New Roman" w:cs="Times New Roman"/>
                <w:szCs w:val="20"/>
              </w:rPr>
            </w:pPr>
            <w:r w:rsidRPr="00797379">
              <w:rPr>
                <w:rFonts w:eastAsia="Times New Roman" w:cs="Times New Roman"/>
                <w:szCs w:val="20"/>
              </w:rPr>
              <w:t xml:space="preserve">11, 12 </w:t>
            </w:r>
          </w:p>
        </w:tc>
        <w:tc>
          <w:tcPr>
            <w:tcW w:w="1115" w:type="pct"/>
            <w:hideMark/>
          </w:tcPr>
          <w:p w14:paraId="03D36680" w14:textId="59B75738" w:rsidR="00893ED8" w:rsidRPr="00797379" w:rsidRDefault="00893ED8" w:rsidP="00704535">
            <w:pPr>
              <w:pStyle w:val="TableText"/>
              <w:spacing w:before="0" w:after="0"/>
              <w:rPr>
                <w:rFonts w:eastAsia="Times New Roman" w:cs="Times New Roman"/>
                <w:szCs w:val="20"/>
              </w:rPr>
            </w:pPr>
            <w:r w:rsidRPr="00797379">
              <w:rPr>
                <w:rFonts w:eastAsia="Times New Roman" w:cs="Times New Roman"/>
                <w:szCs w:val="20"/>
              </w:rPr>
              <w:t>Science</w:t>
            </w:r>
          </w:p>
        </w:tc>
        <w:tc>
          <w:tcPr>
            <w:tcW w:w="2467" w:type="pct"/>
            <w:hideMark/>
          </w:tcPr>
          <w:p w14:paraId="600FF631" w14:textId="3EB8D59C" w:rsidR="00893ED8" w:rsidRPr="00797379" w:rsidRDefault="00893ED8" w:rsidP="00704535">
            <w:pPr>
              <w:pStyle w:val="TableText"/>
              <w:spacing w:before="0" w:after="0"/>
              <w:rPr>
                <w:rFonts w:eastAsia="Times New Roman" w:cs="Times New Roman"/>
                <w:szCs w:val="20"/>
              </w:rPr>
            </w:pPr>
            <w:r w:rsidRPr="00797379">
              <w:rPr>
                <w:rFonts w:eastAsia="Times New Roman" w:cs="Times New Roman"/>
                <w:szCs w:val="20"/>
              </w:rPr>
              <w:t>District Developed Applied Neuroscience CP/H</w:t>
            </w:r>
          </w:p>
        </w:tc>
        <w:tc>
          <w:tcPr>
            <w:tcW w:w="448" w:type="pct"/>
            <w:hideMark/>
          </w:tcPr>
          <w:p w14:paraId="34DDDF17" w14:textId="63C5A31C" w:rsidR="00893ED8" w:rsidRPr="00797379" w:rsidRDefault="00893ED8" w:rsidP="00704535">
            <w:pPr>
              <w:pStyle w:val="TableTextCentered"/>
              <w:spacing w:before="0" w:after="0"/>
              <w:rPr>
                <w:rFonts w:eastAsia="Times New Roman" w:cs="Times New Roman"/>
                <w:szCs w:val="20"/>
              </w:rPr>
            </w:pPr>
            <w:r w:rsidRPr="00797379">
              <w:rPr>
                <w:rFonts w:eastAsia="Times New Roman" w:cs="Times New Roman"/>
                <w:szCs w:val="20"/>
              </w:rPr>
              <w:t>NR</w:t>
            </w:r>
          </w:p>
        </w:tc>
        <w:tc>
          <w:tcPr>
            <w:tcW w:w="549" w:type="pct"/>
            <w:hideMark/>
          </w:tcPr>
          <w:p w14:paraId="3EC43C50" w14:textId="300F66AE" w:rsidR="00893ED8" w:rsidRPr="00797379" w:rsidRDefault="00893ED8" w:rsidP="00704535">
            <w:pPr>
              <w:pStyle w:val="TableTextCentered"/>
              <w:spacing w:before="0" w:after="0"/>
              <w:rPr>
                <w:rFonts w:eastAsia="Times New Roman" w:cs="Times New Roman"/>
                <w:szCs w:val="20"/>
              </w:rPr>
            </w:pPr>
            <w:r w:rsidRPr="00797379">
              <w:rPr>
                <w:rFonts w:eastAsia="Times New Roman" w:cs="Times New Roman"/>
                <w:szCs w:val="20"/>
              </w:rPr>
              <w:t>NR</w:t>
            </w:r>
          </w:p>
        </w:tc>
      </w:tr>
      <w:tr w:rsidR="00893ED8" w:rsidRPr="00797379" w14:paraId="25428DD2" w14:textId="77777777" w:rsidTr="00CE2C98">
        <w:trPr>
          <w:cnfStyle w:val="000000100000" w:firstRow="0" w:lastRow="0" w:firstColumn="0" w:lastColumn="0" w:oddVBand="0" w:evenVBand="0" w:oddHBand="1" w:evenHBand="0" w:firstRowFirstColumn="0" w:firstRowLastColumn="0" w:lastRowFirstColumn="0" w:lastRowLastColumn="0"/>
          <w:trHeight w:val="264"/>
        </w:trPr>
        <w:tc>
          <w:tcPr>
            <w:tcW w:w="420" w:type="pct"/>
            <w:hideMark/>
          </w:tcPr>
          <w:p w14:paraId="0F6C68B0" w14:textId="77777777" w:rsidR="00893ED8" w:rsidRPr="00797379" w:rsidRDefault="00893ED8" w:rsidP="00704535">
            <w:pPr>
              <w:pStyle w:val="TableSubheading"/>
              <w:spacing w:before="0" w:after="0"/>
              <w:rPr>
                <w:rFonts w:eastAsia="Times New Roman" w:cs="Times New Roman"/>
                <w:szCs w:val="20"/>
              </w:rPr>
            </w:pPr>
            <w:r w:rsidRPr="00797379">
              <w:rPr>
                <w:rFonts w:eastAsia="Times New Roman" w:cs="Times New Roman"/>
                <w:szCs w:val="20"/>
              </w:rPr>
              <w:t>11, 12</w:t>
            </w:r>
          </w:p>
        </w:tc>
        <w:tc>
          <w:tcPr>
            <w:tcW w:w="1115" w:type="pct"/>
            <w:hideMark/>
          </w:tcPr>
          <w:p w14:paraId="4CF8E47B" w14:textId="77777777" w:rsidR="00893ED8" w:rsidRPr="00797379" w:rsidRDefault="00893ED8" w:rsidP="00704535">
            <w:pPr>
              <w:pStyle w:val="TableText"/>
              <w:spacing w:before="0" w:after="0"/>
              <w:rPr>
                <w:rFonts w:eastAsia="Times New Roman" w:cs="Times New Roman"/>
                <w:szCs w:val="20"/>
              </w:rPr>
            </w:pPr>
            <w:r w:rsidRPr="00797379">
              <w:rPr>
                <w:rFonts w:eastAsia="Times New Roman" w:cs="Times New Roman"/>
                <w:szCs w:val="20"/>
              </w:rPr>
              <w:t>Science</w:t>
            </w:r>
          </w:p>
        </w:tc>
        <w:tc>
          <w:tcPr>
            <w:tcW w:w="2467" w:type="pct"/>
            <w:hideMark/>
          </w:tcPr>
          <w:p w14:paraId="03621389" w14:textId="77777777" w:rsidR="00893ED8" w:rsidRPr="00797379" w:rsidRDefault="00893ED8" w:rsidP="00704535">
            <w:pPr>
              <w:pStyle w:val="TableText"/>
              <w:spacing w:before="0" w:after="0"/>
              <w:rPr>
                <w:rFonts w:eastAsia="Times New Roman" w:cs="Times New Roman"/>
                <w:szCs w:val="20"/>
              </w:rPr>
            </w:pPr>
            <w:r w:rsidRPr="00797379">
              <w:rPr>
                <w:rFonts w:eastAsia="Times New Roman" w:cs="Times New Roman"/>
                <w:szCs w:val="20"/>
              </w:rPr>
              <w:t>District Developed Marine Science CP/H</w:t>
            </w:r>
          </w:p>
        </w:tc>
        <w:tc>
          <w:tcPr>
            <w:tcW w:w="448" w:type="pct"/>
            <w:hideMark/>
          </w:tcPr>
          <w:p w14:paraId="21E43D35" w14:textId="59E2DE34" w:rsidR="00893ED8" w:rsidRPr="00797379" w:rsidRDefault="00893ED8" w:rsidP="00704535">
            <w:pPr>
              <w:pStyle w:val="TableTextCentered"/>
              <w:spacing w:before="0" w:after="0"/>
              <w:rPr>
                <w:rFonts w:eastAsia="Times New Roman" w:cs="Times New Roman"/>
                <w:szCs w:val="20"/>
              </w:rPr>
            </w:pPr>
            <w:r w:rsidRPr="00797379">
              <w:rPr>
                <w:rFonts w:eastAsia="Times New Roman" w:cs="Times New Roman"/>
                <w:szCs w:val="20"/>
              </w:rPr>
              <w:t>NR</w:t>
            </w:r>
          </w:p>
        </w:tc>
        <w:tc>
          <w:tcPr>
            <w:tcW w:w="549" w:type="pct"/>
            <w:hideMark/>
          </w:tcPr>
          <w:p w14:paraId="4C0CE1E3" w14:textId="6F73452F" w:rsidR="00893ED8" w:rsidRPr="00797379" w:rsidRDefault="00893ED8" w:rsidP="00704535">
            <w:pPr>
              <w:pStyle w:val="TableTextCentered"/>
              <w:spacing w:before="0" w:after="0"/>
              <w:rPr>
                <w:rFonts w:eastAsia="Times New Roman" w:cs="Times New Roman"/>
                <w:szCs w:val="20"/>
              </w:rPr>
            </w:pPr>
            <w:r w:rsidRPr="00797379">
              <w:rPr>
                <w:rFonts w:eastAsia="Times New Roman" w:cs="Times New Roman"/>
                <w:szCs w:val="20"/>
              </w:rPr>
              <w:t>NR</w:t>
            </w:r>
          </w:p>
        </w:tc>
      </w:tr>
      <w:tr w:rsidR="00893ED8" w:rsidRPr="00797379" w14:paraId="4A08FA79" w14:textId="77777777" w:rsidTr="00CE2C98">
        <w:trPr>
          <w:trHeight w:val="237"/>
        </w:trPr>
        <w:tc>
          <w:tcPr>
            <w:tcW w:w="420" w:type="pct"/>
            <w:hideMark/>
          </w:tcPr>
          <w:p w14:paraId="2330EF98" w14:textId="77777777" w:rsidR="00893ED8" w:rsidRPr="00797379" w:rsidRDefault="00893ED8" w:rsidP="00704535">
            <w:pPr>
              <w:pStyle w:val="TableSubheading"/>
              <w:spacing w:before="0" w:after="0"/>
              <w:rPr>
                <w:rFonts w:eastAsia="Times New Roman" w:cs="Times New Roman"/>
                <w:szCs w:val="20"/>
              </w:rPr>
            </w:pPr>
            <w:r w:rsidRPr="00797379">
              <w:rPr>
                <w:rFonts w:eastAsia="Times New Roman" w:cs="Times New Roman"/>
                <w:szCs w:val="20"/>
              </w:rPr>
              <w:t xml:space="preserve">11, 12 </w:t>
            </w:r>
          </w:p>
        </w:tc>
        <w:tc>
          <w:tcPr>
            <w:tcW w:w="1115" w:type="pct"/>
            <w:hideMark/>
          </w:tcPr>
          <w:p w14:paraId="27645138" w14:textId="77777777" w:rsidR="00893ED8" w:rsidRPr="00797379" w:rsidRDefault="00893ED8" w:rsidP="00704535">
            <w:pPr>
              <w:pStyle w:val="TableText"/>
              <w:spacing w:before="0" w:after="0"/>
              <w:rPr>
                <w:rFonts w:eastAsia="Times New Roman" w:cs="Times New Roman"/>
                <w:szCs w:val="20"/>
              </w:rPr>
            </w:pPr>
            <w:r w:rsidRPr="00797379">
              <w:rPr>
                <w:rFonts w:eastAsia="Times New Roman" w:cs="Times New Roman"/>
                <w:szCs w:val="20"/>
              </w:rPr>
              <w:t>Science</w:t>
            </w:r>
          </w:p>
        </w:tc>
        <w:tc>
          <w:tcPr>
            <w:tcW w:w="2467" w:type="pct"/>
            <w:hideMark/>
          </w:tcPr>
          <w:p w14:paraId="4E8C9142" w14:textId="77777777" w:rsidR="00893ED8" w:rsidRPr="00797379" w:rsidRDefault="00893ED8" w:rsidP="00704535">
            <w:pPr>
              <w:pStyle w:val="TableText"/>
              <w:spacing w:before="0" w:after="0"/>
              <w:rPr>
                <w:rFonts w:eastAsia="Times New Roman" w:cs="Times New Roman"/>
                <w:szCs w:val="20"/>
              </w:rPr>
            </w:pPr>
            <w:r w:rsidRPr="00797379">
              <w:rPr>
                <w:rFonts w:eastAsia="Times New Roman" w:cs="Times New Roman"/>
                <w:szCs w:val="20"/>
              </w:rPr>
              <w:t>District Developed AP Biology</w:t>
            </w:r>
          </w:p>
        </w:tc>
        <w:tc>
          <w:tcPr>
            <w:tcW w:w="448" w:type="pct"/>
            <w:hideMark/>
          </w:tcPr>
          <w:p w14:paraId="748E899B" w14:textId="3432032D" w:rsidR="00893ED8" w:rsidRPr="00797379" w:rsidRDefault="00893ED8" w:rsidP="00704535">
            <w:pPr>
              <w:pStyle w:val="TableTextCentered"/>
              <w:spacing w:before="0" w:after="0"/>
              <w:rPr>
                <w:rFonts w:eastAsia="Times New Roman" w:cs="Times New Roman"/>
                <w:szCs w:val="20"/>
              </w:rPr>
            </w:pPr>
            <w:r w:rsidRPr="00797379">
              <w:rPr>
                <w:rFonts w:eastAsia="Times New Roman" w:cs="Times New Roman"/>
                <w:szCs w:val="20"/>
              </w:rPr>
              <w:t>NR</w:t>
            </w:r>
          </w:p>
        </w:tc>
        <w:tc>
          <w:tcPr>
            <w:tcW w:w="549" w:type="pct"/>
            <w:hideMark/>
          </w:tcPr>
          <w:p w14:paraId="1B41E55E" w14:textId="7DB0ACC9" w:rsidR="00893ED8" w:rsidRPr="00797379" w:rsidRDefault="00893ED8" w:rsidP="00704535">
            <w:pPr>
              <w:pStyle w:val="TableTextCentered"/>
              <w:spacing w:before="0" w:after="0"/>
              <w:rPr>
                <w:rFonts w:eastAsia="Times New Roman" w:cs="Times New Roman"/>
                <w:szCs w:val="20"/>
              </w:rPr>
            </w:pPr>
            <w:r w:rsidRPr="00797379">
              <w:rPr>
                <w:rFonts w:eastAsia="Times New Roman" w:cs="Times New Roman"/>
                <w:szCs w:val="20"/>
              </w:rPr>
              <w:t>NR</w:t>
            </w:r>
          </w:p>
        </w:tc>
      </w:tr>
      <w:tr w:rsidR="00893ED8" w:rsidRPr="00797379" w14:paraId="15240CC2" w14:textId="77777777" w:rsidTr="00CE2C98">
        <w:trPr>
          <w:cnfStyle w:val="000000100000" w:firstRow="0" w:lastRow="0" w:firstColumn="0" w:lastColumn="0" w:oddVBand="0" w:evenVBand="0" w:oddHBand="1" w:evenHBand="0" w:firstRowFirstColumn="0" w:firstRowLastColumn="0" w:lastRowFirstColumn="0" w:lastRowLastColumn="0"/>
          <w:trHeight w:val="246"/>
        </w:trPr>
        <w:tc>
          <w:tcPr>
            <w:tcW w:w="420" w:type="pct"/>
            <w:hideMark/>
          </w:tcPr>
          <w:p w14:paraId="620D979A" w14:textId="77777777" w:rsidR="00893ED8" w:rsidRPr="00797379" w:rsidRDefault="00893ED8" w:rsidP="00704535">
            <w:pPr>
              <w:pStyle w:val="TableSubheading"/>
              <w:spacing w:before="0" w:after="0"/>
              <w:rPr>
                <w:rFonts w:eastAsia="Times New Roman" w:cs="Times New Roman"/>
                <w:szCs w:val="20"/>
              </w:rPr>
            </w:pPr>
            <w:r w:rsidRPr="00797379">
              <w:rPr>
                <w:rFonts w:eastAsia="Times New Roman" w:cs="Times New Roman"/>
                <w:szCs w:val="20"/>
              </w:rPr>
              <w:t>11, 12</w:t>
            </w:r>
          </w:p>
        </w:tc>
        <w:tc>
          <w:tcPr>
            <w:tcW w:w="1115" w:type="pct"/>
            <w:hideMark/>
          </w:tcPr>
          <w:p w14:paraId="3E7DDB97" w14:textId="77777777" w:rsidR="00893ED8" w:rsidRPr="00797379" w:rsidRDefault="00893ED8" w:rsidP="00704535">
            <w:pPr>
              <w:pStyle w:val="TableText"/>
              <w:spacing w:before="0" w:after="0"/>
              <w:rPr>
                <w:rFonts w:eastAsia="Times New Roman" w:cs="Times New Roman"/>
                <w:szCs w:val="20"/>
              </w:rPr>
            </w:pPr>
            <w:r w:rsidRPr="00797379">
              <w:rPr>
                <w:rFonts w:eastAsia="Times New Roman" w:cs="Times New Roman"/>
                <w:szCs w:val="20"/>
              </w:rPr>
              <w:t>Science</w:t>
            </w:r>
          </w:p>
        </w:tc>
        <w:tc>
          <w:tcPr>
            <w:tcW w:w="2467" w:type="pct"/>
            <w:hideMark/>
          </w:tcPr>
          <w:p w14:paraId="7D5E183A" w14:textId="77777777" w:rsidR="00893ED8" w:rsidRPr="00797379" w:rsidRDefault="00893ED8" w:rsidP="00704535">
            <w:pPr>
              <w:pStyle w:val="TableText"/>
              <w:spacing w:before="0" w:after="0"/>
              <w:rPr>
                <w:rFonts w:eastAsia="Times New Roman" w:cs="Times New Roman"/>
                <w:szCs w:val="20"/>
              </w:rPr>
            </w:pPr>
            <w:r w:rsidRPr="00797379">
              <w:rPr>
                <w:rFonts w:eastAsia="Times New Roman" w:cs="Times New Roman"/>
                <w:szCs w:val="20"/>
              </w:rPr>
              <w:t>AP Chemistry</w:t>
            </w:r>
          </w:p>
        </w:tc>
        <w:tc>
          <w:tcPr>
            <w:tcW w:w="448" w:type="pct"/>
            <w:hideMark/>
          </w:tcPr>
          <w:p w14:paraId="78FCD26B" w14:textId="5A846CBA" w:rsidR="00893ED8" w:rsidRPr="00797379" w:rsidRDefault="00893ED8" w:rsidP="00704535">
            <w:pPr>
              <w:pStyle w:val="TableTextCentered"/>
              <w:spacing w:before="0" w:after="0"/>
              <w:rPr>
                <w:rFonts w:eastAsia="Times New Roman" w:cs="Times New Roman"/>
                <w:szCs w:val="20"/>
              </w:rPr>
            </w:pPr>
            <w:r w:rsidRPr="00797379">
              <w:rPr>
                <w:rFonts w:eastAsia="Times New Roman" w:cs="Times New Roman"/>
                <w:szCs w:val="20"/>
              </w:rPr>
              <w:t>NR</w:t>
            </w:r>
          </w:p>
        </w:tc>
        <w:tc>
          <w:tcPr>
            <w:tcW w:w="549" w:type="pct"/>
            <w:hideMark/>
          </w:tcPr>
          <w:p w14:paraId="1621436B" w14:textId="254C11BC" w:rsidR="00893ED8" w:rsidRPr="00797379" w:rsidRDefault="00893ED8" w:rsidP="00704535">
            <w:pPr>
              <w:pStyle w:val="TableTextCentered"/>
              <w:spacing w:before="0" w:after="0"/>
              <w:rPr>
                <w:rFonts w:eastAsia="Times New Roman" w:cs="Times New Roman"/>
                <w:szCs w:val="20"/>
              </w:rPr>
            </w:pPr>
            <w:r w:rsidRPr="00797379">
              <w:rPr>
                <w:rFonts w:eastAsia="Times New Roman" w:cs="Times New Roman"/>
                <w:szCs w:val="20"/>
              </w:rPr>
              <w:t>NR</w:t>
            </w:r>
          </w:p>
        </w:tc>
      </w:tr>
      <w:tr w:rsidR="00893ED8" w:rsidRPr="00797379" w14:paraId="77F4B9F0" w14:textId="77777777" w:rsidTr="00CE2C98">
        <w:trPr>
          <w:trHeight w:val="246"/>
        </w:trPr>
        <w:tc>
          <w:tcPr>
            <w:tcW w:w="420" w:type="pct"/>
            <w:hideMark/>
          </w:tcPr>
          <w:p w14:paraId="4E5C5964" w14:textId="77777777" w:rsidR="00893ED8" w:rsidRPr="00797379" w:rsidRDefault="00893ED8" w:rsidP="00704535">
            <w:pPr>
              <w:pStyle w:val="TableSubheading"/>
              <w:spacing w:before="0" w:after="0"/>
              <w:rPr>
                <w:rFonts w:eastAsia="Times New Roman" w:cs="Times New Roman"/>
                <w:szCs w:val="20"/>
              </w:rPr>
            </w:pPr>
            <w:r w:rsidRPr="00797379">
              <w:rPr>
                <w:rFonts w:eastAsia="Times New Roman" w:cs="Times New Roman"/>
                <w:szCs w:val="20"/>
              </w:rPr>
              <w:t>11, 12</w:t>
            </w:r>
          </w:p>
        </w:tc>
        <w:tc>
          <w:tcPr>
            <w:tcW w:w="1115" w:type="pct"/>
            <w:hideMark/>
          </w:tcPr>
          <w:p w14:paraId="47DE2CAA" w14:textId="77777777" w:rsidR="00893ED8" w:rsidRPr="00797379" w:rsidRDefault="00893ED8" w:rsidP="00704535">
            <w:pPr>
              <w:pStyle w:val="TableText"/>
              <w:spacing w:before="0" w:after="0"/>
              <w:rPr>
                <w:rFonts w:eastAsia="Times New Roman" w:cs="Times New Roman"/>
                <w:szCs w:val="20"/>
              </w:rPr>
            </w:pPr>
            <w:r w:rsidRPr="00797379">
              <w:rPr>
                <w:rFonts w:eastAsia="Times New Roman" w:cs="Times New Roman"/>
                <w:szCs w:val="20"/>
              </w:rPr>
              <w:t>Science</w:t>
            </w:r>
          </w:p>
        </w:tc>
        <w:tc>
          <w:tcPr>
            <w:tcW w:w="2467" w:type="pct"/>
            <w:hideMark/>
          </w:tcPr>
          <w:p w14:paraId="31645FB5" w14:textId="77777777" w:rsidR="00893ED8" w:rsidRPr="00797379" w:rsidRDefault="00893ED8" w:rsidP="00704535">
            <w:pPr>
              <w:pStyle w:val="TableText"/>
              <w:spacing w:before="0" w:after="0"/>
              <w:rPr>
                <w:rFonts w:eastAsia="Times New Roman" w:cs="Times New Roman"/>
                <w:szCs w:val="20"/>
              </w:rPr>
            </w:pPr>
            <w:r w:rsidRPr="00797379">
              <w:rPr>
                <w:rFonts w:eastAsia="Times New Roman" w:cs="Times New Roman"/>
                <w:szCs w:val="20"/>
              </w:rPr>
              <w:t>AP Environmental</w:t>
            </w:r>
          </w:p>
        </w:tc>
        <w:tc>
          <w:tcPr>
            <w:tcW w:w="448" w:type="pct"/>
            <w:hideMark/>
          </w:tcPr>
          <w:p w14:paraId="29A4EF7F" w14:textId="789C7B5E" w:rsidR="00893ED8" w:rsidRPr="00797379" w:rsidRDefault="00893ED8" w:rsidP="00704535">
            <w:pPr>
              <w:pStyle w:val="TableTextCentered"/>
              <w:spacing w:before="0" w:after="0"/>
              <w:rPr>
                <w:rFonts w:eastAsia="Times New Roman" w:cs="Times New Roman"/>
                <w:szCs w:val="20"/>
              </w:rPr>
            </w:pPr>
            <w:r w:rsidRPr="00797379">
              <w:rPr>
                <w:rFonts w:eastAsia="Times New Roman" w:cs="Times New Roman"/>
                <w:szCs w:val="20"/>
              </w:rPr>
              <w:t>NR</w:t>
            </w:r>
          </w:p>
        </w:tc>
        <w:tc>
          <w:tcPr>
            <w:tcW w:w="549" w:type="pct"/>
            <w:hideMark/>
          </w:tcPr>
          <w:p w14:paraId="3784AD2F" w14:textId="2635C9C6" w:rsidR="00893ED8" w:rsidRPr="00797379" w:rsidRDefault="00893ED8" w:rsidP="00704535">
            <w:pPr>
              <w:pStyle w:val="TableTextCentered"/>
              <w:spacing w:before="0" w:after="0"/>
              <w:rPr>
                <w:rFonts w:eastAsia="Times New Roman" w:cs="Times New Roman"/>
                <w:szCs w:val="20"/>
              </w:rPr>
            </w:pPr>
            <w:r w:rsidRPr="00797379">
              <w:rPr>
                <w:rFonts w:eastAsia="Times New Roman" w:cs="Times New Roman"/>
                <w:szCs w:val="20"/>
              </w:rPr>
              <w:t>NR</w:t>
            </w:r>
          </w:p>
        </w:tc>
      </w:tr>
      <w:tr w:rsidR="00893ED8" w:rsidRPr="00797379" w14:paraId="299132DE" w14:textId="77777777" w:rsidTr="00CE2C98">
        <w:trPr>
          <w:cnfStyle w:val="000000100000" w:firstRow="0" w:lastRow="0" w:firstColumn="0" w:lastColumn="0" w:oddVBand="0" w:evenVBand="0" w:oddHBand="1" w:evenHBand="0" w:firstRowFirstColumn="0" w:firstRowLastColumn="0" w:lastRowFirstColumn="0" w:lastRowLastColumn="0"/>
          <w:trHeight w:val="255"/>
        </w:trPr>
        <w:tc>
          <w:tcPr>
            <w:tcW w:w="420" w:type="pct"/>
            <w:hideMark/>
          </w:tcPr>
          <w:p w14:paraId="1E4917BE" w14:textId="77777777" w:rsidR="00893ED8" w:rsidRPr="00797379" w:rsidRDefault="00893ED8" w:rsidP="00704535">
            <w:pPr>
              <w:pStyle w:val="TableSubheading"/>
              <w:spacing w:before="0" w:after="0"/>
              <w:rPr>
                <w:rFonts w:eastAsia="Times New Roman" w:cs="Times New Roman"/>
                <w:szCs w:val="20"/>
              </w:rPr>
            </w:pPr>
            <w:r w:rsidRPr="00797379">
              <w:rPr>
                <w:rFonts w:eastAsia="Times New Roman" w:cs="Times New Roman"/>
                <w:szCs w:val="20"/>
              </w:rPr>
              <w:t>12</w:t>
            </w:r>
          </w:p>
        </w:tc>
        <w:tc>
          <w:tcPr>
            <w:tcW w:w="1115" w:type="pct"/>
            <w:hideMark/>
          </w:tcPr>
          <w:p w14:paraId="752093EF" w14:textId="77777777" w:rsidR="00893ED8" w:rsidRPr="00797379" w:rsidRDefault="00893ED8" w:rsidP="00704535">
            <w:pPr>
              <w:pStyle w:val="TableText"/>
              <w:spacing w:before="0" w:after="0"/>
              <w:rPr>
                <w:rFonts w:eastAsia="Times New Roman" w:cs="Times New Roman"/>
                <w:szCs w:val="20"/>
              </w:rPr>
            </w:pPr>
            <w:r w:rsidRPr="00797379">
              <w:rPr>
                <w:rFonts w:eastAsia="Times New Roman" w:cs="Times New Roman"/>
                <w:szCs w:val="20"/>
              </w:rPr>
              <w:t>Science</w:t>
            </w:r>
          </w:p>
        </w:tc>
        <w:tc>
          <w:tcPr>
            <w:tcW w:w="2467" w:type="pct"/>
            <w:hideMark/>
          </w:tcPr>
          <w:p w14:paraId="7DD835B3" w14:textId="77777777" w:rsidR="00893ED8" w:rsidRPr="00797379" w:rsidRDefault="00893ED8" w:rsidP="00704535">
            <w:pPr>
              <w:pStyle w:val="TableText"/>
              <w:spacing w:before="0" w:after="0"/>
              <w:rPr>
                <w:rFonts w:eastAsia="Times New Roman" w:cs="Times New Roman"/>
                <w:szCs w:val="20"/>
              </w:rPr>
            </w:pPr>
            <w:r w:rsidRPr="00797379">
              <w:rPr>
                <w:rFonts w:eastAsia="Times New Roman" w:cs="Times New Roman"/>
                <w:szCs w:val="20"/>
              </w:rPr>
              <w:t>Forensics CP</w:t>
            </w:r>
          </w:p>
        </w:tc>
        <w:tc>
          <w:tcPr>
            <w:tcW w:w="448" w:type="pct"/>
            <w:hideMark/>
          </w:tcPr>
          <w:p w14:paraId="5BA7E2D5" w14:textId="4A91A62B" w:rsidR="00893ED8" w:rsidRPr="00797379" w:rsidRDefault="00893ED8" w:rsidP="00704535">
            <w:pPr>
              <w:pStyle w:val="TableTextCentered"/>
              <w:spacing w:before="0" w:after="0"/>
              <w:rPr>
                <w:rFonts w:eastAsia="Times New Roman" w:cs="Times New Roman"/>
                <w:szCs w:val="20"/>
              </w:rPr>
            </w:pPr>
            <w:r w:rsidRPr="00797379">
              <w:rPr>
                <w:rFonts w:eastAsia="Times New Roman" w:cs="Times New Roman"/>
                <w:szCs w:val="20"/>
              </w:rPr>
              <w:t>NR</w:t>
            </w:r>
          </w:p>
        </w:tc>
        <w:tc>
          <w:tcPr>
            <w:tcW w:w="549" w:type="pct"/>
            <w:hideMark/>
          </w:tcPr>
          <w:p w14:paraId="52B5F552" w14:textId="50A08F32" w:rsidR="00893ED8" w:rsidRPr="00797379" w:rsidRDefault="00893ED8" w:rsidP="00704535">
            <w:pPr>
              <w:pStyle w:val="TableTextCentered"/>
              <w:spacing w:before="0" w:after="0"/>
              <w:rPr>
                <w:rFonts w:eastAsia="Times New Roman" w:cs="Times New Roman"/>
                <w:szCs w:val="20"/>
              </w:rPr>
            </w:pPr>
            <w:r w:rsidRPr="00797379">
              <w:rPr>
                <w:rFonts w:eastAsia="Times New Roman" w:cs="Times New Roman"/>
                <w:szCs w:val="20"/>
              </w:rPr>
              <w:t>NR</w:t>
            </w:r>
          </w:p>
        </w:tc>
      </w:tr>
      <w:tr w:rsidR="00893ED8" w:rsidRPr="00797379" w14:paraId="62E0D57B" w14:textId="77777777" w:rsidTr="00CE2C98">
        <w:trPr>
          <w:trHeight w:val="264"/>
        </w:trPr>
        <w:tc>
          <w:tcPr>
            <w:tcW w:w="420" w:type="pct"/>
            <w:hideMark/>
          </w:tcPr>
          <w:p w14:paraId="42592D97" w14:textId="77777777" w:rsidR="00893ED8" w:rsidRPr="00797379" w:rsidRDefault="00893ED8" w:rsidP="00704535">
            <w:pPr>
              <w:pStyle w:val="TableSubheading"/>
              <w:spacing w:before="0" w:after="0"/>
              <w:rPr>
                <w:rFonts w:eastAsia="Times New Roman" w:cs="Times New Roman"/>
                <w:szCs w:val="20"/>
              </w:rPr>
            </w:pPr>
            <w:r w:rsidRPr="00797379">
              <w:rPr>
                <w:rFonts w:eastAsia="Times New Roman" w:cs="Times New Roman"/>
                <w:szCs w:val="20"/>
              </w:rPr>
              <w:t>12</w:t>
            </w:r>
          </w:p>
        </w:tc>
        <w:tc>
          <w:tcPr>
            <w:tcW w:w="1115" w:type="pct"/>
            <w:hideMark/>
          </w:tcPr>
          <w:p w14:paraId="7236C382" w14:textId="77777777" w:rsidR="00893ED8" w:rsidRPr="00797379" w:rsidRDefault="00893ED8" w:rsidP="00704535">
            <w:pPr>
              <w:pStyle w:val="TableText"/>
              <w:spacing w:before="0" w:after="0"/>
              <w:rPr>
                <w:rFonts w:eastAsia="Times New Roman" w:cs="Times New Roman"/>
                <w:szCs w:val="20"/>
              </w:rPr>
            </w:pPr>
            <w:r w:rsidRPr="00797379">
              <w:rPr>
                <w:rFonts w:eastAsia="Times New Roman" w:cs="Times New Roman"/>
                <w:szCs w:val="20"/>
              </w:rPr>
              <w:t>Science</w:t>
            </w:r>
          </w:p>
        </w:tc>
        <w:tc>
          <w:tcPr>
            <w:tcW w:w="2467" w:type="pct"/>
            <w:hideMark/>
          </w:tcPr>
          <w:p w14:paraId="39F74145" w14:textId="77777777" w:rsidR="00893ED8" w:rsidRPr="00797379" w:rsidRDefault="00893ED8" w:rsidP="00704535">
            <w:pPr>
              <w:pStyle w:val="TableText"/>
              <w:spacing w:before="0" w:after="0"/>
              <w:rPr>
                <w:rFonts w:eastAsia="Times New Roman" w:cs="Times New Roman"/>
                <w:szCs w:val="20"/>
              </w:rPr>
            </w:pPr>
            <w:r w:rsidRPr="00797379">
              <w:rPr>
                <w:rFonts w:eastAsia="Times New Roman" w:cs="Times New Roman"/>
                <w:szCs w:val="20"/>
              </w:rPr>
              <w:t>AP Physics</w:t>
            </w:r>
          </w:p>
        </w:tc>
        <w:tc>
          <w:tcPr>
            <w:tcW w:w="448" w:type="pct"/>
            <w:hideMark/>
          </w:tcPr>
          <w:p w14:paraId="71FA8205" w14:textId="3AA24742" w:rsidR="00893ED8" w:rsidRPr="00797379" w:rsidRDefault="00893ED8" w:rsidP="00704535">
            <w:pPr>
              <w:pStyle w:val="TableTextCentered"/>
              <w:spacing w:before="0" w:after="0"/>
              <w:rPr>
                <w:rFonts w:eastAsia="Times New Roman" w:cs="Times New Roman"/>
                <w:szCs w:val="20"/>
              </w:rPr>
            </w:pPr>
            <w:r w:rsidRPr="00797379">
              <w:rPr>
                <w:rFonts w:eastAsia="Times New Roman" w:cs="Times New Roman"/>
                <w:szCs w:val="20"/>
              </w:rPr>
              <w:t>NR</w:t>
            </w:r>
          </w:p>
        </w:tc>
        <w:tc>
          <w:tcPr>
            <w:tcW w:w="549" w:type="pct"/>
            <w:hideMark/>
          </w:tcPr>
          <w:p w14:paraId="325ADD19" w14:textId="7E947D7F" w:rsidR="00893ED8" w:rsidRPr="00797379" w:rsidRDefault="00893ED8" w:rsidP="00704535">
            <w:pPr>
              <w:pStyle w:val="TableTextCentered"/>
              <w:spacing w:before="0" w:after="0"/>
              <w:rPr>
                <w:rFonts w:eastAsia="Times New Roman" w:cs="Times New Roman"/>
                <w:szCs w:val="20"/>
              </w:rPr>
            </w:pPr>
            <w:r w:rsidRPr="00797379">
              <w:rPr>
                <w:rFonts w:eastAsia="Times New Roman" w:cs="Times New Roman"/>
                <w:szCs w:val="20"/>
              </w:rPr>
              <w:t>NR</w:t>
            </w:r>
          </w:p>
        </w:tc>
      </w:tr>
      <w:tr w:rsidR="00893ED8" w:rsidRPr="00797379" w14:paraId="79C9462E" w14:textId="77777777" w:rsidTr="00CE2C98">
        <w:trPr>
          <w:cnfStyle w:val="000000100000" w:firstRow="0" w:lastRow="0" w:firstColumn="0" w:lastColumn="0" w:oddVBand="0" w:evenVBand="0" w:oddHBand="1" w:evenHBand="0" w:firstRowFirstColumn="0" w:firstRowLastColumn="0" w:lastRowFirstColumn="0" w:lastRowLastColumn="0"/>
          <w:trHeight w:val="255"/>
        </w:trPr>
        <w:tc>
          <w:tcPr>
            <w:tcW w:w="420" w:type="pct"/>
            <w:hideMark/>
          </w:tcPr>
          <w:p w14:paraId="1568B3C7" w14:textId="41400947" w:rsidR="00893ED8" w:rsidRPr="00797379" w:rsidRDefault="00893ED8" w:rsidP="00704535">
            <w:pPr>
              <w:pStyle w:val="TableSubheading"/>
              <w:spacing w:before="0" w:after="0"/>
              <w:rPr>
                <w:rFonts w:eastAsia="Times New Roman" w:cs="Times New Roman"/>
                <w:szCs w:val="20"/>
              </w:rPr>
            </w:pPr>
            <w:r w:rsidRPr="00797379">
              <w:rPr>
                <w:rFonts w:eastAsia="Times New Roman" w:cs="Times New Roman"/>
                <w:szCs w:val="20"/>
              </w:rPr>
              <w:t>K-</w:t>
            </w:r>
            <w:r>
              <w:rPr>
                <w:rFonts w:eastAsia="Times New Roman" w:cs="Times New Roman"/>
                <w:szCs w:val="20"/>
              </w:rPr>
              <w:t>12</w:t>
            </w:r>
          </w:p>
        </w:tc>
        <w:tc>
          <w:tcPr>
            <w:tcW w:w="1115" w:type="pct"/>
            <w:hideMark/>
          </w:tcPr>
          <w:p w14:paraId="6CC58F77" w14:textId="77777777" w:rsidR="00893ED8" w:rsidRPr="00797379" w:rsidRDefault="00893ED8" w:rsidP="00704535">
            <w:pPr>
              <w:pStyle w:val="TableText"/>
              <w:spacing w:before="0" w:after="0"/>
              <w:rPr>
                <w:rFonts w:eastAsia="Times New Roman" w:cs="Times New Roman"/>
                <w:szCs w:val="20"/>
              </w:rPr>
            </w:pPr>
            <w:r w:rsidRPr="00797379">
              <w:rPr>
                <w:rFonts w:eastAsia="Times New Roman" w:cs="Times New Roman"/>
                <w:szCs w:val="20"/>
              </w:rPr>
              <w:t>Social Studies</w:t>
            </w:r>
          </w:p>
        </w:tc>
        <w:tc>
          <w:tcPr>
            <w:tcW w:w="2467" w:type="pct"/>
            <w:hideMark/>
          </w:tcPr>
          <w:p w14:paraId="721DAE94" w14:textId="77777777" w:rsidR="00893ED8" w:rsidRPr="00797379" w:rsidRDefault="00893ED8" w:rsidP="00704535">
            <w:pPr>
              <w:pStyle w:val="TableText"/>
              <w:spacing w:before="0" w:after="0"/>
              <w:rPr>
                <w:rFonts w:eastAsia="Times New Roman" w:cs="Times New Roman"/>
                <w:szCs w:val="20"/>
              </w:rPr>
            </w:pPr>
            <w:r w:rsidRPr="00797379">
              <w:rPr>
                <w:rFonts w:eastAsia="Times New Roman" w:cs="Times New Roman"/>
                <w:szCs w:val="20"/>
              </w:rPr>
              <w:t xml:space="preserve">District Developed </w:t>
            </w:r>
          </w:p>
        </w:tc>
        <w:tc>
          <w:tcPr>
            <w:tcW w:w="448" w:type="pct"/>
            <w:hideMark/>
          </w:tcPr>
          <w:p w14:paraId="0522EA91" w14:textId="696B1B3A" w:rsidR="00893ED8" w:rsidRPr="00797379" w:rsidRDefault="00893ED8" w:rsidP="00704535">
            <w:pPr>
              <w:pStyle w:val="TableTextCentered"/>
              <w:spacing w:before="0" w:after="0"/>
              <w:rPr>
                <w:rFonts w:eastAsia="Times New Roman" w:cs="Times New Roman"/>
                <w:szCs w:val="20"/>
              </w:rPr>
            </w:pPr>
            <w:r w:rsidRPr="00797379">
              <w:rPr>
                <w:rFonts w:eastAsia="Times New Roman" w:cs="Times New Roman"/>
                <w:szCs w:val="20"/>
              </w:rPr>
              <w:t>NR</w:t>
            </w:r>
          </w:p>
        </w:tc>
        <w:tc>
          <w:tcPr>
            <w:tcW w:w="549" w:type="pct"/>
            <w:hideMark/>
          </w:tcPr>
          <w:p w14:paraId="278D7B8B" w14:textId="4D007CFA" w:rsidR="00893ED8" w:rsidRPr="00797379" w:rsidRDefault="00893ED8" w:rsidP="00704535">
            <w:pPr>
              <w:pStyle w:val="TableTextCentered"/>
              <w:spacing w:before="0" w:after="0"/>
              <w:rPr>
                <w:rFonts w:eastAsia="Times New Roman" w:cs="Times New Roman"/>
                <w:szCs w:val="20"/>
              </w:rPr>
            </w:pPr>
            <w:r w:rsidRPr="00797379">
              <w:rPr>
                <w:rFonts w:eastAsia="Times New Roman" w:cs="Times New Roman"/>
                <w:szCs w:val="20"/>
              </w:rPr>
              <w:t>NR</w:t>
            </w:r>
          </w:p>
        </w:tc>
      </w:tr>
    </w:tbl>
    <w:p w14:paraId="34B0FF73" w14:textId="42176FA0" w:rsidR="00091985" w:rsidRPr="00797379" w:rsidRDefault="006F2AA0" w:rsidP="00E97B0F">
      <w:pPr>
        <w:pStyle w:val="BodyTextposthead"/>
        <w:spacing w:line="240" w:lineRule="auto"/>
        <w:rPr>
          <w:sz w:val="20"/>
          <w:szCs w:val="20"/>
        </w:rPr>
      </w:pPr>
      <w:r w:rsidRPr="00797379">
        <w:rPr>
          <w:i/>
          <w:iCs/>
          <w:sz w:val="20"/>
          <w:szCs w:val="20"/>
        </w:rPr>
        <w:t>Note</w:t>
      </w:r>
      <w:r w:rsidRPr="00797379">
        <w:rPr>
          <w:sz w:val="20"/>
          <w:szCs w:val="20"/>
        </w:rPr>
        <w:t xml:space="preserve">: </w:t>
      </w:r>
      <w:r w:rsidR="00E97B0F">
        <w:rPr>
          <w:sz w:val="20"/>
          <w:szCs w:val="20"/>
        </w:rPr>
        <w:t>*Previous publications of these curricula were rated as Meets Expectations on CURATE but the updated versions were not yet rated;</w:t>
      </w:r>
      <w:r w:rsidRPr="00797379">
        <w:rPr>
          <w:sz w:val="20"/>
          <w:szCs w:val="20"/>
        </w:rPr>
        <w:t xml:space="preserve"> </w:t>
      </w:r>
      <w:r w:rsidR="64E96642" w:rsidRPr="00797379">
        <w:rPr>
          <w:sz w:val="20"/>
          <w:szCs w:val="20"/>
        </w:rPr>
        <w:t xml:space="preserve">CURATE = CUrriculum RAtings by TEachers; </w:t>
      </w:r>
      <w:r w:rsidR="001D1132" w:rsidRPr="00797379">
        <w:rPr>
          <w:sz w:val="20"/>
          <w:szCs w:val="20"/>
        </w:rPr>
        <w:t>ELA = English language arts; NR = Not Rated; PM = Partially Meets Expectations; DNM = Does Not Meet</w:t>
      </w:r>
      <w:r w:rsidR="00A85BE2">
        <w:rPr>
          <w:sz w:val="20"/>
          <w:szCs w:val="20"/>
        </w:rPr>
        <w:t xml:space="preserve"> Expectations</w:t>
      </w:r>
      <w:r w:rsidR="001D1132" w:rsidRPr="00797379">
        <w:rPr>
          <w:sz w:val="20"/>
          <w:szCs w:val="20"/>
        </w:rPr>
        <w:t xml:space="preserve">; </w:t>
      </w:r>
      <w:r w:rsidRPr="00797379">
        <w:rPr>
          <w:sz w:val="20"/>
          <w:szCs w:val="20"/>
        </w:rPr>
        <w:t>ME</w:t>
      </w:r>
      <w:r w:rsidR="00416BC2" w:rsidRPr="00797379">
        <w:rPr>
          <w:sz w:val="20"/>
          <w:szCs w:val="20"/>
        </w:rPr>
        <w:t xml:space="preserve"> </w:t>
      </w:r>
      <w:r w:rsidRPr="00797379">
        <w:rPr>
          <w:sz w:val="20"/>
          <w:szCs w:val="20"/>
        </w:rPr>
        <w:t>=</w:t>
      </w:r>
      <w:r w:rsidR="00416BC2" w:rsidRPr="00797379">
        <w:rPr>
          <w:sz w:val="20"/>
          <w:szCs w:val="20"/>
        </w:rPr>
        <w:t xml:space="preserve"> </w:t>
      </w:r>
      <w:r w:rsidRPr="00797379">
        <w:rPr>
          <w:sz w:val="20"/>
          <w:szCs w:val="20"/>
        </w:rPr>
        <w:t>Meets Expectations; PM</w:t>
      </w:r>
      <w:r w:rsidR="00416BC2" w:rsidRPr="00797379">
        <w:rPr>
          <w:sz w:val="20"/>
          <w:szCs w:val="20"/>
        </w:rPr>
        <w:t xml:space="preserve"> </w:t>
      </w:r>
      <w:r w:rsidRPr="00797379">
        <w:rPr>
          <w:sz w:val="20"/>
          <w:szCs w:val="20"/>
        </w:rPr>
        <w:t>=</w:t>
      </w:r>
      <w:r w:rsidR="00416BC2" w:rsidRPr="00797379">
        <w:rPr>
          <w:sz w:val="20"/>
          <w:szCs w:val="20"/>
        </w:rPr>
        <w:t xml:space="preserve"> </w:t>
      </w:r>
      <w:r w:rsidRPr="00797379">
        <w:rPr>
          <w:sz w:val="20"/>
          <w:szCs w:val="20"/>
        </w:rPr>
        <w:t>Partially Meets Expectations</w:t>
      </w:r>
      <w:r w:rsidR="00C32231" w:rsidRPr="00797379">
        <w:rPr>
          <w:sz w:val="20"/>
          <w:szCs w:val="20"/>
        </w:rPr>
        <w:t xml:space="preserve">; </w:t>
      </w:r>
      <w:r w:rsidR="00091985" w:rsidRPr="00797379">
        <w:rPr>
          <w:sz w:val="20"/>
          <w:szCs w:val="20"/>
        </w:rPr>
        <w:t>EL = English language</w:t>
      </w:r>
      <w:r w:rsidR="001D1132" w:rsidRPr="00797379">
        <w:rPr>
          <w:sz w:val="20"/>
          <w:szCs w:val="20"/>
        </w:rPr>
        <w:t xml:space="preserve">; AP </w:t>
      </w:r>
      <w:r w:rsidR="00BE7BD3" w:rsidRPr="00797379">
        <w:rPr>
          <w:sz w:val="20"/>
          <w:szCs w:val="20"/>
        </w:rPr>
        <w:t>= Advanced Placement</w:t>
      </w:r>
      <w:r w:rsidR="001D1132" w:rsidRPr="00797379">
        <w:rPr>
          <w:sz w:val="20"/>
          <w:szCs w:val="20"/>
        </w:rPr>
        <w:t>; A&amp;P</w:t>
      </w:r>
      <w:r w:rsidR="00480C88">
        <w:rPr>
          <w:sz w:val="20"/>
          <w:szCs w:val="20"/>
        </w:rPr>
        <w:t xml:space="preserve"> = </w:t>
      </w:r>
      <w:r w:rsidR="0006721F" w:rsidRPr="00797379">
        <w:rPr>
          <w:sz w:val="20"/>
          <w:szCs w:val="20"/>
        </w:rPr>
        <w:t>Anatomy &amp; Physiology</w:t>
      </w:r>
      <w:r w:rsidR="001D1132" w:rsidRPr="00797379">
        <w:rPr>
          <w:sz w:val="20"/>
          <w:szCs w:val="20"/>
        </w:rPr>
        <w:t xml:space="preserve">; CP/H </w:t>
      </w:r>
      <w:r w:rsidR="00480C88">
        <w:rPr>
          <w:sz w:val="20"/>
          <w:szCs w:val="20"/>
        </w:rPr>
        <w:t xml:space="preserve">= </w:t>
      </w:r>
      <w:r w:rsidR="0006721F" w:rsidRPr="00797379">
        <w:rPr>
          <w:sz w:val="20"/>
          <w:szCs w:val="20"/>
        </w:rPr>
        <w:t xml:space="preserve">College </w:t>
      </w:r>
      <w:r w:rsidR="00C01EBE" w:rsidRPr="00797379">
        <w:rPr>
          <w:sz w:val="20"/>
          <w:szCs w:val="20"/>
        </w:rPr>
        <w:t>Preparatory</w:t>
      </w:r>
      <w:r w:rsidR="0006721F" w:rsidRPr="00797379">
        <w:rPr>
          <w:sz w:val="20"/>
          <w:szCs w:val="20"/>
        </w:rPr>
        <w:t>/Honors</w:t>
      </w:r>
      <w:r w:rsidR="001D1132" w:rsidRPr="00797379">
        <w:rPr>
          <w:sz w:val="20"/>
          <w:szCs w:val="20"/>
        </w:rPr>
        <w:t>, CP</w:t>
      </w:r>
      <w:r w:rsidR="00480C88">
        <w:rPr>
          <w:sz w:val="20"/>
          <w:szCs w:val="20"/>
        </w:rPr>
        <w:t xml:space="preserve"> = </w:t>
      </w:r>
      <w:r w:rsidR="007C7496" w:rsidRPr="00797379">
        <w:rPr>
          <w:sz w:val="20"/>
          <w:szCs w:val="20"/>
        </w:rPr>
        <w:t xml:space="preserve">College </w:t>
      </w:r>
      <w:r w:rsidR="00C01EBE" w:rsidRPr="00797379">
        <w:rPr>
          <w:sz w:val="20"/>
          <w:szCs w:val="20"/>
        </w:rPr>
        <w:t>Preparatory</w:t>
      </w:r>
      <w:r w:rsidR="001D1132" w:rsidRPr="00797379">
        <w:rPr>
          <w:sz w:val="20"/>
          <w:szCs w:val="20"/>
        </w:rPr>
        <w:t>.</w:t>
      </w:r>
    </w:p>
    <w:p w14:paraId="0320F1A3" w14:textId="68B8B2B8" w:rsidR="00C711B7" w:rsidRPr="00960B8E" w:rsidRDefault="00C711B7" w:rsidP="007C0C96">
      <w:pPr>
        <w:pStyle w:val="BodyText"/>
      </w:pPr>
      <w:bookmarkStart w:id="46" w:name="_Student_Access_to"/>
      <w:bookmarkStart w:id="47" w:name="_Equitable_Practices_and"/>
      <w:bookmarkEnd w:id="46"/>
      <w:bookmarkEnd w:id="47"/>
      <w:r w:rsidRPr="00797379">
        <w:t xml:space="preserve">According to district leaders, </w:t>
      </w:r>
      <w:r w:rsidR="00A35F6B" w:rsidRPr="00797379">
        <w:t xml:space="preserve">there is an effort </w:t>
      </w:r>
      <w:r w:rsidR="004603D5" w:rsidRPr="00797379">
        <w:t xml:space="preserve">to </w:t>
      </w:r>
      <w:r w:rsidR="007E0F59" w:rsidRPr="00797379">
        <w:t>ensur</w:t>
      </w:r>
      <w:r w:rsidR="004603D5" w:rsidRPr="00797379">
        <w:t>e</w:t>
      </w:r>
      <w:r w:rsidR="007E0F59" w:rsidRPr="00797379">
        <w:t xml:space="preserve"> curriculum is vertically aligned</w:t>
      </w:r>
      <w:r w:rsidR="004603D5" w:rsidRPr="00797379">
        <w:t>. One d</w:t>
      </w:r>
      <w:r w:rsidRPr="00797379">
        <w:t xml:space="preserve">istrict leader </w:t>
      </w:r>
      <w:r w:rsidR="004603D5" w:rsidRPr="00797379">
        <w:t>said</w:t>
      </w:r>
      <w:r w:rsidRPr="00797379">
        <w:t xml:space="preserve"> they “have work to do still with the vertical [alignment] from elementary to secondary</w:t>
      </w:r>
      <w:r w:rsidR="004603D5" w:rsidRPr="00797379">
        <w:t>,</w:t>
      </w:r>
      <w:r w:rsidRPr="00797379">
        <w:t xml:space="preserve">” but </w:t>
      </w:r>
      <w:r w:rsidR="004603D5" w:rsidRPr="00797379">
        <w:t>recently hired</w:t>
      </w:r>
      <w:r w:rsidRPr="00797379">
        <w:t xml:space="preserve"> curriculum coordinators </w:t>
      </w:r>
      <w:r w:rsidR="004603D5" w:rsidRPr="00797379">
        <w:t xml:space="preserve">have </w:t>
      </w:r>
      <w:r w:rsidRPr="00797379">
        <w:t>improved this process.</w:t>
      </w:r>
      <w:r w:rsidR="00B22DD1" w:rsidRPr="00797379">
        <w:t xml:space="preserve"> </w:t>
      </w:r>
      <w:r w:rsidR="007A03BA" w:rsidRPr="00797379">
        <w:t xml:space="preserve">Curriculum leaders reported </w:t>
      </w:r>
      <w:r w:rsidR="004603D5" w:rsidRPr="00797379">
        <w:t xml:space="preserve">the </w:t>
      </w:r>
      <w:r w:rsidR="007A03BA" w:rsidRPr="00797379">
        <w:t xml:space="preserve">pilot </w:t>
      </w:r>
      <w:r w:rsidR="004603D5" w:rsidRPr="00797379">
        <w:t xml:space="preserve">of </w:t>
      </w:r>
      <w:r w:rsidR="007A03BA" w:rsidRPr="00797379">
        <w:t xml:space="preserve">the </w:t>
      </w:r>
      <w:r w:rsidR="001C456A" w:rsidRPr="00797379">
        <w:t xml:space="preserve">two </w:t>
      </w:r>
      <w:r w:rsidR="007A03BA" w:rsidRPr="00797379">
        <w:t xml:space="preserve">new </w:t>
      </w:r>
      <w:r w:rsidR="004603D5" w:rsidRPr="00797379">
        <w:t xml:space="preserve">Grades </w:t>
      </w:r>
      <w:r w:rsidR="007A03BA" w:rsidRPr="00797379">
        <w:t>K-5 ELA curriculum has improve</w:t>
      </w:r>
      <w:r w:rsidR="004603D5" w:rsidRPr="00797379">
        <w:t>d</w:t>
      </w:r>
      <w:r w:rsidR="007A03BA" w:rsidRPr="00797379">
        <w:t xml:space="preserve"> vertical alignment at the elementa</w:t>
      </w:r>
      <w:r w:rsidR="007A03BA" w:rsidRPr="00960B8E">
        <w:t>ry level</w:t>
      </w:r>
      <w:r w:rsidR="007D47F2" w:rsidRPr="00960B8E">
        <w:t xml:space="preserve"> by ensuring </w:t>
      </w:r>
      <w:r w:rsidR="00781C35" w:rsidRPr="00960B8E">
        <w:t>all grade levels are using a standard curriculum</w:t>
      </w:r>
      <w:r w:rsidR="007A03BA" w:rsidRPr="00960B8E">
        <w:t xml:space="preserve">. </w:t>
      </w:r>
      <w:r w:rsidR="004603D5" w:rsidRPr="00960B8E">
        <w:t xml:space="preserve">One leader </w:t>
      </w:r>
      <w:r w:rsidR="006A3480" w:rsidRPr="00960B8E">
        <w:t xml:space="preserve">noted that vertical alignment for </w:t>
      </w:r>
      <w:r w:rsidR="004603D5" w:rsidRPr="00960B8E">
        <w:t xml:space="preserve">Grades </w:t>
      </w:r>
      <w:r w:rsidR="006A3480" w:rsidRPr="00960B8E">
        <w:t>6-12 is “</w:t>
      </w:r>
      <w:r w:rsidR="001C28E0" w:rsidRPr="00960B8E">
        <w:t xml:space="preserve">a little bit stronger” </w:t>
      </w:r>
      <w:r w:rsidR="004603D5" w:rsidRPr="00960B8E">
        <w:t>because the</w:t>
      </w:r>
      <w:r w:rsidR="001C28E0" w:rsidRPr="00960B8E">
        <w:t xml:space="preserve"> secondary curriculum coordinators are also </w:t>
      </w:r>
      <w:r w:rsidR="004603D5" w:rsidRPr="00960B8E">
        <w:t xml:space="preserve">the </w:t>
      </w:r>
      <w:r w:rsidR="001C28E0" w:rsidRPr="00960B8E">
        <w:t>evaluators</w:t>
      </w:r>
      <w:r w:rsidR="006A35E9" w:rsidRPr="00960B8E">
        <w:t xml:space="preserve">, </w:t>
      </w:r>
      <w:r w:rsidR="004603D5" w:rsidRPr="00960B8E">
        <w:t xml:space="preserve">and they are </w:t>
      </w:r>
      <w:r w:rsidR="006A35E9" w:rsidRPr="00960B8E">
        <w:t xml:space="preserve">providing feedback </w:t>
      </w:r>
      <w:r w:rsidR="004603D5" w:rsidRPr="00960B8E">
        <w:t>on</w:t>
      </w:r>
      <w:r w:rsidR="006A35E9" w:rsidRPr="00960B8E">
        <w:t xml:space="preserve"> implementation and alignment. </w:t>
      </w:r>
      <w:r w:rsidR="007A03BA" w:rsidRPr="00960B8E">
        <w:t>Secondary t</w:t>
      </w:r>
      <w:r w:rsidR="00B22DD1" w:rsidRPr="00960B8E">
        <w:t xml:space="preserve">eachers reported that vertical alignment </w:t>
      </w:r>
      <w:r w:rsidR="007A03BA" w:rsidRPr="00960B8E">
        <w:t>is</w:t>
      </w:r>
      <w:r w:rsidR="00B22DD1" w:rsidRPr="00960B8E">
        <w:t xml:space="preserve"> a focus </w:t>
      </w:r>
      <w:r w:rsidR="004603D5" w:rsidRPr="00960B8E">
        <w:t xml:space="preserve">in </w:t>
      </w:r>
      <w:r w:rsidR="00B22DD1" w:rsidRPr="00960B8E">
        <w:t>common planning time</w:t>
      </w:r>
      <w:r w:rsidR="004603D5" w:rsidRPr="00960B8E">
        <w:t>.</w:t>
      </w:r>
      <w:r w:rsidR="009E4177" w:rsidRPr="00960B8E">
        <w:t xml:space="preserve"> </w:t>
      </w:r>
      <w:r w:rsidR="004603D5" w:rsidRPr="00960B8E">
        <w:t>D</w:t>
      </w:r>
      <w:r w:rsidR="009E4177" w:rsidRPr="00960B8E">
        <w:t xml:space="preserve">epartments are working </w:t>
      </w:r>
      <w:r w:rsidR="009D27CC" w:rsidRPr="00960B8E">
        <w:t xml:space="preserve">toward </w:t>
      </w:r>
      <w:r w:rsidR="009E4177" w:rsidRPr="00960B8E">
        <w:t>alignment through all levels.</w:t>
      </w:r>
      <w:r w:rsidRPr="00960B8E">
        <w:t xml:space="preserve"> </w:t>
      </w:r>
      <w:r w:rsidR="006A35E9" w:rsidRPr="00960B8E">
        <w:t>V</w:t>
      </w:r>
      <w:r w:rsidR="00CB6282" w:rsidRPr="00960B8E">
        <w:t>ertical alignment</w:t>
      </w:r>
      <w:r w:rsidR="00A9775E" w:rsidRPr="00960B8E">
        <w:t xml:space="preserve"> of curriculum</w:t>
      </w:r>
      <w:r w:rsidR="006A35E9" w:rsidRPr="00960B8E">
        <w:t xml:space="preserve">, especially from elementary to secondary, </w:t>
      </w:r>
      <w:r w:rsidR="00CB6282" w:rsidRPr="00960B8E">
        <w:t>is still an area for growth for the district</w:t>
      </w:r>
      <w:r w:rsidR="007C0C96" w:rsidRPr="00960B8E">
        <w:t>.</w:t>
      </w:r>
    </w:p>
    <w:p w14:paraId="00CDB7F6" w14:textId="5B493C95" w:rsidR="00CD3927" w:rsidRPr="00797379" w:rsidRDefault="00C711B7" w:rsidP="007C0C96">
      <w:pPr>
        <w:pStyle w:val="BodyText"/>
      </w:pPr>
      <w:r w:rsidRPr="00797379">
        <w:t xml:space="preserve">The district is piloting </w:t>
      </w:r>
      <w:r w:rsidR="001C456A" w:rsidRPr="00797379">
        <w:t xml:space="preserve">the </w:t>
      </w:r>
      <w:r w:rsidRPr="00797379">
        <w:t>two new K-5 ELA curricula</w:t>
      </w:r>
      <w:r w:rsidR="001C456A" w:rsidRPr="00797379">
        <w:t xml:space="preserve"> because the </w:t>
      </w:r>
      <w:r w:rsidRPr="00797379">
        <w:t xml:space="preserve">community </w:t>
      </w:r>
      <w:r w:rsidR="001C456A" w:rsidRPr="00797379">
        <w:t xml:space="preserve">had </w:t>
      </w:r>
      <w:r w:rsidR="00BA31D3" w:rsidRPr="00797379">
        <w:t xml:space="preserve">concerns </w:t>
      </w:r>
      <w:r w:rsidR="001C456A" w:rsidRPr="00797379">
        <w:t>about the</w:t>
      </w:r>
      <w:r w:rsidR="00274126" w:rsidRPr="00797379">
        <w:t xml:space="preserve"> </w:t>
      </w:r>
      <w:r w:rsidR="00B24019">
        <w:t>lack</w:t>
      </w:r>
      <w:r w:rsidR="00274126" w:rsidRPr="00797379">
        <w:t xml:space="preserve"> </w:t>
      </w:r>
      <w:r w:rsidR="00960B8E">
        <w:t xml:space="preserve">of </w:t>
      </w:r>
      <w:r w:rsidR="00274126" w:rsidRPr="00797379">
        <w:t xml:space="preserve">evidence-based </w:t>
      </w:r>
      <w:r w:rsidRPr="00797379">
        <w:t>literacy</w:t>
      </w:r>
      <w:r w:rsidR="00274126" w:rsidRPr="00797379">
        <w:t xml:space="preserve"> programs</w:t>
      </w:r>
      <w:r w:rsidR="006A6BB4" w:rsidRPr="00797379">
        <w:t xml:space="preserve"> used in the district</w:t>
      </w:r>
      <w:r w:rsidRPr="00797379">
        <w:t xml:space="preserve">. The district </w:t>
      </w:r>
      <w:r w:rsidR="003F3771" w:rsidRPr="00797379">
        <w:t xml:space="preserve">created </w:t>
      </w:r>
      <w:r w:rsidRPr="00797379">
        <w:t xml:space="preserve">a curriculum review team </w:t>
      </w:r>
      <w:r w:rsidR="003F3771" w:rsidRPr="00797379">
        <w:t>comprising</w:t>
      </w:r>
      <w:r w:rsidRPr="00797379">
        <w:t xml:space="preserve"> district and school leaders, teachers, special educators, and multilingual learner educators. This committee</w:t>
      </w:r>
      <w:r w:rsidR="003F3771" w:rsidRPr="00797379">
        <w:t>,</w:t>
      </w:r>
      <w:r w:rsidRPr="00797379">
        <w:t xml:space="preserve"> focused on curricula grounded in the Science of Reading</w:t>
      </w:r>
      <w:r w:rsidR="003F3771" w:rsidRPr="00797379">
        <w:t>,</w:t>
      </w:r>
      <w:r w:rsidRPr="00797379">
        <w:t xml:space="preserve"> selected EL </w:t>
      </w:r>
      <w:r w:rsidR="001C456A" w:rsidRPr="00797379">
        <w:t xml:space="preserve">Education </w:t>
      </w:r>
      <w:r w:rsidRPr="00797379">
        <w:t>and Arts and Letters as the two curricula to pilot</w:t>
      </w:r>
      <w:r w:rsidR="001C456A" w:rsidRPr="00797379">
        <w:t xml:space="preserve"> (see Table 4)</w:t>
      </w:r>
      <w:r w:rsidRPr="00797379">
        <w:t xml:space="preserve">. Elementary teachers </w:t>
      </w:r>
      <w:r w:rsidR="001C456A" w:rsidRPr="00797379">
        <w:t xml:space="preserve">will </w:t>
      </w:r>
      <w:r w:rsidRPr="00797379">
        <w:t>provid</w:t>
      </w:r>
      <w:r w:rsidR="001C456A" w:rsidRPr="00797379">
        <w:t>e</w:t>
      </w:r>
      <w:r w:rsidRPr="00797379">
        <w:t xml:space="preserve"> feedback to the district throughout the year, and the district will </w:t>
      </w:r>
      <w:r w:rsidR="00891B25" w:rsidRPr="00797379">
        <w:t>choose</w:t>
      </w:r>
      <w:r w:rsidRPr="00797379">
        <w:t xml:space="preserve"> </w:t>
      </w:r>
      <w:r w:rsidR="001C456A" w:rsidRPr="00797379">
        <w:t>which</w:t>
      </w:r>
      <w:r w:rsidRPr="00797379">
        <w:t xml:space="preserve"> piloted curricula to implement in the 2026-</w:t>
      </w:r>
      <w:r w:rsidR="001C456A" w:rsidRPr="00797379">
        <w:t>20</w:t>
      </w:r>
      <w:r w:rsidRPr="00797379">
        <w:t>27 school year</w:t>
      </w:r>
      <w:r w:rsidR="00CD3927" w:rsidRPr="00797379">
        <w:t>.</w:t>
      </w:r>
    </w:p>
    <w:p w14:paraId="518421C4" w14:textId="3B5BC0E0" w:rsidR="00C711B7" w:rsidRPr="00797379" w:rsidRDefault="00C711B7" w:rsidP="007C0C96">
      <w:pPr>
        <w:pStyle w:val="BodyText"/>
      </w:pPr>
      <w:r w:rsidRPr="00797379">
        <w:t xml:space="preserve">The district </w:t>
      </w:r>
      <w:r w:rsidR="006C2F85" w:rsidRPr="00797379">
        <w:t xml:space="preserve">has </w:t>
      </w:r>
      <w:r w:rsidRPr="00797379">
        <w:t>demonstrate</w:t>
      </w:r>
      <w:r w:rsidR="006C2F85" w:rsidRPr="00797379">
        <w:t>d</w:t>
      </w:r>
      <w:r w:rsidRPr="00797379">
        <w:t xml:space="preserve"> meaningful progress toward adopting and implementing high</w:t>
      </w:r>
      <w:r w:rsidR="006C2F85" w:rsidRPr="00797379">
        <w:t>-</w:t>
      </w:r>
      <w:r w:rsidRPr="00797379">
        <w:t xml:space="preserve">quality </w:t>
      </w:r>
      <w:r w:rsidR="007A42AC" w:rsidRPr="00797379">
        <w:t>curricul</w:t>
      </w:r>
      <w:r w:rsidR="006F0C21" w:rsidRPr="00797379">
        <w:t>a</w:t>
      </w:r>
      <w:r w:rsidR="007A42AC" w:rsidRPr="00797379">
        <w:t xml:space="preserve"> programs</w:t>
      </w:r>
      <w:r w:rsidR="00D8315C" w:rsidRPr="00797379">
        <w:t>—</w:t>
      </w:r>
      <w:r w:rsidRPr="00797379">
        <w:t xml:space="preserve">several programs </w:t>
      </w:r>
      <w:r w:rsidR="00D8315C" w:rsidRPr="00797379">
        <w:t xml:space="preserve">have </w:t>
      </w:r>
      <w:r w:rsidRPr="00797379">
        <w:t>align</w:t>
      </w:r>
      <w:r w:rsidR="00D8315C" w:rsidRPr="00797379">
        <w:t>ed</w:t>
      </w:r>
      <w:r w:rsidRPr="00797379">
        <w:t xml:space="preserve"> well </w:t>
      </w:r>
      <w:r w:rsidR="00D8315C" w:rsidRPr="00797379">
        <w:t>with</w:t>
      </w:r>
      <w:r w:rsidRPr="00797379">
        <w:t xml:space="preserve"> external indicators of rigor. </w:t>
      </w:r>
      <w:r w:rsidR="00227D94" w:rsidRPr="00797379">
        <w:t xml:space="preserve">A review of </w:t>
      </w:r>
      <w:r w:rsidRPr="00797379">
        <w:t>district curriculum document</w:t>
      </w:r>
      <w:r w:rsidR="00227D94" w:rsidRPr="00797379">
        <w:t>s</w:t>
      </w:r>
      <w:r w:rsidRPr="00797379">
        <w:t xml:space="preserve"> show</w:t>
      </w:r>
      <w:r w:rsidR="00227D94" w:rsidRPr="00797379">
        <w:t>ed</w:t>
      </w:r>
      <w:r w:rsidRPr="00797379">
        <w:t xml:space="preserve"> </w:t>
      </w:r>
      <w:r w:rsidR="00227D94" w:rsidRPr="00797379">
        <w:t xml:space="preserve">that </w:t>
      </w:r>
      <w:r w:rsidRPr="00797379">
        <w:t xml:space="preserve">materials </w:t>
      </w:r>
      <w:r w:rsidR="009D103C" w:rsidRPr="00797379">
        <w:t>(e.g.,</w:t>
      </w:r>
      <w:r w:rsidRPr="00797379">
        <w:t xml:space="preserve"> Everyday Math and </w:t>
      </w:r>
      <w:r w:rsidR="008E703E" w:rsidRPr="00797379">
        <w:t>University of Florida Literacy Institute</w:t>
      </w:r>
      <w:r w:rsidR="009D103C" w:rsidRPr="00797379">
        <w:t>,</w:t>
      </w:r>
      <w:r w:rsidRPr="00797379">
        <w:t xml:space="preserve"> both of which meet expectations on EdReports</w:t>
      </w:r>
      <w:r w:rsidR="009D103C" w:rsidRPr="00797379">
        <w:t>)</w:t>
      </w:r>
      <w:r w:rsidRPr="00797379">
        <w:t xml:space="preserve"> support strong instruction. </w:t>
      </w:r>
      <w:r w:rsidR="00E41688" w:rsidRPr="00797379">
        <w:t>T</w:t>
      </w:r>
      <w:r w:rsidRPr="00797379">
        <w:t xml:space="preserve">he district’s </w:t>
      </w:r>
      <w:r w:rsidR="00E41688" w:rsidRPr="00797379">
        <w:t>c</w:t>
      </w:r>
      <w:r w:rsidRPr="00797379">
        <w:t xml:space="preserve">urriculum </w:t>
      </w:r>
      <w:r w:rsidR="00E41688" w:rsidRPr="00797379">
        <w:t>c</w:t>
      </w:r>
      <w:r w:rsidRPr="00797379">
        <w:t>hecklist reinforces important quality standards</w:t>
      </w:r>
      <w:r w:rsidR="00E41688" w:rsidRPr="00797379">
        <w:t xml:space="preserve"> by </w:t>
      </w:r>
      <w:r w:rsidRPr="00797379">
        <w:t>requiring that materials align to grade</w:t>
      </w:r>
      <w:r w:rsidR="00E41688" w:rsidRPr="00797379">
        <w:t>-</w:t>
      </w:r>
      <w:r w:rsidRPr="00797379">
        <w:t xml:space="preserve">level expectations, promote student engagement, and reflect cultural responsiveness. </w:t>
      </w:r>
      <w:r w:rsidR="00B82756" w:rsidRPr="00797379">
        <w:t>One d</w:t>
      </w:r>
      <w:r w:rsidRPr="00797379">
        <w:t>istrict leader reported</w:t>
      </w:r>
      <w:r w:rsidR="00B82756" w:rsidRPr="00797379">
        <w:t>:</w:t>
      </w:r>
      <w:r w:rsidRPr="00797379">
        <w:t xml:space="preserve"> “</w:t>
      </w:r>
      <w:r w:rsidR="00B82756" w:rsidRPr="00797379">
        <w:t>T</w:t>
      </w:r>
      <w:r w:rsidRPr="00797379">
        <w:t>here are high</w:t>
      </w:r>
      <w:r w:rsidR="00B82756" w:rsidRPr="00797379">
        <w:t>-</w:t>
      </w:r>
      <w:r w:rsidRPr="00797379">
        <w:t xml:space="preserve">quality instructional materials being used, very standards based, very much rooted in just your observation forms and the teacher rubric, best practices, but they have been internally made and put together.” </w:t>
      </w:r>
    </w:p>
    <w:p w14:paraId="6C312274" w14:textId="0DDF20AA" w:rsidR="00BA6115" w:rsidRDefault="007B67E8" w:rsidP="007C0C96">
      <w:pPr>
        <w:pStyle w:val="BodyText"/>
      </w:pPr>
      <w:r w:rsidRPr="00797379">
        <w:t>In WPS, t</w:t>
      </w:r>
      <w:r w:rsidR="00C711B7" w:rsidRPr="00797379">
        <w:t xml:space="preserve">he implementation of </w:t>
      </w:r>
      <w:r w:rsidR="00192D42" w:rsidRPr="00797379">
        <w:t>high-quality</w:t>
      </w:r>
      <w:r w:rsidR="00F0247D" w:rsidRPr="00797379">
        <w:t xml:space="preserve"> </w:t>
      </w:r>
      <w:r w:rsidR="000030D1" w:rsidRPr="00797379">
        <w:t xml:space="preserve">curricula </w:t>
      </w:r>
      <w:r w:rsidR="00F0247D" w:rsidRPr="00797379">
        <w:t>programs</w:t>
      </w:r>
      <w:r w:rsidR="00C711B7" w:rsidRPr="00797379">
        <w:t xml:space="preserve"> varies across subject areas and grade levels</w:t>
      </w:r>
      <w:r w:rsidR="000030D1" w:rsidRPr="00797379">
        <w:t>.</w:t>
      </w:r>
      <w:r w:rsidR="00C711B7" w:rsidRPr="00797379">
        <w:t xml:space="preserve"> Some programs that do not meet expectation</w:t>
      </w:r>
      <w:r w:rsidRPr="00797379">
        <w:t>s</w:t>
      </w:r>
      <w:r w:rsidR="00FC3593">
        <w:t xml:space="preserve"> on CURATE and EdReports</w:t>
      </w:r>
      <w:r w:rsidR="00C711B7" w:rsidRPr="00797379">
        <w:t>, such as Units of Study in ELA, remain in partial use during the transition to more evidence</w:t>
      </w:r>
      <w:r w:rsidR="00CA4884" w:rsidRPr="00797379">
        <w:t>-</w:t>
      </w:r>
      <w:r w:rsidR="00C711B7" w:rsidRPr="00797379">
        <w:t>based options</w:t>
      </w:r>
      <w:r w:rsidR="000030D1" w:rsidRPr="00797379">
        <w:t xml:space="preserve"> currently being piloted</w:t>
      </w:r>
      <w:r w:rsidR="00C711B7" w:rsidRPr="00797379">
        <w:t xml:space="preserve">. </w:t>
      </w:r>
      <w:r w:rsidR="00AD2D63" w:rsidRPr="00797379">
        <w:t xml:space="preserve">According to district leaders, teachers, and curriculum documents, </w:t>
      </w:r>
      <w:r w:rsidR="000030D1" w:rsidRPr="00797379">
        <w:t xml:space="preserve">curricula </w:t>
      </w:r>
      <w:r w:rsidR="00030263" w:rsidRPr="00797379">
        <w:t xml:space="preserve">at the secondary level is mainly teacher- and district-developed. </w:t>
      </w:r>
      <w:r w:rsidR="00CA4884" w:rsidRPr="00797379">
        <w:t>According to teachers and district leaders, t</w:t>
      </w:r>
      <w:r w:rsidR="00A46E03" w:rsidRPr="00797379">
        <w:t>he d</w:t>
      </w:r>
      <w:r w:rsidR="00C711B7" w:rsidRPr="00797379">
        <w:t>istrict</w:t>
      </w:r>
      <w:r w:rsidR="00CA4884" w:rsidRPr="00797379">
        <w:t>-</w:t>
      </w:r>
      <w:r w:rsidR="00C711B7" w:rsidRPr="00797379">
        <w:t>developed curricula</w:t>
      </w:r>
      <w:r w:rsidR="00A46E03" w:rsidRPr="00797379">
        <w:t xml:space="preserve"> </w:t>
      </w:r>
      <w:r w:rsidR="000030D1" w:rsidRPr="00797379">
        <w:t>are</w:t>
      </w:r>
      <w:r w:rsidR="00C711B7" w:rsidRPr="00797379">
        <w:t xml:space="preserve"> aligned to state standards, despite not being rated. </w:t>
      </w:r>
      <w:r w:rsidR="00CA4884" w:rsidRPr="00797379">
        <w:t>T</w:t>
      </w:r>
      <w:r w:rsidR="00A46E03" w:rsidRPr="00797379">
        <w:t xml:space="preserve">eachers </w:t>
      </w:r>
      <w:r w:rsidR="00CA4884" w:rsidRPr="00797379">
        <w:t xml:space="preserve">also </w:t>
      </w:r>
      <w:r w:rsidR="00A46E03" w:rsidRPr="00797379">
        <w:t>reported</w:t>
      </w:r>
      <w:r w:rsidR="00C711B7" w:rsidRPr="00797379">
        <w:t xml:space="preserve"> </w:t>
      </w:r>
      <w:r w:rsidR="00891CA9" w:rsidRPr="00797379">
        <w:t>using</w:t>
      </w:r>
      <w:r w:rsidR="00C711B7" w:rsidRPr="00797379">
        <w:t xml:space="preserve"> </w:t>
      </w:r>
      <w:r w:rsidR="00891CA9" w:rsidRPr="00797379">
        <w:t xml:space="preserve">standards-aligned </w:t>
      </w:r>
      <w:r w:rsidR="00C711B7" w:rsidRPr="00797379">
        <w:t>supplemental materials in the upper grades</w:t>
      </w:r>
      <w:r w:rsidR="00891CA9" w:rsidRPr="00797379">
        <w:t xml:space="preserve">, but they said their focus is on </w:t>
      </w:r>
      <w:r w:rsidR="006F0D81" w:rsidRPr="00797379">
        <w:t>expanding the implementation of rated curricula across the district</w:t>
      </w:r>
      <w:r w:rsidR="006F0D81">
        <w:t xml:space="preserve">. </w:t>
      </w:r>
    </w:p>
    <w:p w14:paraId="55102D46" w14:textId="2958F1D0" w:rsidR="00C711B7" w:rsidRPr="00797379" w:rsidRDefault="000C4EDA" w:rsidP="007C0C96">
      <w:pPr>
        <w:pStyle w:val="BodyText"/>
        <w:rPr>
          <w:color w:val="EE0000"/>
        </w:rPr>
      </w:pPr>
      <w:r>
        <w:t xml:space="preserve">AIR’s classroom observations </w:t>
      </w:r>
      <w:r w:rsidRPr="00797379">
        <w:t xml:space="preserve">indicated teachers were using HQIM </w:t>
      </w:r>
      <w:r w:rsidR="001C04F3">
        <w:t>(as rated by CURATE and EdReports)</w:t>
      </w:r>
      <w:r w:rsidRPr="00797379">
        <w:t xml:space="preserve"> in 24 percent of all observed classrooms. These rates varied by grade level: teachers were clearly using HQIM in 41 percent of elementary (Grades K-5) classrooms observed,</w:t>
      </w:r>
      <w:r w:rsidR="00BA6115">
        <w:t xml:space="preserve"> </w:t>
      </w:r>
      <w:r w:rsidRPr="00797379">
        <w:t>in 5 percent of middle school (Grades 6-8) classrooms observed, and in 15 percent of high school (Grades 9-12) classrooms observed. These rates also varied by content: teachers were clearly using HQIM in 39 percent of ELA lessons in classrooms observed, and in 28 percent of mathematics lessons in classrooms observed.</w:t>
      </w:r>
      <w:r w:rsidR="00BA6115">
        <w:t xml:space="preserve"> </w:t>
      </w:r>
      <w:r w:rsidR="000030D1" w:rsidRPr="00BA6115">
        <w:t xml:space="preserve">Implementing high-quality instructional materials </w:t>
      </w:r>
      <w:r w:rsidR="006A703C" w:rsidRPr="00BA6115">
        <w:t xml:space="preserve">(HQIM) </w:t>
      </w:r>
      <w:r w:rsidR="000030D1" w:rsidRPr="00BA6115">
        <w:t>across grade levels is an area for growth for the district.</w:t>
      </w:r>
    </w:p>
    <w:p w14:paraId="5B29549C" w14:textId="27F6E60D" w:rsidR="00473308" w:rsidRPr="00797379" w:rsidRDefault="0037284E" w:rsidP="007C0C96">
      <w:pPr>
        <w:pStyle w:val="Heading3"/>
      </w:pPr>
      <w:r w:rsidRPr="00797379">
        <w:t>Equitable Practices and</w:t>
      </w:r>
      <w:r w:rsidR="00473308" w:rsidRPr="00797379">
        <w:t xml:space="preserve"> Acces</w:t>
      </w:r>
      <w:r w:rsidRPr="00797379">
        <w:t>s</w:t>
      </w:r>
    </w:p>
    <w:p w14:paraId="4D0A0E82" w14:textId="12534F0E" w:rsidR="00F74E1C" w:rsidRPr="00797379" w:rsidRDefault="00C03AF6" w:rsidP="00BA6115">
      <w:pPr>
        <w:pStyle w:val="BodyTextposthead"/>
        <w:spacing w:before="240"/>
      </w:pPr>
      <w:r w:rsidRPr="00797379">
        <w:t xml:space="preserve">Winchester Public Schools has established a </w:t>
      </w:r>
      <w:r w:rsidR="006819FD" w:rsidRPr="00797379">
        <w:t>M</w:t>
      </w:r>
      <w:r w:rsidRPr="00797379">
        <w:t>ulti-</w:t>
      </w:r>
      <w:r w:rsidR="006819FD" w:rsidRPr="00797379">
        <w:t>T</w:t>
      </w:r>
      <w:r w:rsidRPr="00797379">
        <w:t xml:space="preserve">iered </w:t>
      </w:r>
      <w:r w:rsidR="006819FD" w:rsidRPr="00797379">
        <w:t>S</w:t>
      </w:r>
      <w:r w:rsidRPr="00797379">
        <w:t xml:space="preserve">ystem of </w:t>
      </w:r>
      <w:r w:rsidR="006819FD" w:rsidRPr="00797379">
        <w:t>S</w:t>
      </w:r>
      <w:r w:rsidRPr="00797379">
        <w:t xml:space="preserve">upports (MTSS) that provides academic interventions at </w:t>
      </w:r>
      <w:r w:rsidR="006819FD" w:rsidRPr="00797379">
        <w:t xml:space="preserve">different </w:t>
      </w:r>
      <w:r w:rsidRPr="00797379">
        <w:t xml:space="preserve">levels of intensity. At Tier 1, </w:t>
      </w:r>
      <w:r w:rsidR="006819FD" w:rsidRPr="00797379">
        <w:t xml:space="preserve">for example, </w:t>
      </w:r>
      <w:r w:rsidRPr="00797379">
        <w:t xml:space="preserve">all students receive standards-aligned instruction through evidence-based curricula in literacy and math. </w:t>
      </w:r>
      <w:r w:rsidR="006819FD" w:rsidRPr="00797379">
        <w:t>According to district curriculum leaders, t</w:t>
      </w:r>
      <w:r w:rsidRPr="00797379">
        <w:t xml:space="preserve">he district has </w:t>
      </w:r>
      <w:r w:rsidR="006819FD" w:rsidRPr="00797379">
        <w:t>hired</w:t>
      </w:r>
      <w:r w:rsidRPr="00797379">
        <w:t xml:space="preserve"> literacy and math coordinators to ensure consistency and fidelity of implementation across classrooms. </w:t>
      </w:r>
    </w:p>
    <w:p w14:paraId="574E8A3C" w14:textId="2AE7DD08" w:rsidR="001C223B" w:rsidRPr="00797379" w:rsidRDefault="00F74E1C" w:rsidP="00BA6115">
      <w:pPr>
        <w:pStyle w:val="BodyText"/>
        <w:rPr>
          <w:color w:val="538135" w:themeColor="accent6" w:themeShade="BF"/>
        </w:rPr>
      </w:pPr>
      <w:r w:rsidRPr="00797379">
        <w:t xml:space="preserve">At the elementary level, </w:t>
      </w:r>
      <w:r w:rsidR="00C03AF6" w:rsidRPr="00797379">
        <w:t xml:space="preserve">Tier 2 interventions include small-group instruction delivered by reading </w:t>
      </w:r>
      <w:r w:rsidR="006771DA" w:rsidRPr="00797379">
        <w:t xml:space="preserve">and math </w:t>
      </w:r>
      <w:r w:rsidR="00C03AF6" w:rsidRPr="00797379">
        <w:t>specialists</w:t>
      </w:r>
      <w:r w:rsidR="0053767F" w:rsidRPr="00797379">
        <w:t>.</w:t>
      </w:r>
      <w:r w:rsidR="00C03AF6" w:rsidRPr="00797379">
        <w:t xml:space="preserve"> </w:t>
      </w:r>
      <w:r w:rsidR="0053767F" w:rsidRPr="00797379">
        <w:t>T</w:t>
      </w:r>
      <w:r w:rsidR="00C03AF6" w:rsidRPr="00797379">
        <w:t>argeted skill-building sessions</w:t>
      </w:r>
      <w:r w:rsidR="0053767F" w:rsidRPr="00797379">
        <w:t xml:space="preserve"> are</w:t>
      </w:r>
      <w:r w:rsidR="00C03AF6" w:rsidRPr="00797379">
        <w:t xml:space="preserve"> facilitated by </w:t>
      </w:r>
      <w:r w:rsidR="0053767F" w:rsidRPr="00797379">
        <w:t xml:space="preserve">social-emotional learning </w:t>
      </w:r>
      <w:r w:rsidR="00C03AF6" w:rsidRPr="00797379">
        <w:t xml:space="preserve">coaches and counselors. At the Tier 3 level, </w:t>
      </w:r>
      <w:r w:rsidR="00EE5A7E" w:rsidRPr="00797379">
        <w:t xml:space="preserve">student </w:t>
      </w:r>
      <w:r w:rsidR="00C03AF6" w:rsidRPr="00797379">
        <w:t xml:space="preserve">interventions become more specialized and individualized, often incorporating structured programs </w:t>
      </w:r>
      <w:r w:rsidR="003B39DC" w:rsidRPr="00797379">
        <w:t>(e.g.,</w:t>
      </w:r>
      <w:r w:rsidR="00C03AF6" w:rsidRPr="00797379">
        <w:t xml:space="preserve"> Wilson, Orton-Gillingham, </w:t>
      </w:r>
      <w:r w:rsidR="003B39DC" w:rsidRPr="00797379">
        <w:t xml:space="preserve">or </w:t>
      </w:r>
      <w:r w:rsidR="00C03AF6" w:rsidRPr="00797379">
        <w:t>Lindamood</w:t>
      </w:r>
      <w:r w:rsidR="003B39DC" w:rsidRPr="00797379">
        <w:t>-</w:t>
      </w:r>
      <w:r w:rsidR="00C03AF6" w:rsidRPr="00797379">
        <w:t>Bell</w:t>
      </w:r>
      <w:r w:rsidR="003B39DC" w:rsidRPr="00797379">
        <w:t xml:space="preserve"> programs</w:t>
      </w:r>
      <w:r w:rsidR="00C03AF6" w:rsidRPr="00797379">
        <w:t xml:space="preserve"> for students with significant reading challenges at the elementary levels</w:t>
      </w:r>
      <w:r w:rsidR="003B39DC" w:rsidRPr="00797379">
        <w:t>)</w:t>
      </w:r>
      <w:r w:rsidR="00C03AF6" w:rsidRPr="00797379">
        <w:t xml:space="preserve">. These interventions are designed to address phonological processing and other foundational skills critical for literacy development. </w:t>
      </w:r>
      <w:r w:rsidR="001C223B" w:rsidRPr="00BA6115">
        <w:t xml:space="preserve">The established tiered interventions at the elementary level </w:t>
      </w:r>
      <w:r w:rsidR="00EE6032" w:rsidRPr="00BA6115">
        <w:t>are</w:t>
      </w:r>
      <w:r w:rsidR="001C223B" w:rsidRPr="00BA6115">
        <w:t xml:space="preserve"> a strength for the district.</w:t>
      </w:r>
    </w:p>
    <w:p w14:paraId="6A4FFB32" w14:textId="4A032824" w:rsidR="00CD3927" w:rsidRPr="00BA6115" w:rsidRDefault="00C03AF6" w:rsidP="00BA6115">
      <w:pPr>
        <w:pStyle w:val="BodyText"/>
      </w:pPr>
      <w:r w:rsidRPr="00797379">
        <w:t xml:space="preserve">Tier 2 supports </w:t>
      </w:r>
      <w:r w:rsidR="00B06816" w:rsidRPr="00797379">
        <w:t xml:space="preserve">at the secondary level </w:t>
      </w:r>
      <w:r w:rsidRPr="00797379">
        <w:t xml:space="preserve">are an area that the district is working </w:t>
      </w:r>
      <w:r w:rsidR="000010DA" w:rsidRPr="00797379">
        <w:t>to strengthen</w:t>
      </w:r>
      <w:r w:rsidRPr="00797379">
        <w:t xml:space="preserve">. </w:t>
      </w:r>
      <w:r w:rsidR="006E6535" w:rsidRPr="00797379">
        <w:t>Teachers</w:t>
      </w:r>
      <w:r w:rsidR="005969E3" w:rsidRPr="00797379">
        <w:t xml:space="preserve"> did not mention Tier 2 interventions</w:t>
      </w:r>
      <w:r w:rsidR="00853D48" w:rsidRPr="00797379">
        <w:t xml:space="preserve"> at the middle school, but t</w:t>
      </w:r>
      <w:r w:rsidR="006E6535" w:rsidRPr="00797379">
        <w:t>hey r</w:t>
      </w:r>
      <w:r w:rsidR="00161DE6" w:rsidRPr="00797379">
        <w:t xml:space="preserve">eported </w:t>
      </w:r>
      <w:r w:rsidR="009F3FE9" w:rsidRPr="00797379">
        <w:t>a</w:t>
      </w:r>
      <w:r w:rsidR="006E6535" w:rsidRPr="00797379">
        <w:t xml:space="preserve"> Tier 3 intervention</w:t>
      </w:r>
      <w:r w:rsidR="00853D48" w:rsidRPr="00797379">
        <w:t>:</w:t>
      </w:r>
      <w:r w:rsidR="006E6535" w:rsidRPr="00797379">
        <w:t xml:space="preserve"> </w:t>
      </w:r>
      <w:r w:rsidR="00161DE6" w:rsidRPr="00797379">
        <w:t xml:space="preserve">individualized, one-on-one meetings with students during </w:t>
      </w:r>
      <w:r w:rsidR="00853D48" w:rsidRPr="00797379">
        <w:t>WIN/F</w:t>
      </w:r>
      <w:r w:rsidR="00161DE6" w:rsidRPr="00797379">
        <w:t>lex</w:t>
      </w:r>
      <w:r w:rsidR="006E6535" w:rsidRPr="00797379">
        <w:t xml:space="preserve"> </w:t>
      </w:r>
      <w:r w:rsidR="00853D48" w:rsidRPr="00797379">
        <w:t>B</w:t>
      </w:r>
      <w:r w:rsidR="00161DE6" w:rsidRPr="00797379">
        <w:t>lock</w:t>
      </w:r>
      <w:r w:rsidR="00853D48" w:rsidRPr="00797379">
        <w:t>s</w:t>
      </w:r>
      <w:r w:rsidR="007F102C" w:rsidRPr="00797379">
        <w:t xml:space="preserve">. </w:t>
      </w:r>
      <w:r w:rsidR="009F3FE9" w:rsidRPr="00797379">
        <w:t>A review of</w:t>
      </w:r>
      <w:r w:rsidRPr="00797379" w:rsidDel="00126529">
        <w:t xml:space="preserve"> </w:t>
      </w:r>
      <w:r w:rsidR="00126529">
        <w:t>the high school Student Support Flow Chart</w:t>
      </w:r>
      <w:r w:rsidRPr="00797379">
        <w:t xml:space="preserve"> </w:t>
      </w:r>
      <w:r w:rsidR="009F3FE9" w:rsidRPr="00797379">
        <w:t>show</w:t>
      </w:r>
      <w:r w:rsidR="00853D48" w:rsidRPr="00797379">
        <w:t>ed</w:t>
      </w:r>
      <w:r w:rsidR="009F3FE9" w:rsidRPr="00797379">
        <w:t xml:space="preserve"> that </w:t>
      </w:r>
      <w:r w:rsidR="003632DE">
        <w:t>the</w:t>
      </w:r>
      <w:r w:rsidR="003632DE" w:rsidRPr="00797379">
        <w:t xml:space="preserve"> </w:t>
      </w:r>
      <w:r w:rsidRPr="00797379">
        <w:t>Tier 2 intervention</w:t>
      </w:r>
      <w:r w:rsidR="003632DE">
        <w:t>s available</w:t>
      </w:r>
      <w:r w:rsidRPr="00797379">
        <w:t xml:space="preserve"> at the high school </w:t>
      </w:r>
      <w:r w:rsidR="003632DE">
        <w:t>are</w:t>
      </w:r>
      <w:r w:rsidR="003632DE" w:rsidRPr="00797379">
        <w:t xml:space="preserve"> </w:t>
      </w:r>
      <w:r w:rsidRPr="00797379">
        <w:t>504 evaluations</w:t>
      </w:r>
      <w:r w:rsidR="003632DE">
        <w:t xml:space="preserve"> and</w:t>
      </w:r>
      <w:r w:rsidRPr="00797379">
        <w:t xml:space="preserve"> </w:t>
      </w:r>
      <w:r w:rsidR="009F3FE9" w:rsidRPr="00797379">
        <w:t>a</w:t>
      </w:r>
      <w:r w:rsidR="00853D48" w:rsidRPr="00797379">
        <w:t xml:space="preserve"> program called</w:t>
      </w:r>
      <w:r w:rsidR="009F3FE9" w:rsidRPr="00797379">
        <w:t xml:space="preserve"> </w:t>
      </w:r>
      <w:r w:rsidRPr="00797379">
        <w:t>Excel</w:t>
      </w:r>
      <w:r w:rsidR="009F3FE9" w:rsidRPr="00797379">
        <w:t xml:space="preserve"> that</w:t>
      </w:r>
      <w:r w:rsidRPr="00797379">
        <w:t xml:space="preserve"> </w:t>
      </w:r>
      <w:r w:rsidR="00336639" w:rsidRPr="00797379">
        <w:t>a district leader described as</w:t>
      </w:r>
      <w:r w:rsidRPr="00797379">
        <w:t xml:space="preserve"> a “transition program</w:t>
      </w:r>
      <w:r w:rsidR="00AB5536" w:rsidRPr="00797379">
        <w:t xml:space="preserve"> </w:t>
      </w:r>
      <w:r w:rsidR="00503467" w:rsidRPr="00797379">
        <w:t xml:space="preserve">. . . </w:t>
      </w:r>
      <w:r w:rsidRPr="00797379">
        <w:t xml:space="preserve">designed to support organizational and executive functioning skills as well as develop mental health coping strategies.” </w:t>
      </w:r>
      <w:r w:rsidR="007F102C" w:rsidRPr="00797379">
        <w:t xml:space="preserve">There was little evidence of Tier 3 interventions at the high school, outside of special education referrals. </w:t>
      </w:r>
      <w:r w:rsidR="00467BB1" w:rsidRPr="00BA6115">
        <w:t>Enhancing structured academic supports and interventions at the secondary level is an area for growth in the district</w:t>
      </w:r>
      <w:r w:rsidR="00CD3927" w:rsidRPr="00BA6115">
        <w:t>.</w:t>
      </w:r>
    </w:p>
    <w:p w14:paraId="00AC62A5" w14:textId="00ED4B21" w:rsidR="00CD3927" w:rsidRPr="00797379" w:rsidRDefault="00C03AF6" w:rsidP="00BA6115">
      <w:pPr>
        <w:pStyle w:val="BodyText"/>
      </w:pPr>
      <w:r w:rsidRPr="00797379">
        <w:t>The district demonstrates</w:t>
      </w:r>
      <w:r w:rsidR="00891AB4" w:rsidRPr="00797379">
        <w:t xml:space="preserve"> its</w:t>
      </w:r>
      <w:r w:rsidRPr="00797379">
        <w:t xml:space="preserve"> commitment to supporting historically underserved students through inclusive practices and targeted initiatives, but district leaders are aware of additional work that needs to be done. Special education leaders emphasize</w:t>
      </w:r>
      <w:r w:rsidR="00891AB4" w:rsidRPr="00797379">
        <w:t>d</w:t>
      </w:r>
      <w:r w:rsidRPr="00797379">
        <w:t xml:space="preserve"> alignment and compliance as top priorities</w:t>
      </w:r>
      <w:r w:rsidR="00891AB4" w:rsidRPr="00797379">
        <w:t xml:space="preserve"> to </w:t>
      </w:r>
      <w:r w:rsidRPr="00797379">
        <w:t>ensur</w:t>
      </w:r>
      <w:r w:rsidR="00891AB4" w:rsidRPr="00797379">
        <w:t>e</w:t>
      </w:r>
      <w:r w:rsidRPr="00797379">
        <w:t xml:space="preserve"> consistent processes for </w:t>
      </w:r>
      <w:r w:rsidR="00891AB4" w:rsidRPr="00797379">
        <w:t>individualized education program (</w:t>
      </w:r>
      <w:r w:rsidRPr="00797379">
        <w:t>IEP</w:t>
      </w:r>
      <w:r w:rsidR="00891AB4" w:rsidRPr="00797379">
        <w:t>)</w:t>
      </w:r>
      <w:r w:rsidRPr="00797379">
        <w:t xml:space="preserve"> development and 504 plans across all schools. Professional development for staff focuses on inclusive co-teaching models and culturally responsive practices, </w:t>
      </w:r>
      <w:r w:rsidR="003C638D" w:rsidRPr="00797379">
        <w:t xml:space="preserve">and social-emotional learning </w:t>
      </w:r>
      <w:r w:rsidRPr="00797379">
        <w:t xml:space="preserve">coaches provide training on mental health and social-emotional learning strategies. </w:t>
      </w:r>
      <w:r w:rsidR="003C638D" w:rsidRPr="00797379">
        <w:t>T</w:t>
      </w:r>
      <w:r w:rsidRPr="00797379">
        <w:t>he district collaborates with external agencies and community coalitions to strengthen supports for LGBTQ+ students</w:t>
      </w:r>
      <w:r w:rsidR="003C638D" w:rsidRPr="00797379">
        <w:t xml:space="preserve"> because </w:t>
      </w:r>
      <w:r w:rsidRPr="00797379">
        <w:t>data indicate</w:t>
      </w:r>
      <w:r w:rsidR="005C6BD2" w:rsidRPr="00797379">
        <w:t xml:space="preserve"> there are</w:t>
      </w:r>
      <w:r w:rsidR="003C638D" w:rsidRPr="00797379">
        <w:t xml:space="preserve"> </w:t>
      </w:r>
      <w:r w:rsidRPr="00797379">
        <w:t>gaps in meeting their needs. The district is planning to use focus groups to gather student voice and inform future actions around supports for LGBTQ+ students</w:t>
      </w:r>
      <w:r w:rsidR="00CD3927" w:rsidRPr="00797379">
        <w:t>.</w:t>
      </w:r>
    </w:p>
    <w:p w14:paraId="100B0311" w14:textId="3BA1617D" w:rsidR="00C03AF6" w:rsidRPr="00797379" w:rsidRDefault="00C03AF6" w:rsidP="007C0C96">
      <w:pPr>
        <w:pStyle w:val="BodyText"/>
      </w:pPr>
      <w:r w:rsidRPr="00797379">
        <w:t xml:space="preserve">Winchester provides a broad range of academic and elective opportunities, particularly at the high school level, including </w:t>
      </w:r>
      <w:r w:rsidR="00A77CCB" w:rsidRPr="00797379">
        <w:t>A</w:t>
      </w:r>
      <w:r w:rsidRPr="00797379">
        <w:t xml:space="preserve">dvanced </w:t>
      </w:r>
      <w:r w:rsidR="00A77CCB" w:rsidRPr="00797379">
        <w:t>P</w:t>
      </w:r>
      <w:r w:rsidRPr="00797379">
        <w:t xml:space="preserve">lacement </w:t>
      </w:r>
      <w:r w:rsidR="00A77CCB" w:rsidRPr="00797379">
        <w:t xml:space="preserve">(AP) </w:t>
      </w:r>
      <w:r w:rsidRPr="00797379">
        <w:t>courses, world languages, music, arts, and computer science. One student reported that “</w:t>
      </w:r>
      <w:r w:rsidR="009C46FF" w:rsidRPr="00797379">
        <w:t>t</w:t>
      </w:r>
      <w:r w:rsidRPr="00797379">
        <w:t>here</w:t>
      </w:r>
      <w:r w:rsidR="00A77CCB" w:rsidRPr="00797379">
        <w:t>’</w:t>
      </w:r>
      <w:r w:rsidRPr="00797379">
        <w:t>s a wide variety [of classes] and if you want to, you can definitely take different foreign languages, different arts.” Students report</w:t>
      </w:r>
      <w:r w:rsidR="009402F6" w:rsidRPr="00797379">
        <w:t>ed</w:t>
      </w:r>
      <w:r w:rsidRPr="00797379">
        <w:t xml:space="preserve"> that access to these courses generally expands in junior and senior years, while </w:t>
      </w:r>
      <w:r w:rsidR="00561B61" w:rsidRPr="00797379">
        <w:t>ninth and tenth graders</w:t>
      </w:r>
      <w:r w:rsidRPr="00797379">
        <w:t xml:space="preserve"> face scheduling limitations that restrict elective choices. Middle school students </w:t>
      </w:r>
      <w:r w:rsidR="00543BFF" w:rsidRPr="00797379">
        <w:t>noted that they have</w:t>
      </w:r>
      <w:r w:rsidRPr="00797379">
        <w:t xml:space="preserve"> access to exploratory courses and clubs</w:t>
      </w:r>
      <w:r w:rsidR="000D7528" w:rsidRPr="00797379">
        <w:t>.</w:t>
      </w:r>
    </w:p>
    <w:p w14:paraId="11816C16" w14:textId="39590B48" w:rsidR="00C03AF6" w:rsidRPr="00B04D75" w:rsidRDefault="00216B8E" w:rsidP="007C0C96">
      <w:pPr>
        <w:pStyle w:val="BodyText"/>
        <w:rPr>
          <w:color w:val="EE0000"/>
        </w:rPr>
      </w:pPr>
      <w:r w:rsidRPr="00797379">
        <w:t>T</w:t>
      </w:r>
      <w:r w:rsidR="00C03AF6" w:rsidRPr="00797379">
        <w:t>he district strives to provide equitable access</w:t>
      </w:r>
      <w:r w:rsidR="009F2D9A">
        <w:t xml:space="preserve"> to courses</w:t>
      </w:r>
      <w:r w:rsidR="00C03AF6" w:rsidRPr="00797379">
        <w:t xml:space="preserve">, </w:t>
      </w:r>
      <w:r w:rsidRPr="00797379">
        <w:t xml:space="preserve">yet </w:t>
      </w:r>
      <w:r w:rsidR="00C03AF6" w:rsidRPr="00797379">
        <w:t xml:space="preserve">barriers remain for some student groups. For example, </w:t>
      </w:r>
      <w:r w:rsidR="004C1894">
        <w:t>English</w:t>
      </w:r>
      <w:r w:rsidR="00C03AF6" w:rsidRPr="00797379">
        <w:t xml:space="preserve"> </w:t>
      </w:r>
      <w:r w:rsidR="003F6D72">
        <w:t>l</w:t>
      </w:r>
      <w:r w:rsidR="00C03AF6" w:rsidRPr="00797379">
        <w:t xml:space="preserve">earners and students requiring </w:t>
      </w:r>
      <w:r w:rsidR="009C779B">
        <w:t>additional academic support</w:t>
      </w:r>
      <w:r w:rsidR="009C779B" w:rsidRPr="00797379">
        <w:t xml:space="preserve"> </w:t>
      </w:r>
      <w:r w:rsidR="009F2D9A">
        <w:t>do</w:t>
      </w:r>
      <w:r w:rsidR="009F2D9A" w:rsidRPr="00797379">
        <w:t xml:space="preserve"> </w:t>
      </w:r>
      <w:r w:rsidR="00C03AF6" w:rsidRPr="00797379">
        <w:t xml:space="preserve">not always receive timely </w:t>
      </w:r>
      <w:bookmarkStart w:id="48" w:name="_Int_AvdopNNz"/>
      <w:r w:rsidR="00C03AF6" w:rsidRPr="00797379">
        <w:t>accommodations</w:t>
      </w:r>
      <w:bookmarkEnd w:id="48"/>
      <w:r w:rsidR="000773A2" w:rsidRPr="00797379">
        <w:t>, and the same is true f</w:t>
      </w:r>
      <w:r w:rsidR="00C03AF6" w:rsidRPr="00797379">
        <w:t xml:space="preserve">or </w:t>
      </w:r>
      <w:r w:rsidRPr="00797379">
        <w:t xml:space="preserve">students’ </w:t>
      </w:r>
      <w:r w:rsidR="00C03AF6" w:rsidRPr="00797379">
        <w:t xml:space="preserve">access to advanced coursework. </w:t>
      </w:r>
      <w:r w:rsidR="009F24CC">
        <w:t xml:space="preserve">Winchester’s </w:t>
      </w:r>
      <w:r w:rsidR="00EB3F14">
        <w:t xml:space="preserve">English </w:t>
      </w:r>
      <w:r w:rsidR="0009184D">
        <w:t>l</w:t>
      </w:r>
      <w:r w:rsidR="00EB3F14">
        <w:t>earners</w:t>
      </w:r>
      <w:r w:rsidR="009F24CC">
        <w:t xml:space="preserve"> </w:t>
      </w:r>
      <w:r w:rsidR="007C5D65">
        <w:t xml:space="preserve">take advanced coursework at a rate </w:t>
      </w:r>
      <w:r w:rsidR="00C97E99">
        <w:t>(64.3</w:t>
      </w:r>
      <w:r w:rsidR="0009184D">
        <w:t xml:space="preserve"> percent</w:t>
      </w:r>
      <w:r w:rsidR="00C97E99">
        <w:t xml:space="preserve">) </w:t>
      </w:r>
      <w:r w:rsidR="007C5D65">
        <w:t>well above the state average</w:t>
      </w:r>
      <w:r w:rsidR="00C97E99">
        <w:t xml:space="preserve"> (34.9</w:t>
      </w:r>
      <w:r w:rsidR="0009184D">
        <w:t xml:space="preserve"> percent</w:t>
      </w:r>
      <w:r w:rsidR="00C97E99">
        <w:t>)</w:t>
      </w:r>
      <w:r w:rsidR="004C1894">
        <w:t>; h</w:t>
      </w:r>
      <w:r w:rsidR="004E005D">
        <w:t xml:space="preserve">owever, that rate is lower than the average for all other </w:t>
      </w:r>
      <w:r w:rsidR="00A40C48">
        <w:t>student groups in WPS</w:t>
      </w:r>
      <w:r w:rsidR="00540ED4">
        <w:t>.</w:t>
      </w:r>
      <w:r w:rsidR="00A40C48">
        <w:t xml:space="preserve">  </w:t>
      </w:r>
      <w:r w:rsidR="00C03AF6" w:rsidRPr="00797379">
        <w:t>Leaders acknowledge these gaps and are working to strengthen vertical alignment and schedul</w:t>
      </w:r>
      <w:r w:rsidRPr="00797379">
        <w:t>e</w:t>
      </w:r>
      <w:r w:rsidR="00C03AF6" w:rsidRPr="00797379">
        <w:t xml:space="preserve"> flexibility to ensure all students can pursue rigorous and interest-based learning opportunities.</w:t>
      </w:r>
      <w:r w:rsidR="00D37BC8">
        <w:t xml:space="preserve"> </w:t>
      </w:r>
      <w:r w:rsidR="00D37BC8" w:rsidRPr="004C1894">
        <w:t xml:space="preserve">Ensuring all student groups, especially ELs, have </w:t>
      </w:r>
      <w:r w:rsidR="00B04D75" w:rsidRPr="004C1894">
        <w:t xml:space="preserve">equitable opportunities to take advanced coursework is an area </w:t>
      </w:r>
      <w:r w:rsidR="0004760E">
        <w:t>for</w:t>
      </w:r>
      <w:r w:rsidR="0004760E" w:rsidRPr="004C1894">
        <w:t xml:space="preserve"> </w:t>
      </w:r>
      <w:r w:rsidR="00B04D75" w:rsidRPr="004C1894">
        <w:t>growth for the district.</w:t>
      </w:r>
    </w:p>
    <w:p w14:paraId="0D92C3B6" w14:textId="248D8BF6" w:rsidR="00320588" w:rsidRPr="00797379" w:rsidRDefault="00320588" w:rsidP="007C0C96">
      <w:pPr>
        <w:pStyle w:val="Heading3"/>
      </w:pPr>
      <w:bookmarkStart w:id="49" w:name="_Effective_Instruction_and"/>
      <w:bookmarkEnd w:id="49"/>
      <w:r w:rsidRPr="00797379">
        <w:t>Effective Instruction and Curricular Implementation</w:t>
      </w:r>
    </w:p>
    <w:p w14:paraId="119E765F" w14:textId="28128CAB" w:rsidR="00CD3927" w:rsidRPr="00797379" w:rsidRDefault="00540ED4" w:rsidP="007C0C96">
      <w:pPr>
        <w:pStyle w:val="BodyTextposthead"/>
      </w:pPr>
      <w:r>
        <w:t>WPS</w:t>
      </w:r>
      <w:r w:rsidR="006329F4" w:rsidRPr="00797379">
        <w:t xml:space="preserve"> fosters a learning culture that emphasizes depth of understanding, student engagement, and social-emotional well-being as foundational to academic success. </w:t>
      </w:r>
      <w:r w:rsidR="006E01A9" w:rsidRPr="00797379">
        <w:t>S</w:t>
      </w:r>
      <w:r w:rsidR="006329F4" w:rsidRPr="00797379">
        <w:t xml:space="preserve">tudents </w:t>
      </w:r>
      <w:r w:rsidR="006E01A9" w:rsidRPr="00797379">
        <w:t xml:space="preserve">across focus groups </w:t>
      </w:r>
      <w:r w:rsidR="006329F4" w:rsidRPr="00797379">
        <w:t>describe</w:t>
      </w:r>
      <w:r w:rsidR="00432A63" w:rsidRPr="00797379">
        <w:t>d</w:t>
      </w:r>
      <w:r w:rsidR="006329F4" w:rsidRPr="00797379">
        <w:t xml:space="preserve"> classrooms as supportive environments </w:t>
      </w:r>
      <w:r w:rsidR="006E01A9" w:rsidRPr="00797379">
        <w:t xml:space="preserve">in which </w:t>
      </w:r>
      <w:r w:rsidR="006329F4" w:rsidRPr="00797379">
        <w:t>teachers are approachable and willing to clarify expectations. Middle and high school students report</w:t>
      </w:r>
      <w:r w:rsidR="001522FC" w:rsidRPr="00797379">
        <w:t>ed</w:t>
      </w:r>
      <w:r w:rsidR="006329F4" w:rsidRPr="00797379">
        <w:t xml:space="preserve"> that lessons often begin with clear agendas and objectives posted on the board, supplemented by verbal explanations. Teachers frequently ask students to explain their reasoning, particularly in math and ELA, and encourage collaborative work through group projects and discussions. Students reported variation in instructional approaches, such as lectures, videos, and hands-on activities, which they feel </w:t>
      </w:r>
      <w:r w:rsidR="00C81ED4">
        <w:t>make</w:t>
      </w:r>
      <w:r w:rsidR="00C81ED4" w:rsidRPr="00797379">
        <w:t xml:space="preserve"> </w:t>
      </w:r>
      <w:r w:rsidR="006329F4" w:rsidRPr="00797379">
        <w:t>learning more engaging</w:t>
      </w:r>
      <w:r w:rsidR="00CD3927" w:rsidRPr="00797379">
        <w:t>.</w:t>
      </w:r>
    </w:p>
    <w:p w14:paraId="04626244" w14:textId="2F1B1BE8" w:rsidR="00CD3927" w:rsidRPr="00797379" w:rsidRDefault="006329F4" w:rsidP="007C0C96">
      <w:pPr>
        <w:pStyle w:val="BodyText"/>
      </w:pPr>
      <w:r w:rsidRPr="00797379">
        <w:t xml:space="preserve">The district’s commitment to social-emotional learning is evident in its integration of standards into elementary report cards and the presence of </w:t>
      </w:r>
      <w:r w:rsidR="00596557" w:rsidRPr="00797379">
        <w:t xml:space="preserve">social-emotional learning </w:t>
      </w:r>
      <w:r w:rsidRPr="00797379">
        <w:t xml:space="preserve">coaches at the elementary and middle school levels. These coaches provide direct instruction </w:t>
      </w:r>
      <w:r w:rsidR="00596557" w:rsidRPr="00797379">
        <w:t xml:space="preserve">to students </w:t>
      </w:r>
      <w:r w:rsidRPr="00797379">
        <w:t xml:space="preserve">on skills and collaborate with teachers to embed practices that support student well-being. At the high school level, </w:t>
      </w:r>
      <w:r w:rsidR="00596557" w:rsidRPr="00797379">
        <w:t xml:space="preserve">social-emotional learning </w:t>
      </w:r>
      <w:r w:rsidRPr="00797379">
        <w:t xml:space="preserve">supports </w:t>
      </w:r>
      <w:r w:rsidR="00596557" w:rsidRPr="00797379">
        <w:t xml:space="preserve">are available </w:t>
      </w:r>
      <w:r w:rsidRPr="00797379">
        <w:t>through adjustment counselors,</w:t>
      </w:r>
      <w:r w:rsidR="00596557" w:rsidRPr="00797379">
        <w:t xml:space="preserve"> but</w:t>
      </w:r>
      <w:r w:rsidRPr="00797379">
        <w:t xml:space="preserve"> </w:t>
      </w:r>
      <w:r w:rsidR="00432A63" w:rsidRPr="00797379">
        <w:t xml:space="preserve">middle and high school </w:t>
      </w:r>
      <w:r w:rsidRPr="00797379">
        <w:t>students report</w:t>
      </w:r>
      <w:r w:rsidR="00596557" w:rsidRPr="00797379">
        <w:t>ed</w:t>
      </w:r>
      <w:r w:rsidRPr="00797379">
        <w:t xml:space="preserve"> fewer structured opportunities for skill development compared </w:t>
      </w:r>
      <w:r w:rsidR="0049255F" w:rsidRPr="00797379">
        <w:t xml:space="preserve">with </w:t>
      </w:r>
      <w:r w:rsidRPr="00797379">
        <w:t>earlier grades</w:t>
      </w:r>
      <w:r w:rsidR="00CD3927" w:rsidRPr="00797379">
        <w:t>.</w:t>
      </w:r>
    </w:p>
    <w:p w14:paraId="107345EF" w14:textId="2915CE62" w:rsidR="006329F4" w:rsidRPr="00797379" w:rsidRDefault="007849F0" w:rsidP="007C0C96">
      <w:pPr>
        <w:pStyle w:val="BodyText"/>
      </w:pPr>
      <w:r w:rsidRPr="00797379">
        <w:t xml:space="preserve">As discussed in the </w:t>
      </w:r>
      <w:r w:rsidRPr="00797379">
        <w:rPr>
          <w:i/>
          <w:iCs/>
        </w:rPr>
        <w:t>Curriculum and Instruction</w:t>
      </w:r>
      <w:r w:rsidRPr="00797379">
        <w:t xml:space="preserve"> section, c</w:t>
      </w:r>
      <w:r w:rsidR="006329F4" w:rsidRPr="00797379">
        <w:t xml:space="preserve">urriculum implementation is supported by leadership structures </w:t>
      </w:r>
      <w:r w:rsidR="007F1A04" w:rsidRPr="00797379">
        <w:t xml:space="preserve">(e.g., </w:t>
      </w:r>
      <w:r w:rsidR="006329F4" w:rsidRPr="00797379">
        <w:t>Elementary Literacy Team and districtwide instructional leadership meetings</w:t>
      </w:r>
      <w:r w:rsidR="007F1A04" w:rsidRPr="00797379">
        <w:t>) that</w:t>
      </w:r>
      <w:r w:rsidR="006329F4" w:rsidRPr="00797379">
        <w:t xml:space="preserve"> focus on coherence and fidelity to the curriculum. </w:t>
      </w:r>
      <w:r w:rsidR="007F1A04" w:rsidRPr="00797379">
        <w:t>Again, d</w:t>
      </w:r>
      <w:r w:rsidR="006329F4" w:rsidRPr="00797379">
        <w:t>istrict leaders reveal</w:t>
      </w:r>
      <w:r w:rsidR="001108FE" w:rsidRPr="00797379">
        <w:t>ed</w:t>
      </w:r>
      <w:r w:rsidR="006329F4" w:rsidRPr="00797379">
        <w:t xml:space="preserve"> ongoing challenges with vertical alignment and consistency in intervention practices. </w:t>
      </w:r>
    </w:p>
    <w:p w14:paraId="6ED32D5A" w14:textId="1553FD0C" w:rsidR="00C94FBE" w:rsidRPr="00797379" w:rsidRDefault="006329F4" w:rsidP="007C0C96">
      <w:pPr>
        <w:pStyle w:val="BodyText"/>
      </w:pPr>
      <w:r w:rsidRPr="00797379">
        <w:t xml:space="preserve">Classroom instruction in </w:t>
      </w:r>
      <w:r w:rsidR="00733127" w:rsidRPr="00797379">
        <w:t xml:space="preserve">WPS </w:t>
      </w:r>
      <w:r w:rsidRPr="00797379">
        <w:t>reflects a mix of traditional and student-centered practices aimed at fostering engagement and critical thinking. Instructional methods vary by subject and grade level, including lectures, group work, independent tasks, and technology integration. Middle school students describe</w:t>
      </w:r>
      <w:r w:rsidR="00830B47" w:rsidRPr="00797379">
        <w:t>d</w:t>
      </w:r>
      <w:r w:rsidRPr="00797379">
        <w:t xml:space="preserve"> frequent opportunities for collaboration and discussion, while high school students note</w:t>
      </w:r>
      <w:r w:rsidR="00830B47" w:rsidRPr="00797379">
        <w:t>d</w:t>
      </w:r>
      <w:r w:rsidRPr="00797379">
        <w:t xml:space="preserve"> a </w:t>
      </w:r>
      <w:r w:rsidR="00830B47" w:rsidRPr="00797379">
        <w:t xml:space="preserve">good </w:t>
      </w:r>
      <w:r w:rsidRPr="00797379">
        <w:t xml:space="preserve">balance between independent work and group activities. </w:t>
      </w:r>
      <w:r w:rsidR="00830B47" w:rsidRPr="00797379">
        <w:t>Along with middle range scores in the Instructional Learning Format domain, c</w:t>
      </w:r>
      <w:r w:rsidR="00F07B67" w:rsidRPr="00797379">
        <w:t>lassroom observation</w:t>
      </w:r>
      <w:r w:rsidR="00830B47" w:rsidRPr="00797379">
        <w:t>s</w:t>
      </w:r>
      <w:r w:rsidR="00F07B67" w:rsidRPr="00797379">
        <w:t xml:space="preserve"> highlight</w:t>
      </w:r>
      <w:r w:rsidR="00830B47" w:rsidRPr="00797379">
        <w:t>ed</w:t>
      </w:r>
      <w:r w:rsidR="00F07B67" w:rsidRPr="00797379">
        <w:t xml:space="preserve"> the mix of </w:t>
      </w:r>
      <w:r w:rsidR="00B90777" w:rsidRPr="00797379">
        <w:t>instructional strategies</w:t>
      </w:r>
      <w:r w:rsidR="00F0479A" w:rsidRPr="00797379">
        <w:t xml:space="preserve">. </w:t>
      </w:r>
      <w:r w:rsidR="00BF29C4" w:rsidRPr="00797379">
        <w:t>Although</w:t>
      </w:r>
      <w:r w:rsidR="000739E6" w:rsidRPr="00797379">
        <w:t xml:space="preserve"> CLASS scores </w:t>
      </w:r>
      <w:r w:rsidR="00BF29C4" w:rsidRPr="00797379">
        <w:t xml:space="preserve">are only </w:t>
      </w:r>
      <w:r w:rsidR="000739E6" w:rsidRPr="00797379">
        <w:t>in the middle range for Quality of Feedback</w:t>
      </w:r>
      <w:r w:rsidR="00BF29C4" w:rsidRPr="00797379">
        <w:t>, teachers and students reported that teachers regularly prompt students to explain their reasoning and make connections to prior learning</w:t>
      </w:r>
      <w:r w:rsidR="000739E6" w:rsidRPr="00797379">
        <w:t>.</w:t>
      </w:r>
    </w:p>
    <w:p w14:paraId="53DB820E" w14:textId="481686AC" w:rsidR="00CD3927" w:rsidRPr="00797379" w:rsidRDefault="00060873" w:rsidP="007C0C96">
      <w:pPr>
        <w:pStyle w:val="BodyText"/>
      </w:pPr>
      <w:r w:rsidRPr="00797379">
        <w:t>T</w:t>
      </w:r>
      <w:r w:rsidR="006329F4" w:rsidRPr="00797379">
        <w:t xml:space="preserve">here </w:t>
      </w:r>
      <w:r w:rsidRPr="00797379">
        <w:t>was also</w:t>
      </w:r>
      <w:r w:rsidR="006329F4" w:rsidRPr="00797379">
        <w:t xml:space="preserve"> variability in instructional methods</w:t>
      </w:r>
      <w:r w:rsidRPr="00797379">
        <w:t xml:space="preserve"> </w:t>
      </w:r>
      <w:r w:rsidR="006329F4" w:rsidRPr="00797379">
        <w:t xml:space="preserve">according to </w:t>
      </w:r>
      <w:r w:rsidRPr="00797379">
        <w:t xml:space="preserve">some </w:t>
      </w:r>
      <w:r w:rsidR="006329F4" w:rsidRPr="00797379">
        <w:t>students</w:t>
      </w:r>
      <w:r w:rsidRPr="00797379">
        <w:t>, who</w:t>
      </w:r>
      <w:r w:rsidR="006329F4" w:rsidRPr="00797379">
        <w:t xml:space="preserve"> report</w:t>
      </w:r>
      <w:r w:rsidRPr="00797379">
        <w:t>ed</w:t>
      </w:r>
      <w:r w:rsidR="006329F4" w:rsidRPr="00797379">
        <w:t xml:space="preserve"> outdated textbooks and limited exposure to culturally diverse perspectives, particularly in core subjects. </w:t>
      </w:r>
      <w:r w:rsidRPr="00797379">
        <w:t>E</w:t>
      </w:r>
      <w:r w:rsidR="006329F4" w:rsidRPr="00797379">
        <w:t>lective offerings at the high school level provide</w:t>
      </w:r>
      <w:r w:rsidRPr="00797379">
        <w:t>d</w:t>
      </w:r>
      <w:r w:rsidR="006329F4" w:rsidRPr="00797379">
        <w:t xml:space="preserve"> access to arts, music, and computer science, </w:t>
      </w:r>
      <w:r w:rsidR="002D36ED" w:rsidRPr="00797379">
        <w:t>but</w:t>
      </w:r>
      <w:r w:rsidR="00CB20D6">
        <w:t xml:space="preserve"> as noted earlier,</w:t>
      </w:r>
      <w:r w:rsidR="00F01FDA" w:rsidRPr="00797379">
        <w:t xml:space="preserve"> </w:t>
      </w:r>
      <w:r w:rsidR="006329F4" w:rsidRPr="00797379">
        <w:t xml:space="preserve">scheduling constraints for </w:t>
      </w:r>
      <w:r w:rsidR="00F01FDA" w:rsidRPr="00797379">
        <w:t>n</w:t>
      </w:r>
      <w:r w:rsidR="00080704" w:rsidRPr="00797379">
        <w:t>inth</w:t>
      </w:r>
      <w:r w:rsidR="00F01FDA" w:rsidRPr="00797379">
        <w:t xml:space="preserve"> </w:t>
      </w:r>
      <w:r w:rsidR="006329F4" w:rsidRPr="00797379">
        <w:t>and 10th graders restrict</w:t>
      </w:r>
      <w:r w:rsidR="00F01FDA" w:rsidRPr="00797379">
        <w:t>ed their</w:t>
      </w:r>
      <w:r w:rsidR="006329F4" w:rsidRPr="00797379">
        <w:t xml:space="preserve"> opportunities for enrichment. </w:t>
      </w:r>
      <w:r w:rsidR="00F01FDA" w:rsidRPr="00797379">
        <w:t>F</w:t>
      </w:r>
      <w:r w:rsidR="006329F4" w:rsidRPr="00797379">
        <w:t xml:space="preserve">eedback from families and students </w:t>
      </w:r>
      <w:r w:rsidR="00F01FDA" w:rsidRPr="00797379">
        <w:t xml:space="preserve">also </w:t>
      </w:r>
      <w:r w:rsidR="006329F4" w:rsidRPr="00797379">
        <w:t>highlight</w:t>
      </w:r>
      <w:r w:rsidR="00F01FDA" w:rsidRPr="00797379">
        <w:t>ed</w:t>
      </w:r>
      <w:r w:rsidR="006329F4" w:rsidRPr="00797379">
        <w:t xml:space="preserve"> inconsistencies in grading and assessment practices</w:t>
      </w:r>
      <w:r w:rsidR="00986892">
        <w:t xml:space="preserve"> </w:t>
      </w:r>
      <w:r w:rsidR="008A74EE">
        <w:t>(see Assessment section)</w:t>
      </w:r>
      <w:r w:rsidR="00CD3927" w:rsidRPr="00797379">
        <w:t>.</w:t>
      </w:r>
    </w:p>
    <w:p w14:paraId="40D5D3FE" w14:textId="720F667B" w:rsidR="002B4CEF" w:rsidRPr="00797379" w:rsidRDefault="002B4CEF" w:rsidP="007C0C96">
      <w:pPr>
        <w:pStyle w:val="Heading3"/>
      </w:pPr>
      <w:r w:rsidRPr="00797379">
        <w:t>Recommendations</w:t>
      </w:r>
    </w:p>
    <w:p w14:paraId="55BB71AC" w14:textId="77777777" w:rsidR="005E3B39" w:rsidRPr="005E3B39" w:rsidRDefault="005E3B39" w:rsidP="007C0C96">
      <w:pPr>
        <w:pStyle w:val="Bullet1"/>
        <w:rPr>
          <w:bCs/>
          <w:i/>
          <w:iCs/>
        </w:rPr>
      </w:pPr>
      <w:r w:rsidRPr="005E3B39">
        <w:rPr>
          <w:i/>
          <w:iCs/>
        </w:rPr>
        <w:t>The district should develop a clear and coherent vision for instruction that guides instructional strategies across all schools and grade levels.</w:t>
      </w:r>
    </w:p>
    <w:p w14:paraId="661611B8" w14:textId="1E92F8CC" w:rsidR="00085A83" w:rsidRDefault="004C7757" w:rsidP="007C0C96">
      <w:pPr>
        <w:pStyle w:val="Bullet1"/>
        <w:rPr>
          <w:bCs/>
          <w:i/>
          <w:iCs/>
        </w:rPr>
      </w:pPr>
      <w:r>
        <w:rPr>
          <w:bCs/>
          <w:i/>
          <w:iCs/>
        </w:rPr>
        <w:t xml:space="preserve">The district should focus on vertical alignment between the elementary and secondary curricula </w:t>
      </w:r>
      <w:r w:rsidR="00793681">
        <w:rPr>
          <w:bCs/>
          <w:i/>
          <w:iCs/>
        </w:rPr>
        <w:t>when selecting and reviewing curricula.</w:t>
      </w:r>
    </w:p>
    <w:p w14:paraId="45FE5F76" w14:textId="199172DF" w:rsidR="004C7757" w:rsidRDefault="0055796D" w:rsidP="007C0C96">
      <w:pPr>
        <w:pStyle w:val="Bullet1"/>
        <w:rPr>
          <w:bCs/>
          <w:i/>
          <w:iCs/>
        </w:rPr>
      </w:pPr>
      <w:r>
        <w:rPr>
          <w:bCs/>
          <w:i/>
          <w:iCs/>
        </w:rPr>
        <w:t xml:space="preserve">The district should continue its efforts to select highly rated curricula, according to CURATE and/or EdReports, in all subject areas and grade levels in which it is available. </w:t>
      </w:r>
    </w:p>
    <w:p w14:paraId="369E2C4A" w14:textId="28F453C7" w:rsidR="0055796D" w:rsidRDefault="0055796D" w:rsidP="007C0C96">
      <w:pPr>
        <w:pStyle w:val="Bullet1"/>
        <w:rPr>
          <w:bCs/>
          <w:i/>
          <w:iCs/>
        </w:rPr>
      </w:pPr>
      <w:r>
        <w:rPr>
          <w:bCs/>
          <w:i/>
          <w:iCs/>
        </w:rPr>
        <w:t>The district should</w:t>
      </w:r>
      <w:r w:rsidR="00AD234D">
        <w:rPr>
          <w:bCs/>
          <w:i/>
          <w:iCs/>
        </w:rPr>
        <w:t xml:space="preserve"> expand its </w:t>
      </w:r>
      <w:r w:rsidR="000B688E">
        <w:rPr>
          <w:bCs/>
          <w:i/>
          <w:iCs/>
        </w:rPr>
        <w:t>T</w:t>
      </w:r>
      <w:r w:rsidR="00AD234D">
        <w:rPr>
          <w:bCs/>
          <w:i/>
          <w:iCs/>
        </w:rPr>
        <w:t xml:space="preserve">ier 2 and 3 intervention offerings at the secondary level. </w:t>
      </w:r>
    </w:p>
    <w:p w14:paraId="1034B149" w14:textId="674545EB" w:rsidR="00C5333A" w:rsidRPr="00657A72" w:rsidRDefault="00FF7C98" w:rsidP="007C0C96">
      <w:pPr>
        <w:pStyle w:val="Bullet1"/>
        <w:rPr>
          <w:bCs/>
          <w:i/>
          <w:iCs/>
        </w:rPr>
      </w:pPr>
      <w:r>
        <w:rPr>
          <w:bCs/>
          <w:i/>
          <w:iCs/>
        </w:rPr>
        <w:t>The district should examine the root causes of</w:t>
      </w:r>
      <w:r w:rsidR="00AF7BF0">
        <w:rPr>
          <w:bCs/>
          <w:i/>
          <w:iCs/>
        </w:rPr>
        <w:t xml:space="preserve"> </w:t>
      </w:r>
      <w:r w:rsidR="000F40C4">
        <w:rPr>
          <w:bCs/>
          <w:i/>
          <w:iCs/>
        </w:rPr>
        <w:t>inequitable</w:t>
      </w:r>
      <w:r w:rsidR="007E6739">
        <w:rPr>
          <w:bCs/>
          <w:i/>
          <w:iCs/>
        </w:rPr>
        <w:t xml:space="preserve"> access to </w:t>
      </w:r>
      <w:r w:rsidR="00B9392F">
        <w:rPr>
          <w:bCs/>
          <w:i/>
          <w:iCs/>
        </w:rPr>
        <w:t xml:space="preserve">advanced </w:t>
      </w:r>
      <w:r w:rsidR="007E6739">
        <w:rPr>
          <w:bCs/>
          <w:i/>
          <w:iCs/>
        </w:rPr>
        <w:t>coursework</w:t>
      </w:r>
      <w:r w:rsidR="00C5333A">
        <w:rPr>
          <w:bCs/>
          <w:i/>
          <w:iCs/>
        </w:rPr>
        <w:t xml:space="preserve"> </w:t>
      </w:r>
      <w:r w:rsidR="007E6739">
        <w:rPr>
          <w:bCs/>
          <w:i/>
          <w:iCs/>
        </w:rPr>
        <w:t xml:space="preserve">for its English </w:t>
      </w:r>
      <w:r w:rsidR="0066627B">
        <w:rPr>
          <w:bCs/>
          <w:i/>
          <w:iCs/>
        </w:rPr>
        <w:t>L</w:t>
      </w:r>
      <w:r w:rsidR="007E6739">
        <w:rPr>
          <w:bCs/>
          <w:i/>
          <w:iCs/>
        </w:rPr>
        <w:t xml:space="preserve">earners and work with </w:t>
      </w:r>
      <w:r w:rsidR="000F40C4">
        <w:rPr>
          <w:bCs/>
          <w:i/>
          <w:iCs/>
        </w:rPr>
        <w:t xml:space="preserve">the high school leadership team to adjust schedules and/or other identified barriers to access. </w:t>
      </w:r>
    </w:p>
    <w:p w14:paraId="0A445189" w14:textId="77777777" w:rsidR="00F31F6B" w:rsidRDefault="00060E1C" w:rsidP="007C0C96">
      <w:pPr>
        <w:pStyle w:val="BodyText"/>
      </w:pPr>
      <w:r w:rsidRPr="00797379">
        <w:t>For related resources, see Appendix C.</w:t>
      </w:r>
    </w:p>
    <w:p w14:paraId="46DDAA29" w14:textId="1ED8A1F3" w:rsidR="002B4CEF" w:rsidRPr="00797379" w:rsidRDefault="00060E1C" w:rsidP="00F31F6B">
      <w:pPr>
        <w:pStyle w:val="BodyText"/>
      </w:pPr>
      <w:r w:rsidRPr="00797379">
        <w:rPr>
          <w:bCs/>
        </w:rPr>
        <w:br w:type="page"/>
      </w:r>
    </w:p>
    <w:p w14:paraId="366F3518" w14:textId="77777777" w:rsidR="008D6102" w:rsidRPr="00797379" w:rsidRDefault="008D6102" w:rsidP="007C0C96">
      <w:pPr>
        <w:pStyle w:val="Heading2"/>
      </w:pPr>
      <w:bookmarkStart w:id="50" w:name="_Assessment"/>
      <w:bookmarkStart w:id="51" w:name="_Toc101446229"/>
      <w:bookmarkStart w:id="52" w:name="_Toc223625540"/>
      <w:bookmarkEnd w:id="50"/>
      <w:r w:rsidRPr="00797379">
        <w:t>Assessment</w:t>
      </w:r>
      <w:bookmarkEnd w:id="51"/>
      <w:bookmarkEnd w:id="52"/>
    </w:p>
    <w:p w14:paraId="04FEA57D" w14:textId="06490BCF" w:rsidR="00CD3927" w:rsidRPr="00797379" w:rsidRDefault="00B74C1F" w:rsidP="007C0C96">
      <w:pPr>
        <w:pStyle w:val="BodyTextposthead"/>
      </w:pPr>
      <w:r w:rsidRPr="00797379">
        <w:t>This section examines the extent to which, through the establishment of strategic data and assessment systems, the district supports a robust, data-centered culture that advances equitable student experiences and outcomes. It also focuses on the extent to which the district collects an array of data and uses it to inform decisions at the classroom, school, and district levels</w:t>
      </w:r>
      <w:r w:rsidR="006759D5" w:rsidRPr="00797379">
        <w:t>. This section shows</w:t>
      </w:r>
      <w:r w:rsidRPr="00797379">
        <w:t xml:space="preserve"> </w:t>
      </w:r>
      <w:r w:rsidR="00313D4B" w:rsidRPr="00797379">
        <w:t>how WPS educators</w:t>
      </w:r>
      <w:r w:rsidRPr="00797379">
        <w:t xml:space="preserve"> analyz</w:t>
      </w:r>
      <w:r w:rsidR="00313D4B" w:rsidRPr="00797379">
        <w:t>e</w:t>
      </w:r>
      <w:r w:rsidRPr="00797379">
        <w:t xml:space="preserve"> assessment results and other data</w:t>
      </w:r>
      <w:r w:rsidR="00313D4B" w:rsidRPr="00797379">
        <w:t xml:space="preserve"> to </w:t>
      </w:r>
      <w:r w:rsidRPr="00797379">
        <w:t>develop an understanding of the whole student, examine trends across student groups, and adjust their instruction accordingly</w:t>
      </w:r>
      <w:r w:rsidR="00CD3927" w:rsidRPr="00797379">
        <w:t>.</w:t>
      </w:r>
    </w:p>
    <w:p w14:paraId="65DF5D4F" w14:textId="08D41965" w:rsidR="00C0766E" w:rsidRPr="00797379" w:rsidRDefault="00C0766E" w:rsidP="007C0C96">
      <w:pPr>
        <w:pStyle w:val="BodyText"/>
      </w:pPr>
      <w:r w:rsidRPr="00797379">
        <w:t xml:space="preserve">Table </w:t>
      </w:r>
      <w:r w:rsidR="006759D5" w:rsidRPr="00797379">
        <w:t>5</w:t>
      </w:r>
      <w:r w:rsidR="00163C7A" w:rsidRPr="00797379">
        <w:t xml:space="preserve"> </w:t>
      </w:r>
      <w:r w:rsidRPr="00797379">
        <w:t>summarizes key strengths and areas for growth in assessment</w:t>
      </w:r>
      <w:r w:rsidR="00250663" w:rsidRPr="00797379">
        <w:t xml:space="preserve"> in </w:t>
      </w:r>
      <w:r w:rsidR="006759D5" w:rsidRPr="00797379">
        <w:t>WPS</w:t>
      </w:r>
      <w:r w:rsidRPr="00797379">
        <w:t>.</w:t>
      </w:r>
    </w:p>
    <w:p w14:paraId="329E7498" w14:textId="52E4589D" w:rsidR="00473308" w:rsidRPr="00797379" w:rsidRDefault="00473308" w:rsidP="005069A3">
      <w:pPr>
        <w:pStyle w:val="TableTitle0"/>
        <w:spacing w:before="120" w:after="0"/>
      </w:pPr>
      <w:bookmarkStart w:id="53" w:name="_Toc220932410"/>
      <w:r w:rsidRPr="00797379">
        <w:t xml:space="preserve">Table </w:t>
      </w:r>
      <w:r w:rsidR="00E44D86" w:rsidRPr="00797379">
        <w:t>5</w:t>
      </w:r>
      <w:r w:rsidRPr="00797379">
        <w:t xml:space="preserve">. Summary of </w:t>
      </w:r>
      <w:r w:rsidR="00C0766E" w:rsidRPr="00797379">
        <w:t xml:space="preserve">Key Strengths </w:t>
      </w:r>
      <w:r w:rsidRPr="00797379">
        <w:t xml:space="preserve">and </w:t>
      </w:r>
      <w:r w:rsidR="00C0766E" w:rsidRPr="00797379">
        <w:t xml:space="preserve">Areas </w:t>
      </w:r>
      <w:r w:rsidRPr="00797379">
        <w:t xml:space="preserve">for </w:t>
      </w:r>
      <w:r w:rsidR="00C0766E" w:rsidRPr="00797379">
        <w:t>Growth:</w:t>
      </w:r>
      <w:r w:rsidRPr="00797379">
        <w:t xml:space="preserve"> Assessment</w:t>
      </w:r>
      <w:r w:rsidR="00C0766E" w:rsidRPr="00797379">
        <w:t xml:space="preserve"> Standard</w:t>
      </w:r>
      <w:bookmarkEnd w:id="53"/>
    </w:p>
    <w:tbl>
      <w:tblPr>
        <w:tblStyle w:val="MSVTable1"/>
        <w:tblW w:w="5000" w:type="pct"/>
        <w:tblLook w:val="04A0" w:firstRow="1" w:lastRow="0" w:firstColumn="1" w:lastColumn="0" w:noHBand="0" w:noVBand="1"/>
      </w:tblPr>
      <w:tblGrid>
        <w:gridCol w:w="1972"/>
        <w:gridCol w:w="3685"/>
        <w:gridCol w:w="3687"/>
      </w:tblGrid>
      <w:tr w:rsidR="00473308" w:rsidRPr="00797379" w14:paraId="4528F62A" w14:textId="77777777" w:rsidTr="003E7B84">
        <w:trPr>
          <w:cnfStyle w:val="100000000000" w:firstRow="1" w:lastRow="0" w:firstColumn="0" w:lastColumn="0" w:oddVBand="0" w:evenVBand="0" w:oddHBand="0" w:evenHBand="0" w:firstRowFirstColumn="0" w:firstRowLastColumn="0" w:lastRowFirstColumn="0" w:lastRowLastColumn="0"/>
        </w:trPr>
        <w:tc>
          <w:tcPr>
            <w:tcW w:w="1055" w:type="pct"/>
          </w:tcPr>
          <w:p w14:paraId="03EBB6C0" w14:textId="77777777" w:rsidR="00473308" w:rsidRPr="00797379" w:rsidRDefault="00473308" w:rsidP="005069A3">
            <w:pPr>
              <w:pStyle w:val="TableColHeadingCenter"/>
              <w:spacing w:before="20" w:after="20"/>
            </w:pPr>
            <w:r w:rsidRPr="00797379">
              <w:t>Indicator</w:t>
            </w:r>
          </w:p>
        </w:tc>
        <w:tc>
          <w:tcPr>
            <w:tcW w:w="1972" w:type="pct"/>
          </w:tcPr>
          <w:p w14:paraId="04CE9AD4" w14:textId="77777777" w:rsidR="00473308" w:rsidRPr="00797379" w:rsidRDefault="00473308" w:rsidP="005069A3">
            <w:pPr>
              <w:pStyle w:val="TableColHeadingCenter"/>
              <w:spacing w:before="20" w:after="20"/>
            </w:pPr>
            <w:r w:rsidRPr="00797379">
              <w:t>Strengths</w:t>
            </w:r>
          </w:p>
        </w:tc>
        <w:tc>
          <w:tcPr>
            <w:tcW w:w="1973" w:type="pct"/>
          </w:tcPr>
          <w:p w14:paraId="0516578A" w14:textId="6F03A48B" w:rsidR="00473308" w:rsidRPr="00797379" w:rsidRDefault="00473308" w:rsidP="005069A3">
            <w:pPr>
              <w:pStyle w:val="TableColHeadingCenter"/>
              <w:spacing w:before="20" w:after="20"/>
            </w:pPr>
            <w:r w:rsidRPr="00797379">
              <w:t xml:space="preserve">Areas for </w:t>
            </w:r>
            <w:r w:rsidR="00C0766E" w:rsidRPr="00797379">
              <w:t>g</w:t>
            </w:r>
            <w:r w:rsidRPr="00797379">
              <w:t>rowth</w:t>
            </w:r>
          </w:p>
        </w:tc>
      </w:tr>
      <w:tr w:rsidR="00473308" w:rsidRPr="00797379" w14:paraId="5BE4F452" w14:textId="77777777" w:rsidTr="003E7B84">
        <w:trPr>
          <w:cnfStyle w:val="000000100000" w:firstRow="0" w:lastRow="0" w:firstColumn="0" w:lastColumn="0" w:oddVBand="0" w:evenVBand="0" w:oddHBand="1" w:evenHBand="0" w:firstRowFirstColumn="0" w:firstRowLastColumn="0" w:lastRowFirstColumn="0" w:lastRowLastColumn="0"/>
        </w:trPr>
        <w:tc>
          <w:tcPr>
            <w:tcW w:w="1055" w:type="pct"/>
          </w:tcPr>
          <w:p w14:paraId="4F788977" w14:textId="791F61DD" w:rsidR="00473308" w:rsidRPr="00797379" w:rsidRDefault="00473308" w:rsidP="005069A3">
            <w:pPr>
              <w:pStyle w:val="TableSubheading"/>
              <w:spacing w:before="20" w:after="20"/>
            </w:pPr>
            <w:hyperlink w:anchor="_Data_Collection" w:history="1">
              <w:r w:rsidRPr="00797379">
                <w:rPr>
                  <w:rStyle w:val="Hyperlink"/>
                  <w:color w:val="auto"/>
                  <w:u w:val="none"/>
                </w:rPr>
                <w:t xml:space="preserve">Data </w:t>
              </w:r>
              <w:r w:rsidR="008E0EE8" w:rsidRPr="00797379">
                <w:rPr>
                  <w:rStyle w:val="Hyperlink"/>
                  <w:color w:val="auto"/>
                  <w:u w:val="none"/>
                </w:rPr>
                <w:t>Collection</w:t>
              </w:r>
            </w:hyperlink>
          </w:p>
        </w:tc>
        <w:tc>
          <w:tcPr>
            <w:tcW w:w="1972" w:type="pct"/>
          </w:tcPr>
          <w:p w14:paraId="5E3E7CC2" w14:textId="075F7D0F" w:rsidR="00473308" w:rsidRPr="00092A08" w:rsidRDefault="00B04D75" w:rsidP="005069A3">
            <w:pPr>
              <w:pStyle w:val="TableBullet1"/>
              <w:spacing w:before="20" w:after="20"/>
            </w:pPr>
            <w:r w:rsidRPr="00092A08">
              <w:t>The district utilizes multiple valid data sources to assess students’ academic skills and content knowledge.</w:t>
            </w:r>
          </w:p>
        </w:tc>
        <w:tc>
          <w:tcPr>
            <w:tcW w:w="1973" w:type="pct"/>
          </w:tcPr>
          <w:p w14:paraId="1E451936" w14:textId="31DAD3B7" w:rsidR="00473308" w:rsidRPr="00092A08" w:rsidRDefault="00B04D75" w:rsidP="005069A3">
            <w:pPr>
              <w:pStyle w:val="TableBullet1"/>
              <w:spacing w:before="20" w:after="20"/>
            </w:pPr>
            <w:r w:rsidRPr="00092A08">
              <w:t>Addressing the lack of a formal universal social-emotional screener</w:t>
            </w:r>
          </w:p>
        </w:tc>
      </w:tr>
      <w:tr w:rsidR="00473308" w:rsidRPr="00797379" w14:paraId="3744E5B9" w14:textId="77777777" w:rsidTr="003E7B84">
        <w:tc>
          <w:tcPr>
            <w:tcW w:w="1055" w:type="pct"/>
          </w:tcPr>
          <w:p w14:paraId="797DE778" w14:textId="231F0A7C" w:rsidR="00473308" w:rsidRPr="00797379" w:rsidRDefault="00473308" w:rsidP="005069A3">
            <w:pPr>
              <w:pStyle w:val="TableSubheading"/>
              <w:spacing w:before="20" w:after="20"/>
            </w:pPr>
            <w:hyperlink w:anchor="_Data_Use_and" w:history="1">
              <w:r w:rsidRPr="00797379">
                <w:rPr>
                  <w:rStyle w:val="Hyperlink"/>
                  <w:color w:val="auto"/>
                  <w:u w:val="none"/>
                </w:rPr>
                <w:t xml:space="preserve">Data </w:t>
              </w:r>
              <w:r w:rsidR="008E0EE8" w:rsidRPr="00797379">
                <w:rPr>
                  <w:rStyle w:val="Hyperlink"/>
                  <w:color w:val="auto"/>
                  <w:u w:val="none"/>
                </w:rPr>
                <w:t>U</w:t>
              </w:r>
              <w:r w:rsidRPr="00797379">
                <w:rPr>
                  <w:rStyle w:val="Hyperlink"/>
                  <w:color w:val="auto"/>
                  <w:u w:val="none"/>
                </w:rPr>
                <w:t>se</w:t>
              </w:r>
              <w:r w:rsidR="008E0EE8" w:rsidRPr="00797379">
                <w:rPr>
                  <w:rStyle w:val="Hyperlink"/>
                  <w:color w:val="auto"/>
                  <w:u w:val="none"/>
                </w:rPr>
                <w:t xml:space="preserve"> and Culture</w:t>
              </w:r>
            </w:hyperlink>
          </w:p>
        </w:tc>
        <w:tc>
          <w:tcPr>
            <w:tcW w:w="1972" w:type="pct"/>
          </w:tcPr>
          <w:p w14:paraId="3EFCF2E4" w14:textId="6EAACB81" w:rsidR="00473308" w:rsidRPr="00092A08" w:rsidRDefault="0035603A" w:rsidP="00092A08">
            <w:pPr>
              <w:pStyle w:val="TableBullet1"/>
              <w:spacing w:before="20" w:after="20"/>
            </w:pPr>
            <w:r>
              <w:t>WPS</w:t>
            </w:r>
            <w:r w:rsidR="00092A08" w:rsidRPr="00092A08">
              <w:t xml:space="preserve"> use</w:t>
            </w:r>
            <w:r>
              <w:t>s</w:t>
            </w:r>
            <w:r w:rsidR="00092A08" w:rsidRPr="00092A08">
              <w:t xml:space="preserve"> community and stakeholder data to inform district decisions.</w:t>
            </w:r>
          </w:p>
        </w:tc>
        <w:tc>
          <w:tcPr>
            <w:tcW w:w="1973" w:type="pct"/>
          </w:tcPr>
          <w:p w14:paraId="30A453E8" w14:textId="476F64C7" w:rsidR="00473308" w:rsidRPr="00092A08" w:rsidRDefault="00F22FBC" w:rsidP="005069A3">
            <w:pPr>
              <w:pStyle w:val="TableBullet1"/>
              <w:spacing w:before="20" w:after="20"/>
            </w:pPr>
            <w:r>
              <w:t xml:space="preserve">Establishing a </w:t>
            </w:r>
            <w:r w:rsidR="00092A08" w:rsidRPr="00092A08">
              <w:t>shared vision for data use</w:t>
            </w:r>
          </w:p>
          <w:p w14:paraId="2E9C23DA" w14:textId="371824A8" w:rsidR="00410296" w:rsidRDefault="00092A08" w:rsidP="00410296">
            <w:pPr>
              <w:pStyle w:val="TableBullet1"/>
              <w:spacing w:before="20" w:after="20"/>
            </w:pPr>
            <w:r w:rsidRPr="00092A08">
              <w:t>Developing consistent protocols for data review at all levels</w:t>
            </w:r>
          </w:p>
          <w:p w14:paraId="08FEEFDF" w14:textId="34431F4B" w:rsidR="00092A08" w:rsidRPr="00092A08" w:rsidRDefault="00092A08" w:rsidP="00410296">
            <w:pPr>
              <w:pStyle w:val="TableBullet1"/>
              <w:spacing w:before="20" w:after="20"/>
            </w:pPr>
            <w:r w:rsidRPr="00092A08">
              <w:t>Developing clear, consistent, districtwide processes for using data to inform decision making</w:t>
            </w:r>
          </w:p>
        </w:tc>
      </w:tr>
      <w:tr w:rsidR="00473308" w:rsidRPr="00797379" w14:paraId="2BFB5534" w14:textId="77777777" w:rsidTr="003E7B84">
        <w:trPr>
          <w:cnfStyle w:val="000000100000" w:firstRow="0" w:lastRow="0" w:firstColumn="0" w:lastColumn="0" w:oddVBand="0" w:evenVBand="0" w:oddHBand="1" w:evenHBand="0" w:firstRowFirstColumn="0" w:firstRowLastColumn="0" w:lastRowFirstColumn="0" w:lastRowLastColumn="0"/>
        </w:trPr>
        <w:tc>
          <w:tcPr>
            <w:tcW w:w="1055" w:type="pct"/>
          </w:tcPr>
          <w:p w14:paraId="692DCE62" w14:textId="545C52E1" w:rsidR="00473308" w:rsidRPr="00797379" w:rsidRDefault="00473308" w:rsidP="005069A3">
            <w:pPr>
              <w:pStyle w:val="TableSubheading"/>
              <w:spacing w:before="20" w:after="20"/>
            </w:pPr>
            <w:hyperlink w:anchor="_Sharing_Data" w:history="1">
              <w:r w:rsidRPr="00797379">
                <w:rPr>
                  <w:rStyle w:val="Hyperlink"/>
                  <w:color w:val="auto"/>
                  <w:u w:val="none"/>
                </w:rPr>
                <w:t xml:space="preserve">Sharing </w:t>
              </w:r>
              <w:r w:rsidR="008E0EE8" w:rsidRPr="00797379">
                <w:rPr>
                  <w:rStyle w:val="Hyperlink"/>
                  <w:color w:val="auto"/>
                  <w:u w:val="none"/>
                </w:rPr>
                <w:t>Data</w:t>
              </w:r>
            </w:hyperlink>
          </w:p>
        </w:tc>
        <w:tc>
          <w:tcPr>
            <w:tcW w:w="1972" w:type="pct"/>
          </w:tcPr>
          <w:p w14:paraId="1242ABD2" w14:textId="539ED699" w:rsidR="00473308" w:rsidRPr="00092A08" w:rsidRDefault="0035603A" w:rsidP="005069A3">
            <w:pPr>
              <w:pStyle w:val="TableBullet1"/>
              <w:spacing w:before="20" w:after="20"/>
            </w:pPr>
            <w:r>
              <w:t>N/A</w:t>
            </w:r>
          </w:p>
        </w:tc>
        <w:tc>
          <w:tcPr>
            <w:tcW w:w="1973" w:type="pct"/>
          </w:tcPr>
          <w:p w14:paraId="6475D272" w14:textId="6774B3F8" w:rsidR="00512FB1" w:rsidRPr="00512FB1" w:rsidRDefault="00512FB1" w:rsidP="005069A3">
            <w:pPr>
              <w:pStyle w:val="TableBullet1"/>
              <w:spacing w:before="20" w:after="20"/>
            </w:pPr>
            <w:r>
              <w:t>Developing clear expectations for sharing student performance</w:t>
            </w:r>
          </w:p>
          <w:p w14:paraId="22C6496B" w14:textId="6B3ED4C7" w:rsidR="00223C77" w:rsidRPr="00092A08" w:rsidRDefault="00092A08" w:rsidP="005069A3">
            <w:pPr>
              <w:pStyle w:val="TableBullet1"/>
              <w:spacing w:before="20" w:after="20"/>
            </w:pPr>
            <w:r w:rsidRPr="00092A08">
              <w:rPr>
                <w:rFonts w:eastAsiaTheme="minorEastAsia"/>
              </w:rPr>
              <w:t>Developing and communicating consistent grading practices across grade-levels</w:t>
            </w:r>
          </w:p>
        </w:tc>
      </w:tr>
    </w:tbl>
    <w:p w14:paraId="640082BB" w14:textId="0FC06A67" w:rsidR="00473308" w:rsidRPr="00797379" w:rsidRDefault="00473308" w:rsidP="003E7B84">
      <w:pPr>
        <w:pStyle w:val="Heading3"/>
      </w:pPr>
      <w:bookmarkStart w:id="54" w:name="_Data_and_Assessment"/>
      <w:bookmarkStart w:id="55" w:name="_Data_Collection"/>
      <w:bookmarkEnd w:id="54"/>
      <w:bookmarkEnd w:id="55"/>
      <w:r w:rsidRPr="00797379">
        <w:t xml:space="preserve">Data </w:t>
      </w:r>
      <w:r w:rsidR="008E0EE8" w:rsidRPr="00797379">
        <w:t>Collection</w:t>
      </w:r>
    </w:p>
    <w:p w14:paraId="6A1F20E2" w14:textId="35523F87" w:rsidR="00DF4D2D" w:rsidRPr="00797379" w:rsidRDefault="005618E7" w:rsidP="003E7B84">
      <w:pPr>
        <w:pStyle w:val="BodyTextposthead"/>
      </w:pPr>
      <w:r w:rsidRPr="00797379">
        <w:t xml:space="preserve">The assistant superintendent of </w:t>
      </w:r>
      <w:r w:rsidR="003C0BAC">
        <w:t>c</w:t>
      </w:r>
      <w:r w:rsidRPr="00797379">
        <w:t>urriculum</w:t>
      </w:r>
      <w:r w:rsidR="00B07E7B" w:rsidRPr="00797379">
        <w:t xml:space="preserve">, </w:t>
      </w:r>
      <w:r w:rsidR="003C0BAC">
        <w:t>i</w:t>
      </w:r>
      <w:r w:rsidRPr="00797379">
        <w:t>nstruction</w:t>
      </w:r>
      <w:r w:rsidR="00B07E7B" w:rsidRPr="00797379">
        <w:t xml:space="preserve">, and </w:t>
      </w:r>
      <w:r w:rsidR="003C0BAC">
        <w:t>a</w:t>
      </w:r>
      <w:r w:rsidR="00B07E7B" w:rsidRPr="00797379">
        <w:t>ssessment</w:t>
      </w:r>
      <w:r w:rsidR="00B4696B" w:rsidRPr="00797379">
        <w:t>,</w:t>
      </w:r>
      <w:r w:rsidRPr="00797379">
        <w:t xml:space="preserve"> and the assistant superintendent for </w:t>
      </w:r>
      <w:r w:rsidR="003C0BAC">
        <w:t>e</w:t>
      </w:r>
      <w:r w:rsidRPr="00797379">
        <w:t xml:space="preserve">lementary </w:t>
      </w:r>
      <w:r w:rsidR="003C0BAC">
        <w:t>e</w:t>
      </w:r>
      <w:r w:rsidRPr="00797379">
        <w:t>ducation are responsible for assessment in the district</w:t>
      </w:r>
      <w:r w:rsidR="00B07E7B" w:rsidRPr="00797379">
        <w:t>. T</w:t>
      </w:r>
      <w:r w:rsidRPr="00797379">
        <w:t xml:space="preserve">hey receive support from the director of </w:t>
      </w:r>
      <w:r w:rsidR="003C0BAC">
        <w:t>s</w:t>
      </w:r>
      <w:r w:rsidRPr="00797379">
        <w:t xml:space="preserve">pecial </w:t>
      </w:r>
      <w:r w:rsidR="003C0BAC">
        <w:t>e</w:t>
      </w:r>
      <w:r w:rsidRPr="00797379">
        <w:t xml:space="preserve">ducation, the director of </w:t>
      </w:r>
      <w:r w:rsidR="003C0BAC">
        <w:t>m</w:t>
      </w:r>
      <w:r w:rsidRPr="00797379">
        <w:t xml:space="preserve">ultilingual </w:t>
      </w:r>
      <w:r w:rsidR="003C0BAC">
        <w:t>l</w:t>
      </w:r>
      <w:r w:rsidRPr="00797379">
        <w:t>earners, curriculum coordinators, and building principals.</w:t>
      </w:r>
      <w:r w:rsidR="00FA7044" w:rsidRPr="00797379">
        <w:t xml:space="preserve"> </w:t>
      </w:r>
      <w:r w:rsidRPr="00797379">
        <w:t>The district employs a broad range of academic and non-academic data sources to monitor student learning and inform instructional decisions.</w:t>
      </w:r>
      <w:r w:rsidR="00DF4D2D" w:rsidRPr="00797379">
        <w:t xml:space="preserve"> Table </w:t>
      </w:r>
      <w:r w:rsidR="00B07E7B" w:rsidRPr="00797379">
        <w:t>6</w:t>
      </w:r>
      <w:r w:rsidR="00DF4D2D" w:rsidRPr="00797379">
        <w:t xml:space="preserve"> outlines the standardized assessments used districtwide.</w:t>
      </w:r>
    </w:p>
    <w:p w14:paraId="2A0EC176" w14:textId="14A7D6AF" w:rsidR="00D36742" w:rsidRPr="00797379" w:rsidRDefault="00D36742" w:rsidP="005069A3">
      <w:pPr>
        <w:pStyle w:val="TableTitle0"/>
        <w:spacing w:before="120" w:after="0"/>
      </w:pPr>
      <w:bookmarkStart w:id="56" w:name="_Toc220932411"/>
      <w:r w:rsidRPr="00797379">
        <w:t xml:space="preserve">Table </w:t>
      </w:r>
      <w:r w:rsidR="00B07E7B" w:rsidRPr="00797379">
        <w:t>6</w:t>
      </w:r>
      <w:r w:rsidRPr="00797379">
        <w:t xml:space="preserve">. Assessments Used in </w:t>
      </w:r>
      <w:bookmarkEnd w:id="56"/>
      <w:r w:rsidR="00B07E7B" w:rsidRPr="00797379">
        <w:t>WPS</w:t>
      </w:r>
    </w:p>
    <w:tbl>
      <w:tblPr>
        <w:tblStyle w:val="MSVTable1"/>
        <w:tblW w:w="5000" w:type="pct"/>
        <w:tblLook w:val="04A0" w:firstRow="1" w:lastRow="0" w:firstColumn="1" w:lastColumn="0" w:noHBand="0" w:noVBand="1"/>
      </w:tblPr>
      <w:tblGrid>
        <w:gridCol w:w="5032"/>
        <w:gridCol w:w="1350"/>
        <w:gridCol w:w="2962"/>
      </w:tblGrid>
      <w:tr w:rsidR="00D36742" w:rsidRPr="00797379" w14:paraId="3ACCC677" w14:textId="77777777" w:rsidTr="00111C90">
        <w:trPr>
          <w:cnfStyle w:val="100000000000" w:firstRow="1" w:lastRow="0" w:firstColumn="0" w:lastColumn="0" w:oddVBand="0" w:evenVBand="0" w:oddHBand="0" w:evenHBand="0" w:firstRowFirstColumn="0" w:firstRowLastColumn="0" w:lastRowFirstColumn="0" w:lastRowLastColumn="0"/>
          <w:trHeight w:val="300"/>
          <w:tblHeader/>
        </w:trPr>
        <w:tc>
          <w:tcPr>
            <w:tcW w:w="5032" w:type="dxa"/>
            <w:hideMark/>
          </w:tcPr>
          <w:p w14:paraId="624ED2CB" w14:textId="32639752" w:rsidR="00D36742" w:rsidRPr="00797379" w:rsidRDefault="00D36742" w:rsidP="005069A3">
            <w:pPr>
              <w:pStyle w:val="TableColHeadingCenter"/>
              <w:spacing w:before="20" w:after="20"/>
            </w:pPr>
            <w:r w:rsidRPr="00797379">
              <w:t>Assessment</w:t>
            </w:r>
          </w:p>
        </w:tc>
        <w:tc>
          <w:tcPr>
            <w:tcW w:w="1350" w:type="dxa"/>
            <w:hideMark/>
          </w:tcPr>
          <w:p w14:paraId="04F995E2" w14:textId="31B0F710" w:rsidR="00D36742" w:rsidRPr="00797379" w:rsidRDefault="00D36742" w:rsidP="005069A3">
            <w:pPr>
              <w:pStyle w:val="TableColHeadingCenter"/>
              <w:spacing w:before="20" w:after="20"/>
            </w:pPr>
            <w:r w:rsidRPr="00797379">
              <w:t>Grade(s)</w:t>
            </w:r>
          </w:p>
        </w:tc>
        <w:tc>
          <w:tcPr>
            <w:tcW w:w="2962" w:type="dxa"/>
            <w:hideMark/>
          </w:tcPr>
          <w:p w14:paraId="75F7B44C" w14:textId="6D02E538" w:rsidR="00D36742" w:rsidRPr="00797379" w:rsidRDefault="00D36742" w:rsidP="005069A3">
            <w:pPr>
              <w:pStyle w:val="TableColHeadingCenter"/>
              <w:spacing w:before="20" w:after="20"/>
            </w:pPr>
            <w:r w:rsidRPr="00797379">
              <w:t>Time of administration</w:t>
            </w:r>
          </w:p>
        </w:tc>
      </w:tr>
      <w:tr w:rsidR="00D36742" w:rsidRPr="00797379" w14:paraId="73E54B11" w14:textId="77777777" w:rsidTr="00111C90">
        <w:trPr>
          <w:cnfStyle w:val="000000100000" w:firstRow="0" w:lastRow="0" w:firstColumn="0" w:lastColumn="0" w:oddVBand="0" w:evenVBand="0" w:oddHBand="1" w:evenHBand="0" w:firstRowFirstColumn="0" w:firstRowLastColumn="0" w:lastRowFirstColumn="0" w:lastRowLastColumn="0"/>
          <w:trHeight w:val="300"/>
        </w:trPr>
        <w:tc>
          <w:tcPr>
            <w:tcW w:w="5032" w:type="dxa"/>
          </w:tcPr>
          <w:p w14:paraId="5CE68AA3" w14:textId="04325340" w:rsidR="00D36742" w:rsidRPr="00797379" w:rsidRDefault="005069A3" w:rsidP="005069A3">
            <w:pPr>
              <w:pStyle w:val="TableSubheading"/>
              <w:spacing w:before="20" w:after="20"/>
            </w:pPr>
            <w:r w:rsidRPr="00797379">
              <w:t xml:space="preserve">mCLASS </w:t>
            </w:r>
            <w:r w:rsidR="00B92505" w:rsidRPr="00797379">
              <w:rPr>
                <w:color w:val="000000"/>
              </w:rPr>
              <w:t>(With DIBELS)</w:t>
            </w:r>
          </w:p>
        </w:tc>
        <w:tc>
          <w:tcPr>
            <w:tcW w:w="1350" w:type="dxa"/>
          </w:tcPr>
          <w:p w14:paraId="13616D07" w14:textId="0FA6DFF5" w:rsidR="00D36742" w:rsidRPr="00797379" w:rsidRDefault="0006407E" w:rsidP="005069A3">
            <w:pPr>
              <w:pStyle w:val="TableText"/>
              <w:spacing w:before="20" w:after="20"/>
            </w:pPr>
            <w:r w:rsidRPr="00797379">
              <w:t>K-3</w:t>
            </w:r>
          </w:p>
        </w:tc>
        <w:tc>
          <w:tcPr>
            <w:tcW w:w="2962" w:type="dxa"/>
          </w:tcPr>
          <w:p w14:paraId="1BA068E8" w14:textId="418C7C96" w:rsidR="00D36742" w:rsidRPr="00797379" w:rsidRDefault="0006407E" w:rsidP="005069A3">
            <w:pPr>
              <w:pStyle w:val="TableText"/>
              <w:spacing w:before="20" w:after="20"/>
            </w:pPr>
            <w:r w:rsidRPr="00797379">
              <w:t>Multiple</w:t>
            </w:r>
            <w:r w:rsidR="00B07E7B" w:rsidRPr="00797379">
              <w:t xml:space="preserve"> times per year</w:t>
            </w:r>
          </w:p>
        </w:tc>
      </w:tr>
      <w:tr w:rsidR="00D36742" w:rsidRPr="00797379" w14:paraId="5B89DCB0" w14:textId="77777777" w:rsidTr="00111C90">
        <w:trPr>
          <w:trHeight w:val="300"/>
        </w:trPr>
        <w:tc>
          <w:tcPr>
            <w:tcW w:w="5032" w:type="dxa"/>
          </w:tcPr>
          <w:p w14:paraId="3E7DD39F" w14:textId="7DBD475F" w:rsidR="00D36742" w:rsidRPr="00797379" w:rsidRDefault="005069A3" w:rsidP="005069A3">
            <w:pPr>
              <w:pStyle w:val="TableSubheading"/>
              <w:spacing w:before="20" w:after="20"/>
            </w:pPr>
            <w:r w:rsidRPr="00797379">
              <w:t>mCLASS</w:t>
            </w:r>
          </w:p>
        </w:tc>
        <w:tc>
          <w:tcPr>
            <w:tcW w:w="1350" w:type="dxa"/>
          </w:tcPr>
          <w:p w14:paraId="7C2C4BC1" w14:textId="0B694534" w:rsidR="00D36742" w:rsidRPr="00797379" w:rsidRDefault="008F7F98" w:rsidP="005069A3">
            <w:pPr>
              <w:pStyle w:val="TableText"/>
              <w:spacing w:before="20" w:after="20"/>
            </w:pPr>
            <w:r w:rsidRPr="00797379">
              <w:t>4-5</w:t>
            </w:r>
          </w:p>
        </w:tc>
        <w:tc>
          <w:tcPr>
            <w:tcW w:w="2962" w:type="dxa"/>
          </w:tcPr>
          <w:p w14:paraId="4A6338E1" w14:textId="2F245E55" w:rsidR="00D36742" w:rsidRPr="00797379" w:rsidRDefault="008F7F98" w:rsidP="005069A3">
            <w:pPr>
              <w:pStyle w:val="TableText"/>
              <w:spacing w:before="20" w:after="20"/>
            </w:pPr>
            <w:r w:rsidRPr="00797379">
              <w:t>Multiple</w:t>
            </w:r>
            <w:r w:rsidR="00B07E7B" w:rsidRPr="00797379">
              <w:t xml:space="preserve"> times per year</w:t>
            </w:r>
          </w:p>
        </w:tc>
      </w:tr>
      <w:tr w:rsidR="00D36742" w:rsidRPr="00797379" w14:paraId="4155D90F" w14:textId="77777777" w:rsidTr="00111C90">
        <w:trPr>
          <w:cnfStyle w:val="000000100000" w:firstRow="0" w:lastRow="0" w:firstColumn="0" w:lastColumn="0" w:oddVBand="0" w:evenVBand="0" w:oddHBand="1" w:evenHBand="0" w:firstRowFirstColumn="0" w:firstRowLastColumn="0" w:lastRowFirstColumn="0" w:lastRowLastColumn="0"/>
          <w:trHeight w:val="300"/>
        </w:trPr>
        <w:tc>
          <w:tcPr>
            <w:tcW w:w="5032" w:type="dxa"/>
          </w:tcPr>
          <w:p w14:paraId="52E43AAE" w14:textId="4047CD23" w:rsidR="00D36742" w:rsidRPr="00797379" w:rsidRDefault="00F50270" w:rsidP="005069A3">
            <w:pPr>
              <w:pStyle w:val="TableSubheading"/>
              <w:spacing w:before="20" w:after="20"/>
            </w:pPr>
            <w:r w:rsidRPr="00797379">
              <w:t>District-Developed</w:t>
            </w:r>
            <w:r w:rsidR="00111C90">
              <w:t xml:space="preserve"> ELA Common Assessment</w:t>
            </w:r>
          </w:p>
        </w:tc>
        <w:tc>
          <w:tcPr>
            <w:tcW w:w="1350" w:type="dxa"/>
          </w:tcPr>
          <w:p w14:paraId="18AC10E3" w14:textId="313826BC" w:rsidR="00D36742" w:rsidRPr="00797379" w:rsidRDefault="008F7F98" w:rsidP="005069A3">
            <w:pPr>
              <w:pStyle w:val="TableText"/>
              <w:spacing w:before="20" w:after="20"/>
            </w:pPr>
            <w:r w:rsidRPr="00797379">
              <w:t>K-12</w:t>
            </w:r>
          </w:p>
        </w:tc>
        <w:tc>
          <w:tcPr>
            <w:tcW w:w="2962" w:type="dxa"/>
          </w:tcPr>
          <w:p w14:paraId="1C10889E" w14:textId="59020BED" w:rsidR="00D36742" w:rsidRPr="00797379" w:rsidRDefault="008F7F98" w:rsidP="005069A3">
            <w:pPr>
              <w:pStyle w:val="TableText"/>
              <w:spacing w:before="20" w:after="20"/>
            </w:pPr>
            <w:r w:rsidRPr="00797379">
              <w:t>Multiple</w:t>
            </w:r>
            <w:r w:rsidR="00B07E7B" w:rsidRPr="00797379">
              <w:t xml:space="preserve"> times per year</w:t>
            </w:r>
          </w:p>
        </w:tc>
      </w:tr>
      <w:tr w:rsidR="00D36742" w:rsidRPr="00797379" w14:paraId="1EE52547" w14:textId="77777777" w:rsidTr="00111C90">
        <w:trPr>
          <w:trHeight w:val="300"/>
        </w:trPr>
        <w:tc>
          <w:tcPr>
            <w:tcW w:w="5032" w:type="dxa"/>
          </w:tcPr>
          <w:p w14:paraId="1574EF1E" w14:textId="429CC58C" w:rsidR="00D36742" w:rsidRPr="00797379" w:rsidRDefault="00851FA2" w:rsidP="005069A3">
            <w:pPr>
              <w:pStyle w:val="TableSubheading"/>
              <w:spacing w:before="20" w:after="20"/>
            </w:pPr>
            <w:r w:rsidRPr="00797379">
              <w:t>District-Developed</w:t>
            </w:r>
            <w:r w:rsidR="00111C90">
              <w:t xml:space="preserve"> Math Common Assessment</w:t>
            </w:r>
          </w:p>
        </w:tc>
        <w:tc>
          <w:tcPr>
            <w:tcW w:w="1350" w:type="dxa"/>
          </w:tcPr>
          <w:p w14:paraId="4205FD22" w14:textId="4E8602B5" w:rsidR="00D36742" w:rsidRPr="00797379" w:rsidRDefault="00851FA2" w:rsidP="005069A3">
            <w:pPr>
              <w:pStyle w:val="TableText"/>
              <w:spacing w:before="20" w:after="20"/>
            </w:pPr>
            <w:r w:rsidRPr="00797379">
              <w:t>K-12</w:t>
            </w:r>
          </w:p>
        </w:tc>
        <w:tc>
          <w:tcPr>
            <w:tcW w:w="2962" w:type="dxa"/>
          </w:tcPr>
          <w:p w14:paraId="7ACCD3C5" w14:textId="49237FE6" w:rsidR="00D36742" w:rsidRPr="00797379" w:rsidRDefault="00851FA2" w:rsidP="005069A3">
            <w:pPr>
              <w:pStyle w:val="TableText"/>
              <w:spacing w:before="20" w:after="20"/>
            </w:pPr>
            <w:r w:rsidRPr="00797379">
              <w:t>Multiple</w:t>
            </w:r>
            <w:r w:rsidR="00B07E7B" w:rsidRPr="00797379">
              <w:t xml:space="preserve"> times per year</w:t>
            </w:r>
          </w:p>
        </w:tc>
      </w:tr>
      <w:tr w:rsidR="00D36742" w:rsidRPr="00797379" w14:paraId="6E094DE8" w14:textId="77777777" w:rsidTr="00111C90">
        <w:trPr>
          <w:cnfStyle w:val="000000100000" w:firstRow="0" w:lastRow="0" w:firstColumn="0" w:lastColumn="0" w:oddVBand="0" w:evenVBand="0" w:oddHBand="1" w:evenHBand="0" w:firstRowFirstColumn="0" w:firstRowLastColumn="0" w:lastRowFirstColumn="0" w:lastRowLastColumn="0"/>
          <w:trHeight w:val="300"/>
        </w:trPr>
        <w:tc>
          <w:tcPr>
            <w:tcW w:w="5032" w:type="dxa"/>
          </w:tcPr>
          <w:p w14:paraId="57D3E03F" w14:textId="0E132008" w:rsidR="00D36742" w:rsidRPr="00797379" w:rsidRDefault="005639ED" w:rsidP="005069A3">
            <w:pPr>
              <w:pStyle w:val="TableSubheading"/>
              <w:spacing w:before="20" w:after="20"/>
            </w:pPr>
            <w:r w:rsidRPr="00797379">
              <w:t>District-Developed</w:t>
            </w:r>
            <w:r w:rsidR="00111C90">
              <w:t xml:space="preserve"> Science Common Assessment</w:t>
            </w:r>
          </w:p>
        </w:tc>
        <w:tc>
          <w:tcPr>
            <w:tcW w:w="1350" w:type="dxa"/>
          </w:tcPr>
          <w:p w14:paraId="764EA75A" w14:textId="3C394F61" w:rsidR="00D36742" w:rsidRPr="00797379" w:rsidRDefault="005639ED" w:rsidP="005069A3">
            <w:pPr>
              <w:pStyle w:val="TableText"/>
              <w:spacing w:before="20" w:after="20"/>
            </w:pPr>
            <w:r w:rsidRPr="00797379">
              <w:t>K-12</w:t>
            </w:r>
          </w:p>
        </w:tc>
        <w:tc>
          <w:tcPr>
            <w:tcW w:w="2962" w:type="dxa"/>
          </w:tcPr>
          <w:p w14:paraId="42771910" w14:textId="1E7769D9" w:rsidR="00D36742" w:rsidRPr="00797379" w:rsidRDefault="005639ED" w:rsidP="005069A3">
            <w:pPr>
              <w:pStyle w:val="TableText"/>
              <w:spacing w:before="20" w:after="20"/>
            </w:pPr>
            <w:r w:rsidRPr="00797379">
              <w:t>Multiple</w:t>
            </w:r>
            <w:r w:rsidR="00B07E7B" w:rsidRPr="00797379">
              <w:t xml:space="preserve"> times per year</w:t>
            </w:r>
          </w:p>
        </w:tc>
      </w:tr>
      <w:tr w:rsidR="00D36742" w:rsidRPr="00797379" w14:paraId="72D8C4B2" w14:textId="77777777" w:rsidTr="00111C90">
        <w:trPr>
          <w:trHeight w:val="300"/>
        </w:trPr>
        <w:tc>
          <w:tcPr>
            <w:tcW w:w="5032" w:type="dxa"/>
          </w:tcPr>
          <w:p w14:paraId="75FEA7FA" w14:textId="78D8B9BF" w:rsidR="00D36742" w:rsidRPr="00797379" w:rsidRDefault="005639ED" w:rsidP="005069A3">
            <w:pPr>
              <w:pStyle w:val="TableSubheading"/>
              <w:spacing w:before="20" w:after="20"/>
            </w:pPr>
            <w:r w:rsidRPr="00797379">
              <w:t>District-Developed</w:t>
            </w:r>
            <w:r w:rsidR="00111C90">
              <w:t xml:space="preserve"> Social Studies Common Assessment</w:t>
            </w:r>
          </w:p>
        </w:tc>
        <w:tc>
          <w:tcPr>
            <w:tcW w:w="1350" w:type="dxa"/>
          </w:tcPr>
          <w:p w14:paraId="457F14D6" w14:textId="743A2E89" w:rsidR="00D36742" w:rsidRPr="00797379" w:rsidRDefault="005639ED" w:rsidP="005069A3">
            <w:pPr>
              <w:pStyle w:val="TableText"/>
              <w:spacing w:before="20" w:after="20"/>
            </w:pPr>
            <w:r w:rsidRPr="00797379">
              <w:t>K-12</w:t>
            </w:r>
          </w:p>
        </w:tc>
        <w:tc>
          <w:tcPr>
            <w:tcW w:w="2962" w:type="dxa"/>
          </w:tcPr>
          <w:p w14:paraId="374F28B0" w14:textId="37E1381B" w:rsidR="00D36742" w:rsidRPr="00797379" w:rsidRDefault="005639ED" w:rsidP="005069A3">
            <w:pPr>
              <w:pStyle w:val="TableText"/>
              <w:spacing w:before="20" w:after="20"/>
            </w:pPr>
            <w:r w:rsidRPr="00797379">
              <w:t>Multiple</w:t>
            </w:r>
            <w:r w:rsidR="00B07E7B" w:rsidRPr="00797379">
              <w:t xml:space="preserve"> times per year</w:t>
            </w:r>
          </w:p>
        </w:tc>
      </w:tr>
      <w:tr w:rsidR="00D36742" w:rsidRPr="00797379" w14:paraId="4E68D7E8" w14:textId="77777777" w:rsidTr="00111C90">
        <w:trPr>
          <w:cnfStyle w:val="000000100000" w:firstRow="0" w:lastRow="0" w:firstColumn="0" w:lastColumn="0" w:oddVBand="0" w:evenVBand="0" w:oddHBand="1" w:evenHBand="0" w:firstRowFirstColumn="0" w:firstRowLastColumn="0" w:lastRowFirstColumn="0" w:lastRowLastColumn="0"/>
          <w:trHeight w:val="300"/>
        </w:trPr>
        <w:tc>
          <w:tcPr>
            <w:tcW w:w="5032" w:type="dxa"/>
          </w:tcPr>
          <w:p w14:paraId="00FEDBED" w14:textId="18AC5B20" w:rsidR="00D36742" w:rsidRPr="00797379" w:rsidRDefault="005639ED" w:rsidP="005069A3">
            <w:pPr>
              <w:pStyle w:val="TableSubheading"/>
              <w:spacing w:before="20" w:after="20"/>
            </w:pPr>
            <w:r w:rsidRPr="00797379">
              <w:t>District-Developed</w:t>
            </w:r>
            <w:r w:rsidR="00C22BBE">
              <w:t xml:space="preserve"> Other Content Area Common Assessments (e.g., W</w:t>
            </w:r>
            <w:r w:rsidR="00C22BBE" w:rsidRPr="00C22BBE">
              <w:t xml:space="preserve">orld </w:t>
            </w:r>
            <w:r w:rsidR="00C22BBE">
              <w:t>L</w:t>
            </w:r>
            <w:r w:rsidR="00C22BBE" w:rsidRPr="00C22BBE">
              <w:t xml:space="preserve">anguage, </w:t>
            </w:r>
            <w:r w:rsidR="00C22BBE">
              <w:t>M</w:t>
            </w:r>
            <w:r w:rsidR="00C22BBE" w:rsidRPr="00C22BBE">
              <w:t xml:space="preserve">usic, </w:t>
            </w:r>
            <w:r w:rsidR="00C22BBE">
              <w:t>A</w:t>
            </w:r>
            <w:r w:rsidR="00C22BBE" w:rsidRPr="00C22BBE">
              <w:t xml:space="preserve">rt, </w:t>
            </w:r>
            <w:r w:rsidR="00C22BBE">
              <w:t>T</w:t>
            </w:r>
            <w:r w:rsidR="00C22BBE" w:rsidRPr="00C22BBE">
              <w:t>echnology,</w:t>
            </w:r>
            <w:r w:rsidR="00C22BBE">
              <w:t xml:space="preserve"> E</w:t>
            </w:r>
            <w:r w:rsidR="00C22BBE" w:rsidRPr="00C22BBE">
              <w:t>lectives, etc.</w:t>
            </w:r>
            <w:r w:rsidR="00C22BBE">
              <w:t>)</w:t>
            </w:r>
          </w:p>
        </w:tc>
        <w:tc>
          <w:tcPr>
            <w:tcW w:w="1350" w:type="dxa"/>
          </w:tcPr>
          <w:p w14:paraId="4C47BEEE" w14:textId="1EFA641B" w:rsidR="00D36742" w:rsidRPr="00797379" w:rsidRDefault="005639ED" w:rsidP="005069A3">
            <w:pPr>
              <w:pStyle w:val="TableText"/>
              <w:spacing w:before="20" w:after="20"/>
            </w:pPr>
            <w:r w:rsidRPr="00797379">
              <w:t>K-12</w:t>
            </w:r>
          </w:p>
        </w:tc>
        <w:tc>
          <w:tcPr>
            <w:tcW w:w="2962" w:type="dxa"/>
          </w:tcPr>
          <w:p w14:paraId="77749443" w14:textId="138A4473" w:rsidR="00D36742" w:rsidRPr="00797379" w:rsidRDefault="005639ED" w:rsidP="005069A3">
            <w:pPr>
              <w:pStyle w:val="TableText"/>
              <w:spacing w:before="20" w:after="20"/>
            </w:pPr>
            <w:r w:rsidRPr="00797379">
              <w:t>Multiple</w:t>
            </w:r>
            <w:r w:rsidR="00B07E7B" w:rsidRPr="00797379">
              <w:t xml:space="preserve"> times per year</w:t>
            </w:r>
          </w:p>
        </w:tc>
      </w:tr>
      <w:tr w:rsidR="00D36742" w:rsidRPr="00797379" w14:paraId="2A680461" w14:textId="77777777" w:rsidTr="00111C90">
        <w:trPr>
          <w:trHeight w:val="300"/>
        </w:trPr>
        <w:tc>
          <w:tcPr>
            <w:tcW w:w="5032" w:type="dxa"/>
          </w:tcPr>
          <w:p w14:paraId="272FCC01" w14:textId="62ADE487" w:rsidR="00D36742" w:rsidRPr="00797379" w:rsidRDefault="005639ED" w:rsidP="005069A3">
            <w:pPr>
              <w:pStyle w:val="TableSubheading"/>
              <w:spacing w:before="20" w:after="20"/>
            </w:pPr>
            <w:r w:rsidRPr="00797379">
              <w:t>IXL</w:t>
            </w:r>
          </w:p>
        </w:tc>
        <w:tc>
          <w:tcPr>
            <w:tcW w:w="1350" w:type="dxa"/>
          </w:tcPr>
          <w:p w14:paraId="6FB20B57" w14:textId="3A462092" w:rsidR="00D36742" w:rsidRPr="00797379" w:rsidRDefault="005639ED" w:rsidP="005069A3">
            <w:pPr>
              <w:pStyle w:val="TableText"/>
              <w:spacing w:before="20" w:after="20"/>
            </w:pPr>
            <w:r w:rsidRPr="00797379">
              <w:t>1-12</w:t>
            </w:r>
          </w:p>
        </w:tc>
        <w:tc>
          <w:tcPr>
            <w:tcW w:w="2962" w:type="dxa"/>
          </w:tcPr>
          <w:p w14:paraId="1C6A05AA" w14:textId="1FB88B12" w:rsidR="00D36742" w:rsidRPr="00797379" w:rsidRDefault="005639ED" w:rsidP="005069A3">
            <w:pPr>
              <w:pStyle w:val="TableText"/>
              <w:spacing w:before="20" w:after="20"/>
            </w:pPr>
            <w:r w:rsidRPr="00797379">
              <w:t>Multiple</w:t>
            </w:r>
            <w:r w:rsidR="00B07E7B" w:rsidRPr="00797379">
              <w:t xml:space="preserve"> times per year</w:t>
            </w:r>
          </w:p>
        </w:tc>
      </w:tr>
      <w:tr w:rsidR="00D36742" w:rsidRPr="00797379" w14:paraId="3B8CDDD0" w14:textId="77777777" w:rsidTr="00111C90">
        <w:trPr>
          <w:cnfStyle w:val="000000100000" w:firstRow="0" w:lastRow="0" w:firstColumn="0" w:lastColumn="0" w:oddVBand="0" w:evenVBand="0" w:oddHBand="1" w:evenHBand="0" w:firstRowFirstColumn="0" w:firstRowLastColumn="0" w:lastRowFirstColumn="0" w:lastRowLastColumn="0"/>
          <w:trHeight w:val="300"/>
        </w:trPr>
        <w:tc>
          <w:tcPr>
            <w:tcW w:w="5032" w:type="dxa"/>
          </w:tcPr>
          <w:p w14:paraId="737CCADC" w14:textId="5185D8F5" w:rsidR="00D36742" w:rsidRPr="00797379" w:rsidRDefault="005639ED" w:rsidP="005069A3">
            <w:pPr>
              <w:pStyle w:val="TableSubheading"/>
              <w:spacing w:before="20" w:after="20"/>
            </w:pPr>
            <w:r w:rsidRPr="00797379">
              <w:t>Lexia</w:t>
            </w:r>
            <w:r w:rsidR="007A3B49">
              <w:t>—Core5</w:t>
            </w:r>
          </w:p>
        </w:tc>
        <w:tc>
          <w:tcPr>
            <w:tcW w:w="1350" w:type="dxa"/>
          </w:tcPr>
          <w:p w14:paraId="157F6105" w14:textId="36FAE6FC" w:rsidR="00D36742" w:rsidRPr="00797379" w:rsidRDefault="0015626E" w:rsidP="005069A3">
            <w:pPr>
              <w:pStyle w:val="TableText"/>
              <w:spacing w:before="20" w:after="20"/>
            </w:pPr>
            <w:r w:rsidRPr="00797379">
              <w:t>K-5</w:t>
            </w:r>
          </w:p>
        </w:tc>
        <w:tc>
          <w:tcPr>
            <w:tcW w:w="2962" w:type="dxa"/>
          </w:tcPr>
          <w:p w14:paraId="52B9C379" w14:textId="7D326557" w:rsidR="00D36742" w:rsidRPr="00797379" w:rsidRDefault="0015626E" w:rsidP="005069A3">
            <w:pPr>
              <w:pStyle w:val="TableText"/>
              <w:spacing w:before="20" w:after="20"/>
            </w:pPr>
            <w:r w:rsidRPr="00797379">
              <w:t>Multiple</w:t>
            </w:r>
            <w:r w:rsidR="00B07E7B" w:rsidRPr="00797379">
              <w:t xml:space="preserve"> times per year</w:t>
            </w:r>
          </w:p>
        </w:tc>
      </w:tr>
      <w:tr w:rsidR="00D36742" w:rsidRPr="00797379" w14:paraId="14F8267D" w14:textId="77777777" w:rsidTr="00111C90">
        <w:trPr>
          <w:trHeight w:val="300"/>
        </w:trPr>
        <w:tc>
          <w:tcPr>
            <w:tcW w:w="5032" w:type="dxa"/>
          </w:tcPr>
          <w:p w14:paraId="26263AC6" w14:textId="3EB8B700" w:rsidR="00D36742" w:rsidRPr="00797379" w:rsidRDefault="005639ED" w:rsidP="005069A3">
            <w:pPr>
              <w:pStyle w:val="TableSubheading"/>
              <w:spacing w:before="20" w:after="20"/>
            </w:pPr>
            <w:r w:rsidRPr="00797379">
              <w:t>Lexia</w:t>
            </w:r>
            <w:r w:rsidR="003976A2">
              <w:t>—</w:t>
            </w:r>
            <w:r w:rsidR="00815E05">
              <w:t>PowerUp</w:t>
            </w:r>
          </w:p>
        </w:tc>
        <w:tc>
          <w:tcPr>
            <w:tcW w:w="1350" w:type="dxa"/>
          </w:tcPr>
          <w:p w14:paraId="23A978FA" w14:textId="31538BF4" w:rsidR="00D36742" w:rsidRPr="00797379" w:rsidRDefault="0015626E" w:rsidP="005069A3">
            <w:pPr>
              <w:pStyle w:val="TableText"/>
              <w:spacing w:before="20" w:after="20"/>
            </w:pPr>
            <w:r w:rsidRPr="00797379">
              <w:t>6-8</w:t>
            </w:r>
          </w:p>
        </w:tc>
        <w:tc>
          <w:tcPr>
            <w:tcW w:w="2962" w:type="dxa"/>
          </w:tcPr>
          <w:p w14:paraId="3792C764" w14:textId="456BE169" w:rsidR="00D36742" w:rsidRPr="00797379" w:rsidRDefault="0015626E" w:rsidP="005069A3">
            <w:pPr>
              <w:pStyle w:val="TableText"/>
              <w:spacing w:before="20" w:after="20"/>
            </w:pPr>
            <w:r w:rsidRPr="00797379">
              <w:t>Multiple</w:t>
            </w:r>
            <w:r w:rsidR="00B07E7B" w:rsidRPr="00797379">
              <w:t xml:space="preserve"> times per year</w:t>
            </w:r>
          </w:p>
        </w:tc>
      </w:tr>
      <w:tr w:rsidR="00D36742" w:rsidRPr="00797379" w14:paraId="2DBB6B01" w14:textId="77777777" w:rsidTr="00111C90">
        <w:trPr>
          <w:cnfStyle w:val="000000100000" w:firstRow="0" w:lastRow="0" w:firstColumn="0" w:lastColumn="0" w:oddVBand="0" w:evenVBand="0" w:oddHBand="1" w:evenHBand="0" w:firstRowFirstColumn="0" w:firstRowLastColumn="0" w:lastRowFirstColumn="0" w:lastRowLastColumn="0"/>
          <w:trHeight w:val="300"/>
        </w:trPr>
        <w:tc>
          <w:tcPr>
            <w:tcW w:w="5032" w:type="dxa"/>
          </w:tcPr>
          <w:p w14:paraId="0EE9571D" w14:textId="171C61F3" w:rsidR="00D36742" w:rsidRPr="00797379" w:rsidRDefault="005639ED" w:rsidP="005069A3">
            <w:pPr>
              <w:pStyle w:val="TableSubheading"/>
              <w:spacing w:before="20" w:after="20"/>
            </w:pPr>
            <w:r w:rsidRPr="00797379">
              <w:t>Formative</w:t>
            </w:r>
          </w:p>
        </w:tc>
        <w:tc>
          <w:tcPr>
            <w:tcW w:w="1350" w:type="dxa"/>
          </w:tcPr>
          <w:p w14:paraId="28BFB4E0" w14:textId="24F9EEFC" w:rsidR="00D36742" w:rsidRPr="00797379" w:rsidRDefault="0015626E" w:rsidP="005069A3">
            <w:pPr>
              <w:pStyle w:val="TableText"/>
              <w:spacing w:before="20" w:after="20"/>
            </w:pPr>
            <w:r w:rsidRPr="00797379">
              <w:t>K-5</w:t>
            </w:r>
          </w:p>
        </w:tc>
        <w:tc>
          <w:tcPr>
            <w:tcW w:w="2962" w:type="dxa"/>
          </w:tcPr>
          <w:p w14:paraId="5D8AB7D6" w14:textId="0C664B28" w:rsidR="00D36742" w:rsidRPr="00797379" w:rsidRDefault="0015626E" w:rsidP="005069A3">
            <w:pPr>
              <w:pStyle w:val="TableText"/>
              <w:spacing w:before="20" w:after="20"/>
            </w:pPr>
            <w:r w:rsidRPr="00797379">
              <w:t>Multiple</w:t>
            </w:r>
            <w:r w:rsidR="00B07E7B" w:rsidRPr="00797379">
              <w:t xml:space="preserve"> times per year</w:t>
            </w:r>
          </w:p>
        </w:tc>
      </w:tr>
      <w:tr w:rsidR="005639ED" w:rsidRPr="00797379" w14:paraId="4AD94098" w14:textId="77777777" w:rsidTr="00111C90">
        <w:trPr>
          <w:trHeight w:val="300"/>
        </w:trPr>
        <w:tc>
          <w:tcPr>
            <w:tcW w:w="5032" w:type="dxa"/>
          </w:tcPr>
          <w:p w14:paraId="731FF4A7" w14:textId="61EF1760" w:rsidR="005639ED" w:rsidRPr="00797379" w:rsidRDefault="005639ED" w:rsidP="005069A3">
            <w:pPr>
              <w:pStyle w:val="TableSubheading"/>
              <w:spacing w:before="20" w:after="20"/>
            </w:pPr>
            <w:r w:rsidRPr="00797379">
              <w:t>WIDA</w:t>
            </w:r>
            <w:r w:rsidR="00062982">
              <w:t xml:space="preserve">—W-APT </w:t>
            </w:r>
          </w:p>
        </w:tc>
        <w:tc>
          <w:tcPr>
            <w:tcW w:w="1350" w:type="dxa"/>
          </w:tcPr>
          <w:p w14:paraId="2BF99691" w14:textId="4C012FA4" w:rsidR="005639ED" w:rsidRPr="00797379" w:rsidRDefault="001A149C" w:rsidP="005069A3">
            <w:pPr>
              <w:pStyle w:val="TableText"/>
              <w:spacing w:before="20" w:after="20"/>
            </w:pPr>
            <w:r w:rsidRPr="00797379">
              <w:t>K</w:t>
            </w:r>
            <w:r w:rsidR="00E45D6A">
              <w:t>-12</w:t>
            </w:r>
          </w:p>
        </w:tc>
        <w:tc>
          <w:tcPr>
            <w:tcW w:w="2962" w:type="dxa"/>
          </w:tcPr>
          <w:p w14:paraId="211201BC" w14:textId="1C325F7B" w:rsidR="005639ED" w:rsidRPr="00797379" w:rsidRDefault="001A149C" w:rsidP="005069A3">
            <w:pPr>
              <w:pStyle w:val="TableText"/>
              <w:spacing w:before="20" w:after="20"/>
            </w:pPr>
            <w:r w:rsidRPr="00797379">
              <w:t>Multiple</w:t>
            </w:r>
            <w:r w:rsidR="00784B54" w:rsidRPr="00797379">
              <w:t xml:space="preserve"> times per year</w:t>
            </w:r>
          </w:p>
        </w:tc>
      </w:tr>
      <w:tr w:rsidR="005639ED" w:rsidRPr="00797379" w14:paraId="14A2C23B" w14:textId="77777777" w:rsidTr="00111C90">
        <w:trPr>
          <w:cnfStyle w:val="000000100000" w:firstRow="0" w:lastRow="0" w:firstColumn="0" w:lastColumn="0" w:oddVBand="0" w:evenVBand="0" w:oddHBand="1" w:evenHBand="0" w:firstRowFirstColumn="0" w:firstRowLastColumn="0" w:lastRowFirstColumn="0" w:lastRowLastColumn="0"/>
          <w:trHeight w:val="300"/>
        </w:trPr>
        <w:tc>
          <w:tcPr>
            <w:tcW w:w="5032" w:type="dxa"/>
          </w:tcPr>
          <w:p w14:paraId="00ED7E2B" w14:textId="62AF2AA8" w:rsidR="005639ED" w:rsidRPr="00797379" w:rsidRDefault="005639ED" w:rsidP="005069A3">
            <w:pPr>
              <w:pStyle w:val="TableSubheading"/>
              <w:spacing w:before="20" w:after="20"/>
            </w:pPr>
            <w:r w:rsidRPr="00797379">
              <w:t>WIDA</w:t>
            </w:r>
            <w:r w:rsidR="0049094A">
              <w:t xml:space="preserve"> ACCESS</w:t>
            </w:r>
          </w:p>
        </w:tc>
        <w:tc>
          <w:tcPr>
            <w:tcW w:w="1350" w:type="dxa"/>
          </w:tcPr>
          <w:p w14:paraId="320DF48A" w14:textId="5BEB9993" w:rsidR="005639ED" w:rsidRPr="00797379" w:rsidRDefault="001A149C" w:rsidP="005069A3">
            <w:pPr>
              <w:pStyle w:val="TableText"/>
              <w:spacing w:before="20" w:after="20"/>
            </w:pPr>
            <w:r w:rsidRPr="00797379">
              <w:t>1-12</w:t>
            </w:r>
          </w:p>
        </w:tc>
        <w:tc>
          <w:tcPr>
            <w:tcW w:w="2962" w:type="dxa"/>
          </w:tcPr>
          <w:p w14:paraId="5C6B1F75" w14:textId="301AF246" w:rsidR="005639ED" w:rsidRPr="00797379" w:rsidRDefault="0049094A" w:rsidP="005069A3">
            <w:pPr>
              <w:pStyle w:val="TableText"/>
              <w:spacing w:before="20" w:after="20"/>
            </w:pPr>
            <w:r>
              <w:t xml:space="preserve">Once </w:t>
            </w:r>
            <w:r w:rsidR="00784B54" w:rsidRPr="00797379">
              <w:t>per year</w:t>
            </w:r>
          </w:p>
        </w:tc>
      </w:tr>
    </w:tbl>
    <w:p w14:paraId="2B63A235" w14:textId="77777777" w:rsidR="00B92505" w:rsidRPr="00797379" w:rsidRDefault="00B92505" w:rsidP="00B92505">
      <w:pPr>
        <w:pStyle w:val="TableNote"/>
        <w:rPr>
          <w:i/>
          <w:iCs/>
        </w:rPr>
      </w:pPr>
      <w:bookmarkStart w:id="57" w:name="_Data_Use"/>
      <w:bookmarkStart w:id="58" w:name="_Data_Use_and"/>
      <w:bookmarkEnd w:id="57"/>
      <w:bookmarkEnd w:id="58"/>
      <w:r w:rsidRPr="00797379">
        <w:rPr>
          <w:i/>
          <w:iCs/>
        </w:rPr>
        <w:t xml:space="preserve">Note. </w:t>
      </w:r>
      <w:r w:rsidRPr="00797379">
        <w:t>DIBELS = Dynamic Indicators of Basic Early Literacy Skills.</w:t>
      </w:r>
    </w:p>
    <w:p w14:paraId="2D525B00" w14:textId="5F7D8D83" w:rsidR="5FC2119C" w:rsidRPr="00797379" w:rsidRDefault="5FC2119C" w:rsidP="003E7B84">
      <w:pPr>
        <w:pStyle w:val="BodyText"/>
        <w:rPr>
          <w:color w:val="538135" w:themeColor="accent6" w:themeShade="BF"/>
        </w:rPr>
      </w:pPr>
      <w:r>
        <w:t xml:space="preserve">According to </w:t>
      </w:r>
      <w:r w:rsidR="006D1B09">
        <w:t>district document review</w:t>
      </w:r>
      <w:r w:rsidR="00B92505">
        <w:t xml:space="preserve">, </w:t>
      </w:r>
      <w:r>
        <w:t>formal academic assessments include mCLASS with DIBELS for early literacy (</w:t>
      </w:r>
      <w:r w:rsidR="00B92505">
        <w:t>G</w:t>
      </w:r>
      <w:r>
        <w:t>rades K–5)</w:t>
      </w:r>
      <w:r w:rsidR="00B92505">
        <w:t>;</w:t>
      </w:r>
      <w:r>
        <w:t xml:space="preserve"> district-developed common performance-based assessments across all core content areas (</w:t>
      </w:r>
      <w:r w:rsidR="00B92505">
        <w:t>English language arts</w:t>
      </w:r>
      <w:r>
        <w:t>, math, science, social studies)</w:t>
      </w:r>
      <w:r w:rsidR="00B92505">
        <w:t>;</w:t>
      </w:r>
      <w:r>
        <w:t xml:space="preserve"> and specialized tools</w:t>
      </w:r>
      <w:r w:rsidR="00B92505">
        <w:t>,</w:t>
      </w:r>
      <w:r>
        <w:t xml:space="preserve"> such as Formative for math screening and Lexia Core5/PowerUp for targeted reading support</w:t>
      </w:r>
      <w:r w:rsidR="00A8588F">
        <w:t xml:space="preserve"> at the elementary and middle school</w:t>
      </w:r>
      <w:r w:rsidR="00D71675">
        <w:t xml:space="preserve"> level</w:t>
      </w:r>
      <w:r>
        <w:t>. The</w:t>
      </w:r>
      <w:r w:rsidR="00283012">
        <w:t xml:space="preserve"> district administers these</w:t>
      </w:r>
      <w:r>
        <w:t xml:space="preserve"> assessments multiple times throughout the year</w:t>
      </w:r>
      <w:r w:rsidR="00283012">
        <w:t>.</w:t>
      </w:r>
      <w:r>
        <w:t xml:space="preserve"> </w:t>
      </w:r>
      <w:r w:rsidR="00283012">
        <w:t xml:space="preserve">The assessments </w:t>
      </w:r>
      <w:r>
        <w:t>are used for universal screening, progress monitoring, and grouping students for Tier 1 and Tier 2 instruction. Additionally, WIDA assessments (W-APT and WIDA Screener) are used to identify and monitor multilingual learners</w:t>
      </w:r>
      <w:r w:rsidR="00283012">
        <w:t xml:space="preserve"> to </w:t>
      </w:r>
      <w:r>
        <w:t>ensur</w:t>
      </w:r>
      <w:r w:rsidR="00283012">
        <w:t xml:space="preserve">e </w:t>
      </w:r>
      <w:r>
        <w:t xml:space="preserve">compliance with state requirements. </w:t>
      </w:r>
      <w:r w:rsidR="2C54724D">
        <w:t>The district utilizes</w:t>
      </w:r>
      <w:r w:rsidR="6CA6980E" w:rsidRPr="00B30E4B">
        <w:t xml:space="preserve"> </w:t>
      </w:r>
      <w:r w:rsidRPr="00B30E4B">
        <w:t xml:space="preserve">multiple valid data sources </w:t>
      </w:r>
      <w:r w:rsidR="1839108D" w:rsidRPr="00B30E4B">
        <w:t>to assess students</w:t>
      </w:r>
      <w:r w:rsidR="009F0535" w:rsidRPr="00B30E4B">
        <w:t>’ academic skills</w:t>
      </w:r>
      <w:r w:rsidR="00C64293" w:rsidRPr="00B30E4B">
        <w:t xml:space="preserve"> and content knowledge</w:t>
      </w:r>
      <w:r w:rsidR="00952AAD" w:rsidRPr="00B30E4B">
        <w:t>, which</w:t>
      </w:r>
      <w:r w:rsidRPr="00B30E4B">
        <w:t xml:space="preserve"> is a strength </w:t>
      </w:r>
      <w:r w:rsidRPr="00B30E4B" w:rsidDel="5FC2119C">
        <w:t xml:space="preserve">of </w:t>
      </w:r>
      <w:r w:rsidR="00952AAD" w:rsidRPr="00B30E4B">
        <w:t>WPS</w:t>
      </w:r>
      <w:r w:rsidRPr="00B30E4B">
        <w:t>.</w:t>
      </w:r>
    </w:p>
    <w:p w14:paraId="7F9B1149" w14:textId="37FFE858" w:rsidR="5FC2119C" w:rsidRPr="00797379" w:rsidRDefault="5FC2119C" w:rsidP="00DB685A">
      <w:pPr>
        <w:spacing w:line="300" w:lineRule="atLeast"/>
      </w:pPr>
      <w:r w:rsidRPr="00797379">
        <w:t xml:space="preserve">Teacher and leader focus groups </w:t>
      </w:r>
      <w:r w:rsidR="00DB685A" w:rsidRPr="00DB685A">
        <w:t xml:space="preserve">reported </w:t>
      </w:r>
      <w:r w:rsidRPr="00797379">
        <w:t xml:space="preserve">that district-developed common assessments </w:t>
      </w:r>
      <w:r w:rsidR="00DB685A" w:rsidRPr="00DB685A">
        <w:t xml:space="preserve">complement these tools and </w:t>
      </w:r>
      <w:r w:rsidRPr="00797379">
        <w:t xml:space="preserve">align with standards </w:t>
      </w:r>
      <w:r w:rsidR="00DB685A" w:rsidRPr="00DB685A">
        <w:t>to</w:t>
      </w:r>
      <w:r w:rsidRPr="00797379">
        <w:t xml:space="preserve"> provide consistent measures of student performance across classrooms. </w:t>
      </w:r>
      <w:r w:rsidR="006958DC" w:rsidRPr="00797379">
        <w:t>P</w:t>
      </w:r>
      <w:r w:rsidRPr="00797379">
        <w:t xml:space="preserve">erformance-based tasks are used in </w:t>
      </w:r>
      <w:r w:rsidR="00206BA7">
        <w:t xml:space="preserve">all courses </w:t>
      </w:r>
      <w:r w:rsidR="006958DC" w:rsidRPr="00797379">
        <w:t xml:space="preserve">and </w:t>
      </w:r>
      <w:r w:rsidRPr="00797379">
        <w:t>with shared rubrics to promote consistency. Leaders report</w:t>
      </w:r>
      <w:r w:rsidR="006958DC" w:rsidRPr="00797379">
        <w:t>ed</w:t>
      </w:r>
      <w:r w:rsidRPr="00797379">
        <w:t xml:space="preserve"> </w:t>
      </w:r>
      <w:r w:rsidR="006958DC" w:rsidRPr="00797379">
        <w:t>using</w:t>
      </w:r>
      <w:r w:rsidRPr="00797379">
        <w:t xml:space="preserve"> state assessments</w:t>
      </w:r>
      <w:r w:rsidR="00FD1158">
        <w:t>,</w:t>
      </w:r>
      <w:r w:rsidRPr="00797379">
        <w:t xml:space="preserve"> survey data (</w:t>
      </w:r>
      <w:r w:rsidR="006958DC" w:rsidRPr="00797379">
        <w:t xml:space="preserve">e.g., </w:t>
      </w:r>
      <w:r w:rsidRPr="00797379">
        <w:t>YRBS)</w:t>
      </w:r>
      <w:r w:rsidR="006958DC" w:rsidRPr="00797379">
        <w:t>,</w:t>
      </w:r>
      <w:r w:rsidRPr="00797379">
        <w:t xml:space="preserve"> and MCIEA school climate surveys to capture </w:t>
      </w:r>
      <w:r w:rsidR="00540ED4" w:rsidRPr="00797379">
        <w:t>non-academic</w:t>
      </w:r>
      <w:r w:rsidRPr="00797379">
        <w:t xml:space="preserve"> indicators of student well-being and engagement.</w:t>
      </w:r>
    </w:p>
    <w:p w14:paraId="2C9E07C8" w14:textId="5667751E" w:rsidR="5FC2119C" w:rsidRPr="00797379" w:rsidRDefault="00192015" w:rsidP="003E7B84">
      <w:pPr>
        <w:pStyle w:val="BodyText"/>
        <w:rPr>
          <w:color w:val="EE0000"/>
        </w:rPr>
      </w:pPr>
      <w:r>
        <w:t>Though t</w:t>
      </w:r>
      <w:r w:rsidR="5FC2119C" w:rsidRPr="00797379">
        <w:t xml:space="preserve">he district </w:t>
      </w:r>
      <w:r>
        <w:t>uses</w:t>
      </w:r>
      <w:r w:rsidR="5FC2119C" w:rsidRPr="00797379">
        <w:t xml:space="preserve"> multiple sources of data,</w:t>
      </w:r>
      <w:r w:rsidR="00F55AC5">
        <w:t xml:space="preserve"> especially at the elementary level,</w:t>
      </w:r>
      <w:r w:rsidR="5FC2119C" w:rsidRPr="00797379">
        <w:t xml:space="preserve"> focus groups highlight</w:t>
      </w:r>
      <w:r w:rsidR="001A18CD" w:rsidRPr="00797379">
        <w:t>ed</w:t>
      </w:r>
      <w:r w:rsidR="5FC2119C" w:rsidRPr="00797379">
        <w:t xml:space="preserve"> variability in implementation of assessments across schools. For example, secondary teachers note</w:t>
      </w:r>
      <w:r w:rsidR="001A18CD" w:rsidRPr="00797379">
        <w:t>d</w:t>
      </w:r>
      <w:r w:rsidR="5FC2119C" w:rsidRPr="00797379">
        <w:t xml:space="preserve"> that formal </w:t>
      </w:r>
      <w:r w:rsidR="00661271">
        <w:t xml:space="preserve">academic </w:t>
      </w:r>
      <w:r w:rsidR="5FC2119C" w:rsidRPr="00797379">
        <w:t xml:space="preserve">screeners are less common at the middle and high school levels, where assessment practices rely heavily on teacher-created measures. </w:t>
      </w:r>
      <w:r w:rsidR="001A18CD" w:rsidRPr="00797379">
        <w:t>L</w:t>
      </w:r>
      <w:r w:rsidR="5FC2119C" w:rsidRPr="00797379">
        <w:t xml:space="preserve">eaders </w:t>
      </w:r>
      <w:r w:rsidR="0038031E">
        <w:t xml:space="preserve">also </w:t>
      </w:r>
      <w:r w:rsidR="5FC2119C" w:rsidRPr="00797379">
        <w:t>acknowledge</w:t>
      </w:r>
      <w:r w:rsidR="001A18CD" w:rsidRPr="00797379">
        <w:t>d</w:t>
      </w:r>
      <w:r w:rsidR="5FC2119C" w:rsidRPr="00797379">
        <w:t xml:space="preserve"> the absence of a universal social-emotional screener, leaving </w:t>
      </w:r>
      <w:r w:rsidR="0038031E">
        <w:t xml:space="preserve">SEL </w:t>
      </w:r>
      <w:r w:rsidR="5FC2119C" w:rsidRPr="00797379">
        <w:t xml:space="preserve">data collection </w:t>
      </w:r>
      <w:r w:rsidR="00AB00A3">
        <w:t xml:space="preserve">to be </w:t>
      </w:r>
      <w:r w:rsidR="5FC2119C" w:rsidRPr="00797379">
        <w:t xml:space="preserve">largely anecdotal and dependent on observations and surveys. </w:t>
      </w:r>
      <w:r w:rsidR="00B6687F" w:rsidRPr="00AB00A3">
        <w:t xml:space="preserve">Addressing the lack of </w:t>
      </w:r>
      <w:r w:rsidR="5FC2119C" w:rsidRPr="00AB00A3">
        <w:t xml:space="preserve">a </w:t>
      </w:r>
      <w:r w:rsidR="00247C4C" w:rsidRPr="00AB00A3">
        <w:t xml:space="preserve">formal </w:t>
      </w:r>
      <w:r w:rsidR="5FC2119C" w:rsidRPr="00AB00A3">
        <w:t xml:space="preserve">universal social-emotional screener is an area </w:t>
      </w:r>
      <w:r w:rsidR="0046637A">
        <w:t>for</w:t>
      </w:r>
      <w:r w:rsidR="0046637A" w:rsidRPr="00AB00A3">
        <w:t xml:space="preserve"> </w:t>
      </w:r>
      <w:r w:rsidR="5FC2119C" w:rsidRPr="00AB00A3">
        <w:t>growth for the district.</w:t>
      </w:r>
    </w:p>
    <w:p w14:paraId="7D3EEFDD" w14:textId="0EE100C0" w:rsidR="5FC2119C" w:rsidRPr="00797379" w:rsidRDefault="5FC2119C" w:rsidP="003E7B84">
      <w:pPr>
        <w:pStyle w:val="BodyText"/>
      </w:pPr>
      <w:r w:rsidRPr="00797379">
        <w:t xml:space="preserve">According to school and district staff, </w:t>
      </w:r>
      <w:r w:rsidR="00A52305" w:rsidRPr="00797379">
        <w:t>WPS</w:t>
      </w:r>
      <w:r w:rsidRPr="00797379">
        <w:t xml:space="preserve"> selects and implements formal an</w:t>
      </w:r>
      <w:r w:rsidR="00247C4C" w:rsidRPr="00797379">
        <w:t>d</w:t>
      </w:r>
      <w:r w:rsidRPr="00797379">
        <w:t xml:space="preserve"> informal assessments that align with instructional content; however, district</w:t>
      </w:r>
      <w:r w:rsidR="00394957" w:rsidRPr="00797379">
        <w:t xml:space="preserve"> leaders</w:t>
      </w:r>
      <w:r w:rsidRPr="00797379">
        <w:t xml:space="preserve"> do not publicly share the assessment plan or schedule</w:t>
      </w:r>
      <w:r w:rsidR="00B12C6D" w:rsidRPr="00797379">
        <w:t xml:space="preserve"> of assessments</w:t>
      </w:r>
      <w:r w:rsidRPr="00797379">
        <w:t>. Across grade levels, educators emphasize</w:t>
      </w:r>
      <w:r w:rsidR="009A5E2F" w:rsidRPr="00797379">
        <w:t>d</w:t>
      </w:r>
      <w:r w:rsidRPr="00797379">
        <w:t xml:space="preserve"> alignment between assessments and instructional content</w:t>
      </w:r>
      <w:r w:rsidR="009A5E2F" w:rsidRPr="00797379">
        <w:t xml:space="preserve"> and</w:t>
      </w:r>
      <w:r w:rsidRPr="00797379">
        <w:t xml:space="preserve"> that assessments are tied to the standards and strategies taught in class. </w:t>
      </w:r>
      <w:r w:rsidR="009A5E2F" w:rsidRPr="00797379">
        <w:t>S</w:t>
      </w:r>
      <w:r w:rsidRPr="00797379">
        <w:t>ome structures for progress monitoring and performance-based tasks</w:t>
      </w:r>
      <w:r w:rsidR="009A5E2F" w:rsidRPr="00797379">
        <w:t xml:space="preserve"> exist</w:t>
      </w:r>
      <w:r w:rsidRPr="00797379">
        <w:t xml:space="preserve">, </w:t>
      </w:r>
      <w:r w:rsidR="009A5E2F" w:rsidRPr="00797379">
        <w:t xml:space="preserve">but </w:t>
      </w:r>
      <w:r w:rsidR="0070459E" w:rsidRPr="00797379">
        <w:t>implementation var</w:t>
      </w:r>
      <w:r w:rsidR="009A5E2F" w:rsidRPr="00797379">
        <w:t>ies</w:t>
      </w:r>
      <w:r w:rsidR="0070459E" w:rsidRPr="00797379">
        <w:t xml:space="preserve"> by school</w:t>
      </w:r>
      <w:r w:rsidR="009A5E2F" w:rsidRPr="00797379">
        <w:t>;</w:t>
      </w:r>
      <w:r w:rsidR="0070459E" w:rsidRPr="00797379">
        <w:t xml:space="preserve"> district level leadership teams do not regularly review these results at a systems level</w:t>
      </w:r>
      <w:r w:rsidRPr="00797379">
        <w:t>.</w:t>
      </w:r>
    </w:p>
    <w:p w14:paraId="637D8F9C" w14:textId="0ACDEF0C" w:rsidR="008F5E48" w:rsidRDefault="005D2739" w:rsidP="003E7B84">
      <w:pPr>
        <w:pStyle w:val="BodyText"/>
      </w:pPr>
      <w:r>
        <w:t xml:space="preserve">According to </w:t>
      </w:r>
      <w:r w:rsidR="000267B3">
        <w:t>district leaders</w:t>
      </w:r>
      <w:r w:rsidR="00540ED4">
        <w:t>,</w:t>
      </w:r>
      <w:r w:rsidR="000267B3">
        <w:t xml:space="preserve"> a</w:t>
      </w:r>
      <w:r w:rsidR="5FC2119C" w:rsidRPr="00797379">
        <w:t xml:space="preserve">ccommodations and resources to support access to assessments for students with disabilities and </w:t>
      </w:r>
      <w:r w:rsidR="00364D18">
        <w:t>English</w:t>
      </w:r>
      <w:r w:rsidR="5FC2119C" w:rsidRPr="00797379">
        <w:t xml:space="preserve"> </w:t>
      </w:r>
      <w:r w:rsidR="00540ED4">
        <w:t>L</w:t>
      </w:r>
      <w:r w:rsidR="5FC2119C" w:rsidRPr="00797379">
        <w:t>earners</w:t>
      </w:r>
      <w:r w:rsidR="000267B3">
        <w:t xml:space="preserve"> are available </w:t>
      </w:r>
      <w:r w:rsidR="008F5E48">
        <w:t xml:space="preserve">at all schools </w:t>
      </w:r>
      <w:r w:rsidR="000267B3">
        <w:t>across the district</w:t>
      </w:r>
      <w:r w:rsidR="5FC2119C" w:rsidRPr="00797379">
        <w:t xml:space="preserve">. For example, </w:t>
      </w:r>
      <w:r w:rsidR="00364D18">
        <w:t>English</w:t>
      </w:r>
      <w:r w:rsidR="5FC2119C" w:rsidRPr="00797379">
        <w:t xml:space="preserve"> </w:t>
      </w:r>
      <w:r w:rsidR="00540ED4">
        <w:t>L</w:t>
      </w:r>
      <w:r w:rsidR="5FC2119C" w:rsidRPr="00797379">
        <w:t xml:space="preserve">earners receive </w:t>
      </w:r>
      <w:r>
        <w:t>instruction</w:t>
      </w:r>
      <w:r w:rsidRPr="00797379">
        <w:t xml:space="preserve"> </w:t>
      </w:r>
      <w:r w:rsidR="5FC2119C" w:rsidRPr="00797379">
        <w:t>aligned to WIDA standards, including push-in and pull-out models</w:t>
      </w:r>
      <w:r w:rsidR="004E0E84" w:rsidRPr="00797379">
        <w:t>. T</w:t>
      </w:r>
      <w:r w:rsidR="5FC2119C" w:rsidRPr="00797379">
        <w:t xml:space="preserve">eachers </w:t>
      </w:r>
      <w:r w:rsidR="004E0E84" w:rsidRPr="00797379">
        <w:t xml:space="preserve">also </w:t>
      </w:r>
      <w:r w:rsidR="5FC2119C" w:rsidRPr="00797379">
        <w:t xml:space="preserve">collaborate with </w:t>
      </w:r>
      <w:r w:rsidR="004E0E84" w:rsidRPr="00797379">
        <w:t>multilingual learner</w:t>
      </w:r>
      <w:r w:rsidR="5FC2119C" w:rsidRPr="00797379">
        <w:t xml:space="preserve"> specialists to adapt assessments as needed. </w:t>
      </w:r>
      <w:r w:rsidR="00805FF8" w:rsidRPr="00797379">
        <w:t>S</w:t>
      </w:r>
      <w:r w:rsidR="5FC2119C" w:rsidRPr="00797379">
        <w:t>pecial education teams ensure that students have appropriate accommodations documented in IEPs</w:t>
      </w:r>
      <w:r w:rsidR="00805FF8" w:rsidRPr="00797379">
        <w:t>;</w:t>
      </w:r>
      <w:r w:rsidR="5FC2119C" w:rsidRPr="00797379">
        <w:t xml:space="preserve"> the district uses Aspen to manage compliance and consistency in these processes. </w:t>
      </w:r>
    </w:p>
    <w:p w14:paraId="0E4E29B0" w14:textId="6BA84C29" w:rsidR="008E0EE8" w:rsidRPr="00797379" w:rsidRDefault="00473308" w:rsidP="003E7B84">
      <w:pPr>
        <w:pStyle w:val="Heading3"/>
      </w:pPr>
      <w:r w:rsidRPr="00797379">
        <w:t>Data Use</w:t>
      </w:r>
      <w:r w:rsidR="008E0EE8" w:rsidRPr="00797379">
        <w:t xml:space="preserve"> and Culture</w:t>
      </w:r>
    </w:p>
    <w:p w14:paraId="206099B9" w14:textId="1CA7BC29" w:rsidR="008A2375" w:rsidRPr="00797379" w:rsidRDefault="1AB14FB8" w:rsidP="003E7B84">
      <w:pPr>
        <w:pStyle w:val="BodyTextposthead"/>
        <w:rPr>
          <w:color w:val="EE0000"/>
        </w:rPr>
      </w:pPr>
      <w:r w:rsidRPr="00797379">
        <w:t xml:space="preserve">The district does not currently have a clearly articulated and widely communicated </w:t>
      </w:r>
      <w:r w:rsidR="000B3FC8" w:rsidRPr="00797379">
        <w:t xml:space="preserve">vision for data collection and use. </w:t>
      </w:r>
      <w:r w:rsidR="00875533" w:rsidRPr="00797379">
        <w:t>L</w:t>
      </w:r>
      <w:r w:rsidRPr="00797379">
        <w:t>eaders emphasize</w:t>
      </w:r>
      <w:r w:rsidR="00875533" w:rsidRPr="00797379">
        <w:t>d</w:t>
      </w:r>
      <w:r w:rsidRPr="00797379">
        <w:t xml:space="preserve"> </w:t>
      </w:r>
      <w:r w:rsidR="00875533" w:rsidRPr="00797379">
        <w:t>that they were</w:t>
      </w:r>
      <w:r w:rsidRPr="00797379">
        <w:t xml:space="preserve"> </w:t>
      </w:r>
      <w:r w:rsidR="0032708B">
        <w:t>“</w:t>
      </w:r>
      <w:r w:rsidRPr="00797379">
        <w:t>data-informed rather than data-driven</w:t>
      </w:r>
      <w:r w:rsidR="0032708B">
        <w:t>”</w:t>
      </w:r>
      <w:r w:rsidR="00A02BF9">
        <w:t xml:space="preserve"> </w:t>
      </w:r>
      <w:r w:rsidR="00786903" w:rsidRPr="00797379">
        <w:t>during planning discussions</w:t>
      </w:r>
      <w:r w:rsidR="00786903">
        <w:t xml:space="preserve">, </w:t>
      </w:r>
      <w:r w:rsidR="00A02BF9">
        <w:t xml:space="preserve">meaning that while data informs decision making, it is not the only </w:t>
      </w:r>
      <w:r w:rsidR="009A3F21">
        <w:t>factor that drives</w:t>
      </w:r>
      <w:r w:rsidR="00786903">
        <w:t xml:space="preserve"> i</w:t>
      </w:r>
      <w:r w:rsidR="000B1D92">
        <w:t>t. Still, district</w:t>
      </w:r>
      <w:r w:rsidR="000B1D92" w:rsidRPr="00797379">
        <w:t xml:space="preserve"> </w:t>
      </w:r>
      <w:r w:rsidR="005A7F17" w:rsidRPr="00797379">
        <w:t>document</w:t>
      </w:r>
      <w:r w:rsidR="000B1D92">
        <w:t>s</w:t>
      </w:r>
      <w:r w:rsidR="005A7F17" w:rsidRPr="00797379">
        <w:t xml:space="preserve"> and focus group </w:t>
      </w:r>
      <w:r w:rsidR="00875533" w:rsidRPr="00797379">
        <w:t xml:space="preserve">respondents </w:t>
      </w:r>
      <w:r w:rsidR="005A7F17" w:rsidRPr="00797379">
        <w:t xml:space="preserve">did not </w:t>
      </w:r>
      <w:r w:rsidR="000B1D92">
        <w:t>demonstrate</w:t>
      </w:r>
      <w:r w:rsidR="000B1D92" w:rsidRPr="00797379">
        <w:t xml:space="preserve"> </w:t>
      </w:r>
      <w:r w:rsidR="005A7F17" w:rsidRPr="00797379">
        <w:t>a</w:t>
      </w:r>
      <w:r w:rsidRPr="00797379">
        <w:t xml:space="preserve"> shared </w:t>
      </w:r>
      <w:r w:rsidR="005A7F17" w:rsidRPr="00797379">
        <w:t>understanding</w:t>
      </w:r>
      <w:r w:rsidR="000F7D76" w:rsidRPr="00797379">
        <w:t xml:space="preserve"> </w:t>
      </w:r>
      <w:r w:rsidR="001F7113" w:rsidRPr="00797379">
        <w:t>on</w:t>
      </w:r>
      <w:r w:rsidRPr="00797379">
        <w:t xml:space="preserve"> how data should be used across schools. Teachers and principals acknowledge</w:t>
      </w:r>
      <w:r w:rsidR="0028619B" w:rsidRPr="00797379">
        <w:t>d</w:t>
      </w:r>
      <w:r w:rsidRPr="00797379">
        <w:t xml:space="preserve"> the importance of data</w:t>
      </w:r>
      <w:r w:rsidR="0028619B" w:rsidRPr="00797379">
        <w:t>,</w:t>
      </w:r>
      <w:r w:rsidRPr="00797379">
        <w:t xml:space="preserve"> but describe</w:t>
      </w:r>
      <w:r w:rsidR="0028619B" w:rsidRPr="00797379">
        <w:t>d</w:t>
      </w:r>
      <w:r w:rsidRPr="00797379">
        <w:t xml:space="preserve"> practices as fragmented and inconsistent, particularly across grade levels.</w:t>
      </w:r>
      <w:r w:rsidRPr="00467B21">
        <w:t xml:space="preserve"> </w:t>
      </w:r>
      <w:r w:rsidR="000B3FC8" w:rsidRPr="00467B21">
        <w:t xml:space="preserve">The lack of a </w:t>
      </w:r>
      <w:r w:rsidR="00FD49CC" w:rsidRPr="00467B21">
        <w:t>shared vision</w:t>
      </w:r>
      <w:r w:rsidR="00046A6C" w:rsidRPr="00467B21">
        <w:t xml:space="preserve"> for data use</w:t>
      </w:r>
      <w:r w:rsidR="00FD49CC" w:rsidRPr="00467B21">
        <w:t xml:space="preserve"> </w:t>
      </w:r>
      <w:r w:rsidR="000B3FC8" w:rsidRPr="00467B21">
        <w:t xml:space="preserve">is an area </w:t>
      </w:r>
      <w:r w:rsidR="0046637A">
        <w:t>for</w:t>
      </w:r>
      <w:r w:rsidR="0046637A" w:rsidRPr="00467B21">
        <w:t xml:space="preserve"> </w:t>
      </w:r>
      <w:r w:rsidR="000B3FC8" w:rsidRPr="00467B21">
        <w:t>growth.</w:t>
      </w:r>
    </w:p>
    <w:p w14:paraId="56ABE7B6" w14:textId="257FB92D" w:rsidR="00223C77" w:rsidRPr="00797379" w:rsidRDefault="00223C77" w:rsidP="003E7B84">
      <w:pPr>
        <w:pStyle w:val="BodyText"/>
        <w:rPr>
          <w:rFonts w:ascii="Franklin Gothic Book" w:eastAsiaTheme="minorEastAsia" w:hAnsi="Franklin Gothic Book"/>
          <w:color w:val="538135" w:themeColor="accent6" w:themeShade="BF"/>
        </w:rPr>
      </w:pPr>
      <w:r w:rsidRPr="00797379">
        <w:rPr>
          <w:rFonts w:eastAsia="Aptos" w:cs="Aptos"/>
        </w:rPr>
        <w:t>T</w:t>
      </w:r>
      <w:r w:rsidRPr="00797379">
        <w:t xml:space="preserve">he district engages in data-informed planning, such as reviewing MCAS results and survey data to identify priorities </w:t>
      </w:r>
      <w:r w:rsidR="00024EC1" w:rsidRPr="00797379">
        <w:t>(</w:t>
      </w:r>
      <w:r w:rsidR="00427C15" w:rsidRPr="00797379">
        <w:t xml:space="preserve">e.g., </w:t>
      </w:r>
      <w:r w:rsidR="00871660">
        <w:t>g</w:t>
      </w:r>
      <w:r w:rsidR="00024EC1" w:rsidRPr="00797379">
        <w:t xml:space="preserve">rades </w:t>
      </w:r>
      <w:r w:rsidRPr="00797379">
        <w:t xml:space="preserve">K-5 literacy and </w:t>
      </w:r>
      <w:r w:rsidR="00024EC1" w:rsidRPr="00797379">
        <w:t>social-emotional learning)</w:t>
      </w:r>
      <w:r w:rsidRPr="00797379">
        <w:t>. District leaders reported that they consider</w:t>
      </w:r>
      <w:r w:rsidR="00675BE5" w:rsidRPr="00797379">
        <w:t>ed</w:t>
      </w:r>
      <w:r w:rsidRPr="00797379">
        <w:t xml:space="preserve"> a broad definition of data</w:t>
      </w:r>
      <w:r w:rsidR="00675BE5" w:rsidRPr="00797379">
        <w:t>,</w:t>
      </w:r>
      <w:r w:rsidRPr="00797379">
        <w:t xml:space="preserve"> includ</w:t>
      </w:r>
      <w:r w:rsidR="00675BE5" w:rsidRPr="00797379">
        <w:t>ing</w:t>
      </w:r>
      <w:r w:rsidRPr="00797379">
        <w:t xml:space="preserve"> feedback from the broader school communities. For example, parents raised concerns about literacy practices throughout the district</w:t>
      </w:r>
      <w:r w:rsidR="00827113" w:rsidRPr="00797379">
        <w:t xml:space="preserve">; in response, </w:t>
      </w:r>
      <w:r w:rsidRPr="00797379">
        <w:t>district leaders</w:t>
      </w:r>
      <w:r w:rsidR="00AB04FA" w:rsidRPr="00797379">
        <w:t xml:space="preserve"> </w:t>
      </w:r>
      <w:r w:rsidR="00827113" w:rsidRPr="00797379">
        <w:t>i</w:t>
      </w:r>
      <w:r w:rsidR="00AB04FA" w:rsidRPr="00797379">
        <w:t>dentif</w:t>
      </w:r>
      <w:r w:rsidR="00827113" w:rsidRPr="00797379">
        <w:t>ied</w:t>
      </w:r>
      <w:r w:rsidRPr="00797379">
        <w:t xml:space="preserve"> strategies for incorporating this feedback into district planning and policy development. </w:t>
      </w:r>
      <w:r w:rsidR="00AB04FA" w:rsidRPr="00797379">
        <w:t>M</w:t>
      </w:r>
      <w:r w:rsidRPr="00797379">
        <w:t xml:space="preserve">embers of the school committee and parent focus group participants </w:t>
      </w:r>
      <w:r w:rsidR="00CD635D">
        <w:t xml:space="preserve">both </w:t>
      </w:r>
      <w:r w:rsidRPr="00797379">
        <w:t xml:space="preserve">noted that </w:t>
      </w:r>
      <w:r w:rsidR="00CD635D">
        <w:t xml:space="preserve">the </w:t>
      </w:r>
      <w:r w:rsidRPr="00797379">
        <w:t xml:space="preserve">community concerns around literacy practices drove discussions with the district to identify programs that emphasized direct phonics instruction in the early grades. </w:t>
      </w:r>
      <w:r w:rsidRPr="006A2889">
        <w:t xml:space="preserve">The use of community and stakeholder data to inform </w:t>
      </w:r>
      <w:r w:rsidR="00F402BE" w:rsidRPr="006A2889">
        <w:t xml:space="preserve">district </w:t>
      </w:r>
      <w:r w:rsidRPr="006A2889">
        <w:t>decisions is a strength for the district.</w:t>
      </w:r>
    </w:p>
    <w:p w14:paraId="1BE52017" w14:textId="3A776D1A" w:rsidR="00223C77" w:rsidRPr="00797379" w:rsidRDefault="00223C77" w:rsidP="003E7B84">
      <w:pPr>
        <w:pStyle w:val="BodyText"/>
        <w:rPr>
          <w:color w:val="EE0000"/>
        </w:rPr>
      </w:pPr>
      <w:r w:rsidRPr="00797379">
        <w:t>District leaders report</w:t>
      </w:r>
      <w:r w:rsidR="00AB04FA" w:rsidRPr="00797379">
        <w:t>ed</w:t>
      </w:r>
      <w:r w:rsidRPr="00797379">
        <w:t xml:space="preserve"> that </w:t>
      </w:r>
      <w:r w:rsidR="00D31570">
        <w:t xml:space="preserve">district </w:t>
      </w:r>
      <w:r w:rsidRPr="00797379">
        <w:t xml:space="preserve">improvement efforts </w:t>
      </w:r>
      <w:r w:rsidR="002D2561">
        <w:t xml:space="preserve">based on data </w:t>
      </w:r>
      <w:r w:rsidRPr="00797379">
        <w:t>occur</w:t>
      </w:r>
      <w:r w:rsidR="00AB04FA" w:rsidRPr="00797379">
        <w:t>red</w:t>
      </w:r>
      <w:r w:rsidRPr="00797379">
        <w:t xml:space="preserve"> at the school or department level rather than through a unified district framework. </w:t>
      </w:r>
      <w:r w:rsidR="005B13E7" w:rsidRPr="00797379">
        <w:t>L</w:t>
      </w:r>
      <w:r w:rsidRPr="00797379">
        <w:t>eadership meetings include</w:t>
      </w:r>
      <w:r w:rsidR="005B13E7" w:rsidRPr="00797379">
        <w:t>d</w:t>
      </w:r>
      <w:r w:rsidRPr="00797379">
        <w:t xml:space="preserve"> discussions of SST processes and progress monitoring, </w:t>
      </w:r>
      <w:r w:rsidR="005B13E7" w:rsidRPr="00797379">
        <w:t xml:space="preserve">though a respondent described these </w:t>
      </w:r>
      <w:r w:rsidRPr="00797379">
        <w:t xml:space="preserve">as “fractured” and in need of alignment. </w:t>
      </w:r>
      <w:r w:rsidR="00F1462B" w:rsidRPr="00D1612A">
        <w:t>D</w:t>
      </w:r>
      <w:r w:rsidRPr="00D1612A">
        <w:t>iscussions with district leaders and</w:t>
      </w:r>
      <w:r w:rsidR="00F1462B" w:rsidRPr="00D1612A">
        <w:t xml:space="preserve"> a</w:t>
      </w:r>
      <w:r w:rsidRPr="00D1612A">
        <w:t xml:space="preserve"> document review did not identify a formalized continuous improvement cycle that uses disaggregated data to monitor progress toward strategic goals</w:t>
      </w:r>
      <w:r w:rsidR="00F1462B" w:rsidRPr="00D1612A">
        <w:t>.</w:t>
      </w:r>
      <w:r w:rsidRPr="00797379">
        <w:rPr>
          <w:color w:val="EE0000"/>
        </w:rPr>
        <w:t xml:space="preserve"> </w:t>
      </w:r>
      <w:r w:rsidR="00D21E74" w:rsidRPr="00797379">
        <w:t>S</w:t>
      </w:r>
      <w:r w:rsidRPr="00797379">
        <w:t xml:space="preserve">taff can access data through systems like Aspen, </w:t>
      </w:r>
      <w:r w:rsidR="00B45952" w:rsidRPr="00797379">
        <w:t>but</w:t>
      </w:r>
      <w:r w:rsidR="00D21E74" w:rsidRPr="00797379">
        <w:t xml:space="preserve"> according to district and school leaders, </w:t>
      </w:r>
      <w:r w:rsidRPr="00797379">
        <w:t>there is no indication of consistent training on interpreting and using data for instructional decisions. Teachers and principals report</w:t>
      </w:r>
      <w:r w:rsidR="00477BC9" w:rsidRPr="00797379">
        <w:t>ed</w:t>
      </w:r>
      <w:r w:rsidRPr="00797379">
        <w:t xml:space="preserve"> variability in how data is used, with some </w:t>
      </w:r>
      <w:r w:rsidR="00477BC9" w:rsidRPr="00797379">
        <w:t xml:space="preserve">staff </w:t>
      </w:r>
      <w:r w:rsidRPr="00797379">
        <w:t xml:space="preserve">relying on anecdotal observations rather than systematic analysis. </w:t>
      </w:r>
    </w:p>
    <w:p w14:paraId="70B147C8" w14:textId="763A7620" w:rsidR="003B3E49" w:rsidRPr="00320CAD" w:rsidRDefault="1AB14FB8" w:rsidP="003E7B84">
      <w:pPr>
        <w:pStyle w:val="BodyText"/>
      </w:pPr>
      <w:r w:rsidRPr="00797379">
        <w:t xml:space="preserve">According to district leaders, district staff regularly use grades, attendance data, SST reports, IEPs, behavioral evaluations, office referrals, </w:t>
      </w:r>
      <w:r w:rsidR="00507E3F" w:rsidRPr="00797379">
        <w:t xml:space="preserve">and </w:t>
      </w:r>
      <w:r w:rsidRPr="00797379">
        <w:t xml:space="preserve">suspensions to evaluate students’ academic, social-emotional, and behavioral needs. In addition, </w:t>
      </w:r>
      <w:r w:rsidR="00507E3F" w:rsidRPr="00797379">
        <w:t xml:space="preserve">WPS uses </w:t>
      </w:r>
      <w:r w:rsidRPr="00797379">
        <w:t>SAT/ACT scores quarterly</w:t>
      </w:r>
      <w:r w:rsidR="00507E3F" w:rsidRPr="00797379">
        <w:t>;</w:t>
      </w:r>
      <w:r w:rsidRPr="00797379">
        <w:t xml:space="preserve"> and MCAS, ACCESS, and AP scores annually. Some data, including grades, attendance, IEPs, suspensions, SAT/ACT scores, MCAS, ACCESS, and AP scores are disaggregated by specific categories</w:t>
      </w:r>
      <w:r w:rsidR="006C0391" w:rsidRPr="00797379">
        <w:t>.</w:t>
      </w:r>
      <w:r w:rsidRPr="00797379">
        <w:t xml:space="preserve"> Teachers explained</w:t>
      </w:r>
      <w:r w:rsidR="006C0391" w:rsidRPr="00797379">
        <w:t xml:space="preserve"> that</w:t>
      </w:r>
      <w:r w:rsidRPr="00797379">
        <w:t xml:space="preserve"> they review student data in</w:t>
      </w:r>
      <w:r w:rsidR="006C0391" w:rsidRPr="00797379">
        <w:t xml:space="preserve"> multiple</w:t>
      </w:r>
      <w:r w:rsidRPr="00797379">
        <w:t xml:space="preserve"> ways to adjust </w:t>
      </w:r>
      <w:r w:rsidR="006C0391" w:rsidRPr="00797379">
        <w:t xml:space="preserve">their </w:t>
      </w:r>
      <w:r w:rsidRPr="00797379">
        <w:t>instruction</w:t>
      </w:r>
      <w:r w:rsidR="006C0391" w:rsidRPr="00797379">
        <w:t>,</w:t>
      </w:r>
      <w:r w:rsidRPr="00797379">
        <w:t xml:space="preserve"> including reviewing common assessments in department meetings, reviewing student reflections on their own learning and performance, and using formative assessments to assess students leaning needs</w:t>
      </w:r>
      <w:r w:rsidR="00CF625E">
        <w:t>, but these methods are not part of district-wide systems and expectations</w:t>
      </w:r>
      <w:r w:rsidR="00C826A6">
        <w:t xml:space="preserve"> for data use</w:t>
      </w:r>
      <w:r w:rsidRPr="00797379">
        <w:t>.</w:t>
      </w:r>
      <w:r w:rsidR="009F6A8D" w:rsidRPr="00797379">
        <w:t xml:space="preserve"> </w:t>
      </w:r>
      <w:r w:rsidR="00FB1C9E">
        <w:t xml:space="preserve">Additionally, </w:t>
      </w:r>
      <w:r w:rsidRPr="00797379">
        <w:t>the frequency of formal data reviews during common planning time depends on the grade level</w:t>
      </w:r>
      <w:r w:rsidR="00FB1C9E">
        <w:t>, according to school leaders</w:t>
      </w:r>
      <w:r w:rsidRPr="00797379">
        <w:t xml:space="preserve">. One principal reported on this variability, noting that </w:t>
      </w:r>
      <w:r w:rsidR="006A704F" w:rsidRPr="00797379">
        <w:t xml:space="preserve">only </w:t>
      </w:r>
      <w:r w:rsidRPr="00797379">
        <w:t xml:space="preserve">some directors have a regular schedule for data review during common planning time. </w:t>
      </w:r>
      <w:r w:rsidR="00FB1C9E">
        <w:t>Additionally, principals reported that</w:t>
      </w:r>
      <w:r w:rsidRPr="00797379">
        <w:t xml:space="preserve"> data reviews take place more frequently at the elem</w:t>
      </w:r>
      <w:r w:rsidRPr="00320CAD">
        <w:t>entary level. Developing consistent protocols for data review at all levels is an area for growth.</w:t>
      </w:r>
      <w:r w:rsidR="00A06169" w:rsidRPr="00320CAD">
        <w:t xml:space="preserve"> </w:t>
      </w:r>
    </w:p>
    <w:p w14:paraId="55DEE005" w14:textId="6CD48279" w:rsidR="00A20B59" w:rsidRPr="00320CAD" w:rsidRDefault="00F512D0" w:rsidP="003E7B84">
      <w:pPr>
        <w:pStyle w:val="BodyText"/>
      </w:pPr>
      <w:r w:rsidRPr="00320CAD">
        <w:t>District and school leaders reported that the</w:t>
      </w:r>
      <w:r w:rsidR="1AB14FB8" w:rsidRPr="00320CAD">
        <w:t xml:space="preserve"> district conduct</w:t>
      </w:r>
      <w:r w:rsidR="0060374E" w:rsidRPr="00320CAD">
        <w:t>s</w:t>
      </w:r>
      <w:r w:rsidR="1AB14FB8" w:rsidRPr="00320CAD">
        <w:t xml:space="preserve"> data reviews through leadership meetings and school-based teams, but these processes lack consistency and transparency. </w:t>
      </w:r>
      <w:r w:rsidR="00C609E6" w:rsidRPr="00320CAD">
        <w:t>D</w:t>
      </w:r>
      <w:r w:rsidR="1AB14FB8" w:rsidRPr="00320CAD">
        <w:t>ata is discussed (e.g., MCAS, performance-based assessments, survey results),</w:t>
      </w:r>
      <w:r w:rsidR="00C609E6" w:rsidRPr="00320CAD">
        <w:t xml:space="preserve"> but</w:t>
      </w:r>
      <w:r w:rsidR="1AB14FB8" w:rsidRPr="00320CAD">
        <w:t xml:space="preserve"> there is no standardized approach to ensure decisions are data-informed across all schools</w:t>
      </w:r>
      <w:r w:rsidR="00972B4B" w:rsidRPr="00320CAD">
        <w:t>.</w:t>
      </w:r>
      <w:r w:rsidR="1AB14FB8" w:rsidRPr="00320CAD">
        <w:t xml:space="preserve"> According to </w:t>
      </w:r>
      <w:r w:rsidR="00C609E6" w:rsidRPr="00320CAD">
        <w:t xml:space="preserve">a </w:t>
      </w:r>
      <w:r w:rsidR="1AB14FB8" w:rsidRPr="00320CAD">
        <w:t xml:space="preserve">school leader, </w:t>
      </w:r>
      <w:r w:rsidR="00C609E6" w:rsidRPr="00320CAD">
        <w:t>WPS is</w:t>
      </w:r>
      <w:r w:rsidR="1AB14FB8" w:rsidRPr="00320CAD">
        <w:t xml:space="preserve"> still “working on building” data teams to ensure that schools are making data-informed decisions. </w:t>
      </w:r>
      <w:r w:rsidR="00C6708F" w:rsidRPr="00320CAD">
        <w:t xml:space="preserve">District leaders </w:t>
      </w:r>
      <w:r w:rsidR="009A0D0E" w:rsidRPr="00320CAD">
        <w:t xml:space="preserve">reported that </w:t>
      </w:r>
      <w:r w:rsidR="1AB14FB8" w:rsidRPr="00320CAD">
        <w:t>SST and related team processes are being “reset” to improve alignment and consistency, indicating recognition of current gaps. Teachers report</w:t>
      </w:r>
      <w:r w:rsidR="007A4A75" w:rsidRPr="00320CAD">
        <w:t>ed</w:t>
      </w:r>
      <w:r w:rsidR="1AB14FB8" w:rsidRPr="00320CAD">
        <w:t xml:space="preserve"> that data use for instructional adjustments varies widely, with some </w:t>
      </w:r>
      <w:r w:rsidR="007A4A75" w:rsidRPr="00320CAD">
        <w:t xml:space="preserve">teachers </w:t>
      </w:r>
      <w:r w:rsidR="1AB14FB8" w:rsidRPr="00320CAD">
        <w:t xml:space="preserve">relying on informal observations rather than structured protocols. </w:t>
      </w:r>
      <w:r w:rsidR="00A20B59" w:rsidRPr="00320CAD">
        <w:t>Developing clear, consistent, districtwide processes for using data to inform decision</w:t>
      </w:r>
      <w:r w:rsidR="007A4A75" w:rsidRPr="00320CAD">
        <w:t xml:space="preserve"> </w:t>
      </w:r>
      <w:r w:rsidR="00A20B59" w:rsidRPr="00320CAD">
        <w:t xml:space="preserve">making </w:t>
      </w:r>
      <w:r w:rsidR="007A4A75" w:rsidRPr="00320CAD">
        <w:t xml:space="preserve">is </w:t>
      </w:r>
      <w:r w:rsidR="00A20B59" w:rsidRPr="00320CAD">
        <w:t>an area of growth for the district.</w:t>
      </w:r>
    </w:p>
    <w:p w14:paraId="1136DCC5" w14:textId="4541D009" w:rsidR="00473308" w:rsidRPr="00797379" w:rsidRDefault="00473308" w:rsidP="003E7B84">
      <w:pPr>
        <w:pStyle w:val="Heading3"/>
      </w:pPr>
      <w:bookmarkStart w:id="59" w:name="_Sharing_Results"/>
      <w:bookmarkStart w:id="60" w:name="_Sharing_Data"/>
      <w:bookmarkEnd w:id="59"/>
      <w:bookmarkEnd w:id="60"/>
      <w:r w:rsidRPr="00797379">
        <w:t xml:space="preserve">Sharing </w:t>
      </w:r>
      <w:r w:rsidR="008E0EE8" w:rsidRPr="00797379">
        <w:t>Data</w:t>
      </w:r>
    </w:p>
    <w:p w14:paraId="28BF7623" w14:textId="004F06C1" w:rsidR="00A20B59" w:rsidRPr="00797379" w:rsidRDefault="00132082" w:rsidP="003E7B84">
      <w:pPr>
        <w:pStyle w:val="BodyTextposthead"/>
      </w:pPr>
      <w:r w:rsidRPr="00797379">
        <w:t xml:space="preserve">WPS </w:t>
      </w:r>
      <w:r w:rsidR="007C2F16" w:rsidRPr="00797379">
        <w:t xml:space="preserve">uses Aspen </w:t>
      </w:r>
      <w:r w:rsidRPr="00797379">
        <w:t>t</w:t>
      </w:r>
      <w:r w:rsidR="007A4A75" w:rsidRPr="00797379">
        <w:t xml:space="preserve">o </w:t>
      </w:r>
      <w:r w:rsidR="007C2F16" w:rsidRPr="00797379">
        <w:t>allow families to monitor student academic data, including grades on assignments, overall course grades, and assessment scores.</w:t>
      </w:r>
      <w:r w:rsidR="00A20B59" w:rsidRPr="00797379">
        <w:t xml:space="preserve"> According to students, communication about academic expectations and progress is primarily informal and </w:t>
      </w:r>
      <w:r w:rsidR="00FF3F9B" w:rsidRPr="00797379">
        <w:t>teacher driven</w:t>
      </w:r>
      <w:r w:rsidR="00A20B59" w:rsidRPr="00797379">
        <w:t>. High school students report</w:t>
      </w:r>
      <w:r w:rsidR="00247DA1" w:rsidRPr="00797379">
        <w:t>ed</w:t>
      </w:r>
      <w:r w:rsidR="00A20B59" w:rsidRPr="00797379">
        <w:t xml:space="preserve"> that teachers post</w:t>
      </w:r>
      <w:r w:rsidR="009A411A" w:rsidRPr="00797379">
        <w:t>ed</w:t>
      </w:r>
      <w:r w:rsidR="00A20B59" w:rsidRPr="00797379">
        <w:t xml:space="preserve"> grades to Aspen or </w:t>
      </w:r>
      <w:r w:rsidR="00247DA1" w:rsidRPr="00797379">
        <w:t xml:space="preserve">spoke </w:t>
      </w:r>
      <w:r w:rsidR="00A20B59" w:rsidRPr="00797379">
        <w:t>to students during or after class to address academic concerns</w:t>
      </w:r>
      <w:r w:rsidR="00247DA1" w:rsidRPr="00797379">
        <w:t xml:space="preserve">. </w:t>
      </w:r>
      <w:r w:rsidR="00A20B59" w:rsidRPr="00797379">
        <w:t>Middle school students describe</w:t>
      </w:r>
      <w:r w:rsidR="00247DA1" w:rsidRPr="00797379">
        <w:t>d</w:t>
      </w:r>
      <w:r w:rsidR="00A20B59" w:rsidRPr="00797379">
        <w:t xml:space="preserve"> classes as engaging and teachers as supportive, but student focus group participants did not mention </w:t>
      </w:r>
      <w:r w:rsidR="00247DA1" w:rsidRPr="00797379">
        <w:t xml:space="preserve">any </w:t>
      </w:r>
      <w:r w:rsidR="00A20B59" w:rsidRPr="00797379">
        <w:t>systematic feedback on performance beyond classroom interactions. Teacher focus groups confirm</w:t>
      </w:r>
      <w:r w:rsidR="003B3E36" w:rsidRPr="00797379">
        <w:t>ed</w:t>
      </w:r>
      <w:r w:rsidR="00A20B59" w:rsidRPr="00797379">
        <w:t xml:space="preserve"> that most feedback occurs during instruction rather than through formal reporting systems</w:t>
      </w:r>
      <w:r w:rsidR="003B3E36" w:rsidRPr="00797379">
        <w:t xml:space="preserve">, with </w:t>
      </w:r>
      <w:r w:rsidR="00A20B59" w:rsidRPr="00797379">
        <w:t xml:space="preserve">teachers </w:t>
      </w:r>
      <w:r w:rsidR="003B3E36" w:rsidRPr="00797379">
        <w:t>using</w:t>
      </w:r>
      <w:r w:rsidR="00A20B59" w:rsidRPr="00797379">
        <w:t xml:space="preserve"> verbal explanations and classroom-based checks </w:t>
      </w:r>
      <w:r w:rsidR="0099264A" w:rsidRPr="00797379">
        <w:t xml:space="preserve">on </w:t>
      </w:r>
      <w:r w:rsidR="003B3E36" w:rsidRPr="00797379">
        <w:t xml:space="preserve">student </w:t>
      </w:r>
      <w:r w:rsidR="00A20B59" w:rsidRPr="00797379">
        <w:t xml:space="preserve">understanding. </w:t>
      </w:r>
      <w:r w:rsidR="0099264A" w:rsidRPr="00797379">
        <w:t>S</w:t>
      </w:r>
      <w:r w:rsidR="00A20B59" w:rsidRPr="00797379">
        <w:t>tudents and families have access to some data (e.g.</w:t>
      </w:r>
      <w:r w:rsidR="0099264A" w:rsidRPr="00797379">
        <w:t>,</w:t>
      </w:r>
      <w:r w:rsidR="00A20B59" w:rsidRPr="00797379">
        <w:t xml:space="preserve"> attendance, assignment grades) through </w:t>
      </w:r>
      <w:r w:rsidR="0099264A" w:rsidRPr="00797379">
        <w:t>G</w:t>
      </w:r>
      <w:r w:rsidR="00A20B59" w:rsidRPr="00797379">
        <w:t xml:space="preserve">oogle </w:t>
      </w:r>
      <w:r w:rsidR="0099264A" w:rsidRPr="00797379">
        <w:t>C</w:t>
      </w:r>
      <w:r w:rsidR="00A20B59" w:rsidRPr="00797379">
        <w:t xml:space="preserve">lassroom and </w:t>
      </w:r>
      <w:r w:rsidR="0099264A" w:rsidRPr="00797379">
        <w:t>A</w:t>
      </w:r>
      <w:r w:rsidR="00A20B59" w:rsidRPr="00797379">
        <w:t xml:space="preserve">spen, </w:t>
      </w:r>
      <w:r w:rsidR="00AC72F4">
        <w:t xml:space="preserve">however, </w:t>
      </w:r>
      <w:r w:rsidR="00FF7686">
        <w:t>document review and teacher focus groups did not provide any</w:t>
      </w:r>
      <w:r w:rsidR="0099264A" w:rsidRPr="00797379">
        <w:t xml:space="preserve"> </w:t>
      </w:r>
      <w:r w:rsidR="00A20B59" w:rsidRPr="00797379">
        <w:t xml:space="preserve">evidence of districtwide </w:t>
      </w:r>
      <w:r w:rsidR="00260F68">
        <w:t>expectations</w:t>
      </w:r>
      <w:r w:rsidR="00A20B59" w:rsidRPr="00797379">
        <w:t xml:space="preserve"> for sharing assessment results directly with students.</w:t>
      </w:r>
      <w:r w:rsidR="00FF7686">
        <w:t xml:space="preserve"> Developing clear expectations for </w:t>
      </w:r>
      <w:r w:rsidR="00ED115E">
        <w:t>sharing student performance is an area of growth for the district.</w:t>
      </w:r>
    </w:p>
    <w:p w14:paraId="6729E3B1" w14:textId="71EBF889" w:rsidR="005342C3" w:rsidRPr="00797379" w:rsidRDefault="005342C3" w:rsidP="003E7B84">
      <w:pPr>
        <w:pStyle w:val="BodyText"/>
        <w:rPr>
          <w:rFonts w:eastAsiaTheme="minorEastAsia"/>
          <w:color w:val="000000" w:themeColor="text1"/>
        </w:rPr>
      </w:pPr>
      <w:r w:rsidRPr="00797379">
        <w:t>Family focus groups reveal</w:t>
      </w:r>
      <w:r w:rsidR="00EC78C3" w:rsidRPr="00797379">
        <w:t>ed</w:t>
      </w:r>
      <w:r w:rsidRPr="00797379">
        <w:t xml:space="preserve"> variability in communication about student progress across grade levels.</w:t>
      </w:r>
      <w:r w:rsidR="00EC78C3" w:rsidRPr="00797379">
        <w:rPr>
          <w:rStyle w:val="apple-converted-space"/>
          <w:rFonts w:ascii="Franklin Gothic Book" w:hAnsi="Franklin Gothic Book" w:cs="Segoe UI"/>
          <w:color w:val="000000"/>
        </w:rPr>
        <w:t xml:space="preserve"> </w:t>
      </w:r>
      <w:r w:rsidRPr="00797379">
        <w:rPr>
          <w:rStyle w:val="Strong"/>
          <w:rFonts w:ascii="Franklin Gothic Book" w:hAnsi="Franklin Gothic Book" w:cs="Segoe UI"/>
          <w:b w:val="0"/>
          <w:bCs w:val="0"/>
          <w:color w:val="000000"/>
        </w:rPr>
        <w:t>At the elementary level</w:t>
      </w:r>
      <w:r w:rsidRPr="00797379">
        <w:t>, families reported receiving formal report cards three times per year along with weekly classroom updates from some teachers</w:t>
      </w:r>
      <w:r w:rsidR="00EC78C3" w:rsidRPr="00797379">
        <w:t>; however,</w:t>
      </w:r>
      <w:r w:rsidRPr="00797379">
        <w:t xml:space="preserve"> </w:t>
      </w:r>
      <w:r w:rsidR="00C272EC" w:rsidRPr="00797379">
        <w:t xml:space="preserve">they said that </w:t>
      </w:r>
      <w:r w:rsidR="00EC78C3" w:rsidRPr="00797379">
        <w:t xml:space="preserve">some teachers </w:t>
      </w:r>
      <w:r w:rsidRPr="00797379">
        <w:t xml:space="preserve">provided minimal communication outside of </w:t>
      </w:r>
      <w:r w:rsidR="00EC78C3" w:rsidRPr="00797379">
        <w:t xml:space="preserve">parent </w:t>
      </w:r>
      <w:r w:rsidRPr="00797379">
        <w:t>conferences. Elementary schools use standards</w:t>
      </w:r>
      <w:r w:rsidR="00974035" w:rsidRPr="00797379">
        <w:t>-</w:t>
      </w:r>
      <w:r w:rsidRPr="00797379">
        <w:t>based grading, which some families find unclear, particularly as their children prepare</w:t>
      </w:r>
      <w:r w:rsidR="004178C2" w:rsidRPr="00797379">
        <w:t>d</w:t>
      </w:r>
      <w:r w:rsidRPr="00797379">
        <w:t xml:space="preserve"> to transition to traditional letter grades in middle school. </w:t>
      </w:r>
      <w:r w:rsidR="004178C2" w:rsidRPr="00797379">
        <w:t>M</w:t>
      </w:r>
      <w:r w:rsidRPr="00797379">
        <w:rPr>
          <w:rStyle w:val="Strong"/>
          <w:rFonts w:ascii="Franklin Gothic Book" w:hAnsi="Franklin Gothic Book" w:cs="Segoe UI"/>
          <w:b w:val="0"/>
          <w:bCs w:val="0"/>
          <w:color w:val="000000"/>
        </w:rPr>
        <w:t>iddle school</w:t>
      </w:r>
      <w:r w:rsidRPr="00797379">
        <w:t xml:space="preserve"> families noted a significant decline in communication compared </w:t>
      </w:r>
      <w:r w:rsidR="004178C2" w:rsidRPr="00797379">
        <w:t xml:space="preserve">with </w:t>
      </w:r>
      <w:r w:rsidRPr="00797379">
        <w:t>elementary grades, describing fewer updates and a heavy reliance on Aspen for grades. They also expressed confusion about the switch to standards</w:t>
      </w:r>
      <w:r w:rsidR="004178C2" w:rsidRPr="00797379">
        <w:t>-</w:t>
      </w:r>
      <w:r w:rsidRPr="00797379">
        <w:t>based grading in sixth grade and the subsequent shift to letter grades in seventh, which contribute</w:t>
      </w:r>
      <w:r w:rsidR="004178C2" w:rsidRPr="00797379">
        <w:t>d</w:t>
      </w:r>
      <w:r w:rsidRPr="00797379">
        <w:t xml:space="preserve"> to difficulty understanding expectations and tracking progress from year to year. </w:t>
      </w:r>
      <w:r w:rsidRPr="00797379">
        <w:rPr>
          <w:rFonts w:eastAsiaTheme="minorEastAsia"/>
          <w:color w:val="000000" w:themeColor="text1"/>
        </w:rPr>
        <w:t>One parent explained the confusion they experienced</w:t>
      </w:r>
      <w:r w:rsidR="004029B5" w:rsidRPr="00797379">
        <w:rPr>
          <w:rFonts w:eastAsiaTheme="minorEastAsia"/>
          <w:color w:val="000000" w:themeColor="text1"/>
        </w:rPr>
        <w:t>:</w:t>
      </w:r>
    </w:p>
    <w:p w14:paraId="1CAC9423" w14:textId="7525F450" w:rsidR="005342C3" w:rsidRPr="00797379" w:rsidRDefault="005342C3" w:rsidP="004029B5">
      <w:pPr>
        <w:pStyle w:val="BlockQuote"/>
        <w:ind w:right="720"/>
      </w:pPr>
      <w:r w:rsidRPr="00797379">
        <w:t xml:space="preserve">At the middle school it varies greatly by team and teacher you have, where even on the same team, different teachers have different policies about the ability to make up work, turn in late assignments. What percentage of the grade is based on different things, which I understand has to do with subject area, but the late work is very confusing, especially when children are in </w:t>
      </w:r>
      <w:r w:rsidR="00983959" w:rsidRPr="00797379">
        <w:t xml:space="preserve">seventh </w:t>
      </w:r>
      <w:r w:rsidRPr="00797379">
        <w:t xml:space="preserve">grade because in </w:t>
      </w:r>
      <w:r w:rsidR="00983959" w:rsidRPr="00797379">
        <w:t xml:space="preserve">sixth </w:t>
      </w:r>
      <w:r w:rsidRPr="00797379">
        <w:t>grade all work is you can turn anything in anytime. There</w:t>
      </w:r>
      <w:r w:rsidR="00983959" w:rsidRPr="00797379">
        <w:t>’</w:t>
      </w:r>
      <w:r w:rsidRPr="00797379">
        <w:t>s not a real grade that</w:t>
      </w:r>
      <w:r w:rsidR="00983959" w:rsidRPr="00797379">
        <w:t>’</w:t>
      </w:r>
      <w:r w:rsidRPr="00797379">
        <w:t>s given. It</w:t>
      </w:r>
      <w:r w:rsidR="00983959" w:rsidRPr="00797379">
        <w:t>’</w:t>
      </w:r>
      <w:r w:rsidRPr="00797379">
        <w:t>s the standard</w:t>
      </w:r>
      <w:r w:rsidR="000B6926">
        <w:t>s</w:t>
      </w:r>
      <w:r w:rsidRPr="00797379">
        <w:t>-base</w:t>
      </w:r>
      <w:r w:rsidR="000B6926">
        <w:t>d</w:t>
      </w:r>
      <w:r w:rsidRPr="00797379">
        <w:t xml:space="preserve"> grading and then students move to </w:t>
      </w:r>
      <w:r w:rsidR="00983959" w:rsidRPr="00797379">
        <w:t xml:space="preserve">seventh </w:t>
      </w:r>
      <w:r w:rsidRPr="00797379">
        <w:t>grade and they have no idea how grades work. They</w:t>
      </w:r>
      <w:r w:rsidR="00983959" w:rsidRPr="00797379">
        <w:t>’</w:t>
      </w:r>
      <w:r w:rsidRPr="00797379">
        <w:t>re all of a sudden getting real grades for the very first time. They have a GPA for the first time and no one is explaining to them how it works and it</w:t>
      </w:r>
      <w:r w:rsidR="00983959" w:rsidRPr="00797379">
        <w:t>’</w:t>
      </w:r>
      <w:r w:rsidRPr="00797379">
        <w:t>s different.</w:t>
      </w:r>
    </w:p>
    <w:p w14:paraId="1C71AEE7" w14:textId="643A249C" w:rsidR="00EA33AE" w:rsidRPr="00797379" w:rsidRDefault="005342C3" w:rsidP="003616FB">
      <w:pPr>
        <w:pStyle w:val="BodyText"/>
        <w:rPr>
          <w:color w:val="EE0000"/>
        </w:rPr>
      </w:pPr>
      <w:r w:rsidRPr="00797379">
        <w:t xml:space="preserve">Teacher </w:t>
      </w:r>
      <w:r w:rsidR="00A407D4" w:rsidRPr="00797379">
        <w:t xml:space="preserve">focus groups </w:t>
      </w:r>
      <w:r w:rsidRPr="00797379">
        <w:t xml:space="preserve">and principal focus groups confirmed these inconsistencies, citing time constraints and the </w:t>
      </w:r>
      <w:r w:rsidR="00A407D4" w:rsidRPr="00797379">
        <w:t xml:space="preserve">lack </w:t>
      </w:r>
      <w:r w:rsidRPr="00797379">
        <w:t xml:space="preserve">of standardized expectations for outreach. </w:t>
      </w:r>
      <w:r w:rsidRPr="389BB5A1">
        <w:rPr>
          <w:rStyle w:val="Strong"/>
          <w:rFonts w:ascii="Franklin Gothic Book" w:hAnsi="Franklin Gothic Book" w:cs="Segoe UI"/>
          <w:b w:val="0"/>
          <w:color w:val="000000" w:themeColor="text1"/>
        </w:rPr>
        <w:t>At the high school level</w:t>
      </w:r>
      <w:r w:rsidRPr="00797379">
        <w:t>, families primarily depend on Aspen and periodic emails, but they continue</w:t>
      </w:r>
      <w:r w:rsidR="00A407D4" w:rsidRPr="00797379">
        <w:t>d</w:t>
      </w:r>
      <w:r w:rsidRPr="00797379">
        <w:t xml:space="preserve"> to raise concerns about clarity and consistency in grading practices. While Aspen offers access to academic information, families noted that understanding grading systems, particularly the earlier standard</w:t>
      </w:r>
      <w:r w:rsidR="00A407D4" w:rsidRPr="00797379">
        <w:t>-</w:t>
      </w:r>
      <w:r w:rsidRPr="00797379">
        <w:t xml:space="preserve">based model used in middle school, remains challenging without clearer explanations. </w:t>
      </w:r>
      <w:r w:rsidR="00A06169" w:rsidRPr="00797379">
        <w:t xml:space="preserve">Teacher focus group participants also noted </w:t>
      </w:r>
      <w:r w:rsidR="4415D4DF" w:rsidRPr="00797379">
        <w:rPr>
          <w:rFonts w:eastAsiaTheme="minorEastAsia"/>
          <w:color w:val="000000" w:themeColor="text1"/>
        </w:rPr>
        <w:t xml:space="preserve">that grading policies differ across levels </w:t>
      </w:r>
      <w:r w:rsidR="00A407D4" w:rsidRPr="00797379">
        <w:rPr>
          <w:rFonts w:eastAsiaTheme="minorEastAsia"/>
          <w:color w:val="000000" w:themeColor="text1"/>
        </w:rPr>
        <w:t>and</w:t>
      </w:r>
      <w:r w:rsidR="4415D4DF" w:rsidRPr="00797379">
        <w:rPr>
          <w:rFonts w:eastAsiaTheme="minorEastAsia"/>
          <w:color w:val="000000" w:themeColor="text1"/>
        </w:rPr>
        <w:t xml:space="preserve"> among teachers within the same school. </w:t>
      </w:r>
      <w:r w:rsidR="00A407D4" w:rsidRPr="00797379">
        <w:rPr>
          <w:rFonts w:eastAsiaTheme="minorEastAsia"/>
          <w:color w:val="000000" w:themeColor="text1"/>
        </w:rPr>
        <w:t>Teachers described h</w:t>
      </w:r>
      <w:r w:rsidR="4415D4DF" w:rsidRPr="00797379">
        <w:rPr>
          <w:rFonts w:eastAsiaTheme="minorEastAsia"/>
          <w:color w:val="000000" w:themeColor="text1"/>
        </w:rPr>
        <w:t>igh school grading as more traditional and generally clear, though families note</w:t>
      </w:r>
      <w:r w:rsidR="005015B3" w:rsidRPr="00797379">
        <w:rPr>
          <w:rFonts w:eastAsiaTheme="minorEastAsia"/>
          <w:color w:val="000000" w:themeColor="text1"/>
        </w:rPr>
        <w:t>d</w:t>
      </w:r>
      <w:r w:rsidR="4415D4DF" w:rsidRPr="00797379">
        <w:rPr>
          <w:rFonts w:eastAsiaTheme="minorEastAsia"/>
          <w:color w:val="000000" w:themeColor="text1"/>
        </w:rPr>
        <w:t xml:space="preserve"> </w:t>
      </w:r>
      <w:r w:rsidR="4415D4DF" w:rsidRPr="00797379">
        <w:rPr>
          <w:rFonts w:eastAsiaTheme="minorEastAsia"/>
        </w:rPr>
        <w:t>inconsistencies in late</w:t>
      </w:r>
      <w:r w:rsidR="005015B3" w:rsidRPr="00797379">
        <w:rPr>
          <w:rFonts w:eastAsiaTheme="minorEastAsia"/>
        </w:rPr>
        <w:t>-</w:t>
      </w:r>
      <w:r w:rsidR="4415D4DF" w:rsidRPr="00797379">
        <w:rPr>
          <w:rFonts w:eastAsiaTheme="minorEastAsia"/>
        </w:rPr>
        <w:t xml:space="preserve">work policies and weighting of assignments across teachers. </w:t>
      </w:r>
      <w:r w:rsidR="00CB4BB8">
        <w:rPr>
          <w:rFonts w:eastAsiaTheme="minorEastAsia"/>
        </w:rPr>
        <w:t>A</w:t>
      </w:r>
      <w:r w:rsidR="00CB4BB8" w:rsidRPr="389BB5A1">
        <w:rPr>
          <w:rFonts w:eastAsiaTheme="minorEastAsia"/>
        </w:rPr>
        <w:t xml:space="preserve"> </w:t>
      </w:r>
      <w:r w:rsidR="028B429F" w:rsidRPr="389BB5A1">
        <w:rPr>
          <w:rFonts w:eastAsiaTheme="minorEastAsia"/>
        </w:rPr>
        <w:t xml:space="preserve">review </w:t>
      </w:r>
      <w:r w:rsidR="00CB4BB8">
        <w:rPr>
          <w:rFonts w:eastAsiaTheme="minorEastAsia"/>
        </w:rPr>
        <w:t xml:space="preserve">of documents </w:t>
      </w:r>
      <w:r w:rsidR="028B429F" w:rsidRPr="74031D4B">
        <w:rPr>
          <w:rFonts w:eastAsiaTheme="minorEastAsia"/>
        </w:rPr>
        <w:t>did not reveal</w:t>
      </w:r>
      <w:r w:rsidR="005015B3" w:rsidRPr="00797379" w:rsidDel="00FB1B6A">
        <w:rPr>
          <w:rFonts w:eastAsiaTheme="minorEastAsia"/>
        </w:rPr>
        <w:t xml:space="preserve"> </w:t>
      </w:r>
      <w:r w:rsidR="4415D4DF" w:rsidRPr="00797379">
        <w:rPr>
          <w:rFonts w:eastAsiaTheme="minorEastAsia"/>
        </w:rPr>
        <w:t xml:space="preserve">evidence of a districtwide grading policy </w:t>
      </w:r>
      <w:r w:rsidR="005015B3" w:rsidRPr="00797379">
        <w:rPr>
          <w:rFonts w:eastAsiaTheme="minorEastAsia"/>
        </w:rPr>
        <w:t xml:space="preserve">to </w:t>
      </w:r>
      <w:r w:rsidR="4415D4DF" w:rsidRPr="00797379">
        <w:rPr>
          <w:rFonts w:eastAsiaTheme="minorEastAsia"/>
        </w:rPr>
        <w:t>ensure coherence and transparency across all levels.</w:t>
      </w:r>
      <w:r w:rsidR="4415D4DF" w:rsidRPr="00797379">
        <w:rPr>
          <w:rFonts w:ascii="Calibri" w:eastAsia="Calibri" w:hAnsi="Calibri" w:cs="Calibri"/>
          <w:sz w:val="24"/>
          <w:szCs w:val="24"/>
        </w:rPr>
        <w:t xml:space="preserve"> </w:t>
      </w:r>
      <w:r w:rsidR="4415D4DF" w:rsidRPr="00647851">
        <w:rPr>
          <w:rFonts w:eastAsiaTheme="minorEastAsia"/>
        </w:rPr>
        <w:t>Developing and communicating consistent grading practices across grade-levels</w:t>
      </w:r>
      <w:r w:rsidR="00DD1183" w:rsidRPr="00647851">
        <w:rPr>
          <w:rFonts w:eastAsiaTheme="minorEastAsia"/>
        </w:rPr>
        <w:t xml:space="preserve"> </w:t>
      </w:r>
      <w:r w:rsidR="4415D4DF" w:rsidRPr="00647851">
        <w:rPr>
          <w:rFonts w:eastAsiaTheme="minorEastAsia"/>
        </w:rPr>
        <w:t>is an area of growth for the district</w:t>
      </w:r>
      <w:r w:rsidR="00CD3927" w:rsidRPr="00647851">
        <w:rPr>
          <w:rFonts w:eastAsiaTheme="minorEastAsia"/>
        </w:rPr>
        <w:t>.</w:t>
      </w:r>
    </w:p>
    <w:p w14:paraId="18115117" w14:textId="164C2B45" w:rsidR="002B4CEF" w:rsidRPr="00797379" w:rsidRDefault="002B4CEF" w:rsidP="003616FB">
      <w:pPr>
        <w:pStyle w:val="Heading3"/>
      </w:pPr>
      <w:r w:rsidRPr="00797379">
        <w:t>Recommendations</w:t>
      </w:r>
    </w:p>
    <w:p w14:paraId="6B609048" w14:textId="5E16C99F" w:rsidR="002B4CEF" w:rsidRPr="00046A6C" w:rsidRDefault="001F4A51" w:rsidP="003616FB">
      <w:pPr>
        <w:pStyle w:val="Bullet1"/>
        <w:rPr>
          <w:bCs/>
          <w:i/>
          <w:iCs/>
        </w:rPr>
      </w:pPr>
      <w:r>
        <w:rPr>
          <w:i/>
          <w:iCs/>
        </w:rPr>
        <w:t>The district should select and implement a social-emotional and/or mental health screening assessment</w:t>
      </w:r>
      <w:r w:rsidR="0002360A">
        <w:rPr>
          <w:i/>
          <w:iCs/>
        </w:rPr>
        <w:t xml:space="preserve"> to help identify students’ nonacademic needs. </w:t>
      </w:r>
    </w:p>
    <w:p w14:paraId="289CD3A7" w14:textId="0EDB9CBA" w:rsidR="00046A6C" w:rsidRPr="00251375" w:rsidRDefault="00046A6C" w:rsidP="003616FB">
      <w:pPr>
        <w:pStyle w:val="Bullet1"/>
        <w:rPr>
          <w:bCs/>
          <w:i/>
          <w:iCs/>
        </w:rPr>
      </w:pPr>
      <w:r>
        <w:rPr>
          <w:i/>
          <w:iCs/>
        </w:rPr>
        <w:t>The district should articulate a clear vision for data use and adjustments to practice across a</w:t>
      </w:r>
      <w:r w:rsidR="00C84159">
        <w:rPr>
          <w:i/>
          <w:iCs/>
        </w:rPr>
        <w:t>ll schools, grade levels, and subject areas.</w:t>
      </w:r>
    </w:p>
    <w:p w14:paraId="48F4A7C6" w14:textId="259B558E" w:rsidR="005A1858" w:rsidRPr="005A1858" w:rsidRDefault="005A1858" w:rsidP="005A1858">
      <w:pPr>
        <w:pStyle w:val="Bullet1"/>
        <w:rPr>
          <w:bCs/>
          <w:i/>
          <w:iCs/>
        </w:rPr>
      </w:pPr>
      <w:r>
        <w:rPr>
          <w:i/>
          <w:iCs/>
        </w:rPr>
        <w:t xml:space="preserve">The district should develop clear and consistent protocols for </w:t>
      </w:r>
      <w:r w:rsidR="00815138">
        <w:rPr>
          <w:i/>
          <w:iCs/>
        </w:rPr>
        <w:t>reviewing student data</w:t>
      </w:r>
      <w:r>
        <w:rPr>
          <w:i/>
          <w:iCs/>
        </w:rPr>
        <w:t xml:space="preserve"> and monitor their implementation across all schools in the district. </w:t>
      </w:r>
    </w:p>
    <w:p w14:paraId="3E1E51DB" w14:textId="4C6606E9" w:rsidR="009865E2" w:rsidRPr="00025A79" w:rsidRDefault="009865E2" w:rsidP="003616FB">
      <w:pPr>
        <w:pStyle w:val="Bullet1"/>
        <w:rPr>
          <w:bCs/>
          <w:i/>
          <w:iCs/>
        </w:rPr>
      </w:pPr>
      <w:r>
        <w:rPr>
          <w:i/>
          <w:iCs/>
        </w:rPr>
        <w:t>Once data review protocols are in place, the distric</w:t>
      </w:r>
      <w:r w:rsidR="00DB16A4">
        <w:rPr>
          <w:i/>
          <w:iCs/>
        </w:rPr>
        <w:t xml:space="preserve">t’s instructional leaders </w:t>
      </w:r>
      <w:r w:rsidR="00F03A33">
        <w:rPr>
          <w:i/>
          <w:iCs/>
        </w:rPr>
        <w:t>(coaches and departmen</w:t>
      </w:r>
      <w:r w:rsidR="00343F32">
        <w:rPr>
          <w:i/>
          <w:iCs/>
        </w:rPr>
        <w:t xml:space="preserve">t directors) </w:t>
      </w:r>
      <w:r w:rsidR="00DB16A4">
        <w:rPr>
          <w:i/>
          <w:iCs/>
        </w:rPr>
        <w:t>should</w:t>
      </w:r>
      <w:r w:rsidR="00343F32">
        <w:rPr>
          <w:i/>
          <w:iCs/>
        </w:rPr>
        <w:t xml:space="preserve"> work closely with teachers to implement cycles of data review and adjustments to practice. </w:t>
      </w:r>
    </w:p>
    <w:p w14:paraId="24173EAF" w14:textId="7B50ABC3" w:rsidR="00D63E07" w:rsidRPr="00025A79" w:rsidRDefault="00D63E07" w:rsidP="00025A79">
      <w:pPr>
        <w:pStyle w:val="Bullet1"/>
        <w:rPr>
          <w:bCs/>
          <w:i/>
          <w:iCs/>
        </w:rPr>
      </w:pPr>
      <w:r w:rsidRPr="00D63E07">
        <w:rPr>
          <w:i/>
          <w:iCs/>
        </w:rPr>
        <w:t xml:space="preserve">The district should set expectations around sharing data with students and engaging them in goal setting and progress monitoring in ways that promote student agency over learning. </w:t>
      </w:r>
    </w:p>
    <w:p w14:paraId="51593A4A" w14:textId="2E21925A" w:rsidR="00025A79" w:rsidRPr="00025A79" w:rsidRDefault="00025A79" w:rsidP="00025A79">
      <w:pPr>
        <w:pStyle w:val="Bullet1"/>
        <w:rPr>
          <w:bCs/>
          <w:i/>
          <w:iCs/>
        </w:rPr>
      </w:pPr>
      <w:r>
        <w:rPr>
          <w:i/>
          <w:iCs/>
        </w:rPr>
        <w:t xml:space="preserve">The district should </w:t>
      </w:r>
      <w:r w:rsidR="005C6E78">
        <w:rPr>
          <w:i/>
          <w:iCs/>
        </w:rPr>
        <w:t xml:space="preserve">work with its teachers and instructional leaders to develop consistent grading expectations and practices within and across grade levels and schools. </w:t>
      </w:r>
    </w:p>
    <w:p w14:paraId="0B4FDEA8" w14:textId="77777777" w:rsidR="008D6102" w:rsidRPr="00797379" w:rsidRDefault="008D6102" w:rsidP="00717429">
      <w:pPr>
        <w:pStyle w:val="Heading2"/>
      </w:pPr>
      <w:bookmarkStart w:id="61" w:name="_Human_Resources_and"/>
      <w:bookmarkStart w:id="62" w:name="_Toc101446230"/>
      <w:bookmarkStart w:id="63" w:name="_Toc223625541"/>
      <w:bookmarkEnd w:id="61"/>
      <w:r w:rsidRPr="00797379">
        <w:t>Human Resources and Professional Development</w:t>
      </w:r>
      <w:bookmarkEnd w:id="62"/>
      <w:bookmarkEnd w:id="63"/>
    </w:p>
    <w:p w14:paraId="4B6AABB6" w14:textId="3850AE49" w:rsidR="00F751ED" w:rsidRPr="00797379" w:rsidRDefault="00F751ED" w:rsidP="00717429">
      <w:pPr>
        <w:pStyle w:val="BodyTextposthead"/>
      </w:pPr>
      <w:r w:rsidRPr="00797379">
        <w:t xml:space="preserve">This section examines the extent to which the district has established systems, policies, and practices that allow administrators to effectively recruit, hire, onboard, and support a highly effective, diverse, and culturally responsive workforce. It also focuses on the systems and structures that </w:t>
      </w:r>
      <w:r w:rsidR="00697125" w:rsidRPr="00797379">
        <w:t xml:space="preserve">the district </w:t>
      </w:r>
      <w:r w:rsidR="002A2B60" w:rsidRPr="00797379">
        <w:t xml:space="preserve">uses to </w:t>
      </w:r>
      <w:r w:rsidRPr="00797379">
        <w:t>provide all educators with ongoing access to high-quality professional learning and actionable feedback</w:t>
      </w:r>
      <w:r w:rsidR="009449E6" w:rsidRPr="00797379">
        <w:t xml:space="preserve"> that fosters</w:t>
      </w:r>
      <w:r w:rsidRPr="00797379">
        <w:t xml:space="preserve"> a culture </w:t>
      </w:r>
      <w:r w:rsidR="009449E6" w:rsidRPr="00797379">
        <w:t xml:space="preserve">of </w:t>
      </w:r>
      <w:r w:rsidRPr="00797379">
        <w:t>collaboration, retention, recognition, and advancement.</w:t>
      </w:r>
    </w:p>
    <w:p w14:paraId="7136409B" w14:textId="113101A3" w:rsidR="002C6E1C" w:rsidRPr="00797379" w:rsidRDefault="002C6E1C" w:rsidP="00717429">
      <w:pPr>
        <w:pStyle w:val="BodyText"/>
      </w:pPr>
      <w:r w:rsidRPr="00797379">
        <w:t xml:space="preserve">Table </w:t>
      </w:r>
      <w:r w:rsidR="009449E6" w:rsidRPr="00797379">
        <w:t xml:space="preserve">7 </w:t>
      </w:r>
      <w:r w:rsidRPr="00797379">
        <w:t>summarizes key strengths and areas for growth in human resources and professional development</w:t>
      </w:r>
      <w:r w:rsidR="00250663" w:rsidRPr="00797379">
        <w:t xml:space="preserve"> in </w:t>
      </w:r>
      <w:r w:rsidR="004F0217" w:rsidRPr="00797379">
        <w:t>Winchester</w:t>
      </w:r>
      <w:r w:rsidRPr="00797379">
        <w:t>.</w:t>
      </w:r>
    </w:p>
    <w:p w14:paraId="2BF170C5" w14:textId="20187DB1" w:rsidR="00795B63" w:rsidRPr="00797379" w:rsidRDefault="00795B63" w:rsidP="00717429">
      <w:pPr>
        <w:pStyle w:val="TableTitle0"/>
      </w:pPr>
      <w:bookmarkStart w:id="64" w:name="_Toc220932412"/>
      <w:r w:rsidRPr="00797379">
        <w:t xml:space="preserve">Table </w:t>
      </w:r>
      <w:r w:rsidR="009449E6" w:rsidRPr="00797379">
        <w:t>7</w:t>
      </w:r>
      <w:r w:rsidRPr="00797379">
        <w:t xml:space="preserve">. Summary of Key Strengths and Areas for Growth: </w:t>
      </w:r>
      <w:r w:rsidR="004C7FAA" w:rsidRPr="00797379">
        <w:t xml:space="preserve">Human Resources and Professional Development </w:t>
      </w:r>
      <w:r w:rsidRPr="00797379">
        <w:t>Standard</w:t>
      </w:r>
      <w:bookmarkEnd w:id="64"/>
    </w:p>
    <w:tbl>
      <w:tblPr>
        <w:tblStyle w:val="MSVTable1"/>
        <w:tblW w:w="5000" w:type="pct"/>
        <w:tblLook w:val="04A0" w:firstRow="1" w:lastRow="0" w:firstColumn="1" w:lastColumn="0" w:noHBand="0" w:noVBand="1"/>
      </w:tblPr>
      <w:tblGrid>
        <w:gridCol w:w="1973"/>
        <w:gridCol w:w="3686"/>
        <w:gridCol w:w="3685"/>
      </w:tblGrid>
      <w:tr w:rsidR="00B827DE" w:rsidRPr="00797379" w14:paraId="5AF94F4A" w14:textId="77777777" w:rsidTr="00717429">
        <w:trPr>
          <w:cnfStyle w:val="100000000000" w:firstRow="1" w:lastRow="0" w:firstColumn="0" w:lastColumn="0" w:oddVBand="0" w:evenVBand="0" w:oddHBand="0" w:evenHBand="0" w:firstRowFirstColumn="0" w:firstRowLastColumn="0" w:lastRowFirstColumn="0" w:lastRowLastColumn="0"/>
        </w:trPr>
        <w:tc>
          <w:tcPr>
            <w:tcW w:w="1055" w:type="pct"/>
          </w:tcPr>
          <w:p w14:paraId="2AD0DE9D" w14:textId="77777777" w:rsidR="00B827DE" w:rsidRPr="00797379" w:rsidRDefault="00B827DE" w:rsidP="00B827DE">
            <w:pPr>
              <w:pStyle w:val="TableColHeadingCenter"/>
            </w:pPr>
            <w:r w:rsidRPr="00797379">
              <w:t>Indicator</w:t>
            </w:r>
          </w:p>
        </w:tc>
        <w:tc>
          <w:tcPr>
            <w:tcW w:w="1972" w:type="pct"/>
          </w:tcPr>
          <w:p w14:paraId="29F8FCE9" w14:textId="77777777" w:rsidR="00B827DE" w:rsidRPr="00797379" w:rsidRDefault="00B827DE" w:rsidP="00B827DE">
            <w:pPr>
              <w:pStyle w:val="TableColHeadingCenter"/>
            </w:pPr>
            <w:r w:rsidRPr="00797379">
              <w:t>Strengths</w:t>
            </w:r>
          </w:p>
        </w:tc>
        <w:tc>
          <w:tcPr>
            <w:tcW w:w="1972" w:type="pct"/>
          </w:tcPr>
          <w:p w14:paraId="500B423F" w14:textId="6D40DEB3" w:rsidR="00B827DE" w:rsidRPr="00797379" w:rsidRDefault="00B827DE" w:rsidP="00B827DE">
            <w:pPr>
              <w:pStyle w:val="TableColHeadingCenter"/>
            </w:pPr>
            <w:r w:rsidRPr="00797379">
              <w:t xml:space="preserve">Areas for </w:t>
            </w:r>
            <w:r w:rsidR="002C6E1C" w:rsidRPr="00797379">
              <w:t>growth</w:t>
            </w:r>
          </w:p>
        </w:tc>
      </w:tr>
      <w:tr w:rsidR="00B827DE" w:rsidRPr="00797379" w14:paraId="3B52DFA7" w14:textId="77777777" w:rsidTr="00717429">
        <w:trPr>
          <w:cnfStyle w:val="000000100000" w:firstRow="0" w:lastRow="0" w:firstColumn="0" w:lastColumn="0" w:oddVBand="0" w:evenVBand="0" w:oddHBand="1" w:evenHBand="0" w:firstRowFirstColumn="0" w:firstRowLastColumn="0" w:lastRowFirstColumn="0" w:lastRowLastColumn="0"/>
        </w:trPr>
        <w:tc>
          <w:tcPr>
            <w:tcW w:w="1055" w:type="pct"/>
          </w:tcPr>
          <w:p w14:paraId="2963B302" w14:textId="670DBA10" w:rsidR="00B827DE" w:rsidRPr="00797379" w:rsidRDefault="00444346" w:rsidP="00717429">
            <w:pPr>
              <w:pStyle w:val="TableSubheading"/>
            </w:pPr>
            <w:hyperlink w:anchor="_Human_Resources_Infrastructure," w:history="1">
              <w:r w:rsidRPr="00797379">
                <w:rPr>
                  <w:rStyle w:val="Hyperlink"/>
                  <w:color w:val="auto"/>
                  <w:u w:val="none"/>
                </w:rPr>
                <w:t>Human Resources I</w:t>
              </w:r>
              <w:r w:rsidR="00B827DE" w:rsidRPr="00797379">
                <w:rPr>
                  <w:rStyle w:val="Hyperlink"/>
                  <w:color w:val="auto"/>
                  <w:u w:val="none"/>
                </w:rPr>
                <w:t>nfrastructure</w:t>
              </w:r>
              <w:r w:rsidRPr="00797379">
                <w:rPr>
                  <w:rStyle w:val="Hyperlink"/>
                  <w:color w:val="auto"/>
                  <w:u w:val="none"/>
                </w:rPr>
                <w:t>, Policies, and Practices</w:t>
              </w:r>
            </w:hyperlink>
          </w:p>
        </w:tc>
        <w:tc>
          <w:tcPr>
            <w:tcW w:w="1972" w:type="pct"/>
          </w:tcPr>
          <w:p w14:paraId="70D7277E" w14:textId="00306917" w:rsidR="00B827DE" w:rsidRPr="00266674" w:rsidRDefault="0017575A" w:rsidP="00717429">
            <w:pPr>
              <w:pStyle w:val="TableBullet1"/>
            </w:pPr>
            <w:r>
              <w:t>N/A</w:t>
            </w:r>
          </w:p>
        </w:tc>
        <w:tc>
          <w:tcPr>
            <w:tcW w:w="1972" w:type="pct"/>
          </w:tcPr>
          <w:p w14:paraId="09130FD4" w14:textId="14F55B15" w:rsidR="00BE27CD" w:rsidRPr="00266674" w:rsidRDefault="00266674" w:rsidP="00717429">
            <w:pPr>
              <w:pStyle w:val="TableBullet1"/>
            </w:pPr>
            <w:r w:rsidRPr="00266674">
              <w:rPr>
                <w:bdr w:val="none" w:sz="0" w:space="0" w:color="auto" w:frame="1"/>
              </w:rPr>
              <w:t>Strengthening strategic workforce planning across schools to improve staffing distribution</w:t>
            </w:r>
          </w:p>
        </w:tc>
      </w:tr>
      <w:tr w:rsidR="00B827DE" w:rsidRPr="00797379" w14:paraId="53443622" w14:textId="77777777" w:rsidTr="00717429">
        <w:tc>
          <w:tcPr>
            <w:tcW w:w="1055" w:type="pct"/>
          </w:tcPr>
          <w:p w14:paraId="755AE6E0" w14:textId="094B8324" w:rsidR="00B827DE" w:rsidRPr="00797379" w:rsidRDefault="00444346" w:rsidP="00717429">
            <w:pPr>
              <w:pStyle w:val="TableSubheading"/>
            </w:pPr>
            <w:hyperlink w:anchor="_Staffing" w:history="1">
              <w:r w:rsidRPr="00797379">
                <w:rPr>
                  <w:rStyle w:val="Hyperlink"/>
                  <w:color w:val="auto"/>
                  <w:u w:val="none"/>
                </w:rPr>
                <w:t>Staffing</w:t>
              </w:r>
            </w:hyperlink>
          </w:p>
        </w:tc>
        <w:tc>
          <w:tcPr>
            <w:tcW w:w="1972" w:type="pct"/>
          </w:tcPr>
          <w:p w14:paraId="3B581E14" w14:textId="1C2F0738" w:rsidR="003E5D33" w:rsidRPr="00266674" w:rsidRDefault="00266674" w:rsidP="00717429">
            <w:pPr>
              <w:pStyle w:val="TableBullet1"/>
            </w:pPr>
            <w:r w:rsidRPr="00266674">
              <w:t>The district has centralized and accessible systems for employee recordkeeping.</w:t>
            </w:r>
          </w:p>
        </w:tc>
        <w:tc>
          <w:tcPr>
            <w:tcW w:w="1972" w:type="pct"/>
          </w:tcPr>
          <w:p w14:paraId="0CF507F8" w14:textId="0E5D9295" w:rsidR="00BE27CD" w:rsidRPr="00266674" w:rsidRDefault="00266674" w:rsidP="00717429">
            <w:pPr>
              <w:pStyle w:val="TableBullet1"/>
            </w:pPr>
            <w:r w:rsidRPr="00266674">
              <w:rPr>
                <w:rFonts w:eastAsia="Times New Roman"/>
              </w:rPr>
              <w:t>Establishing strategies for recruiting diverse district and school leaders</w:t>
            </w:r>
          </w:p>
          <w:p w14:paraId="1F4F75EE" w14:textId="60DA5EA2" w:rsidR="001B57B0" w:rsidRPr="00C44EA3" w:rsidRDefault="001B57B0" w:rsidP="001B57B0">
            <w:pPr>
              <w:pStyle w:val="TableBullet1"/>
            </w:pPr>
            <w:r w:rsidRPr="00C44EA3">
              <w:rPr>
                <w:rFonts w:ascii="Franklin Gothic Book" w:eastAsia="Franklin Gothic Book" w:hAnsi="Franklin Gothic Book" w:cs="Tahoma"/>
              </w:rPr>
              <w:t xml:space="preserve">Ensuring all teachers receive constructive feedback and all administrators receive assessments of progress towards goals and </w:t>
            </w:r>
            <w:r w:rsidR="00C44EA3" w:rsidRPr="00C44EA3">
              <w:rPr>
                <w:rFonts w:ascii="Franklin Gothic Book" w:eastAsia="Franklin Gothic Book" w:hAnsi="Franklin Gothic Book" w:cs="Tahoma"/>
              </w:rPr>
              <w:t>standards</w:t>
            </w:r>
          </w:p>
          <w:p w14:paraId="3E86C519" w14:textId="38B97BE2" w:rsidR="00266674" w:rsidRPr="00266674" w:rsidRDefault="00266674" w:rsidP="00717429">
            <w:pPr>
              <w:pStyle w:val="TableBullet1"/>
            </w:pPr>
            <w:r w:rsidRPr="00266674">
              <w:t>Improving the consistency and calibration of how feedback and observations are implemented across schools</w:t>
            </w:r>
          </w:p>
        </w:tc>
      </w:tr>
      <w:tr w:rsidR="00B827DE" w:rsidRPr="00797379" w14:paraId="05C4AE65" w14:textId="77777777" w:rsidTr="00717429">
        <w:trPr>
          <w:cnfStyle w:val="000000100000" w:firstRow="0" w:lastRow="0" w:firstColumn="0" w:lastColumn="0" w:oddVBand="0" w:evenVBand="0" w:oddHBand="1" w:evenHBand="0" w:firstRowFirstColumn="0" w:firstRowLastColumn="0" w:lastRowFirstColumn="0" w:lastRowLastColumn="0"/>
        </w:trPr>
        <w:tc>
          <w:tcPr>
            <w:tcW w:w="1055" w:type="pct"/>
          </w:tcPr>
          <w:p w14:paraId="7ADD9F53" w14:textId="342CF7E2" w:rsidR="00B827DE" w:rsidRPr="00797379" w:rsidRDefault="00444346" w:rsidP="00717429">
            <w:pPr>
              <w:pStyle w:val="TableSubheading"/>
            </w:pPr>
            <w:hyperlink w:anchor="_Professional_Learning" w:history="1">
              <w:r w:rsidRPr="00797379">
                <w:rPr>
                  <w:rStyle w:val="Hyperlink"/>
                  <w:color w:val="auto"/>
                  <w:u w:val="none"/>
                </w:rPr>
                <w:t>Professional Learning</w:t>
              </w:r>
            </w:hyperlink>
          </w:p>
        </w:tc>
        <w:tc>
          <w:tcPr>
            <w:tcW w:w="1972" w:type="pct"/>
          </w:tcPr>
          <w:p w14:paraId="6E5D7E42" w14:textId="27D2D61F" w:rsidR="00B827DE" w:rsidRPr="00266674" w:rsidRDefault="00266674" w:rsidP="00717429">
            <w:pPr>
              <w:pStyle w:val="TableBullet1"/>
            </w:pPr>
            <w:r w:rsidRPr="00266674">
              <w:t>There is close alignment of professional development offerings with district priorities.</w:t>
            </w:r>
          </w:p>
        </w:tc>
        <w:tc>
          <w:tcPr>
            <w:tcW w:w="1972" w:type="pct"/>
          </w:tcPr>
          <w:p w14:paraId="7A2F8612" w14:textId="3ED25841" w:rsidR="00B827DE" w:rsidRPr="00266674" w:rsidRDefault="00266674" w:rsidP="00717429">
            <w:pPr>
              <w:pStyle w:val="TableBullet1"/>
            </w:pPr>
            <w:r w:rsidRPr="00266674">
              <w:t>Expanding structured and consistent collaborative time for teacher planning and professional learning</w:t>
            </w:r>
          </w:p>
          <w:p w14:paraId="13C19D85" w14:textId="26909693" w:rsidR="00266674" w:rsidRPr="00266674" w:rsidRDefault="00266674" w:rsidP="00717429">
            <w:pPr>
              <w:pStyle w:val="TableBullet1"/>
            </w:pPr>
            <w:r w:rsidRPr="00266674">
              <w:t>Implementing programs to recognize educator excellence</w:t>
            </w:r>
          </w:p>
        </w:tc>
      </w:tr>
    </w:tbl>
    <w:p w14:paraId="5601B273" w14:textId="1D17AECB" w:rsidR="00B827DE" w:rsidRPr="00797379" w:rsidRDefault="00444346" w:rsidP="00717429">
      <w:pPr>
        <w:pStyle w:val="Heading3"/>
      </w:pPr>
      <w:bookmarkStart w:id="65" w:name="_Infrastructure"/>
      <w:bookmarkStart w:id="66" w:name="_Human_Resources_Infrastructure,"/>
      <w:bookmarkEnd w:id="65"/>
      <w:bookmarkEnd w:id="66"/>
      <w:r w:rsidRPr="00797379">
        <w:t xml:space="preserve">Human Resources </w:t>
      </w:r>
      <w:r w:rsidR="00B827DE" w:rsidRPr="00797379">
        <w:t>Infrastructure</w:t>
      </w:r>
      <w:r w:rsidRPr="00797379">
        <w:t>, Policies, and Practices</w:t>
      </w:r>
    </w:p>
    <w:p w14:paraId="1A6030A4" w14:textId="4D042BB8" w:rsidR="00CD3927" w:rsidRPr="00797379" w:rsidRDefault="002C0A15" w:rsidP="00E4424A">
      <w:pPr>
        <w:pStyle w:val="BodyTextposthead"/>
        <w:spacing w:before="240"/>
      </w:pPr>
      <w:r w:rsidRPr="00797379">
        <w:t xml:space="preserve">The district maintains a small but functional </w:t>
      </w:r>
      <w:r w:rsidR="0017575A">
        <w:t>h</w:t>
      </w:r>
      <w:r w:rsidRPr="00797379">
        <w:t xml:space="preserve">uman </w:t>
      </w:r>
      <w:r w:rsidR="0017575A">
        <w:t>r</w:t>
      </w:r>
      <w:r w:rsidRPr="00797379">
        <w:t>esource</w:t>
      </w:r>
      <w:r w:rsidR="0017575A">
        <w:t>s</w:t>
      </w:r>
      <w:r w:rsidRPr="00797379">
        <w:t xml:space="preserve"> </w:t>
      </w:r>
      <w:r w:rsidR="00201DFC" w:rsidRPr="00797379">
        <w:t xml:space="preserve">(HR) </w:t>
      </w:r>
      <w:r w:rsidRPr="00797379">
        <w:t>office that supports core operations, though district leaders report</w:t>
      </w:r>
      <w:r w:rsidR="00201DFC" w:rsidRPr="00797379">
        <w:t>ed that</w:t>
      </w:r>
      <w:r w:rsidRPr="00797379">
        <w:t xml:space="preserve"> capacity constraints remain a challenge. The </w:t>
      </w:r>
      <w:r w:rsidR="00201DFC" w:rsidRPr="00797379">
        <w:t>HR</w:t>
      </w:r>
      <w:r w:rsidRPr="00797379">
        <w:t xml:space="preserve"> office functions </w:t>
      </w:r>
      <w:r w:rsidR="00201DFC" w:rsidRPr="00797379">
        <w:t>with</w:t>
      </w:r>
      <w:r w:rsidRPr="00797379">
        <w:t xml:space="preserve"> small team</w:t>
      </w:r>
      <w:r w:rsidR="00201DFC" w:rsidRPr="00797379">
        <w:t xml:space="preserve"> </w:t>
      </w:r>
      <w:r w:rsidRPr="00797379">
        <w:t xml:space="preserve">of a finance/HR manager and a human resources coordinator, </w:t>
      </w:r>
      <w:r w:rsidR="00201DFC" w:rsidRPr="00797379">
        <w:t xml:space="preserve">who </w:t>
      </w:r>
      <w:r w:rsidRPr="00797379">
        <w:t xml:space="preserve">share clerical support that also assists the </w:t>
      </w:r>
      <w:r w:rsidR="00201DFC" w:rsidRPr="00797379">
        <w:t>A</w:t>
      </w:r>
      <w:r w:rsidRPr="00797379">
        <w:t xml:space="preserve">ccounts </w:t>
      </w:r>
      <w:r w:rsidR="00201DFC" w:rsidRPr="00797379">
        <w:t>P</w:t>
      </w:r>
      <w:r w:rsidRPr="00797379">
        <w:t xml:space="preserve">ayable office. According to district leaders, </w:t>
      </w:r>
      <w:r w:rsidR="00201DFC" w:rsidRPr="00797379">
        <w:t xml:space="preserve">WPS </w:t>
      </w:r>
      <w:r w:rsidRPr="00797379">
        <w:t>has implemented secure systems for personnel recordkeeping</w:t>
      </w:r>
      <w:r w:rsidR="00A76F58" w:rsidRPr="00797379">
        <w:t>.</w:t>
      </w:r>
      <w:r w:rsidRPr="00797379">
        <w:t xml:space="preserve"> </w:t>
      </w:r>
      <w:r w:rsidR="00E8559F" w:rsidRPr="00797379">
        <w:t>Hard</w:t>
      </w:r>
      <w:r w:rsidRPr="00797379">
        <w:t>copy files are locked</w:t>
      </w:r>
      <w:r w:rsidR="00201DFC" w:rsidRPr="00797379">
        <w:t xml:space="preserve"> in a cabinet</w:t>
      </w:r>
      <w:r w:rsidRPr="00797379">
        <w:t xml:space="preserve"> and electronic records are stored on an internal secure server with restricted access. Confidential documents are kept offline to ensure privacy. </w:t>
      </w:r>
      <w:r w:rsidR="00A67794">
        <w:t>D</w:t>
      </w:r>
      <w:r w:rsidRPr="00797379">
        <w:t>ocument review</w:t>
      </w:r>
      <w:r w:rsidR="007B6B29">
        <w:t xml:space="preserve"> </w:t>
      </w:r>
      <w:r w:rsidR="00C14466" w:rsidRPr="00797379">
        <w:t xml:space="preserve">found that </w:t>
      </w:r>
      <w:r w:rsidRPr="00797379">
        <w:t>the district ensure</w:t>
      </w:r>
      <w:r w:rsidR="00C14466" w:rsidRPr="00797379">
        <w:t>d that</w:t>
      </w:r>
      <w:r w:rsidRPr="00797379">
        <w:t xml:space="preserve"> employees have access to essential employment information through an Employee Self-Service (ESS) portal, which provides pay stubs, benefits, and tax forms. Th</w:t>
      </w:r>
      <w:r w:rsidR="00214AE5" w:rsidRPr="00797379">
        <w:t>e</w:t>
      </w:r>
      <w:r w:rsidRPr="00797379">
        <w:t xml:space="preserve"> </w:t>
      </w:r>
      <w:r w:rsidR="00214AE5" w:rsidRPr="00797379">
        <w:t>E</w:t>
      </w:r>
      <w:r w:rsidR="00DE3841">
        <w:t>S</w:t>
      </w:r>
      <w:r w:rsidR="00214AE5" w:rsidRPr="00797379">
        <w:t xml:space="preserve">S portal </w:t>
      </w:r>
      <w:r w:rsidRPr="00797379">
        <w:t>was introduced in response to staff feedback and represents a significant improvement in accessibility from the previous system</w:t>
      </w:r>
      <w:r w:rsidR="002C1ABF" w:rsidRPr="00797379">
        <w:t>,</w:t>
      </w:r>
      <w:r w:rsidRPr="00797379">
        <w:t xml:space="preserve"> according to district staff</w:t>
      </w:r>
      <w:r w:rsidR="00CD3927" w:rsidRPr="00797379">
        <w:t>.</w:t>
      </w:r>
    </w:p>
    <w:p w14:paraId="268C6CCD" w14:textId="2A7AA978" w:rsidR="002C0A15" w:rsidRPr="00797379" w:rsidRDefault="002C0A15" w:rsidP="00E4424A">
      <w:pPr>
        <w:pStyle w:val="BodyText"/>
        <w:rPr>
          <w:color w:val="EE0000"/>
        </w:rPr>
      </w:pPr>
      <w:r w:rsidRPr="00797379">
        <w:t>District leaders report</w:t>
      </w:r>
      <w:r w:rsidR="00416EF2" w:rsidRPr="00797379">
        <w:t>ed</w:t>
      </w:r>
      <w:r w:rsidRPr="00797379">
        <w:t xml:space="preserve"> that limited </w:t>
      </w:r>
      <w:r w:rsidR="00416EF2" w:rsidRPr="00797379">
        <w:t>HR</w:t>
      </w:r>
      <w:r w:rsidRPr="00797379">
        <w:t xml:space="preserve"> staffing restrict</w:t>
      </w:r>
      <w:r w:rsidR="00416EF2" w:rsidRPr="00797379">
        <w:t>ed</w:t>
      </w:r>
      <w:r w:rsidRPr="00797379">
        <w:t xml:space="preserve"> the department’s ability to proactively manage staffing needs and recruitment pipelines. </w:t>
      </w:r>
      <w:r w:rsidR="008A7936" w:rsidRPr="00797379">
        <w:t xml:space="preserve">For example, </w:t>
      </w:r>
      <w:r w:rsidR="002466E4">
        <w:t xml:space="preserve">when </w:t>
      </w:r>
      <w:r w:rsidR="005B56B7">
        <w:t xml:space="preserve">student </w:t>
      </w:r>
      <w:r w:rsidRPr="00797379">
        <w:t>enrollment</w:t>
      </w:r>
      <w:r w:rsidR="002466E4">
        <w:t xml:space="preserve"> recently declined</w:t>
      </w:r>
      <w:r w:rsidRPr="00797379">
        <w:t>, particularly at the elementary level</w:t>
      </w:r>
      <w:r w:rsidR="000B000E" w:rsidRPr="00797379">
        <w:t>,</w:t>
      </w:r>
      <w:r w:rsidRPr="00797379">
        <w:t xml:space="preserve"> </w:t>
      </w:r>
      <w:r w:rsidR="000B000E" w:rsidRPr="00797379">
        <w:t xml:space="preserve">the district </w:t>
      </w:r>
      <w:r w:rsidR="002E6A19">
        <w:t xml:space="preserve">had </w:t>
      </w:r>
      <w:r w:rsidR="000B000E" w:rsidRPr="00797379">
        <w:t xml:space="preserve">to reduce the number of </w:t>
      </w:r>
      <w:r w:rsidRPr="00797379">
        <w:t>position</w:t>
      </w:r>
      <w:r w:rsidR="000B000E" w:rsidRPr="00797379">
        <w:t xml:space="preserve">s, </w:t>
      </w:r>
      <w:r w:rsidR="008A7936" w:rsidRPr="00797379">
        <w:t>thus</w:t>
      </w:r>
      <w:r w:rsidR="000B000E" w:rsidRPr="00797379">
        <w:t xml:space="preserve"> </w:t>
      </w:r>
      <w:r w:rsidRPr="00797379">
        <w:t>reduc</w:t>
      </w:r>
      <w:r w:rsidR="008A7936" w:rsidRPr="00797379">
        <w:t>ing</w:t>
      </w:r>
      <w:r w:rsidRPr="00797379">
        <w:t xml:space="preserve"> flexibility in class sizes</w:t>
      </w:r>
      <w:r w:rsidR="002E35C1">
        <w:t xml:space="preserve">, </w:t>
      </w:r>
      <w:r w:rsidR="00144B56">
        <w:t xml:space="preserve">a reaction </w:t>
      </w:r>
      <w:r w:rsidR="002E35C1">
        <w:t xml:space="preserve">instead of </w:t>
      </w:r>
      <w:r w:rsidR="00144B56">
        <w:t>strategically anticipating the shifts</w:t>
      </w:r>
      <w:r w:rsidRPr="00797379">
        <w:t>. Principals confirm</w:t>
      </w:r>
      <w:r w:rsidR="00416EF2" w:rsidRPr="00797379">
        <w:t>ed</w:t>
      </w:r>
      <w:r w:rsidRPr="00797379">
        <w:t xml:space="preserve"> that </w:t>
      </w:r>
      <w:r w:rsidR="000B000E" w:rsidRPr="00797379">
        <w:t xml:space="preserve">planning </w:t>
      </w:r>
      <w:r w:rsidRPr="00797379">
        <w:t>constraints limit</w:t>
      </w:r>
      <w:r w:rsidR="00416EF2" w:rsidRPr="00797379">
        <w:t>ed</w:t>
      </w:r>
      <w:r w:rsidRPr="00797379">
        <w:t xml:space="preserve"> </w:t>
      </w:r>
      <w:r w:rsidR="00416EF2" w:rsidRPr="00797379">
        <w:t>WPS’s</w:t>
      </w:r>
      <w:r w:rsidRPr="00797379">
        <w:t xml:space="preserve"> ability to equitably redistribute educators across schools, highlighting a need </w:t>
      </w:r>
      <w:r w:rsidR="00F83944" w:rsidRPr="00797379">
        <w:t xml:space="preserve">in WPS </w:t>
      </w:r>
      <w:r w:rsidRPr="00797379">
        <w:t xml:space="preserve">for more robust workforce planning and systems that support equitable staffing. </w:t>
      </w:r>
      <w:r w:rsidRPr="00E4424A">
        <w:t xml:space="preserve">This reactive approach </w:t>
      </w:r>
      <w:r w:rsidR="005800B0" w:rsidRPr="00E4424A">
        <w:t>to staffing distribution</w:t>
      </w:r>
      <w:r w:rsidR="007B6B29" w:rsidRPr="00E4424A">
        <w:t xml:space="preserve"> </w:t>
      </w:r>
      <w:r w:rsidRPr="00E4424A">
        <w:t xml:space="preserve">suggests </w:t>
      </w:r>
      <w:r w:rsidR="005012AC" w:rsidRPr="00E4424A">
        <w:t>s</w:t>
      </w:r>
      <w:r w:rsidR="005012AC" w:rsidRPr="00E4424A">
        <w:rPr>
          <w:bdr w:val="none" w:sz="0" w:space="0" w:color="auto" w:frame="1"/>
        </w:rPr>
        <w:t>trengthening strategic workforce planning across schools is an area of growth for the district.</w:t>
      </w:r>
    </w:p>
    <w:p w14:paraId="7436C46B" w14:textId="36999AE1" w:rsidR="002C0A15" w:rsidRPr="00797379" w:rsidRDefault="00096695" w:rsidP="00E4424A">
      <w:pPr>
        <w:pStyle w:val="BodyText"/>
      </w:pPr>
      <w:r>
        <w:t>According</w:t>
      </w:r>
      <w:r w:rsidR="00E659F5">
        <w:t xml:space="preserve"> to district leaders, t</w:t>
      </w:r>
      <w:r w:rsidR="002C0A15" w:rsidRPr="00797379">
        <w:t xml:space="preserve">he district has formal </w:t>
      </w:r>
      <w:r w:rsidR="0072515B" w:rsidRPr="00797379">
        <w:t>HR</w:t>
      </w:r>
      <w:r w:rsidR="002C0A15" w:rsidRPr="00797379">
        <w:t xml:space="preserve"> policies aligned with </w:t>
      </w:r>
      <w:r w:rsidR="00E659F5">
        <w:t>state regulations</w:t>
      </w:r>
      <w:r w:rsidR="002C0A15" w:rsidRPr="00797379">
        <w:t xml:space="preserve">, but </w:t>
      </w:r>
      <w:r w:rsidR="00E659F5">
        <w:t xml:space="preserve">effective </w:t>
      </w:r>
      <w:r w:rsidR="002C0A15" w:rsidRPr="00797379">
        <w:t xml:space="preserve">implementation </w:t>
      </w:r>
      <w:r w:rsidR="00E659F5">
        <w:t xml:space="preserve">of these policies </w:t>
      </w:r>
      <w:r w:rsidR="002C0A15" w:rsidRPr="00797379">
        <w:t>varies</w:t>
      </w:r>
      <w:r w:rsidR="00E659F5">
        <w:t xml:space="preserve"> due to limited HR </w:t>
      </w:r>
      <w:r>
        <w:t>staffing</w:t>
      </w:r>
      <w:r w:rsidR="002C0A15" w:rsidRPr="00797379">
        <w:t>. Grievance procedures are embedded in collective bargaining agreements</w:t>
      </w:r>
      <w:r w:rsidR="0072515B" w:rsidRPr="00797379">
        <w:t>, with</w:t>
      </w:r>
      <w:r w:rsidR="002C0A15" w:rsidRPr="00797379">
        <w:t xml:space="preserve"> multistep processes for conflict resolution. WEA leaders confirm</w:t>
      </w:r>
      <w:r w:rsidR="0072515B" w:rsidRPr="00797379">
        <w:t>ed</w:t>
      </w:r>
      <w:r w:rsidR="002C0A15" w:rsidRPr="00797379">
        <w:t xml:space="preserve"> these processes exist but describe</w:t>
      </w:r>
      <w:r w:rsidR="0072515B" w:rsidRPr="00797379">
        <w:t>d</w:t>
      </w:r>
      <w:r w:rsidR="002C0A15" w:rsidRPr="00797379">
        <w:t xml:space="preserve"> them as reactive rather than proactive</w:t>
      </w:r>
      <w:r w:rsidR="0072515B" w:rsidRPr="00797379">
        <w:t xml:space="preserve"> and </w:t>
      </w:r>
      <w:r w:rsidR="002C0A15" w:rsidRPr="00797379">
        <w:t>requiring repeated advocacy before issues are addressed. District leaders note</w:t>
      </w:r>
      <w:r w:rsidR="0072515B" w:rsidRPr="00797379">
        <w:t>d</w:t>
      </w:r>
      <w:r w:rsidR="002C0A15" w:rsidRPr="00797379">
        <w:t xml:space="preserve"> that grievance protocols are standardized across contracts</w:t>
      </w:r>
      <w:r w:rsidR="0072515B" w:rsidRPr="00797379">
        <w:t>,</w:t>
      </w:r>
      <w:r w:rsidR="002C0A15" w:rsidRPr="00797379">
        <w:t xml:space="preserve"> </w:t>
      </w:r>
      <w:r w:rsidR="0072515B" w:rsidRPr="00797379">
        <w:t xml:space="preserve">which are </w:t>
      </w:r>
      <w:r w:rsidR="002C0A15" w:rsidRPr="00797379">
        <w:t>currently under review</w:t>
      </w:r>
      <w:r w:rsidR="003A2A69" w:rsidRPr="00797379">
        <w:t xml:space="preserve"> </w:t>
      </w:r>
      <w:r w:rsidR="002C0A15" w:rsidRPr="00797379">
        <w:t xml:space="preserve">during </w:t>
      </w:r>
      <w:r w:rsidR="003A2A69" w:rsidRPr="00797379">
        <w:t xml:space="preserve">labor </w:t>
      </w:r>
      <w:r w:rsidR="002C0A15" w:rsidRPr="00797379">
        <w:t>negotiations.</w:t>
      </w:r>
    </w:p>
    <w:p w14:paraId="2C8F001F" w14:textId="6C601A40" w:rsidR="002C0A15" w:rsidRPr="00797379" w:rsidRDefault="002C0A15" w:rsidP="00E4424A">
      <w:pPr>
        <w:pStyle w:val="BodyText"/>
      </w:pPr>
      <w:r w:rsidRPr="00797379">
        <w:t xml:space="preserve">District staff reported </w:t>
      </w:r>
      <w:r w:rsidR="00B05A50" w:rsidRPr="00797379">
        <w:t xml:space="preserve">that </w:t>
      </w:r>
      <w:r w:rsidRPr="00797379">
        <w:t xml:space="preserve">policies for leave, benefits, and payroll timelines are communicated annually through calendars and fact sheets, </w:t>
      </w:r>
      <w:r w:rsidR="00B05A50" w:rsidRPr="00797379">
        <w:t xml:space="preserve">which were </w:t>
      </w:r>
      <w:r w:rsidRPr="00797379">
        <w:t>developed in response to recurring staff questions about the Family and Medical Leave Act and pay schedules. However, WEA leaders report</w:t>
      </w:r>
      <w:r w:rsidR="00B05A50" w:rsidRPr="00797379">
        <w:t>ed</w:t>
      </w:r>
      <w:r w:rsidRPr="00797379">
        <w:t xml:space="preserve"> inconsistent communication and limited transparency </w:t>
      </w:r>
      <w:r w:rsidR="00B05A50" w:rsidRPr="00797379">
        <w:t xml:space="preserve">with </w:t>
      </w:r>
      <w:r w:rsidRPr="00797379">
        <w:t>HR resources, contributing to staff frustration.</w:t>
      </w:r>
    </w:p>
    <w:p w14:paraId="486FA845" w14:textId="55A26910" w:rsidR="00B827DE" w:rsidRPr="00797379" w:rsidRDefault="00444346" w:rsidP="00717429">
      <w:pPr>
        <w:pStyle w:val="Heading3"/>
      </w:pPr>
      <w:bookmarkStart w:id="67" w:name="_Staffing"/>
      <w:bookmarkEnd w:id="67"/>
      <w:r w:rsidRPr="00797379">
        <w:t>Staffing</w:t>
      </w:r>
    </w:p>
    <w:p w14:paraId="7A4C1F21" w14:textId="5564DDCE" w:rsidR="00DA7EAC" w:rsidRPr="00797379" w:rsidRDefault="00AD3F80" w:rsidP="00150DA3">
      <w:pPr>
        <w:pStyle w:val="BodyTextposthead"/>
        <w:rPr>
          <w:rFonts w:ascii="Franklin Gothic Book" w:hAnsi="Franklin Gothic Book" w:cs="Calibri"/>
        </w:rPr>
      </w:pPr>
      <w:r w:rsidRPr="00797379">
        <w:t xml:space="preserve">District staff reported </w:t>
      </w:r>
      <w:r w:rsidR="0058773E" w:rsidRPr="00797379">
        <w:t xml:space="preserve">that </w:t>
      </w:r>
      <w:r w:rsidRPr="00797379">
        <w:t xml:space="preserve">hiring policies are documented and refined on an ongoing basis as part of routine </w:t>
      </w:r>
      <w:r w:rsidR="0058773E" w:rsidRPr="00797379">
        <w:t>HR</w:t>
      </w:r>
      <w:r w:rsidRPr="00797379">
        <w:t xml:space="preserve"> administrative practices. District leaders explained all teacher and administrator hires involve a multistep process that include</w:t>
      </w:r>
      <w:r w:rsidR="0058773E" w:rsidRPr="00797379">
        <w:t>s</w:t>
      </w:r>
      <w:r w:rsidRPr="00797379">
        <w:t xml:space="preserve"> committee-based hiring processes, performance tasks, and reference checks, with final decisions made by the superintendent</w:t>
      </w:r>
      <w:r w:rsidR="00CD3927" w:rsidRPr="00797379">
        <w:t>.</w:t>
      </w:r>
    </w:p>
    <w:p w14:paraId="45ABCF81" w14:textId="346D645D" w:rsidR="00986359" w:rsidRPr="00797379" w:rsidRDefault="00C07CF4" w:rsidP="00986359">
      <w:pPr>
        <w:pStyle w:val="BodyText"/>
        <w:rPr>
          <w:rFonts w:eastAsia="Times New Roman"/>
          <w:color w:val="EE0000"/>
        </w:rPr>
      </w:pPr>
      <w:r w:rsidRPr="00797379">
        <w:t>Participants in the school leader focus group reported they have the responsibility and autonomy to</w:t>
      </w:r>
      <w:r w:rsidR="00DA7EAC" w:rsidRPr="00797379">
        <w:t xml:space="preserve"> </w:t>
      </w:r>
      <w:r w:rsidRPr="00797379">
        <w:t xml:space="preserve">select candidates for open positions. </w:t>
      </w:r>
      <w:r w:rsidR="00091829" w:rsidRPr="00797379">
        <w:t xml:space="preserve">According to district leaders, the district primarily uses student enrollment, workload/caseload, and student need </w:t>
      </w:r>
      <w:r w:rsidR="00FA1DAB" w:rsidRPr="00797379">
        <w:t xml:space="preserve">analyses </w:t>
      </w:r>
      <w:r w:rsidR="00091829" w:rsidRPr="00797379">
        <w:t xml:space="preserve">to assess staffing </w:t>
      </w:r>
      <w:r w:rsidR="00FA1DAB" w:rsidRPr="00797379">
        <w:t xml:space="preserve">requirements </w:t>
      </w:r>
      <w:r w:rsidR="00091829" w:rsidRPr="00797379">
        <w:t xml:space="preserve">across schools. </w:t>
      </w:r>
      <w:r w:rsidR="004703A7">
        <w:t xml:space="preserve">However, as noted previously, school leaders reported </w:t>
      </w:r>
      <w:r w:rsidR="00F2589D">
        <w:t>planning constraints</w:t>
      </w:r>
      <w:r w:rsidR="004703A7">
        <w:t xml:space="preserve"> </w:t>
      </w:r>
      <w:r w:rsidR="00573364">
        <w:t>limited WPS’s ability to equitabl</w:t>
      </w:r>
      <w:r w:rsidR="00D84AD6">
        <w:t>y</w:t>
      </w:r>
      <w:r w:rsidR="00573364">
        <w:t xml:space="preserve"> distribute educators across the district. </w:t>
      </w:r>
      <w:r w:rsidR="00091829" w:rsidRPr="00797379">
        <w:t xml:space="preserve">The district employs a structured recruitment and hiring process that emphasizes compliance and equity. </w:t>
      </w:r>
      <w:r w:rsidR="00FA1DAB" w:rsidRPr="00797379">
        <w:t>To ensure broad visibility, v</w:t>
      </w:r>
      <w:r w:rsidR="00091829" w:rsidRPr="00797379">
        <w:t>acancies are posted on SchoolSpring</w:t>
      </w:r>
      <w:r w:rsidR="00FA1DAB" w:rsidRPr="00797379">
        <w:t xml:space="preserve"> and </w:t>
      </w:r>
      <w:r w:rsidR="00091829" w:rsidRPr="00797379">
        <w:t xml:space="preserve">Indeed and </w:t>
      </w:r>
      <w:r w:rsidR="00FA1DAB" w:rsidRPr="00797379">
        <w:t xml:space="preserve">announced </w:t>
      </w:r>
      <w:r w:rsidR="00091829" w:rsidRPr="00797379">
        <w:t>through outreach to local universities. All postings remain open for at least seven calendar days</w:t>
      </w:r>
      <w:r w:rsidR="002A1EBE" w:rsidRPr="00797379">
        <w:t>.</w:t>
      </w:r>
      <w:r w:rsidR="00091829" w:rsidRPr="00797379">
        <w:t xml:space="preserve"> </w:t>
      </w:r>
      <w:r w:rsidR="002A1EBE" w:rsidRPr="00797379">
        <w:t>P</w:t>
      </w:r>
      <w:r w:rsidR="00091829" w:rsidRPr="00797379">
        <w:t xml:space="preserve">rincipals are required to review applicants in TalentEd, interview all internal candidates, and verify that finalists hold valid Massachusetts licensure and </w:t>
      </w:r>
      <w:r w:rsidR="007B17A1" w:rsidRPr="00797379">
        <w:t>Sheltered English Immersion (</w:t>
      </w:r>
      <w:r w:rsidR="00091829" w:rsidRPr="00797379">
        <w:t>SEI</w:t>
      </w:r>
      <w:r w:rsidR="007B17A1" w:rsidRPr="00797379">
        <w:t>)</w:t>
      </w:r>
      <w:r w:rsidR="00091829" w:rsidRPr="00797379">
        <w:t xml:space="preserve"> endorsement</w:t>
      </w:r>
      <w:r w:rsidR="002A1EBE" w:rsidRPr="00797379">
        <w:t>,</w:t>
      </w:r>
      <w:r w:rsidR="00091829" w:rsidRPr="00797379">
        <w:t xml:space="preserve"> where applicable. However, </w:t>
      </w:r>
      <w:r w:rsidR="00091829" w:rsidRPr="00797379">
        <w:rPr>
          <w:rFonts w:eastAsia="Times New Roman"/>
        </w:rPr>
        <w:t xml:space="preserve">when asked, district staff </w:t>
      </w:r>
      <w:r w:rsidR="002A1EBE" w:rsidRPr="00797379">
        <w:rPr>
          <w:rFonts w:eastAsia="Times New Roman"/>
        </w:rPr>
        <w:t>noted there was no</w:t>
      </w:r>
      <w:r w:rsidR="00091829" w:rsidRPr="00797379">
        <w:rPr>
          <w:rFonts w:eastAsia="Times New Roman"/>
        </w:rPr>
        <w:t xml:space="preserve"> clear strategy for recruiting and</w:t>
      </w:r>
      <w:r w:rsidR="00717429" w:rsidRPr="00797379">
        <w:rPr>
          <w:rFonts w:eastAsia="Times New Roman"/>
        </w:rPr>
        <w:t xml:space="preserve"> </w:t>
      </w:r>
      <w:r w:rsidR="00091829" w:rsidRPr="00797379">
        <w:rPr>
          <w:rFonts w:eastAsia="Times New Roman"/>
        </w:rPr>
        <w:t>retaining</w:t>
      </w:r>
      <w:r w:rsidR="00717429" w:rsidRPr="00797379">
        <w:rPr>
          <w:rFonts w:eastAsia="Times New Roman"/>
        </w:rPr>
        <w:t xml:space="preserve"> </w:t>
      </w:r>
      <w:r w:rsidR="00091829" w:rsidRPr="00797379">
        <w:rPr>
          <w:rFonts w:eastAsia="Times New Roman"/>
        </w:rPr>
        <w:t xml:space="preserve">diverse leaders and teachers. </w:t>
      </w:r>
      <w:r w:rsidR="00986359" w:rsidRPr="00797379">
        <w:t xml:space="preserve">District and school leaders noted that while educator assignment is guided by licensure requirements and district priorities, </w:t>
      </w:r>
      <w:r w:rsidR="009B6C83">
        <w:t xml:space="preserve">the lack of </w:t>
      </w:r>
      <w:r w:rsidR="00986359" w:rsidRPr="00797379">
        <w:rPr>
          <w:rFonts w:eastAsia="Times New Roman"/>
        </w:rPr>
        <w:t xml:space="preserve">affordable housing in nearby towns and cities is an ongoing barrier to recruiting a more diverse workforce. </w:t>
      </w:r>
      <w:r w:rsidR="00986359" w:rsidRPr="00FA783F">
        <w:rPr>
          <w:rFonts w:eastAsia="Times New Roman"/>
        </w:rPr>
        <w:t>Establishing strategies for recruiting diverse district and school leaders is an area for growth for the district.</w:t>
      </w:r>
    </w:p>
    <w:p w14:paraId="09D4B0B4" w14:textId="77C79150" w:rsidR="00986359" w:rsidRPr="00797379" w:rsidRDefault="00986359" w:rsidP="00986359">
      <w:pPr>
        <w:pStyle w:val="BodyText"/>
      </w:pPr>
      <w:r w:rsidRPr="00797379">
        <w:t>District leaders also reported</w:t>
      </w:r>
      <w:r>
        <w:t xml:space="preserve"> that budgetary constraints</w:t>
      </w:r>
      <w:r w:rsidRPr="00797379">
        <w:t xml:space="preserve"> limi</w:t>
      </w:r>
      <w:r>
        <w:t xml:space="preserve">t their ability to attract </w:t>
      </w:r>
      <w:r w:rsidR="00913341">
        <w:t>interventionists</w:t>
      </w:r>
      <w:r>
        <w:t xml:space="preserve">. One district leader explained </w:t>
      </w:r>
      <w:r w:rsidR="00E05685">
        <w:t xml:space="preserve">they </w:t>
      </w:r>
      <w:r w:rsidR="00096695">
        <w:t xml:space="preserve">find hiring staff </w:t>
      </w:r>
      <w:r w:rsidR="00A154F2">
        <w:t xml:space="preserve">who </w:t>
      </w:r>
      <w:r w:rsidR="00043C0B">
        <w:t xml:space="preserve">run </w:t>
      </w:r>
      <w:r w:rsidRPr="00797379">
        <w:t>Tier 2 supports</w:t>
      </w:r>
      <w:r w:rsidR="00043C0B">
        <w:t xml:space="preserve"> challenging</w:t>
      </w:r>
      <w:r w:rsidR="00096695">
        <w:t>.</w:t>
      </w:r>
      <w:r w:rsidRPr="00797379">
        <w:t xml:space="preserve"> This constraint impacts the district’s ability to provi</w:t>
      </w:r>
      <w:r>
        <w:t xml:space="preserve">de </w:t>
      </w:r>
      <w:r w:rsidRPr="00797379">
        <w:t>consistent interventions for students requiring additional support. As one district leader stated:</w:t>
      </w:r>
    </w:p>
    <w:p w14:paraId="3F8B990C" w14:textId="77777777" w:rsidR="00986359" w:rsidRPr="00797379" w:rsidRDefault="00986359" w:rsidP="00986359">
      <w:pPr>
        <w:pStyle w:val="BlockQuote"/>
        <w:ind w:right="720"/>
      </w:pPr>
      <w:r w:rsidRPr="00797379">
        <w:t>Where we struggle is the Tier 2 support . . . per pupil</w:t>
      </w:r>
      <w:r>
        <w:t xml:space="preserve"> [spending]</w:t>
      </w:r>
      <w:r w:rsidRPr="00797379">
        <w:t>, we are low. . . . And then looking at our data, the pandemic hit us hard and our recovery took longer than comparable communities. And I’m convinced that’s directly a result of the fact that we just do not have the staffing and the personnel, the resources, the support in that Tier 2 instructional structure.</w:t>
      </w:r>
    </w:p>
    <w:p w14:paraId="785A8FDE" w14:textId="77E09A82" w:rsidR="00B92C80" w:rsidRDefault="00B92C80" w:rsidP="005069A3">
      <w:pPr>
        <w:pStyle w:val="BodyText"/>
      </w:pPr>
      <w:r>
        <w:t>This challenge is further detailed in Budgeting and Budget Process.</w:t>
      </w:r>
    </w:p>
    <w:p w14:paraId="4A3B74B1" w14:textId="364A5FD9" w:rsidR="00C07CF4" w:rsidRPr="00797379" w:rsidRDefault="00C07CF4" w:rsidP="005069A3">
      <w:pPr>
        <w:pStyle w:val="BodyText"/>
        <w:rPr>
          <w:rFonts w:eastAsia="Times New Roman"/>
          <w:color w:val="538135" w:themeColor="accent6" w:themeShade="BF"/>
        </w:rPr>
      </w:pPr>
      <w:r w:rsidRPr="00797379">
        <w:t>Principals lead the initial interview process, followed by a more in</w:t>
      </w:r>
      <w:r w:rsidRPr="00797379">
        <w:noBreakHyphen/>
        <w:t xml:space="preserve">depth interview conducted by assistant principals. District administrators then hold final interviews for all teacher and administrator candidates. The district verifies licensure and </w:t>
      </w:r>
      <w:r w:rsidR="007B17A1" w:rsidRPr="00797379">
        <w:t xml:space="preserve">SEI </w:t>
      </w:r>
      <w:r w:rsidRPr="00797379">
        <w:t>endorsements through the DESE Educator Licensure and Renewal portal</w:t>
      </w:r>
      <w:r w:rsidR="006B5F9F" w:rsidRPr="00797379">
        <w:t>.</w:t>
      </w:r>
      <w:r w:rsidRPr="00797379">
        <w:t xml:space="preserve"> </w:t>
      </w:r>
      <w:r w:rsidR="006B5F9F" w:rsidRPr="00797379">
        <w:t>C</w:t>
      </w:r>
      <w:r w:rsidRPr="00797379">
        <w:t xml:space="preserve">riminal background checks </w:t>
      </w:r>
      <w:r w:rsidR="006B5F9F" w:rsidRPr="00797379">
        <w:t xml:space="preserve">are required </w:t>
      </w:r>
      <w:r w:rsidRPr="00797379">
        <w:t xml:space="preserve">for all staff. Written hiring protocols are maintained </w:t>
      </w:r>
      <w:r w:rsidR="006B5F9F" w:rsidRPr="00797379">
        <w:t>by</w:t>
      </w:r>
      <w:r w:rsidRPr="00797379">
        <w:t xml:space="preserve"> HR </w:t>
      </w:r>
      <w:r w:rsidR="006B5F9F" w:rsidRPr="00797379">
        <w:t>and</w:t>
      </w:r>
      <w:r w:rsidRPr="00797379">
        <w:t xml:space="preserve"> stored on the district’s Google Drive. Principals review </w:t>
      </w:r>
      <w:r w:rsidR="006B5F9F" w:rsidRPr="00797379">
        <w:t>protocols</w:t>
      </w:r>
      <w:r w:rsidRPr="00797379">
        <w:t xml:space="preserve"> to ensure compliance</w:t>
      </w:r>
      <w:r w:rsidR="006B5F9F" w:rsidRPr="00797379">
        <w:t xml:space="preserve"> in hiring</w:t>
      </w:r>
      <w:r w:rsidRPr="00797379">
        <w:t xml:space="preserve">. </w:t>
      </w:r>
    </w:p>
    <w:p w14:paraId="709EF077" w14:textId="59CEFC16" w:rsidR="00C07CF4" w:rsidRPr="00797379" w:rsidRDefault="00C07CF4" w:rsidP="00C07CF4">
      <w:pPr>
        <w:pStyle w:val="BodyText"/>
        <w:rPr>
          <w:color w:val="538135" w:themeColor="accent6" w:themeShade="BF"/>
        </w:rPr>
      </w:pPr>
      <w:r w:rsidRPr="00797379">
        <w:t>According to district hiring documentation, after a candidate is selected, HR initiates a multiphase onboarding workflow in TalentEd, including background checks,</w:t>
      </w:r>
      <w:r w:rsidR="000426A4" w:rsidRPr="00797379">
        <w:t xml:space="preserve"> Criminal Offender Record Information</w:t>
      </w:r>
      <w:r w:rsidRPr="00797379">
        <w:t xml:space="preserve"> </w:t>
      </w:r>
      <w:r w:rsidR="000426A4" w:rsidRPr="00797379">
        <w:t>(</w:t>
      </w:r>
      <w:r w:rsidRPr="00797379">
        <w:t>CORI</w:t>
      </w:r>
      <w:r w:rsidR="000426A4" w:rsidRPr="00797379">
        <w:t>)</w:t>
      </w:r>
      <w:r w:rsidRPr="00797379">
        <w:t xml:space="preserve">, and fingerprinting, and assigning an onboarding checklist </w:t>
      </w:r>
      <w:r w:rsidR="000D36EA" w:rsidRPr="00797379">
        <w:t xml:space="preserve">that explains </w:t>
      </w:r>
      <w:r w:rsidRPr="00797379">
        <w:t xml:space="preserve">compliance and technology setup. Central office staff reported the workflows are on a user-friendly platform so newly hired staff can easily engage in the onboarding process. </w:t>
      </w:r>
      <w:r w:rsidRPr="00CD317B">
        <w:t>The centralized and accessible systems for employee recordkeeping are a strength for the district.</w:t>
      </w:r>
    </w:p>
    <w:p w14:paraId="273A7C6B" w14:textId="31D01F05" w:rsidR="00C07CF4" w:rsidRPr="00797379" w:rsidRDefault="00C07CF4" w:rsidP="00717429">
      <w:pPr>
        <w:pStyle w:val="BodyText"/>
      </w:pPr>
      <w:r w:rsidRPr="00797379">
        <w:t xml:space="preserve">After a </w:t>
      </w:r>
      <w:r w:rsidR="00B36CAD" w:rsidRPr="00797379">
        <w:t>candidate is hired, t</w:t>
      </w:r>
      <w:r w:rsidRPr="00797379">
        <w:t xml:space="preserve">he district’s onboarding process includes new employee orientation, required trainings, professional development, and benefits enrollment (detailed in WPS’s </w:t>
      </w:r>
      <w:r w:rsidRPr="00797379">
        <w:rPr>
          <w:i/>
          <w:iCs/>
        </w:rPr>
        <w:t>New Employee Welcome Packet)</w:t>
      </w:r>
      <w:r w:rsidRPr="00797379">
        <w:t xml:space="preserve">. WPS also mandates that all new teachers enter a mentorship program when joining the district (see </w:t>
      </w:r>
      <w:r w:rsidRPr="00797379">
        <w:rPr>
          <w:i/>
          <w:iCs/>
        </w:rPr>
        <w:t>New Educator Supports</w:t>
      </w:r>
      <w:r w:rsidRPr="00797379">
        <w:t>).</w:t>
      </w:r>
    </w:p>
    <w:p w14:paraId="011F4B8D" w14:textId="074E7136" w:rsidR="00FC53F4" w:rsidRDefault="00B36CAD" w:rsidP="00717429">
      <w:pPr>
        <w:pStyle w:val="BodyText"/>
      </w:pPr>
      <w:r w:rsidRPr="00797379">
        <w:t>For current teaching staff, d</w:t>
      </w:r>
      <w:r w:rsidR="008C45A3" w:rsidRPr="00797379">
        <w:t xml:space="preserve">istrict records suggest that teacher evaluations </w:t>
      </w:r>
      <w:r w:rsidR="0042360B">
        <w:t xml:space="preserve">and all but two administrator evaluations </w:t>
      </w:r>
      <w:r w:rsidR="008C45A3" w:rsidRPr="00797379">
        <w:t xml:space="preserve">are uploaded to Teachpoint. </w:t>
      </w:r>
      <w:r w:rsidR="00D015AA" w:rsidRPr="00797379">
        <w:t xml:space="preserve">Table </w:t>
      </w:r>
      <w:r w:rsidRPr="00797379">
        <w:t xml:space="preserve">8 </w:t>
      </w:r>
      <w:r w:rsidR="00D015AA" w:rsidRPr="00797379">
        <w:t xml:space="preserve">shows findings from a </w:t>
      </w:r>
      <w:r w:rsidR="008C45A3" w:rsidRPr="00797379">
        <w:t>review of these records</w:t>
      </w:r>
      <w:r w:rsidR="00D015AA" w:rsidRPr="00797379">
        <w:t>.</w:t>
      </w:r>
    </w:p>
    <w:p w14:paraId="43E89ED1" w14:textId="77777777" w:rsidR="006573E9" w:rsidRPr="006A16A0" w:rsidRDefault="006573E9" w:rsidP="006573E9">
      <w:pPr>
        <w:keepNext/>
        <w:spacing w:before="240" w:after="60"/>
        <w:rPr>
          <w:rFonts w:ascii="Franklin Gothic Demi" w:eastAsia="Franklin Gothic Book" w:hAnsi="Franklin Gothic Demi" w:cs="Tahoma"/>
        </w:rPr>
      </w:pPr>
      <w:r w:rsidRPr="006A16A0">
        <w:rPr>
          <w:rFonts w:ascii="Franklin Gothic Demi" w:eastAsia="Franklin Gothic Book" w:hAnsi="Franklin Gothic Demi" w:cs="Tahoma"/>
        </w:rPr>
        <w:t>Table 8. Summary of Educator Evaluation Records Review</w:t>
      </w:r>
    </w:p>
    <w:tbl>
      <w:tblPr>
        <w:tblStyle w:val="MSVTable1"/>
        <w:tblW w:w="4956" w:type="pct"/>
        <w:tblLook w:val="04A0" w:firstRow="1" w:lastRow="0" w:firstColumn="1" w:lastColumn="0" w:noHBand="0" w:noVBand="1"/>
      </w:tblPr>
      <w:tblGrid>
        <w:gridCol w:w="5135"/>
        <w:gridCol w:w="2237"/>
        <w:gridCol w:w="1890"/>
      </w:tblGrid>
      <w:tr w:rsidR="006573E9" w:rsidRPr="000B03A5" w14:paraId="679009D2" w14:textId="77777777" w:rsidTr="006573E9">
        <w:trPr>
          <w:cnfStyle w:val="100000000000" w:firstRow="1" w:lastRow="0" w:firstColumn="0" w:lastColumn="0" w:oddVBand="0" w:evenVBand="0" w:oddHBand="0" w:evenHBand="0" w:firstRowFirstColumn="0" w:firstRowLastColumn="0" w:lastRowFirstColumn="0" w:lastRowLastColumn="0"/>
        </w:trPr>
        <w:tc>
          <w:tcPr>
            <w:tcW w:w="5135" w:type="dxa"/>
          </w:tcPr>
          <w:p w14:paraId="65BC2939" w14:textId="6578F55A" w:rsidR="006573E9" w:rsidRPr="000B03A5" w:rsidRDefault="006573E9" w:rsidP="006573E9">
            <w:pPr>
              <w:pStyle w:val="TableColHeadingCenter"/>
            </w:pPr>
            <w:r w:rsidRPr="006655C8">
              <w:t>Category</w:t>
            </w:r>
          </w:p>
        </w:tc>
        <w:tc>
          <w:tcPr>
            <w:tcW w:w="2237" w:type="dxa"/>
          </w:tcPr>
          <w:p w14:paraId="7E866C76" w14:textId="6C696252" w:rsidR="006573E9" w:rsidRPr="000B03A5" w:rsidRDefault="006573E9" w:rsidP="006573E9">
            <w:pPr>
              <w:pStyle w:val="TableColHeadingCenter"/>
            </w:pPr>
            <w:r w:rsidRPr="006655C8">
              <w:t>Teachers</w:t>
            </w:r>
          </w:p>
        </w:tc>
        <w:tc>
          <w:tcPr>
            <w:tcW w:w="1890" w:type="dxa"/>
          </w:tcPr>
          <w:p w14:paraId="05FBD545" w14:textId="21EDE1D2" w:rsidR="006573E9" w:rsidRPr="000B03A5" w:rsidRDefault="006573E9" w:rsidP="006573E9">
            <w:pPr>
              <w:pStyle w:val="TableColHeadingCenter"/>
            </w:pPr>
            <w:r w:rsidRPr="006655C8">
              <w:t>Administrators</w:t>
            </w:r>
          </w:p>
        </w:tc>
      </w:tr>
      <w:tr w:rsidR="006573E9" w:rsidRPr="000B03A5" w14:paraId="2D565335" w14:textId="77777777" w:rsidTr="006573E9">
        <w:trPr>
          <w:cnfStyle w:val="000000100000" w:firstRow="0" w:lastRow="0" w:firstColumn="0" w:lastColumn="0" w:oddVBand="0" w:evenVBand="0" w:oddHBand="1" w:evenHBand="0" w:firstRowFirstColumn="0" w:firstRowLastColumn="0" w:lastRowFirstColumn="0" w:lastRowLastColumn="0"/>
        </w:trPr>
        <w:tc>
          <w:tcPr>
            <w:tcW w:w="5135" w:type="dxa"/>
          </w:tcPr>
          <w:p w14:paraId="1BD5B7F3" w14:textId="3DFCFCD9" w:rsidR="006573E9" w:rsidRPr="000B03A5" w:rsidRDefault="006573E9" w:rsidP="006573E9">
            <w:pPr>
              <w:pStyle w:val="TableSubheading"/>
            </w:pPr>
            <w:r w:rsidRPr="006655C8">
              <w:t>Number of Evaluations Selected for Review</w:t>
            </w:r>
          </w:p>
        </w:tc>
        <w:tc>
          <w:tcPr>
            <w:tcW w:w="2237" w:type="dxa"/>
          </w:tcPr>
          <w:p w14:paraId="70FEA603" w14:textId="2D7CD638" w:rsidR="006573E9" w:rsidRPr="006573E9" w:rsidRDefault="006573E9" w:rsidP="006573E9">
            <w:pPr>
              <w:pStyle w:val="TableTextCentered"/>
            </w:pPr>
            <w:r w:rsidRPr="006573E9">
              <w:t>18</w:t>
            </w:r>
          </w:p>
        </w:tc>
        <w:tc>
          <w:tcPr>
            <w:tcW w:w="1890" w:type="dxa"/>
          </w:tcPr>
          <w:p w14:paraId="7433BEE4" w14:textId="2932DD77" w:rsidR="006573E9" w:rsidRPr="000B03A5" w:rsidRDefault="006573E9" w:rsidP="006573E9">
            <w:pPr>
              <w:pStyle w:val="TableTextCentered"/>
            </w:pPr>
            <w:r w:rsidRPr="006655C8">
              <w:t>40</w:t>
            </w:r>
          </w:p>
        </w:tc>
      </w:tr>
      <w:tr w:rsidR="006573E9" w:rsidRPr="000B03A5" w14:paraId="5E16BA02" w14:textId="77777777" w:rsidTr="006573E9">
        <w:tc>
          <w:tcPr>
            <w:tcW w:w="5135" w:type="dxa"/>
          </w:tcPr>
          <w:p w14:paraId="63C2DD56" w14:textId="1F66DDC6" w:rsidR="006573E9" w:rsidRPr="000B03A5" w:rsidRDefault="006573E9" w:rsidP="006573E9">
            <w:pPr>
              <w:pStyle w:val="TableSubheading"/>
            </w:pPr>
            <w:r w:rsidRPr="006655C8">
              <w:t>Summative Evaluation Available</w:t>
            </w:r>
          </w:p>
        </w:tc>
        <w:tc>
          <w:tcPr>
            <w:tcW w:w="2237" w:type="dxa"/>
          </w:tcPr>
          <w:p w14:paraId="45B2269A" w14:textId="4856A99B" w:rsidR="006573E9" w:rsidRPr="006573E9" w:rsidRDefault="006573E9" w:rsidP="006573E9">
            <w:pPr>
              <w:pStyle w:val="TableTextCentered"/>
            </w:pPr>
            <w:r w:rsidRPr="006573E9">
              <w:t>18/18</w:t>
            </w:r>
          </w:p>
        </w:tc>
        <w:tc>
          <w:tcPr>
            <w:tcW w:w="1890" w:type="dxa"/>
          </w:tcPr>
          <w:p w14:paraId="5E7FAD2C" w14:textId="3FB56D62" w:rsidR="006573E9" w:rsidRPr="000B03A5" w:rsidRDefault="006573E9" w:rsidP="006573E9">
            <w:pPr>
              <w:pStyle w:val="TableTextCentered"/>
            </w:pPr>
            <w:r w:rsidRPr="006655C8">
              <w:t>27/40</w:t>
            </w:r>
          </w:p>
        </w:tc>
      </w:tr>
      <w:tr w:rsidR="006573E9" w:rsidRPr="000B03A5" w14:paraId="6DECE3E3" w14:textId="77777777" w:rsidTr="006573E9">
        <w:trPr>
          <w:cnfStyle w:val="000000100000" w:firstRow="0" w:lastRow="0" w:firstColumn="0" w:lastColumn="0" w:oddVBand="0" w:evenVBand="0" w:oddHBand="1" w:evenHBand="0" w:firstRowFirstColumn="0" w:firstRowLastColumn="0" w:lastRowFirstColumn="0" w:lastRowLastColumn="0"/>
        </w:trPr>
        <w:tc>
          <w:tcPr>
            <w:tcW w:w="5135" w:type="dxa"/>
          </w:tcPr>
          <w:p w14:paraId="28EAD6FD" w14:textId="3471FD06" w:rsidR="006573E9" w:rsidRPr="000B03A5" w:rsidRDefault="006573E9" w:rsidP="006573E9">
            <w:pPr>
              <w:pStyle w:val="TableSubheading"/>
            </w:pPr>
            <w:r w:rsidRPr="006655C8">
              <w:t>Specific, Measurable, Achievable, Realistic, and Timely (SMART) Goals</w:t>
            </w:r>
          </w:p>
        </w:tc>
        <w:tc>
          <w:tcPr>
            <w:tcW w:w="2237" w:type="dxa"/>
          </w:tcPr>
          <w:p w14:paraId="54466FD7" w14:textId="1404A473" w:rsidR="006573E9" w:rsidRPr="006573E9" w:rsidRDefault="006573E9" w:rsidP="006573E9">
            <w:pPr>
              <w:pStyle w:val="TableTextCentered"/>
            </w:pPr>
            <w:r w:rsidRPr="006573E9">
              <w:t>N/A</w:t>
            </w:r>
          </w:p>
        </w:tc>
        <w:tc>
          <w:tcPr>
            <w:tcW w:w="1890" w:type="dxa"/>
          </w:tcPr>
          <w:p w14:paraId="2D3D7355" w14:textId="11259E61" w:rsidR="006573E9" w:rsidRPr="000B03A5" w:rsidRDefault="006573E9" w:rsidP="006573E9">
            <w:pPr>
              <w:pStyle w:val="TableTextCentered"/>
            </w:pPr>
            <w:r w:rsidRPr="006655C8">
              <w:t>N/A</w:t>
            </w:r>
          </w:p>
        </w:tc>
      </w:tr>
      <w:tr w:rsidR="006573E9" w:rsidRPr="000B03A5" w14:paraId="08E1EB80" w14:textId="77777777" w:rsidTr="006573E9">
        <w:tc>
          <w:tcPr>
            <w:tcW w:w="5135" w:type="dxa"/>
          </w:tcPr>
          <w:p w14:paraId="33EF6B42" w14:textId="6B39B778" w:rsidR="006573E9" w:rsidRDefault="006573E9" w:rsidP="006573E9">
            <w:pPr>
              <w:pStyle w:val="TableSubheading"/>
            </w:pPr>
            <w:r w:rsidRPr="006655C8">
              <w:t>Included 2 or more Standards-Aligned Goals</w:t>
            </w:r>
          </w:p>
        </w:tc>
        <w:tc>
          <w:tcPr>
            <w:tcW w:w="2237" w:type="dxa"/>
          </w:tcPr>
          <w:p w14:paraId="02F29D1F" w14:textId="20405455" w:rsidR="006573E9" w:rsidRPr="006573E9" w:rsidRDefault="006573E9" w:rsidP="006573E9">
            <w:pPr>
              <w:pStyle w:val="TableTextCentered"/>
            </w:pPr>
            <w:r w:rsidRPr="006573E9">
              <w:t>18/18</w:t>
            </w:r>
          </w:p>
        </w:tc>
        <w:tc>
          <w:tcPr>
            <w:tcW w:w="1890" w:type="dxa"/>
          </w:tcPr>
          <w:p w14:paraId="30824F15" w14:textId="5EEFFD58" w:rsidR="006573E9" w:rsidRPr="000B03A5" w:rsidRDefault="006573E9" w:rsidP="006573E9">
            <w:pPr>
              <w:pStyle w:val="TableTextCentered"/>
            </w:pPr>
            <w:r w:rsidRPr="006655C8">
              <w:t>22/27</w:t>
            </w:r>
          </w:p>
        </w:tc>
      </w:tr>
      <w:tr w:rsidR="006573E9" w:rsidRPr="000B03A5" w14:paraId="04AE8F6A" w14:textId="77777777" w:rsidTr="006573E9">
        <w:trPr>
          <w:cnfStyle w:val="000000100000" w:firstRow="0" w:lastRow="0" w:firstColumn="0" w:lastColumn="0" w:oddVBand="0" w:evenVBand="0" w:oddHBand="1" w:evenHBand="0" w:firstRowFirstColumn="0" w:firstRowLastColumn="0" w:lastRowFirstColumn="0" w:lastRowLastColumn="0"/>
        </w:trPr>
        <w:tc>
          <w:tcPr>
            <w:tcW w:w="5135" w:type="dxa"/>
          </w:tcPr>
          <w:p w14:paraId="5E144219" w14:textId="37D70936" w:rsidR="006573E9" w:rsidRPr="000B03A5" w:rsidRDefault="006573E9" w:rsidP="006573E9">
            <w:pPr>
              <w:pStyle w:val="TableSubheading"/>
            </w:pPr>
            <w:r w:rsidRPr="006655C8">
              <w:t>Progress Toward Standards-Aligned Goals Evaluated</w:t>
            </w:r>
          </w:p>
        </w:tc>
        <w:tc>
          <w:tcPr>
            <w:tcW w:w="2237" w:type="dxa"/>
          </w:tcPr>
          <w:p w14:paraId="4A38A68D" w14:textId="4F893A34" w:rsidR="006573E9" w:rsidRPr="006573E9" w:rsidRDefault="006573E9" w:rsidP="006573E9">
            <w:pPr>
              <w:pStyle w:val="TableTextCentered"/>
            </w:pPr>
            <w:r w:rsidRPr="006573E9">
              <w:t>18/18</w:t>
            </w:r>
          </w:p>
        </w:tc>
        <w:tc>
          <w:tcPr>
            <w:tcW w:w="1890" w:type="dxa"/>
          </w:tcPr>
          <w:p w14:paraId="7A5A5785" w14:textId="5E8AB1B5" w:rsidR="006573E9" w:rsidRPr="000B03A5" w:rsidRDefault="006573E9" w:rsidP="006573E9">
            <w:pPr>
              <w:pStyle w:val="TableTextCentered"/>
            </w:pPr>
            <w:r w:rsidRPr="006655C8">
              <w:t>22/27</w:t>
            </w:r>
          </w:p>
        </w:tc>
      </w:tr>
      <w:tr w:rsidR="006573E9" w:rsidRPr="000B03A5" w14:paraId="3DBF7406" w14:textId="77777777" w:rsidTr="006573E9">
        <w:tc>
          <w:tcPr>
            <w:tcW w:w="5135" w:type="dxa"/>
          </w:tcPr>
          <w:p w14:paraId="37C07FFE" w14:textId="09D05E46" w:rsidR="006573E9" w:rsidRPr="000B03A5" w:rsidRDefault="006573E9" w:rsidP="006573E9">
            <w:pPr>
              <w:pStyle w:val="TableSubheading"/>
            </w:pPr>
            <w:r w:rsidRPr="006655C8">
              <w:t>Evidence</w:t>
            </w:r>
          </w:p>
        </w:tc>
        <w:tc>
          <w:tcPr>
            <w:tcW w:w="2237" w:type="dxa"/>
          </w:tcPr>
          <w:p w14:paraId="6EFB0CBC" w14:textId="19BD5E07" w:rsidR="006573E9" w:rsidRPr="006573E9" w:rsidRDefault="006573E9" w:rsidP="006573E9">
            <w:pPr>
              <w:pStyle w:val="TableTextCentered"/>
            </w:pPr>
            <w:r w:rsidRPr="006573E9">
              <w:t>N/A</w:t>
            </w:r>
          </w:p>
        </w:tc>
        <w:tc>
          <w:tcPr>
            <w:tcW w:w="1890" w:type="dxa"/>
          </w:tcPr>
          <w:p w14:paraId="302483DB" w14:textId="10CCE7AC" w:rsidR="006573E9" w:rsidRPr="000B03A5" w:rsidRDefault="006573E9" w:rsidP="006573E9">
            <w:pPr>
              <w:pStyle w:val="TableTextCentered"/>
            </w:pPr>
            <w:r w:rsidRPr="006655C8">
              <w:t>N/A</w:t>
            </w:r>
          </w:p>
        </w:tc>
      </w:tr>
      <w:tr w:rsidR="006573E9" w:rsidRPr="000B03A5" w14:paraId="7CE4929B" w14:textId="77777777" w:rsidTr="006573E9">
        <w:trPr>
          <w:cnfStyle w:val="000000100000" w:firstRow="0" w:lastRow="0" w:firstColumn="0" w:lastColumn="0" w:oddVBand="0" w:evenVBand="0" w:oddHBand="1" w:evenHBand="0" w:firstRowFirstColumn="0" w:firstRowLastColumn="0" w:lastRowFirstColumn="0" w:lastRowLastColumn="0"/>
        </w:trPr>
        <w:tc>
          <w:tcPr>
            <w:tcW w:w="5135" w:type="dxa"/>
          </w:tcPr>
          <w:p w14:paraId="74D2E36B" w14:textId="1FE05CA5" w:rsidR="006573E9" w:rsidRPr="000B03A5" w:rsidRDefault="006573E9" w:rsidP="006573E9">
            <w:pPr>
              <w:pStyle w:val="TableSubheading"/>
            </w:pPr>
            <w:r w:rsidRPr="006655C8">
              <w:t>Included Multiple Sources of Evidence for Each Standard</w:t>
            </w:r>
          </w:p>
        </w:tc>
        <w:tc>
          <w:tcPr>
            <w:tcW w:w="2237" w:type="dxa"/>
          </w:tcPr>
          <w:p w14:paraId="596B6686" w14:textId="7D4EF164" w:rsidR="006573E9" w:rsidRPr="006573E9" w:rsidRDefault="006573E9" w:rsidP="006573E9">
            <w:pPr>
              <w:pStyle w:val="TableTextCentered"/>
            </w:pPr>
            <w:r w:rsidRPr="006573E9">
              <w:t>18/18</w:t>
            </w:r>
          </w:p>
        </w:tc>
        <w:tc>
          <w:tcPr>
            <w:tcW w:w="1890" w:type="dxa"/>
          </w:tcPr>
          <w:p w14:paraId="0848F6D4" w14:textId="588F8628" w:rsidR="006573E9" w:rsidRPr="000B03A5" w:rsidRDefault="006573E9" w:rsidP="006573E9">
            <w:pPr>
              <w:pStyle w:val="TableTextCentered"/>
            </w:pPr>
            <w:r w:rsidRPr="006655C8">
              <w:t>26/27</w:t>
            </w:r>
          </w:p>
        </w:tc>
      </w:tr>
      <w:tr w:rsidR="006573E9" w:rsidRPr="000B03A5" w14:paraId="5E9FC0CE" w14:textId="77777777" w:rsidTr="006573E9">
        <w:tc>
          <w:tcPr>
            <w:tcW w:w="5135" w:type="dxa"/>
          </w:tcPr>
          <w:p w14:paraId="67D942DC" w14:textId="151A9E0D" w:rsidR="006573E9" w:rsidRPr="000B03A5" w:rsidRDefault="006573E9" w:rsidP="006573E9">
            <w:pPr>
              <w:pStyle w:val="TableSubheading"/>
            </w:pPr>
            <w:r w:rsidRPr="006655C8">
              <w:t>Ratings</w:t>
            </w:r>
          </w:p>
        </w:tc>
        <w:tc>
          <w:tcPr>
            <w:tcW w:w="2237" w:type="dxa"/>
          </w:tcPr>
          <w:p w14:paraId="14E6EA2F" w14:textId="18F613DD" w:rsidR="006573E9" w:rsidRPr="006573E9" w:rsidRDefault="006573E9" w:rsidP="006573E9">
            <w:pPr>
              <w:pStyle w:val="TableTextCentered"/>
            </w:pPr>
            <w:r w:rsidRPr="006573E9">
              <w:t>N/A</w:t>
            </w:r>
          </w:p>
        </w:tc>
        <w:tc>
          <w:tcPr>
            <w:tcW w:w="1890" w:type="dxa"/>
          </w:tcPr>
          <w:p w14:paraId="79B2D501" w14:textId="3364B564" w:rsidR="006573E9" w:rsidRPr="000B03A5" w:rsidRDefault="006573E9" w:rsidP="006573E9">
            <w:pPr>
              <w:pStyle w:val="TableTextCentered"/>
            </w:pPr>
            <w:r w:rsidRPr="006655C8">
              <w:t>N/A</w:t>
            </w:r>
          </w:p>
        </w:tc>
      </w:tr>
      <w:tr w:rsidR="006573E9" w:rsidRPr="000B03A5" w14:paraId="2EA326E3" w14:textId="77777777" w:rsidTr="006573E9">
        <w:trPr>
          <w:cnfStyle w:val="000000100000" w:firstRow="0" w:lastRow="0" w:firstColumn="0" w:lastColumn="0" w:oddVBand="0" w:evenVBand="0" w:oddHBand="1" w:evenHBand="0" w:firstRowFirstColumn="0" w:firstRowLastColumn="0" w:lastRowFirstColumn="0" w:lastRowLastColumn="0"/>
        </w:trPr>
        <w:tc>
          <w:tcPr>
            <w:tcW w:w="5135" w:type="dxa"/>
          </w:tcPr>
          <w:p w14:paraId="31B48D95" w14:textId="398F8855" w:rsidR="006573E9" w:rsidRPr="000B03A5" w:rsidRDefault="006573E9" w:rsidP="006573E9">
            <w:pPr>
              <w:pStyle w:val="TableSubheading"/>
            </w:pPr>
            <w:r w:rsidRPr="006655C8">
              <w:t>Included Ratings for Each Standard</w:t>
            </w:r>
          </w:p>
        </w:tc>
        <w:tc>
          <w:tcPr>
            <w:tcW w:w="2237" w:type="dxa"/>
          </w:tcPr>
          <w:p w14:paraId="76A8526F" w14:textId="526DF7E6" w:rsidR="006573E9" w:rsidRPr="006573E9" w:rsidRDefault="006573E9" w:rsidP="006573E9">
            <w:pPr>
              <w:pStyle w:val="TableTextCentered"/>
            </w:pPr>
            <w:r w:rsidRPr="006573E9">
              <w:t>18/18</w:t>
            </w:r>
          </w:p>
        </w:tc>
        <w:tc>
          <w:tcPr>
            <w:tcW w:w="1890" w:type="dxa"/>
          </w:tcPr>
          <w:p w14:paraId="326F6D34" w14:textId="5FCC1648" w:rsidR="006573E9" w:rsidRPr="000B03A5" w:rsidRDefault="006573E9" w:rsidP="006573E9">
            <w:pPr>
              <w:pStyle w:val="TableTextCentered"/>
            </w:pPr>
            <w:r w:rsidRPr="006655C8">
              <w:t>27/27</w:t>
            </w:r>
          </w:p>
        </w:tc>
      </w:tr>
      <w:tr w:rsidR="006573E9" w:rsidRPr="000B03A5" w14:paraId="72E08086" w14:textId="77777777" w:rsidTr="006573E9">
        <w:tc>
          <w:tcPr>
            <w:tcW w:w="5135" w:type="dxa"/>
          </w:tcPr>
          <w:p w14:paraId="4417A436" w14:textId="337FBF4B" w:rsidR="006573E9" w:rsidRPr="000B03A5" w:rsidRDefault="006573E9" w:rsidP="006573E9">
            <w:pPr>
              <w:pStyle w:val="TableSubheading"/>
            </w:pPr>
            <w:r w:rsidRPr="006655C8">
              <w:t>Included Overall Rating</w:t>
            </w:r>
          </w:p>
        </w:tc>
        <w:tc>
          <w:tcPr>
            <w:tcW w:w="2237" w:type="dxa"/>
          </w:tcPr>
          <w:p w14:paraId="5A038BF9" w14:textId="46DA72BE" w:rsidR="006573E9" w:rsidRPr="006573E9" w:rsidRDefault="006573E9" w:rsidP="006573E9">
            <w:pPr>
              <w:pStyle w:val="TableTextCentered"/>
            </w:pPr>
            <w:r w:rsidRPr="006573E9">
              <w:t>18/18</w:t>
            </w:r>
          </w:p>
        </w:tc>
        <w:tc>
          <w:tcPr>
            <w:tcW w:w="1890" w:type="dxa"/>
          </w:tcPr>
          <w:p w14:paraId="551DBFEC" w14:textId="4570BC57" w:rsidR="006573E9" w:rsidRPr="000B03A5" w:rsidRDefault="006573E9" w:rsidP="006573E9">
            <w:pPr>
              <w:pStyle w:val="TableTextCentered"/>
            </w:pPr>
            <w:r w:rsidRPr="006655C8">
              <w:t>27/27</w:t>
            </w:r>
          </w:p>
        </w:tc>
      </w:tr>
      <w:tr w:rsidR="006573E9" w:rsidRPr="000B03A5" w14:paraId="6508AAFD" w14:textId="77777777" w:rsidTr="006573E9">
        <w:trPr>
          <w:cnfStyle w:val="000000100000" w:firstRow="0" w:lastRow="0" w:firstColumn="0" w:lastColumn="0" w:oddVBand="0" w:evenVBand="0" w:oddHBand="1" w:evenHBand="0" w:firstRowFirstColumn="0" w:firstRowLastColumn="0" w:lastRowFirstColumn="0" w:lastRowLastColumn="0"/>
        </w:trPr>
        <w:tc>
          <w:tcPr>
            <w:tcW w:w="5135" w:type="dxa"/>
          </w:tcPr>
          <w:p w14:paraId="29AF8766" w14:textId="10F61CDE" w:rsidR="006573E9" w:rsidRPr="000B03A5" w:rsidRDefault="006573E9" w:rsidP="006573E9">
            <w:pPr>
              <w:pStyle w:val="TableSubheading"/>
            </w:pPr>
            <w:r w:rsidRPr="006655C8">
              <w:t>Feedback</w:t>
            </w:r>
          </w:p>
        </w:tc>
        <w:tc>
          <w:tcPr>
            <w:tcW w:w="2237" w:type="dxa"/>
          </w:tcPr>
          <w:p w14:paraId="4DEA0B20" w14:textId="4CBE1A29" w:rsidR="006573E9" w:rsidRPr="006573E9" w:rsidRDefault="006573E9" w:rsidP="006573E9">
            <w:pPr>
              <w:pStyle w:val="TableTextCentered"/>
            </w:pPr>
            <w:r w:rsidRPr="006573E9">
              <w:t>N/A</w:t>
            </w:r>
          </w:p>
        </w:tc>
        <w:tc>
          <w:tcPr>
            <w:tcW w:w="1890" w:type="dxa"/>
          </w:tcPr>
          <w:p w14:paraId="26B9B7DF" w14:textId="33FE6280" w:rsidR="006573E9" w:rsidRPr="000B03A5" w:rsidRDefault="006573E9" w:rsidP="006573E9">
            <w:pPr>
              <w:pStyle w:val="TableTextCentered"/>
            </w:pPr>
            <w:r w:rsidRPr="006655C8">
              <w:t>N/A</w:t>
            </w:r>
          </w:p>
        </w:tc>
      </w:tr>
      <w:tr w:rsidR="006573E9" w:rsidRPr="000B03A5" w14:paraId="0C475741" w14:textId="77777777" w:rsidTr="006573E9">
        <w:tc>
          <w:tcPr>
            <w:tcW w:w="5135" w:type="dxa"/>
          </w:tcPr>
          <w:p w14:paraId="18948E72" w14:textId="4115868A" w:rsidR="006573E9" w:rsidRPr="000B03A5" w:rsidRDefault="006573E9" w:rsidP="006573E9">
            <w:pPr>
              <w:pStyle w:val="TableSubheading"/>
            </w:pPr>
            <w:r w:rsidRPr="006655C8">
              <w:t>Contained Feedback on Each Standard</w:t>
            </w:r>
          </w:p>
        </w:tc>
        <w:tc>
          <w:tcPr>
            <w:tcW w:w="2237" w:type="dxa"/>
          </w:tcPr>
          <w:p w14:paraId="1629596C" w14:textId="71D74541" w:rsidR="006573E9" w:rsidRPr="006573E9" w:rsidRDefault="006573E9" w:rsidP="006573E9">
            <w:pPr>
              <w:pStyle w:val="TableTextCentered"/>
            </w:pPr>
            <w:r w:rsidRPr="006573E9">
              <w:t>18/18</w:t>
            </w:r>
          </w:p>
        </w:tc>
        <w:tc>
          <w:tcPr>
            <w:tcW w:w="1890" w:type="dxa"/>
          </w:tcPr>
          <w:p w14:paraId="4B584BF1" w14:textId="6A88C8BE" w:rsidR="006573E9" w:rsidRPr="000B03A5" w:rsidRDefault="006573E9" w:rsidP="006573E9">
            <w:pPr>
              <w:pStyle w:val="TableTextCentered"/>
            </w:pPr>
            <w:r w:rsidRPr="006655C8">
              <w:t>26/27</w:t>
            </w:r>
          </w:p>
        </w:tc>
      </w:tr>
      <w:tr w:rsidR="006573E9" w:rsidRPr="000B03A5" w14:paraId="6CE65609" w14:textId="77777777" w:rsidTr="006573E9">
        <w:trPr>
          <w:cnfStyle w:val="000000100000" w:firstRow="0" w:lastRow="0" w:firstColumn="0" w:lastColumn="0" w:oddVBand="0" w:evenVBand="0" w:oddHBand="1" w:evenHBand="0" w:firstRowFirstColumn="0" w:firstRowLastColumn="0" w:lastRowFirstColumn="0" w:lastRowLastColumn="0"/>
        </w:trPr>
        <w:tc>
          <w:tcPr>
            <w:tcW w:w="5135" w:type="dxa"/>
          </w:tcPr>
          <w:p w14:paraId="27EB18E7" w14:textId="1C8A243A" w:rsidR="006573E9" w:rsidRPr="000B03A5" w:rsidRDefault="006573E9" w:rsidP="006573E9">
            <w:pPr>
              <w:pStyle w:val="TableSubheading"/>
            </w:pPr>
            <w:r w:rsidRPr="006655C8">
              <w:t>Contained Positive Feedback</w:t>
            </w:r>
          </w:p>
        </w:tc>
        <w:tc>
          <w:tcPr>
            <w:tcW w:w="2237" w:type="dxa"/>
          </w:tcPr>
          <w:p w14:paraId="012729EB" w14:textId="7A9C7A91" w:rsidR="006573E9" w:rsidRPr="006573E9" w:rsidRDefault="006573E9" w:rsidP="006573E9">
            <w:pPr>
              <w:pStyle w:val="TableTextCentered"/>
            </w:pPr>
            <w:r w:rsidRPr="006573E9">
              <w:t>18/18</w:t>
            </w:r>
          </w:p>
        </w:tc>
        <w:tc>
          <w:tcPr>
            <w:tcW w:w="1890" w:type="dxa"/>
          </w:tcPr>
          <w:p w14:paraId="567FC13C" w14:textId="6017010A" w:rsidR="006573E9" w:rsidRPr="000B03A5" w:rsidRDefault="006573E9" w:rsidP="006573E9">
            <w:pPr>
              <w:pStyle w:val="TableTextCentered"/>
            </w:pPr>
            <w:r w:rsidRPr="006655C8">
              <w:t>26/27</w:t>
            </w:r>
          </w:p>
        </w:tc>
      </w:tr>
      <w:tr w:rsidR="006573E9" w:rsidRPr="000B03A5" w14:paraId="332A9D89" w14:textId="77777777" w:rsidTr="006573E9">
        <w:tc>
          <w:tcPr>
            <w:tcW w:w="5135" w:type="dxa"/>
          </w:tcPr>
          <w:p w14:paraId="5B7F8796" w14:textId="6D8FB9EB" w:rsidR="006573E9" w:rsidRPr="000B03A5" w:rsidRDefault="006573E9" w:rsidP="006573E9">
            <w:pPr>
              <w:pStyle w:val="TableSubheading"/>
            </w:pPr>
            <w:r w:rsidRPr="006655C8">
              <w:t>Contained Constructive Feedback</w:t>
            </w:r>
          </w:p>
        </w:tc>
        <w:tc>
          <w:tcPr>
            <w:tcW w:w="2237" w:type="dxa"/>
          </w:tcPr>
          <w:p w14:paraId="46816A1F" w14:textId="3DDC4BAE" w:rsidR="006573E9" w:rsidRPr="006573E9" w:rsidRDefault="006573E9" w:rsidP="006573E9">
            <w:pPr>
              <w:pStyle w:val="TableTextCentered"/>
            </w:pPr>
            <w:r w:rsidRPr="006573E9">
              <w:t>9/18</w:t>
            </w:r>
          </w:p>
        </w:tc>
        <w:tc>
          <w:tcPr>
            <w:tcW w:w="1890" w:type="dxa"/>
          </w:tcPr>
          <w:p w14:paraId="6DD0FEED" w14:textId="47502DD9" w:rsidR="006573E9" w:rsidRPr="000B03A5" w:rsidRDefault="006573E9" w:rsidP="006573E9">
            <w:pPr>
              <w:pStyle w:val="TableTextCentered"/>
            </w:pPr>
            <w:r w:rsidRPr="006655C8">
              <w:t>21/27</w:t>
            </w:r>
          </w:p>
        </w:tc>
      </w:tr>
    </w:tbl>
    <w:p w14:paraId="25690E02" w14:textId="77777777" w:rsidR="002F4DDF" w:rsidRPr="002F4DDF" w:rsidRDefault="002F4DDF" w:rsidP="002F4DDF">
      <w:pPr>
        <w:spacing w:before="240" w:after="120"/>
        <w:rPr>
          <w:rFonts w:ascii="Franklin Gothic Book" w:eastAsia="Franklin Gothic Book" w:hAnsi="Franklin Gothic Book" w:cs="Tahoma"/>
          <w:color w:val="EE0000"/>
        </w:rPr>
      </w:pPr>
      <w:r w:rsidRPr="002F4DDF">
        <w:rPr>
          <w:rFonts w:ascii="Franklin Gothic Book" w:eastAsia="Franklin Gothic Book" w:hAnsi="Franklin Gothic Book" w:cs="Tahoma"/>
        </w:rPr>
        <w:t xml:space="preserve">District records indicate that teacher evaluations are completed using Teachpoint. District reviewers used simple random sampling to select 40 teachers due for summative evaluations. All 18 teacher evaluations selected for review were available for review and included all required components, such as a rating for each standard or an overall rating. All reviewed evaluation documents included a student learning SMART goal and a professional practice SMART goal. Reviewers also evaluated each teacher’s progress toward their student learning and professional SMART goals. </w:t>
      </w:r>
    </w:p>
    <w:p w14:paraId="4A4B24BD" w14:textId="77777777" w:rsidR="002F4DDF" w:rsidRPr="006A16A0" w:rsidRDefault="002F4DDF" w:rsidP="002F4DDF">
      <w:pPr>
        <w:spacing w:before="240" w:after="120"/>
        <w:rPr>
          <w:rFonts w:ascii="Franklin Gothic Book" w:eastAsia="Franklin Gothic Book" w:hAnsi="Franklin Gothic Book" w:cs="Tahoma"/>
        </w:rPr>
      </w:pPr>
      <w:r w:rsidRPr="002F4DDF">
        <w:rPr>
          <w:rFonts w:ascii="Franklin Gothic Book" w:eastAsia="Franklin Gothic Book" w:hAnsi="Franklin Gothic Book" w:cs="Tahoma"/>
        </w:rPr>
        <w:t>All evaluations reviewed included multiple sources of evidence, such as observations, student samples, or other evidence supporting progress toward standards-aligned professional goals, standards, and indicators. All (18) summative evaluations included feedback for each standard and overall feedback related to the teacher’s overall rating. All evaluations (100 percent) contained feedback on each standard and positive written feedback, but only 9 out of 18 (50 percent) contained constructive feedback.</w:t>
      </w:r>
    </w:p>
    <w:p w14:paraId="3FCD4179" w14:textId="565E4F03" w:rsidR="002F4DDF" w:rsidRPr="001B57B0" w:rsidRDefault="002F4DDF" w:rsidP="002F4DDF">
      <w:pPr>
        <w:rPr>
          <w:color w:val="EE0000"/>
        </w:rPr>
      </w:pPr>
      <w:r w:rsidRPr="006A16A0">
        <w:rPr>
          <w:rFonts w:ascii="Franklin Gothic Book" w:eastAsia="Franklin Gothic Book" w:hAnsi="Franklin Gothic Book" w:cs="Tahoma"/>
        </w:rPr>
        <w:t xml:space="preserve">District records show that administration evaluations are completed using the same process. Of the 40 administrative district staff who were due for a summative evaluation for the 2024-2025 school year, only 27 evaluations (68 percent) were available for review. Of those 27, only 22 included standards-aligned goals and an assessment of progress toward goals. Most (26) evaluations included multiple sources of evidence supporting progress toward goals and standards. All reviewed administrator evaluations included positive feedback identifying </w:t>
      </w:r>
      <w:r w:rsidRPr="00C44EA3">
        <w:rPr>
          <w:rFonts w:ascii="Franklin Gothic Book" w:eastAsia="Franklin Gothic Book" w:hAnsi="Franklin Gothic Book" w:cs="Tahoma"/>
        </w:rPr>
        <w:t>the administrator’s strengths; 77 percent of evaluations also included identified areas for improvement.</w:t>
      </w:r>
      <w:r w:rsidR="001B57B0" w:rsidRPr="00C44EA3">
        <w:rPr>
          <w:rFonts w:ascii="Franklin Gothic Book" w:eastAsia="Franklin Gothic Book" w:hAnsi="Franklin Gothic Book" w:cs="Tahoma"/>
        </w:rPr>
        <w:t xml:space="preserve"> Ensuring all teachers receive constructive feedback and all administrators receive assessments of progress towards goals and standards are areas of growth for the district.</w:t>
      </w:r>
    </w:p>
    <w:p w14:paraId="2520D4AF" w14:textId="26DD6C59" w:rsidR="00091829" w:rsidRPr="00797379" w:rsidRDefault="00091829" w:rsidP="0025726C">
      <w:pPr>
        <w:pStyle w:val="BodyText"/>
      </w:pPr>
      <w:r w:rsidRPr="00797379">
        <w:t xml:space="preserve">The district embeds observation and feedback within its educator evaluation system, which follows the Massachusetts Model System for Educator Evaluation. School leaders prioritize supervision and evaluation as </w:t>
      </w:r>
      <w:r w:rsidR="00C37BBB" w:rsidRPr="00797379">
        <w:t xml:space="preserve">their </w:t>
      </w:r>
      <w:r w:rsidRPr="00797379">
        <w:t>core responsibilities, and</w:t>
      </w:r>
      <w:r w:rsidR="00C37BBB" w:rsidRPr="00797379">
        <w:t xml:space="preserve"> that</w:t>
      </w:r>
      <w:r w:rsidRPr="00797379">
        <w:t xml:space="preserve"> assistant superintendents provide oversight </w:t>
      </w:r>
      <w:r w:rsidR="00C37BBB" w:rsidRPr="00797379">
        <w:t>on</w:t>
      </w:r>
      <w:r w:rsidRPr="00797379">
        <w:t xml:space="preserve"> timelines and consistency </w:t>
      </w:r>
      <w:r w:rsidR="00C37BBB" w:rsidRPr="00797379">
        <w:t xml:space="preserve">in </w:t>
      </w:r>
      <w:r w:rsidRPr="00797379">
        <w:t xml:space="preserve">observations and evaluations. According to district leaders, the observations </w:t>
      </w:r>
      <w:r w:rsidR="00C37BBB" w:rsidRPr="00797379">
        <w:t>used in</w:t>
      </w:r>
      <w:r w:rsidRPr="00797379">
        <w:t xml:space="preserve"> the evaluation system are for </w:t>
      </w:r>
      <w:r w:rsidR="00C37BBB" w:rsidRPr="00797379">
        <w:t xml:space="preserve">both </w:t>
      </w:r>
      <w:r w:rsidRPr="00797379">
        <w:t xml:space="preserve">compliance </w:t>
      </w:r>
      <w:r w:rsidR="00C37BBB" w:rsidRPr="00797379">
        <w:t>and to</w:t>
      </w:r>
      <w:r w:rsidRPr="00797379">
        <w:t xml:space="preserve"> inform professional development offerings and innovation plans</w:t>
      </w:r>
      <w:r w:rsidR="00C37BBB" w:rsidRPr="00797379">
        <w:t xml:space="preserve">. This </w:t>
      </w:r>
      <w:r w:rsidRPr="00797379">
        <w:t>creat</w:t>
      </w:r>
      <w:r w:rsidR="00C37BBB" w:rsidRPr="00797379">
        <w:t>es</w:t>
      </w:r>
      <w:r w:rsidRPr="00797379">
        <w:t xml:space="preserve"> a feedback loop between performance data and instructional support.</w:t>
      </w:r>
    </w:p>
    <w:p w14:paraId="79053FEC" w14:textId="63AD240F" w:rsidR="008264CC" w:rsidRPr="00797379" w:rsidRDefault="008264CC" w:rsidP="008264CC">
      <w:pPr>
        <w:pStyle w:val="BodyText"/>
      </w:pPr>
      <w:r w:rsidRPr="00797379">
        <w:t xml:space="preserve">When asked about the frequency of observations, teacher focus groups reported new teachers are formally observed five </w:t>
      </w:r>
      <w:r w:rsidR="00F1412A" w:rsidRPr="00797379">
        <w:t xml:space="preserve">times </w:t>
      </w:r>
      <w:r w:rsidRPr="00797379">
        <w:t xml:space="preserve">each year for the first three years. Veteran teachers are observed twice per year. Teachers across the district described a variety of experiences related to instructional observation and feedback. </w:t>
      </w:r>
      <w:r w:rsidR="00F1412A" w:rsidRPr="00797379">
        <w:t>T</w:t>
      </w:r>
      <w:r w:rsidRPr="00797379">
        <w:t>eachers reported that informal administrative observations rarely occurred</w:t>
      </w:r>
      <w:r w:rsidR="00F1412A" w:rsidRPr="00797379">
        <w:t xml:space="preserve">, yet </w:t>
      </w:r>
      <w:r w:rsidRPr="00797379">
        <w:t>they wanted</w:t>
      </w:r>
      <w:r w:rsidR="00F1412A" w:rsidRPr="00797379">
        <w:t xml:space="preserve"> to</w:t>
      </w:r>
      <w:r w:rsidRPr="00797379">
        <w:t xml:space="preserve"> receive administrative feedback. As one teacher stated, “They [administrators] encourage us to invite them in . . . but there’s never like a ‘Gotcha.’ Most of us teach with our doors open and would welcome people to come in.” Other teachers described the instructional feedback they received as useful and collegial. One teacher described opportunities to work with instructional coaches this way:</w:t>
      </w:r>
    </w:p>
    <w:p w14:paraId="59722D87" w14:textId="3350DF8E" w:rsidR="008264CC" w:rsidRPr="00797379" w:rsidRDefault="00F1412A" w:rsidP="00A11A4B">
      <w:pPr>
        <w:pStyle w:val="BlockQuote"/>
        <w:ind w:right="720"/>
      </w:pPr>
      <w:r w:rsidRPr="00797379">
        <w:t>W</w:t>
      </w:r>
      <w:r w:rsidR="008264CC" w:rsidRPr="00797379">
        <w:t>hat’s great is it’s not connected with evaluations. It’s very clearly not administrative based. It’s somebody who comes in and you just say, ‘Hey, I'm having trouble with this, or I can't come up with this idea. Can you come in and help?’</w:t>
      </w:r>
    </w:p>
    <w:p w14:paraId="0C498A5C" w14:textId="2742E205" w:rsidR="008264CC" w:rsidRPr="00797379" w:rsidRDefault="00777276" w:rsidP="008264CC">
      <w:pPr>
        <w:pStyle w:val="BodyText"/>
        <w:rPr>
          <w:color w:val="EE0000"/>
        </w:rPr>
      </w:pPr>
      <w:r w:rsidRPr="00797379">
        <w:t xml:space="preserve">District leadership acknowledged variability in implementing observations and feedback, and WEA representatives noted that clarity and consistency of expectations differ by building. According to WEA leaders, this inconsistency </w:t>
      </w:r>
      <w:r w:rsidR="00C365B1">
        <w:t>affects</w:t>
      </w:r>
      <w:r w:rsidR="00C365B1" w:rsidRPr="00797379">
        <w:t xml:space="preserve"> </w:t>
      </w:r>
      <w:r w:rsidRPr="00797379">
        <w:t>the uniformity of feedback and its effectiveness in driving staff improvement.</w:t>
      </w:r>
      <w:r w:rsidR="006262AE" w:rsidRPr="00B13A7C">
        <w:t xml:space="preserve"> </w:t>
      </w:r>
      <w:r w:rsidR="008264CC" w:rsidRPr="00B13A7C">
        <w:t>The variability in how feedback and observations are implemented across schools indicates a need for improved consistency and calibration and is an area of growth for the district.</w:t>
      </w:r>
    </w:p>
    <w:p w14:paraId="2CAA96D9" w14:textId="305E0661" w:rsidR="0037313E" w:rsidRDefault="00C77EA0" w:rsidP="00AE0CFD">
      <w:pPr>
        <w:pStyle w:val="BodyText"/>
      </w:pPr>
      <w:r w:rsidRPr="00797379">
        <w:t>Overall, the reviewed t</w:t>
      </w:r>
      <w:r w:rsidR="000B3ECE" w:rsidRPr="00797379">
        <w:t>eacher evaluations included all the required components, including performance ratings and progress toward standards-aligned professional goals. Teacher and administrator evaluations consistently include positive feedback (</w:t>
      </w:r>
      <w:r w:rsidRPr="00797379">
        <w:t xml:space="preserve">e.g., </w:t>
      </w:r>
      <w:r w:rsidR="000B3ECE" w:rsidRPr="00797379">
        <w:t xml:space="preserve">practices </w:t>
      </w:r>
      <w:r w:rsidRPr="00797379">
        <w:t xml:space="preserve">a </w:t>
      </w:r>
      <w:r w:rsidR="000B3ECE" w:rsidRPr="00797379">
        <w:t xml:space="preserve">teacher should continue), </w:t>
      </w:r>
      <w:r w:rsidRPr="00797379">
        <w:t xml:space="preserve">although </w:t>
      </w:r>
      <w:r w:rsidR="000B3ECE" w:rsidRPr="00797379">
        <w:t>evaluations were less consistent in identifying areas for further growth.</w:t>
      </w:r>
    </w:p>
    <w:p w14:paraId="0FDCB83D" w14:textId="77777777" w:rsidR="00905180" w:rsidRPr="00797379" w:rsidRDefault="00905180" w:rsidP="00905180">
      <w:pPr>
        <w:pStyle w:val="BodyText"/>
      </w:pPr>
      <w:bookmarkStart w:id="68" w:name="_Professional_Learning"/>
      <w:bookmarkEnd w:id="68"/>
      <w:r w:rsidRPr="00797379">
        <w:t>The district demonstrates strong educator retention, with many staff remaining for decades, as confirmed by WEA. Regarding tenure of employees, one WEA leader stated, “We don’t have a lot of movement. Typically, people come in and they might have different jobs within the district, but they stay within the district until they retire.” This stability reflects a positive working environment and competitive compensation relative to comparable districts. In 2025, Winchester’s teacher retention rate was 92.3 percent compared with the state’s rate of 86.1 percent; the average WPS teacher salary was $103,352, which was $12,338 more than the state average of $91,014.</w:t>
      </w:r>
    </w:p>
    <w:p w14:paraId="0D9AECF6" w14:textId="4F02BAE2" w:rsidR="007611B0" w:rsidRPr="00797379" w:rsidRDefault="00444346" w:rsidP="00AE0CFD">
      <w:pPr>
        <w:pStyle w:val="Heading3"/>
      </w:pPr>
      <w:r w:rsidRPr="00797379">
        <w:t>Professional Learning</w:t>
      </w:r>
    </w:p>
    <w:p w14:paraId="2D042AE7" w14:textId="5A360A9B" w:rsidR="0013493E" w:rsidRPr="00797379" w:rsidRDefault="006D4F68" w:rsidP="00AE0CFD">
      <w:pPr>
        <w:pStyle w:val="BodyTextposthead"/>
        <w:rPr>
          <w:color w:val="538135" w:themeColor="accent6" w:themeShade="BF"/>
        </w:rPr>
      </w:pPr>
      <w:r w:rsidRPr="00797379">
        <w:t>District leaders report</w:t>
      </w:r>
      <w:r w:rsidR="00C77EA0" w:rsidRPr="00797379">
        <w:t>ed</w:t>
      </w:r>
      <w:r w:rsidRPr="00797379">
        <w:t xml:space="preserve"> professional development in the district is comprehensive and aligned with district priorities. </w:t>
      </w:r>
      <w:r w:rsidR="00C77EA0" w:rsidRPr="00797379">
        <w:t xml:space="preserve">WPS </w:t>
      </w:r>
      <w:r w:rsidR="001E0EC1" w:rsidRPr="00797379">
        <w:t>professional development</w:t>
      </w:r>
      <w:r w:rsidRPr="00797379" w:rsidDel="001E0EC1">
        <w:t xml:space="preserve"> </w:t>
      </w:r>
      <w:r w:rsidRPr="00797379">
        <w:t xml:space="preserve">emphasizes ongoing, embedded, and meaningful learning experiences, including graduate courses taught in-district, workshops facilitated by staff and external experts, and targeted sessions on social-emotional learning, differentiation, and technology integration. According to district staff, </w:t>
      </w:r>
      <w:r w:rsidR="001E0EC1" w:rsidRPr="00797379">
        <w:t>professional development</w:t>
      </w:r>
      <w:r w:rsidRPr="00797379">
        <w:t xml:space="preserve"> offerings are research-based, data-driven, and aligned with district goals, with a strong focus on equity and meeting diverse learner needs. District leaders explained the district provides three </w:t>
      </w:r>
      <w:r w:rsidR="001E0EC1" w:rsidRPr="00797379">
        <w:t xml:space="preserve">professional development </w:t>
      </w:r>
      <w:r w:rsidRPr="00797379">
        <w:t xml:space="preserve">days during the year and noted </w:t>
      </w:r>
      <w:r w:rsidR="00C77EA0" w:rsidRPr="00797379">
        <w:t>that in 2025</w:t>
      </w:r>
      <w:r w:rsidRPr="00797379">
        <w:t xml:space="preserve"> </w:t>
      </w:r>
      <w:r w:rsidR="00C77EA0" w:rsidRPr="00797379">
        <w:t xml:space="preserve">they </w:t>
      </w:r>
      <w:r w:rsidRPr="00797379">
        <w:t xml:space="preserve">approached </w:t>
      </w:r>
      <w:r w:rsidR="001E0EC1" w:rsidRPr="00797379">
        <w:t xml:space="preserve">professional development </w:t>
      </w:r>
      <w:r w:rsidRPr="00797379">
        <w:t xml:space="preserve">in a thematic way. </w:t>
      </w:r>
      <w:r w:rsidR="00E1479C">
        <w:t>The professional development plan was d</w:t>
      </w:r>
      <w:r w:rsidRPr="00797379">
        <w:t xml:space="preserve">eveloped by a districtwide joint labor-management committee </w:t>
      </w:r>
      <w:r w:rsidR="006948D6" w:rsidRPr="00797379">
        <w:t>comprising</w:t>
      </w:r>
      <w:r w:rsidRPr="00797379">
        <w:t xml:space="preserve"> five administrators and five teachers</w:t>
      </w:r>
      <w:r w:rsidR="00C77EA0" w:rsidRPr="00797379">
        <w:t>. T</w:t>
      </w:r>
      <w:r w:rsidRPr="00797379">
        <w:t>he committee identified three themes</w:t>
      </w:r>
      <w:r w:rsidR="00C77EA0" w:rsidRPr="00797379">
        <w:t xml:space="preserve"> for 2025</w:t>
      </w:r>
      <w:r w:rsidRPr="00797379">
        <w:t xml:space="preserve">: readiness to learn, grade-level or department teaming, and choose your own adventure (allowing for teacher choice). </w:t>
      </w:r>
      <w:r w:rsidR="00051567" w:rsidRPr="00797379">
        <w:t xml:space="preserve">Focus group participants highlighted that </w:t>
      </w:r>
      <w:r w:rsidR="00C77EA0" w:rsidRPr="00797379">
        <w:t xml:space="preserve">feedback on </w:t>
      </w:r>
      <w:r w:rsidR="001E0EC1" w:rsidRPr="00797379">
        <w:t xml:space="preserve">professional development </w:t>
      </w:r>
      <w:r w:rsidR="00051567" w:rsidRPr="00797379">
        <w:t xml:space="preserve">is collected through surveys and joint labor-management committees, but </w:t>
      </w:r>
      <w:r w:rsidR="001E0EC1" w:rsidRPr="00797379">
        <w:t xml:space="preserve">professional development </w:t>
      </w:r>
      <w:r w:rsidR="00051567" w:rsidRPr="00797379">
        <w:t xml:space="preserve">opportunities </w:t>
      </w:r>
      <w:r w:rsidR="006C1B1D">
        <w:t xml:space="preserve">offered by the district </w:t>
      </w:r>
      <w:r w:rsidR="00051567" w:rsidRPr="00797379">
        <w:t xml:space="preserve">can be </w:t>
      </w:r>
      <w:r w:rsidR="00C77EA0" w:rsidRPr="00797379">
        <w:t xml:space="preserve">more </w:t>
      </w:r>
      <w:r w:rsidR="00051567" w:rsidRPr="00797379">
        <w:t>reactive</w:t>
      </w:r>
      <w:r w:rsidR="00051567" w:rsidRPr="00797379" w:rsidDel="00C77EA0">
        <w:t xml:space="preserve"> </w:t>
      </w:r>
      <w:r w:rsidR="00051567" w:rsidRPr="00797379">
        <w:t xml:space="preserve">than proactive. Teacher focus group </w:t>
      </w:r>
      <w:r w:rsidR="00B46FC5">
        <w:t>participants</w:t>
      </w:r>
      <w:r w:rsidR="00051567" w:rsidRPr="00797379">
        <w:t xml:space="preserve"> noted</w:t>
      </w:r>
      <w:r w:rsidR="00C77EA0" w:rsidRPr="00797379">
        <w:t>, for example,</w:t>
      </w:r>
      <w:r w:rsidR="00051567" w:rsidRPr="00797379">
        <w:t xml:space="preserve"> </w:t>
      </w:r>
      <w:r w:rsidR="00B46FC5">
        <w:t xml:space="preserve">that </w:t>
      </w:r>
      <w:r w:rsidR="00051567" w:rsidRPr="00797379">
        <w:t>educators requested more out</w:t>
      </w:r>
      <w:r w:rsidR="00C77EA0" w:rsidRPr="00797379">
        <w:t>-</w:t>
      </w:r>
      <w:r w:rsidR="00051567" w:rsidRPr="00797379">
        <w:t>of</w:t>
      </w:r>
      <w:r w:rsidR="00C77EA0" w:rsidRPr="00797379">
        <w:t>-</w:t>
      </w:r>
      <w:r w:rsidR="00051567" w:rsidRPr="00797379">
        <w:t>district experts to lead professional development</w:t>
      </w:r>
      <w:r w:rsidR="006C1B1D">
        <w:t xml:space="preserve"> because they felt internal </w:t>
      </w:r>
      <w:r w:rsidR="003910D0">
        <w:t xml:space="preserve">PD facilitators were less effective. </w:t>
      </w:r>
      <w:r w:rsidR="00144B2B">
        <w:t xml:space="preserve">While the district </w:t>
      </w:r>
      <w:r w:rsidR="006861A4">
        <w:t>did</w:t>
      </w:r>
      <w:r w:rsidR="006861A4" w:rsidRPr="00797379">
        <w:t xml:space="preserve"> </w:t>
      </w:r>
      <w:r w:rsidR="00B74C68" w:rsidRPr="00797379">
        <w:t>expand</w:t>
      </w:r>
      <w:r w:rsidR="00144B2B">
        <w:t xml:space="preserve"> these</w:t>
      </w:r>
      <w:r w:rsidR="00B74C68" w:rsidRPr="00797379">
        <w:t xml:space="preserve"> opportunities</w:t>
      </w:r>
      <w:r w:rsidR="00C8492D">
        <w:t xml:space="preserve">, </w:t>
      </w:r>
      <w:r w:rsidR="00560B24">
        <w:t xml:space="preserve">focus group participants noted that </w:t>
      </w:r>
      <w:r w:rsidR="00C8492D">
        <w:t xml:space="preserve">it was in response </w:t>
      </w:r>
      <w:r w:rsidR="0074570E">
        <w:t xml:space="preserve">to </w:t>
      </w:r>
      <w:r w:rsidR="00EB0E6E">
        <w:t>a</w:t>
      </w:r>
      <w:r w:rsidR="00824131">
        <w:t>n</w:t>
      </w:r>
      <w:r w:rsidR="00EB0E6E">
        <w:t>effort by teachers</w:t>
      </w:r>
      <w:r w:rsidR="00560B24">
        <w:t xml:space="preserve"> </w:t>
      </w:r>
      <w:r w:rsidR="00EB0E6E">
        <w:t xml:space="preserve">rather than </w:t>
      </w:r>
      <w:r w:rsidR="00E82E2B">
        <w:t>based on</w:t>
      </w:r>
      <w:r w:rsidR="00560B24">
        <w:t xml:space="preserve"> </w:t>
      </w:r>
      <w:r w:rsidR="00EB0E6E">
        <w:t>survey feedback</w:t>
      </w:r>
      <w:r w:rsidR="00051567" w:rsidRPr="00797379">
        <w:t xml:space="preserve">. </w:t>
      </w:r>
      <w:r w:rsidR="00EF6113">
        <w:t>District leaders also noted that a</w:t>
      </w:r>
      <w:r w:rsidRPr="00797379">
        <w:t xml:space="preserve">ll new hires are required to complete graduate-level courses in </w:t>
      </w:r>
      <w:r w:rsidR="00754B89">
        <w:t>d</w:t>
      </w:r>
      <w:r w:rsidRPr="00797379">
        <w:t xml:space="preserve">ifferentiation and </w:t>
      </w:r>
      <w:r w:rsidR="00C77EA0" w:rsidRPr="00797379">
        <w:t xml:space="preserve">social-emotional learning </w:t>
      </w:r>
      <w:r w:rsidRPr="00797379">
        <w:t>within their first three years</w:t>
      </w:r>
      <w:r w:rsidR="00C77EA0" w:rsidRPr="00797379">
        <w:t xml:space="preserve"> to </w:t>
      </w:r>
      <w:r w:rsidRPr="00797379">
        <w:t>reinforc</w:t>
      </w:r>
      <w:r w:rsidR="00C77EA0" w:rsidRPr="00797379">
        <w:t>e</w:t>
      </w:r>
      <w:r w:rsidRPr="00797379">
        <w:t xml:space="preserve"> district priorities and align</w:t>
      </w:r>
      <w:r w:rsidR="00FB2A79" w:rsidRPr="00797379">
        <w:t>ment</w:t>
      </w:r>
      <w:r w:rsidRPr="00797379">
        <w:t xml:space="preserve"> </w:t>
      </w:r>
      <w:r w:rsidR="00E82E2B">
        <w:t xml:space="preserve">with </w:t>
      </w:r>
      <w:r w:rsidRPr="00797379">
        <w:t>WPS2030</w:t>
      </w:r>
      <w:r w:rsidR="00FB2A79" w:rsidRPr="00797379">
        <w:t xml:space="preserve"> goals</w:t>
      </w:r>
      <w:r w:rsidRPr="00797379">
        <w:t xml:space="preserve">. </w:t>
      </w:r>
      <w:r w:rsidR="0013493E" w:rsidRPr="00E82E2B">
        <w:t>The close alignment of professional development offerings with district priorities is a strength for the district.</w:t>
      </w:r>
    </w:p>
    <w:p w14:paraId="633A7608" w14:textId="1395B84F" w:rsidR="00CD3927" w:rsidRPr="00797379" w:rsidRDefault="006D4F68" w:rsidP="00AE0CFD">
      <w:pPr>
        <w:pStyle w:val="BodyText"/>
      </w:pPr>
      <w:r w:rsidRPr="00797379">
        <w:t xml:space="preserve">Educators earn </w:t>
      </w:r>
      <w:r w:rsidR="00310551">
        <w:t>professional development points (</w:t>
      </w:r>
      <w:r w:rsidRPr="00797379">
        <w:t>PDPs</w:t>
      </w:r>
      <w:r w:rsidR="00310551">
        <w:t>)</w:t>
      </w:r>
      <w:r w:rsidRPr="00797379">
        <w:t xml:space="preserve"> for licensure renewal and </w:t>
      </w:r>
      <w:r w:rsidR="00FC3844" w:rsidRPr="00797379">
        <w:t>may</w:t>
      </w:r>
      <w:r w:rsidRPr="00797379">
        <w:t xml:space="preserve"> access tuition reimbursement for approved courses, </w:t>
      </w:r>
      <w:r w:rsidR="00FC3844" w:rsidRPr="00797379">
        <w:t>al</w:t>
      </w:r>
      <w:r w:rsidRPr="00797379">
        <w:t xml:space="preserve">though WEA representatives noted that reimbursement funds have remained </w:t>
      </w:r>
      <w:r w:rsidR="00F0187C" w:rsidRPr="00797379">
        <w:t>stagnant</w:t>
      </w:r>
      <w:r w:rsidRPr="00797379">
        <w:t xml:space="preserve"> across contract cycles, limiting flexibility for educators seeking additional credentials</w:t>
      </w:r>
      <w:r w:rsidR="00CD3927" w:rsidRPr="00797379">
        <w:t>.</w:t>
      </w:r>
    </w:p>
    <w:p w14:paraId="2C247778" w14:textId="6EFCE96A" w:rsidR="008869E4" w:rsidRPr="00974880" w:rsidRDefault="007D1711" w:rsidP="00AE0CFD">
      <w:pPr>
        <w:pStyle w:val="BodyText"/>
      </w:pPr>
      <w:r w:rsidRPr="00797379">
        <w:t>The district provides structured collaboration opportunities through grade-level meetings and professional learning communities. According to district documentation and teacher focus groups, educators participate</w:t>
      </w:r>
      <w:r w:rsidR="00C83141" w:rsidRPr="00797379">
        <w:t>d</w:t>
      </w:r>
      <w:r w:rsidRPr="00797379">
        <w:t xml:space="preserve"> in peer observations to foster shared learning. Professional development sessions regularly incorporate</w:t>
      </w:r>
      <w:r w:rsidR="00C83141" w:rsidRPr="00797379">
        <w:t>d</w:t>
      </w:r>
      <w:r w:rsidRPr="00797379">
        <w:t xml:space="preserve"> collaborative protocols</w:t>
      </w:r>
      <w:r w:rsidR="00C83141" w:rsidRPr="00797379">
        <w:t>. D</w:t>
      </w:r>
      <w:r w:rsidRPr="00797379">
        <w:t>istrict leadership meetings focus</w:t>
      </w:r>
      <w:r w:rsidR="00C83141" w:rsidRPr="00797379">
        <w:t>ed</w:t>
      </w:r>
      <w:r w:rsidRPr="00797379">
        <w:t xml:space="preserve"> on instructional practices rather than managerial tasks, </w:t>
      </w:r>
      <w:r w:rsidR="00C83141" w:rsidRPr="00797379">
        <w:t xml:space="preserve">which </w:t>
      </w:r>
      <w:r w:rsidRPr="00797379">
        <w:t>promot</w:t>
      </w:r>
      <w:r w:rsidR="00C83141" w:rsidRPr="00797379">
        <w:t xml:space="preserve">ed </w:t>
      </w:r>
      <w:r w:rsidRPr="00797379">
        <w:t>cross-school dialogue. Teacher focus groups (elementary, middle, and high school) reported that</w:t>
      </w:r>
      <w:r w:rsidR="00C83141" w:rsidRPr="00797379">
        <w:t xml:space="preserve"> teacher</w:t>
      </w:r>
      <w:r w:rsidRPr="00797379">
        <w:t xml:space="preserve"> collaboration occurs during summer curriculum work</w:t>
      </w:r>
      <w:r w:rsidR="00C83141" w:rsidRPr="00797379">
        <w:t xml:space="preserve"> meetings</w:t>
      </w:r>
      <w:r w:rsidRPr="00797379">
        <w:t xml:space="preserve"> and grade-level meetings, but scheduling constraints, especially at the elementary level, limit collaboration time during the school day. Secondary teachers reported that unless they have a similar preparation period with another teacher who teaches the same subject, they do not have regularly scheduled collaborative time.</w:t>
      </w:r>
      <w:r w:rsidRPr="00797379">
        <w:rPr>
          <w:color w:val="EE0000"/>
        </w:rPr>
        <w:t xml:space="preserve"> </w:t>
      </w:r>
      <w:r w:rsidR="00B67E15" w:rsidRPr="00974880">
        <w:t>Structured and consistent collaborative time for teacher planning and professional learning is an area of growth for the district.</w:t>
      </w:r>
    </w:p>
    <w:p w14:paraId="2164BB30" w14:textId="12B1D99F" w:rsidR="004F0217" w:rsidRPr="00797379" w:rsidRDefault="004F0217" w:rsidP="00AE0CFD">
      <w:pPr>
        <w:pStyle w:val="BodyText"/>
      </w:pPr>
      <w:r w:rsidRPr="00797379">
        <w:t xml:space="preserve">Winchester </w:t>
      </w:r>
      <w:r w:rsidR="00EB2804" w:rsidRPr="00797379">
        <w:t xml:space="preserve">mandates that </w:t>
      </w:r>
      <w:r w:rsidRPr="00797379">
        <w:t>all teachers</w:t>
      </w:r>
      <w:r w:rsidR="00DA1416" w:rsidRPr="00797379">
        <w:t xml:space="preserve"> new</w:t>
      </w:r>
      <w:r w:rsidR="00EB2804" w:rsidRPr="00797379">
        <w:t xml:space="preserve"> </w:t>
      </w:r>
      <w:r w:rsidR="00DA1416" w:rsidRPr="00797379">
        <w:t xml:space="preserve">in the district </w:t>
      </w:r>
      <w:r w:rsidR="00EB2804" w:rsidRPr="00797379">
        <w:t>and novice teachers</w:t>
      </w:r>
      <w:r w:rsidRPr="00797379">
        <w:t xml:space="preserve"> </w:t>
      </w:r>
      <w:r w:rsidR="00EB2804" w:rsidRPr="00797379">
        <w:t>enter</w:t>
      </w:r>
      <w:r w:rsidRPr="00797379">
        <w:t xml:space="preserve"> </w:t>
      </w:r>
      <w:r w:rsidR="00EB2804" w:rsidRPr="00797379">
        <w:t xml:space="preserve">a </w:t>
      </w:r>
      <w:r w:rsidRPr="00797379">
        <w:t xml:space="preserve">mentorship program </w:t>
      </w:r>
      <w:r w:rsidR="00EB2804" w:rsidRPr="00797379">
        <w:t xml:space="preserve">upon </w:t>
      </w:r>
      <w:r w:rsidRPr="00797379">
        <w:t>joining the district.</w:t>
      </w:r>
      <w:r w:rsidRPr="00797379" w:rsidDel="00EB2804">
        <w:t xml:space="preserve"> </w:t>
      </w:r>
      <w:r w:rsidRPr="00797379">
        <w:t xml:space="preserve">Mentors are required to hold a professional license and have a minimum of three years of </w:t>
      </w:r>
      <w:r w:rsidR="00EB2804" w:rsidRPr="00797379">
        <w:t xml:space="preserve">teaching </w:t>
      </w:r>
      <w:r w:rsidRPr="00797379">
        <w:t>experience. The district provides training and a stipend to support their work with new educators. Mentees are required to meet five times a year with their mentors</w:t>
      </w:r>
      <w:r w:rsidR="002A3C60" w:rsidRPr="00797379">
        <w:t>,</w:t>
      </w:r>
      <w:r w:rsidRPr="00797379">
        <w:t xml:space="preserve"> and</w:t>
      </w:r>
      <w:r w:rsidR="002A3C60" w:rsidRPr="00797379">
        <w:t xml:space="preserve"> they</w:t>
      </w:r>
      <w:r w:rsidRPr="00797379">
        <w:t xml:space="preserve"> receive ongoing tailored supports. New hires who already hold a Massachusetts professional licensure are required to meet with mentors for three meetings with their mentors.</w:t>
      </w:r>
    </w:p>
    <w:p w14:paraId="00F1837A" w14:textId="2E345884" w:rsidR="004F0217" w:rsidRPr="00797379" w:rsidRDefault="00737D9D" w:rsidP="00AE0CFD">
      <w:pPr>
        <w:pStyle w:val="BodyText"/>
        <w:rPr>
          <w:rFonts w:ascii="Segoe UI" w:hAnsi="Segoe UI" w:cs="Segoe UI"/>
          <w:color w:val="000000"/>
          <w:sz w:val="21"/>
          <w:szCs w:val="21"/>
        </w:rPr>
      </w:pPr>
      <w:r w:rsidRPr="00797379">
        <w:t xml:space="preserve">Teacher </w:t>
      </w:r>
      <w:r w:rsidR="004F0217" w:rsidRPr="00797379">
        <w:t>focus groups</w:t>
      </w:r>
      <w:r w:rsidR="004F0217" w:rsidRPr="00797379" w:rsidDel="00737D9D">
        <w:t xml:space="preserve"> </w:t>
      </w:r>
      <w:r w:rsidR="004F0217" w:rsidRPr="00797379">
        <w:t>described the mentorship program as a</w:t>
      </w:r>
      <w:r w:rsidRPr="00797379">
        <w:t xml:space="preserve"> </w:t>
      </w:r>
      <w:r w:rsidR="004F0217" w:rsidRPr="00797379">
        <w:t>central but uneven element</w:t>
      </w:r>
      <w:r w:rsidR="00AE0CFD" w:rsidRPr="00797379">
        <w:t xml:space="preserve"> </w:t>
      </w:r>
      <w:r w:rsidR="004F0217" w:rsidRPr="00797379">
        <w:t xml:space="preserve">of professional support in the school. </w:t>
      </w:r>
      <w:r w:rsidR="00BA1F90" w:rsidRPr="00797379">
        <w:t>M</w:t>
      </w:r>
      <w:r w:rsidR="004F0217" w:rsidRPr="00797379">
        <w:t>any educators praised the program for fostering connection, confidence, and collaborative learning</w:t>
      </w:r>
      <w:r w:rsidR="00692B90" w:rsidRPr="00797379">
        <w:t>.</w:t>
      </w:r>
      <w:r w:rsidR="004F0217" w:rsidRPr="00797379">
        <w:t xml:space="preserve"> Numerous teachers, particularly those early in their careers, felt the program provided</w:t>
      </w:r>
      <w:r w:rsidR="00692B90" w:rsidRPr="00797379">
        <w:t xml:space="preserve"> </w:t>
      </w:r>
      <w:r w:rsidR="004F0217" w:rsidRPr="00797379">
        <w:t>essential guidance</w:t>
      </w:r>
      <w:r w:rsidR="00692B90" w:rsidRPr="00797379">
        <w:t xml:space="preserve"> </w:t>
      </w:r>
      <w:r w:rsidR="004F0217" w:rsidRPr="00797379">
        <w:t xml:space="preserve">during their transition into the school. They emphasized that mentoring offered a reliable structure, helped them understand school routines, and connected them with colleagues who could support their instructional development. Mentors themselves viewed the experience as mutually beneficial, noting that working with new teachers promoted </w:t>
      </w:r>
      <w:r w:rsidR="004352A7" w:rsidRPr="00797379">
        <w:t xml:space="preserve">their own </w:t>
      </w:r>
      <w:r w:rsidR="004F0217" w:rsidRPr="00797379">
        <w:t>ongoing reflection and reinforced a culture of continuous learning. For these educators, mentorship was not evaluative but a safe, collegial space that encouraged growth and strengthened professional relationships.</w:t>
      </w:r>
    </w:p>
    <w:p w14:paraId="6C6D3826" w14:textId="4D46996A" w:rsidR="00C77EA0" w:rsidRPr="00797379" w:rsidRDefault="004352A7" w:rsidP="00C77EA0">
      <w:pPr>
        <w:pStyle w:val="BodyText"/>
      </w:pPr>
      <w:r w:rsidRPr="00797379">
        <w:t>O</w:t>
      </w:r>
      <w:r w:rsidR="004F0217" w:rsidRPr="00797379">
        <w:t>ther teachers</w:t>
      </w:r>
      <w:r w:rsidRPr="00797379">
        <w:t>, however,</w:t>
      </w:r>
      <w:r w:rsidR="004F0217" w:rsidRPr="00797379">
        <w:t xml:space="preserve"> reported </w:t>
      </w:r>
      <w:r w:rsidRPr="00797379">
        <w:t>negative</w:t>
      </w:r>
      <w:r w:rsidR="004F0217" w:rsidRPr="00797379">
        <w:t xml:space="preserve"> experience</w:t>
      </w:r>
      <w:r w:rsidRPr="00797379">
        <w:t>s</w:t>
      </w:r>
      <w:r w:rsidR="004F0217" w:rsidRPr="00797379">
        <w:t>, describing the program as</w:t>
      </w:r>
      <w:r w:rsidRPr="00797379">
        <w:t xml:space="preserve"> </w:t>
      </w:r>
      <w:r w:rsidR="004F0217" w:rsidRPr="00797379">
        <w:t>superficial, misaligned, or overly administratively controlled. In these accounts, mentorship activities sometimes felt disconnected from the day</w:t>
      </w:r>
      <w:r w:rsidRPr="00797379">
        <w:t>-</w:t>
      </w:r>
      <w:r w:rsidR="004F0217" w:rsidRPr="00797379">
        <w:t>to</w:t>
      </w:r>
      <w:r w:rsidRPr="00797379">
        <w:t>-</w:t>
      </w:r>
      <w:r w:rsidR="004F0217" w:rsidRPr="00797379">
        <w:t xml:space="preserve">day realities of classroom instruction. </w:t>
      </w:r>
      <w:r w:rsidR="00595E61" w:rsidRPr="00797379">
        <w:t>These t</w:t>
      </w:r>
      <w:r w:rsidR="004F0217" w:rsidRPr="00797379">
        <w:t xml:space="preserve">eachers expressed frustration when meetings focused on generic activities, such as repeated icebreakers, rather than </w:t>
      </w:r>
      <w:r w:rsidR="00595E61" w:rsidRPr="00797379">
        <w:t xml:space="preserve">on </w:t>
      </w:r>
      <w:r w:rsidR="004F0217" w:rsidRPr="00797379">
        <w:t>practical feedback, modeling, or problem</w:t>
      </w:r>
      <w:r w:rsidR="00E206B7" w:rsidRPr="00797379">
        <w:t xml:space="preserve"> </w:t>
      </w:r>
      <w:r w:rsidR="004F0217" w:rsidRPr="00797379">
        <w:t>solving. A recurring concern involved</w:t>
      </w:r>
      <w:r w:rsidR="00E206B7" w:rsidRPr="00797379">
        <w:t xml:space="preserve"> </w:t>
      </w:r>
      <w:r w:rsidR="004F0217" w:rsidRPr="00797379">
        <w:t>mismatched mentor</w:t>
      </w:r>
      <w:r w:rsidR="00E206B7" w:rsidRPr="00797379">
        <w:t>-</w:t>
      </w:r>
      <w:r w:rsidR="004F0217" w:rsidRPr="00797379">
        <w:t>mentee assignments, especially when mentors lacked expertise in the mentee</w:t>
      </w:r>
      <w:r w:rsidR="00E206B7" w:rsidRPr="00797379">
        <w:t>’</w:t>
      </w:r>
      <w:r w:rsidR="004F0217" w:rsidRPr="00797379">
        <w:t xml:space="preserve">s subject area. These structural challenges left some </w:t>
      </w:r>
      <w:r w:rsidR="008264CC" w:rsidRPr="00797379">
        <w:t xml:space="preserve">new </w:t>
      </w:r>
      <w:r w:rsidR="004F0217" w:rsidRPr="00797379">
        <w:t>educators without the discipline</w:t>
      </w:r>
      <w:r w:rsidR="00E206B7" w:rsidRPr="00797379">
        <w:t>-</w:t>
      </w:r>
      <w:r w:rsidR="004F0217" w:rsidRPr="00797379">
        <w:t xml:space="preserve">specific guidance they needed. Additionally, several teachers noted that mentor assignments were dictated by administration rather than by those who led or understood the program’s needs, </w:t>
      </w:r>
      <w:r w:rsidR="008264CC" w:rsidRPr="00797379">
        <w:t xml:space="preserve">thereby </w:t>
      </w:r>
      <w:r w:rsidR="004F0217" w:rsidRPr="00797379">
        <w:t>reducing opportunities for responsive or intentional pairing.</w:t>
      </w:r>
      <w:r w:rsidR="006E57A6" w:rsidRPr="00797379">
        <w:t xml:space="preserve"> Together, these perspectives reveal a </w:t>
      </w:r>
      <w:r w:rsidR="00E05FA6" w:rsidRPr="00797379">
        <w:t xml:space="preserve">mentorship </w:t>
      </w:r>
      <w:r w:rsidR="006E57A6" w:rsidRPr="00797379">
        <w:t>program with strong foundational intentions but inconsistent experiences.</w:t>
      </w:r>
    </w:p>
    <w:p w14:paraId="7E389A1E" w14:textId="77777777" w:rsidR="00A11A4B" w:rsidRPr="00797379" w:rsidRDefault="00A11A4B" w:rsidP="00A11A4B">
      <w:pPr>
        <w:pStyle w:val="BodyText"/>
        <w:rPr>
          <w:color w:val="EE0000"/>
        </w:rPr>
      </w:pPr>
      <w:r w:rsidRPr="00797379">
        <w:t>WEA leaders reported that recognition and advancement opportunities are primarily governed by collective bargaining agreements, which include provisions for salary scale movement and tuition reimbursement. District documents primarily identify professional development opportunities for educators to earn graduate credits through district offerings. Additionally, district documentation and interviews with district leadership did not identify any ways in which educators are recognized for excellence either at the district or school level.</w:t>
      </w:r>
      <w:r w:rsidRPr="00974880">
        <w:t xml:space="preserve"> Implementing programs to recognize educator excellence is an area of growth for the district.</w:t>
      </w:r>
    </w:p>
    <w:p w14:paraId="010626EC" w14:textId="30A49835" w:rsidR="002B4CEF" w:rsidRPr="00797379" w:rsidRDefault="002B4CEF" w:rsidP="00AE0CFD">
      <w:pPr>
        <w:pStyle w:val="Heading3"/>
      </w:pPr>
      <w:r w:rsidRPr="00797379">
        <w:t>Recommendations</w:t>
      </w:r>
    </w:p>
    <w:p w14:paraId="240B7B88" w14:textId="6641CA9A" w:rsidR="00FE3580" w:rsidRPr="00FE3580" w:rsidRDefault="00AB714F" w:rsidP="00AE0CFD">
      <w:pPr>
        <w:pStyle w:val="Bullet1"/>
        <w:rPr>
          <w:bCs/>
          <w:i/>
          <w:iCs/>
        </w:rPr>
      </w:pPr>
      <w:r>
        <w:rPr>
          <w:i/>
          <w:iCs/>
        </w:rPr>
        <w:t>The district should develop a system for</w:t>
      </w:r>
      <w:r w:rsidR="00323545">
        <w:rPr>
          <w:i/>
          <w:iCs/>
        </w:rPr>
        <w:t xml:space="preserve"> proactively monitoring and </w:t>
      </w:r>
      <w:r w:rsidR="00824131">
        <w:rPr>
          <w:i/>
          <w:iCs/>
        </w:rPr>
        <w:t xml:space="preserve">estimating </w:t>
      </w:r>
      <w:r w:rsidR="00323545">
        <w:rPr>
          <w:i/>
          <w:iCs/>
        </w:rPr>
        <w:t>student enrollment trends to inform upcoming staffing needs across the district.</w:t>
      </w:r>
    </w:p>
    <w:p w14:paraId="2D51234A" w14:textId="72D6D7A4" w:rsidR="00D93268" w:rsidRPr="00D93268" w:rsidRDefault="00D62755" w:rsidP="00AE0CFD">
      <w:pPr>
        <w:pStyle w:val="Bullet1"/>
        <w:rPr>
          <w:bCs/>
          <w:i/>
          <w:iCs/>
        </w:rPr>
      </w:pPr>
      <w:r>
        <w:rPr>
          <w:i/>
          <w:iCs/>
        </w:rPr>
        <w:t xml:space="preserve">The district should develop a comprehensive </w:t>
      </w:r>
      <w:r w:rsidR="00E0195E">
        <w:rPr>
          <w:i/>
          <w:iCs/>
        </w:rPr>
        <w:t>recruitment</w:t>
      </w:r>
      <w:r>
        <w:rPr>
          <w:i/>
          <w:iCs/>
        </w:rPr>
        <w:t xml:space="preserve"> plan that builds on its current practices and focuses on recruiting diverse educators</w:t>
      </w:r>
      <w:r w:rsidR="00742EA9">
        <w:rPr>
          <w:i/>
          <w:iCs/>
        </w:rPr>
        <w:t>.</w:t>
      </w:r>
    </w:p>
    <w:p w14:paraId="0BD3383A" w14:textId="206EB6CD" w:rsidR="004A515D" w:rsidRPr="004A515D" w:rsidRDefault="007D7F68" w:rsidP="00AE0CFD">
      <w:pPr>
        <w:pStyle w:val="Bullet1"/>
        <w:rPr>
          <w:bCs/>
          <w:i/>
          <w:iCs/>
        </w:rPr>
      </w:pPr>
      <w:r>
        <w:rPr>
          <w:bCs/>
          <w:i/>
          <w:iCs/>
        </w:rPr>
        <w:t>The district should work with its evaluators to</w:t>
      </w:r>
      <w:r w:rsidR="00F32B1A">
        <w:rPr>
          <w:bCs/>
          <w:i/>
          <w:iCs/>
        </w:rPr>
        <w:t xml:space="preserve"> ensure that </w:t>
      </w:r>
      <w:r w:rsidR="00CC415E">
        <w:rPr>
          <w:bCs/>
          <w:i/>
          <w:iCs/>
        </w:rPr>
        <w:t>all t</w:t>
      </w:r>
      <w:r w:rsidR="00CC415E" w:rsidRPr="00CC415E">
        <w:rPr>
          <w:bCs/>
          <w:i/>
          <w:iCs/>
        </w:rPr>
        <w:t>eachers receive constructive feedback and all administrators receive assessments of progress towards goals and standards</w:t>
      </w:r>
    </w:p>
    <w:p w14:paraId="58F088E5" w14:textId="251AAFB3" w:rsidR="002251B1" w:rsidRPr="0053142E" w:rsidRDefault="00A633AC" w:rsidP="00AE0CFD">
      <w:pPr>
        <w:pStyle w:val="Bullet1"/>
        <w:rPr>
          <w:bCs/>
          <w:i/>
          <w:iCs/>
        </w:rPr>
      </w:pPr>
      <w:r>
        <w:rPr>
          <w:i/>
          <w:iCs/>
        </w:rPr>
        <w:t>The district should issue clear guidance to administrators and coaches aro</w:t>
      </w:r>
      <w:r w:rsidR="00D73311">
        <w:rPr>
          <w:i/>
          <w:iCs/>
        </w:rPr>
        <w:t>un</w:t>
      </w:r>
      <w:r>
        <w:rPr>
          <w:i/>
          <w:iCs/>
        </w:rPr>
        <w:t xml:space="preserve">d </w:t>
      </w:r>
      <w:r w:rsidR="00B35C1E">
        <w:rPr>
          <w:i/>
          <w:iCs/>
        </w:rPr>
        <w:t>expectations for conducting</w:t>
      </w:r>
      <w:r w:rsidR="00E751BF">
        <w:rPr>
          <w:i/>
          <w:iCs/>
        </w:rPr>
        <w:t xml:space="preserve"> formal and informal observations and providing meaningful feedback to teachers</w:t>
      </w:r>
      <w:r w:rsidR="00D73311">
        <w:rPr>
          <w:i/>
          <w:iCs/>
        </w:rPr>
        <w:t>.</w:t>
      </w:r>
    </w:p>
    <w:p w14:paraId="42BCBC9D" w14:textId="52679D81" w:rsidR="0053142E" w:rsidRPr="007C36B5" w:rsidRDefault="0053142E" w:rsidP="00AE0CFD">
      <w:pPr>
        <w:pStyle w:val="Bullet1"/>
        <w:rPr>
          <w:bCs/>
          <w:i/>
          <w:iCs/>
        </w:rPr>
      </w:pPr>
      <w:r>
        <w:rPr>
          <w:i/>
          <w:iCs/>
        </w:rPr>
        <w:t xml:space="preserve">The district should examine schedules across all of its buildings and identify opportunities to increase </w:t>
      </w:r>
      <w:r w:rsidR="00940FD2">
        <w:rPr>
          <w:i/>
          <w:iCs/>
        </w:rPr>
        <w:t xml:space="preserve">collaboration opportunities within and across grade levels and subject areas. </w:t>
      </w:r>
    </w:p>
    <w:p w14:paraId="1FA9ACFA" w14:textId="6C8A85A2" w:rsidR="007C36B5" w:rsidRPr="00476B26" w:rsidRDefault="007C36B5" w:rsidP="00AE0CFD">
      <w:pPr>
        <w:pStyle w:val="Bullet1"/>
        <w:rPr>
          <w:bCs/>
          <w:i/>
          <w:iCs/>
        </w:rPr>
      </w:pPr>
      <w:r>
        <w:rPr>
          <w:i/>
          <w:iCs/>
        </w:rPr>
        <w:t xml:space="preserve">The district should work with its school leaders to develop both district- and school-level recognition opportunities for educators. </w:t>
      </w:r>
    </w:p>
    <w:p w14:paraId="77600101" w14:textId="5BF5A1A5" w:rsidR="008D6102" w:rsidRPr="00797379" w:rsidRDefault="000604FE" w:rsidP="00AE0CFD">
      <w:pPr>
        <w:pStyle w:val="BodyText"/>
      </w:pPr>
      <w:r w:rsidRPr="00797379">
        <w:t>For related resources, see Appendix C.</w:t>
      </w:r>
      <w:r w:rsidR="008D6102" w:rsidRPr="00797379">
        <w:rPr>
          <w:bCs/>
        </w:rPr>
        <w:br w:type="page"/>
      </w:r>
    </w:p>
    <w:p w14:paraId="3913897C" w14:textId="77777777" w:rsidR="008D6102" w:rsidRPr="00797379" w:rsidRDefault="008D6102" w:rsidP="00AE0CFD">
      <w:pPr>
        <w:pStyle w:val="Heading2"/>
      </w:pPr>
      <w:bookmarkStart w:id="69" w:name="_Student_Support"/>
      <w:bookmarkStart w:id="70" w:name="_Toc101446231"/>
      <w:bookmarkStart w:id="71" w:name="_Toc223625542"/>
      <w:bookmarkEnd w:id="69"/>
      <w:r w:rsidRPr="00797379">
        <w:t>Student Support</w:t>
      </w:r>
      <w:bookmarkEnd w:id="70"/>
      <w:bookmarkEnd w:id="71"/>
    </w:p>
    <w:p w14:paraId="4675061C" w14:textId="01C38EE6" w:rsidR="00E341DA" w:rsidRPr="00797379" w:rsidRDefault="00E341DA" w:rsidP="00AE0CFD">
      <w:pPr>
        <w:pStyle w:val="BodyTextposthead"/>
      </w:pPr>
      <w:bookmarkStart w:id="72" w:name="_Toc101446232"/>
      <w:bookmarkEnd w:id="30"/>
      <w:r w:rsidRPr="00797379">
        <w:t xml:space="preserve">This section focuses on the extent to which </w:t>
      </w:r>
      <w:r w:rsidR="00B1058F" w:rsidRPr="00797379">
        <w:t>WPS</w:t>
      </w:r>
      <w:r w:rsidRPr="00797379">
        <w:t xml:space="preserve"> supports the whole student by creating safe and supportive environments, meeting students’ health and well</w:t>
      </w:r>
      <w:r w:rsidR="00B1058F" w:rsidRPr="00797379">
        <w:t>-</w:t>
      </w:r>
      <w:r w:rsidRPr="00797379">
        <w:t>being needs, and engaging all families. It also focuses on the extent to which these supports are built on a robust Multi-Tiered System of Support that flexibly assesses and addresses each student’s academic, social emotional, and behavioral strengths and needs.</w:t>
      </w:r>
    </w:p>
    <w:p w14:paraId="7355BFE9" w14:textId="1DAB3B82" w:rsidR="002C6E1C" w:rsidRPr="00797379" w:rsidRDefault="002C6E1C" w:rsidP="00AE0CFD">
      <w:pPr>
        <w:pStyle w:val="BodyText"/>
      </w:pPr>
      <w:r w:rsidRPr="00797379">
        <w:t>Table</w:t>
      </w:r>
      <w:r w:rsidR="009D3EFF" w:rsidRPr="00797379" w:rsidDel="00B1058F">
        <w:t xml:space="preserve"> </w:t>
      </w:r>
      <w:r w:rsidR="00B1058F" w:rsidRPr="00797379">
        <w:t xml:space="preserve">9 </w:t>
      </w:r>
      <w:r w:rsidRPr="00797379">
        <w:t>summarizes key strengths and areas for growth in student support</w:t>
      </w:r>
      <w:r w:rsidR="00250663" w:rsidRPr="00797379">
        <w:t xml:space="preserve"> in </w:t>
      </w:r>
      <w:r w:rsidR="00A527DA" w:rsidRPr="00797379">
        <w:t>Winchester</w:t>
      </w:r>
      <w:r w:rsidRPr="00797379">
        <w:t>.</w:t>
      </w:r>
    </w:p>
    <w:p w14:paraId="0EB4E056" w14:textId="52F8A2D5" w:rsidR="00B827DE" w:rsidRPr="00797379" w:rsidRDefault="00B827DE" w:rsidP="00AE0CFD">
      <w:pPr>
        <w:pStyle w:val="TableTitle0"/>
      </w:pPr>
      <w:bookmarkStart w:id="73" w:name="_Toc220932414"/>
      <w:r w:rsidRPr="00797379">
        <w:t xml:space="preserve">Table </w:t>
      </w:r>
      <w:r w:rsidR="00B1058F" w:rsidRPr="00797379">
        <w:t>9</w:t>
      </w:r>
      <w:r w:rsidRPr="00797379">
        <w:t xml:space="preserve">. Summary of </w:t>
      </w:r>
      <w:r w:rsidR="002C6E1C" w:rsidRPr="00797379">
        <w:t xml:space="preserve">Key Strengths </w:t>
      </w:r>
      <w:r w:rsidRPr="00797379">
        <w:t xml:space="preserve">and </w:t>
      </w:r>
      <w:r w:rsidR="002C6E1C" w:rsidRPr="00797379">
        <w:t xml:space="preserve">Areas </w:t>
      </w:r>
      <w:r w:rsidRPr="00797379">
        <w:t xml:space="preserve">for </w:t>
      </w:r>
      <w:r w:rsidR="002C6E1C" w:rsidRPr="00797379">
        <w:t>Growth:</w:t>
      </w:r>
      <w:r w:rsidRPr="00797379">
        <w:t xml:space="preserve"> Student Support</w:t>
      </w:r>
      <w:r w:rsidR="002C6E1C" w:rsidRPr="00797379">
        <w:t xml:space="preserve"> Standard</w:t>
      </w:r>
      <w:bookmarkEnd w:id="73"/>
    </w:p>
    <w:tbl>
      <w:tblPr>
        <w:tblStyle w:val="MSVTable1"/>
        <w:tblW w:w="5000" w:type="pct"/>
        <w:tblLook w:val="04A0" w:firstRow="1" w:lastRow="0" w:firstColumn="1" w:lastColumn="0" w:noHBand="0" w:noVBand="1"/>
      </w:tblPr>
      <w:tblGrid>
        <w:gridCol w:w="1973"/>
        <w:gridCol w:w="3686"/>
        <w:gridCol w:w="3685"/>
      </w:tblGrid>
      <w:tr w:rsidR="00B827DE" w:rsidRPr="00797379" w14:paraId="29A087A1" w14:textId="77777777" w:rsidTr="00AE0CFD">
        <w:trPr>
          <w:cnfStyle w:val="100000000000" w:firstRow="1" w:lastRow="0" w:firstColumn="0" w:lastColumn="0" w:oddVBand="0" w:evenVBand="0" w:oddHBand="0" w:evenHBand="0" w:firstRowFirstColumn="0" w:firstRowLastColumn="0" w:lastRowFirstColumn="0" w:lastRowLastColumn="0"/>
          <w:tblHeader/>
        </w:trPr>
        <w:tc>
          <w:tcPr>
            <w:tcW w:w="1055" w:type="pct"/>
          </w:tcPr>
          <w:p w14:paraId="4C0F0075" w14:textId="77777777" w:rsidR="00B827DE" w:rsidRPr="00797379" w:rsidRDefault="00B827DE" w:rsidP="00AE0CFD">
            <w:pPr>
              <w:pStyle w:val="TableColHeadingCenter"/>
            </w:pPr>
            <w:r w:rsidRPr="00797379">
              <w:t>Indicator</w:t>
            </w:r>
          </w:p>
        </w:tc>
        <w:tc>
          <w:tcPr>
            <w:tcW w:w="1972" w:type="pct"/>
          </w:tcPr>
          <w:p w14:paraId="769171B3" w14:textId="77777777" w:rsidR="00B827DE" w:rsidRPr="00797379" w:rsidRDefault="00B827DE" w:rsidP="00AE0CFD">
            <w:pPr>
              <w:pStyle w:val="TableColHeadingCenter"/>
            </w:pPr>
            <w:r w:rsidRPr="00797379">
              <w:t>Strengths</w:t>
            </w:r>
          </w:p>
        </w:tc>
        <w:tc>
          <w:tcPr>
            <w:tcW w:w="1972" w:type="pct"/>
          </w:tcPr>
          <w:p w14:paraId="44C3E121" w14:textId="17C71646" w:rsidR="00B827DE" w:rsidRPr="00797379" w:rsidRDefault="00B827DE" w:rsidP="00AE0CFD">
            <w:pPr>
              <w:pStyle w:val="TableColHeadingCenter"/>
            </w:pPr>
            <w:r w:rsidRPr="00797379">
              <w:t xml:space="preserve">Areas for </w:t>
            </w:r>
            <w:r w:rsidR="002C6E1C" w:rsidRPr="00797379">
              <w:t>growth</w:t>
            </w:r>
          </w:p>
        </w:tc>
      </w:tr>
      <w:tr w:rsidR="00B827DE" w:rsidRPr="00797379" w14:paraId="192A22C5" w14:textId="77777777" w:rsidTr="00AE0CFD">
        <w:trPr>
          <w:cnfStyle w:val="000000100000" w:firstRow="0" w:lastRow="0" w:firstColumn="0" w:lastColumn="0" w:oddVBand="0" w:evenVBand="0" w:oddHBand="1" w:evenHBand="0" w:firstRowFirstColumn="0" w:firstRowLastColumn="0" w:lastRowFirstColumn="0" w:lastRowLastColumn="0"/>
        </w:trPr>
        <w:tc>
          <w:tcPr>
            <w:tcW w:w="1055" w:type="pct"/>
          </w:tcPr>
          <w:p w14:paraId="0E8000C3" w14:textId="45AC57BD" w:rsidR="00B827DE" w:rsidRPr="00797379" w:rsidRDefault="00B827DE" w:rsidP="00AE0CFD">
            <w:pPr>
              <w:pStyle w:val="TableSubheading"/>
            </w:pPr>
            <w:hyperlink w:anchor="_Safe_and_Supportive" w:history="1">
              <w:r w:rsidRPr="00797379">
                <w:rPr>
                  <w:rStyle w:val="Hyperlink"/>
                  <w:color w:val="auto"/>
                  <w:u w:val="none"/>
                </w:rPr>
                <w:t xml:space="preserve">Safe and </w:t>
              </w:r>
              <w:r w:rsidR="008E78FB" w:rsidRPr="00797379">
                <w:rPr>
                  <w:rStyle w:val="Hyperlink"/>
                  <w:color w:val="auto"/>
                  <w:u w:val="none"/>
                </w:rPr>
                <w:t>S</w:t>
              </w:r>
              <w:r w:rsidRPr="00797379">
                <w:rPr>
                  <w:rStyle w:val="Hyperlink"/>
                  <w:color w:val="auto"/>
                  <w:u w:val="none"/>
                </w:rPr>
                <w:t xml:space="preserve">upportive </w:t>
              </w:r>
              <w:r w:rsidR="008E78FB" w:rsidRPr="00797379">
                <w:rPr>
                  <w:rStyle w:val="Hyperlink"/>
                  <w:color w:val="auto"/>
                  <w:u w:val="none"/>
                </w:rPr>
                <w:t>S</w:t>
              </w:r>
              <w:r w:rsidRPr="00797379">
                <w:rPr>
                  <w:rStyle w:val="Hyperlink"/>
                  <w:color w:val="auto"/>
                  <w:u w:val="none"/>
                </w:rPr>
                <w:t xml:space="preserve">chool </w:t>
              </w:r>
              <w:r w:rsidR="008E78FB" w:rsidRPr="00797379">
                <w:rPr>
                  <w:rStyle w:val="Hyperlink"/>
                  <w:color w:val="auto"/>
                  <w:u w:val="none"/>
                </w:rPr>
                <w:t>C</w:t>
              </w:r>
              <w:r w:rsidRPr="00797379">
                <w:rPr>
                  <w:rStyle w:val="Hyperlink"/>
                  <w:color w:val="auto"/>
                  <w:u w:val="none"/>
                </w:rPr>
                <w:t xml:space="preserve">limate and </w:t>
              </w:r>
              <w:r w:rsidR="008E78FB" w:rsidRPr="00797379">
                <w:rPr>
                  <w:rStyle w:val="Hyperlink"/>
                  <w:color w:val="auto"/>
                  <w:u w:val="none"/>
                </w:rPr>
                <w:t>C</w:t>
              </w:r>
              <w:r w:rsidRPr="00797379">
                <w:rPr>
                  <w:rStyle w:val="Hyperlink"/>
                  <w:color w:val="auto"/>
                  <w:u w:val="none"/>
                </w:rPr>
                <w:t>ulture</w:t>
              </w:r>
            </w:hyperlink>
          </w:p>
        </w:tc>
        <w:tc>
          <w:tcPr>
            <w:tcW w:w="1972" w:type="pct"/>
          </w:tcPr>
          <w:p w14:paraId="3DF2E29B" w14:textId="78FFC9A4" w:rsidR="00B827DE" w:rsidRPr="002C7EB8" w:rsidRDefault="004B2E0B" w:rsidP="00AE0CFD">
            <w:pPr>
              <w:pStyle w:val="TableBullet1"/>
              <w:rPr>
                <w:color w:val="000000" w:themeColor="text1"/>
              </w:rPr>
            </w:pPr>
            <w:r w:rsidRPr="002C7EB8">
              <w:rPr>
                <w:color w:val="000000" w:themeColor="text1"/>
              </w:rPr>
              <w:t>The district</w:t>
            </w:r>
            <w:r w:rsidR="002C7EB8" w:rsidRPr="002C7EB8">
              <w:rPr>
                <w:color w:val="000000" w:themeColor="text1"/>
              </w:rPr>
              <w:t>’</w:t>
            </w:r>
            <w:r w:rsidRPr="002C7EB8">
              <w:rPr>
                <w:color w:val="000000" w:themeColor="text1"/>
              </w:rPr>
              <w:t>s focus on, and implementation of, social-emotional learning at the elementary and middle school level.</w:t>
            </w:r>
          </w:p>
          <w:p w14:paraId="132C8480" w14:textId="33F2C8B4" w:rsidR="004B2E0B" w:rsidRPr="002C7EB8" w:rsidRDefault="004B2E0B" w:rsidP="00AE0CFD">
            <w:pPr>
              <w:pStyle w:val="TableBullet1"/>
              <w:rPr>
                <w:color w:val="000000" w:themeColor="text1"/>
              </w:rPr>
            </w:pPr>
            <w:r w:rsidRPr="002C7EB8">
              <w:rPr>
                <w:color w:val="000000" w:themeColor="text1"/>
              </w:rPr>
              <w:t>There are consistent and understood behavioral expectations across all school in the district.</w:t>
            </w:r>
          </w:p>
        </w:tc>
        <w:tc>
          <w:tcPr>
            <w:tcW w:w="1972" w:type="pct"/>
          </w:tcPr>
          <w:p w14:paraId="2DE3D9E0" w14:textId="6B209838" w:rsidR="00B827DE" w:rsidRPr="002C7EB8" w:rsidRDefault="00974880" w:rsidP="00AE0CFD">
            <w:pPr>
              <w:pStyle w:val="TableBullet1"/>
              <w:rPr>
                <w:color w:val="000000" w:themeColor="text1"/>
              </w:rPr>
            </w:pPr>
            <w:r>
              <w:rPr>
                <w:color w:val="000000" w:themeColor="text1"/>
              </w:rPr>
              <w:t>N/A</w:t>
            </w:r>
          </w:p>
        </w:tc>
      </w:tr>
      <w:tr w:rsidR="008E78FB" w:rsidRPr="00797379" w14:paraId="1CE8C21F" w14:textId="77777777" w:rsidTr="00AE0CFD">
        <w:tc>
          <w:tcPr>
            <w:tcW w:w="1055" w:type="pct"/>
          </w:tcPr>
          <w:p w14:paraId="2F6553E8" w14:textId="773D6F60" w:rsidR="008E78FB" w:rsidRPr="00797379" w:rsidRDefault="008E78FB" w:rsidP="00AE0CFD">
            <w:pPr>
              <w:pStyle w:val="TableSubheading"/>
            </w:pPr>
            <w:hyperlink w:anchor="_Tiered_Systems_of" w:history="1">
              <w:r w:rsidRPr="00797379">
                <w:rPr>
                  <w:rStyle w:val="Hyperlink"/>
                  <w:color w:val="auto"/>
                  <w:u w:val="none"/>
                </w:rPr>
                <w:t>Health and Wellbeing</w:t>
              </w:r>
            </w:hyperlink>
          </w:p>
        </w:tc>
        <w:tc>
          <w:tcPr>
            <w:tcW w:w="1972" w:type="pct"/>
          </w:tcPr>
          <w:p w14:paraId="5D50A4F9" w14:textId="2EA0411A" w:rsidR="008E78FB" w:rsidRPr="002C7EB8" w:rsidRDefault="00974880" w:rsidP="00AE0CFD">
            <w:pPr>
              <w:pStyle w:val="TableBullet1"/>
              <w:rPr>
                <w:color w:val="000000" w:themeColor="text1"/>
              </w:rPr>
            </w:pPr>
            <w:r>
              <w:rPr>
                <w:color w:val="000000" w:themeColor="text1"/>
              </w:rPr>
              <w:t>N/A</w:t>
            </w:r>
          </w:p>
        </w:tc>
        <w:tc>
          <w:tcPr>
            <w:tcW w:w="1972" w:type="pct"/>
          </w:tcPr>
          <w:p w14:paraId="79D5DF69" w14:textId="1FA36E00" w:rsidR="008E78FB" w:rsidRPr="002C7EB8" w:rsidRDefault="00D96279" w:rsidP="00AE0CFD">
            <w:pPr>
              <w:pStyle w:val="TableBullet1"/>
              <w:rPr>
                <w:color w:val="000000" w:themeColor="text1"/>
              </w:rPr>
            </w:pPr>
            <w:r w:rsidRPr="002C7EB8">
              <w:rPr>
                <w:rFonts w:ascii="Franklin Gothic Book" w:eastAsia="Franklin Gothic Book" w:hAnsi="Franklin Gothic Book" w:cs="Franklin Gothic Book"/>
                <w:color w:val="000000" w:themeColor="text1"/>
              </w:rPr>
              <w:t>Ensuring all students and families are aware of, and can access, available supports</w:t>
            </w:r>
          </w:p>
        </w:tc>
      </w:tr>
      <w:tr w:rsidR="000B782E" w:rsidRPr="00797379" w14:paraId="56DC2E99" w14:textId="77777777" w:rsidTr="00AE0CFD">
        <w:trPr>
          <w:cnfStyle w:val="000000100000" w:firstRow="0" w:lastRow="0" w:firstColumn="0" w:lastColumn="0" w:oddVBand="0" w:evenVBand="0" w:oddHBand="1" w:evenHBand="0" w:firstRowFirstColumn="0" w:firstRowLastColumn="0" w:lastRowFirstColumn="0" w:lastRowLastColumn="0"/>
        </w:trPr>
        <w:tc>
          <w:tcPr>
            <w:tcW w:w="1055" w:type="pct"/>
          </w:tcPr>
          <w:p w14:paraId="3DCA32C2" w14:textId="54CAAD15" w:rsidR="000B782E" w:rsidRPr="00797379" w:rsidRDefault="000B782E" w:rsidP="00AE0CFD">
            <w:pPr>
              <w:pStyle w:val="TableSubheading"/>
            </w:pPr>
            <w:hyperlink w:anchor="_Family_and_Community" w:history="1">
              <w:r w:rsidRPr="00797379">
                <w:rPr>
                  <w:rStyle w:val="Hyperlink"/>
                  <w:color w:val="auto"/>
                  <w:u w:val="none"/>
                </w:rPr>
                <w:t>Family and Community Partnerships</w:t>
              </w:r>
            </w:hyperlink>
          </w:p>
        </w:tc>
        <w:tc>
          <w:tcPr>
            <w:tcW w:w="1972" w:type="pct"/>
          </w:tcPr>
          <w:p w14:paraId="110A16EB" w14:textId="65BA6A37" w:rsidR="000B782E" w:rsidRPr="002C7EB8" w:rsidRDefault="00D96279" w:rsidP="00AE0CFD">
            <w:pPr>
              <w:pStyle w:val="TableBullet1"/>
              <w:rPr>
                <w:color w:val="000000" w:themeColor="text1"/>
              </w:rPr>
            </w:pPr>
            <w:r w:rsidRPr="002C7EB8">
              <w:rPr>
                <w:color w:val="000000" w:themeColor="text1"/>
              </w:rPr>
              <w:t xml:space="preserve">The district has </w:t>
            </w:r>
            <w:r w:rsidR="002C7EB8" w:rsidRPr="002C7EB8">
              <w:rPr>
                <w:color w:val="000000" w:themeColor="text1"/>
              </w:rPr>
              <w:t>access to multiple community partnerships.</w:t>
            </w:r>
          </w:p>
        </w:tc>
        <w:tc>
          <w:tcPr>
            <w:tcW w:w="1972" w:type="pct"/>
          </w:tcPr>
          <w:p w14:paraId="4B1DF210" w14:textId="14F53FF6" w:rsidR="000B782E" w:rsidRPr="002C7EB8" w:rsidRDefault="00D96279" w:rsidP="00AE0CFD">
            <w:pPr>
              <w:pStyle w:val="TableBullet1"/>
              <w:rPr>
                <w:color w:val="000000" w:themeColor="text1"/>
              </w:rPr>
            </w:pPr>
            <w:r w:rsidRPr="002C7EB8">
              <w:rPr>
                <w:color w:val="000000" w:themeColor="text1"/>
              </w:rPr>
              <w:t>Promoting district-wide policies for consistent and clear family communication</w:t>
            </w:r>
          </w:p>
        </w:tc>
      </w:tr>
      <w:tr w:rsidR="00B827DE" w:rsidRPr="00797379" w14:paraId="491E4833" w14:textId="77777777" w:rsidTr="00AE0CFD">
        <w:tc>
          <w:tcPr>
            <w:tcW w:w="1055" w:type="pct"/>
          </w:tcPr>
          <w:p w14:paraId="0084A27B" w14:textId="6FA66273" w:rsidR="00B827DE" w:rsidRPr="00797379" w:rsidRDefault="000B782E" w:rsidP="00AE0CFD">
            <w:pPr>
              <w:pStyle w:val="TableSubheading"/>
            </w:pPr>
            <w:hyperlink w:anchor="_Multi-Tiered_Systems_of" w:history="1">
              <w:r w:rsidRPr="00797379">
                <w:rPr>
                  <w:rStyle w:val="Hyperlink"/>
                  <w:color w:val="auto"/>
                  <w:u w:val="none"/>
                </w:rPr>
                <w:t>Multi</w:t>
              </w:r>
              <w:r w:rsidR="006F4231" w:rsidRPr="00797379">
                <w:rPr>
                  <w:rStyle w:val="Hyperlink"/>
                  <w:color w:val="auto"/>
                  <w:u w:val="none"/>
                </w:rPr>
                <w:t>-T</w:t>
              </w:r>
              <w:r w:rsidR="00B827DE" w:rsidRPr="00797379">
                <w:rPr>
                  <w:rStyle w:val="Hyperlink"/>
                  <w:color w:val="auto"/>
                  <w:u w:val="none"/>
                </w:rPr>
                <w:t xml:space="preserve">iered </w:t>
              </w:r>
              <w:r w:rsidR="006F4231" w:rsidRPr="00797379">
                <w:rPr>
                  <w:rStyle w:val="Hyperlink"/>
                  <w:color w:val="auto"/>
                  <w:u w:val="none"/>
                </w:rPr>
                <w:t>S</w:t>
              </w:r>
              <w:r w:rsidR="00B827DE" w:rsidRPr="00797379">
                <w:rPr>
                  <w:rStyle w:val="Hyperlink"/>
                  <w:color w:val="auto"/>
                  <w:u w:val="none"/>
                </w:rPr>
                <w:t xml:space="preserve">ystems of </w:t>
              </w:r>
              <w:r w:rsidR="006F4231" w:rsidRPr="00797379">
                <w:rPr>
                  <w:rStyle w:val="Hyperlink"/>
                  <w:color w:val="auto"/>
                  <w:u w:val="none"/>
                </w:rPr>
                <w:t>S</w:t>
              </w:r>
              <w:r w:rsidR="00B827DE" w:rsidRPr="00797379">
                <w:rPr>
                  <w:rStyle w:val="Hyperlink"/>
                  <w:color w:val="auto"/>
                  <w:u w:val="none"/>
                </w:rPr>
                <w:t>upport</w:t>
              </w:r>
              <w:r w:rsidR="006F4231" w:rsidRPr="00797379">
                <w:rPr>
                  <w:rStyle w:val="Hyperlink"/>
                  <w:color w:val="auto"/>
                  <w:u w:val="none"/>
                </w:rPr>
                <w:t xml:space="preserve"> (MTSS)</w:t>
              </w:r>
            </w:hyperlink>
          </w:p>
        </w:tc>
        <w:tc>
          <w:tcPr>
            <w:tcW w:w="1972" w:type="pct"/>
          </w:tcPr>
          <w:p w14:paraId="7B5A0406" w14:textId="70A56DBD" w:rsidR="002C7EB8" w:rsidRPr="002C7EB8" w:rsidRDefault="004C3700" w:rsidP="00AE0CFD">
            <w:pPr>
              <w:pStyle w:val="TableBullet1"/>
              <w:rPr>
                <w:color w:val="000000" w:themeColor="text1"/>
              </w:rPr>
            </w:pPr>
            <w:r>
              <w:rPr>
                <w:color w:val="000000" w:themeColor="text1"/>
              </w:rPr>
              <w:t>N/A</w:t>
            </w:r>
          </w:p>
        </w:tc>
        <w:tc>
          <w:tcPr>
            <w:tcW w:w="1972" w:type="pct"/>
          </w:tcPr>
          <w:p w14:paraId="6DE32EBE" w14:textId="77777777" w:rsidR="00C10B4D" w:rsidRDefault="00AE55F8" w:rsidP="004C3700">
            <w:pPr>
              <w:pStyle w:val="TableBullet1"/>
              <w:rPr>
                <w:color w:val="000000" w:themeColor="text1"/>
              </w:rPr>
            </w:pPr>
            <w:r>
              <w:rPr>
                <w:color w:val="000000" w:themeColor="text1"/>
              </w:rPr>
              <w:t>Streamlining</w:t>
            </w:r>
            <w:r w:rsidRPr="002C7EB8">
              <w:rPr>
                <w:color w:val="000000" w:themeColor="text1"/>
              </w:rPr>
              <w:t xml:space="preserve"> the SST process across all grade levels and schools to ensure clarity and consistency</w:t>
            </w:r>
          </w:p>
          <w:p w14:paraId="475954FD" w14:textId="24B375DB" w:rsidR="004C3700" w:rsidRPr="004C3700" w:rsidRDefault="004C3700" w:rsidP="004C3700">
            <w:pPr>
              <w:pStyle w:val="TableBullet1"/>
              <w:rPr>
                <w:color w:val="000000" w:themeColor="text1"/>
              </w:rPr>
            </w:pPr>
            <w:r>
              <w:rPr>
                <w:color w:val="000000" w:themeColor="text1"/>
              </w:rPr>
              <w:t xml:space="preserve">Developing </w:t>
            </w:r>
            <w:r w:rsidRPr="002C7EB8">
              <w:rPr>
                <w:color w:val="000000" w:themeColor="text1"/>
              </w:rPr>
              <w:t>centralized data systems to support consistent implementation of interventions</w:t>
            </w:r>
          </w:p>
        </w:tc>
      </w:tr>
    </w:tbl>
    <w:p w14:paraId="6FDD5EB4" w14:textId="3A48E896" w:rsidR="00B827DE" w:rsidRPr="00797379" w:rsidRDefault="00B827DE" w:rsidP="00AE0CFD">
      <w:pPr>
        <w:pStyle w:val="Heading3"/>
      </w:pPr>
      <w:bookmarkStart w:id="74" w:name="_Safe_and_Supportive"/>
      <w:bookmarkEnd w:id="74"/>
      <w:r w:rsidRPr="00797379">
        <w:t>Safe and Supportive School Climate and Culture</w:t>
      </w:r>
    </w:p>
    <w:p w14:paraId="172EAE2C" w14:textId="1B541610" w:rsidR="0039012B" w:rsidRDefault="000C62A8" w:rsidP="00AE0CFD">
      <w:pPr>
        <w:pStyle w:val="BodyTextposthead"/>
        <w:rPr>
          <w:color w:val="538135" w:themeColor="accent6" w:themeShade="BF"/>
        </w:rPr>
      </w:pPr>
      <w:r w:rsidRPr="00797379">
        <w:t xml:space="preserve">District leaders reported </w:t>
      </w:r>
      <w:r w:rsidR="00762E01" w:rsidRPr="00797379">
        <w:t xml:space="preserve">that WPS </w:t>
      </w:r>
      <w:r w:rsidRPr="00797379">
        <w:t>has made notable strides in fostering safe and supportive learning environments, with a strong emphasis on social-emotional learning</w:t>
      </w:r>
      <w:r w:rsidRPr="00797379" w:rsidDel="00762E01">
        <w:t xml:space="preserve"> </w:t>
      </w:r>
      <w:r w:rsidRPr="00797379">
        <w:t>and inclusive practices.</w:t>
      </w:r>
      <w:r w:rsidRPr="00797379" w:rsidDel="007F392A">
        <w:t xml:space="preserve"> </w:t>
      </w:r>
      <w:r w:rsidR="00FA6304">
        <w:t>According to district leaders and documents</w:t>
      </w:r>
      <w:r w:rsidR="00762E01" w:rsidRPr="00797379">
        <w:t>, i</w:t>
      </w:r>
      <w:r w:rsidRPr="00797379">
        <w:t xml:space="preserve">ncorporating and implementing </w:t>
      </w:r>
      <w:r w:rsidR="00762E01" w:rsidRPr="00797379">
        <w:t>social-emotional learning</w:t>
      </w:r>
      <w:r w:rsidRPr="00797379">
        <w:t xml:space="preserve"> practices is </w:t>
      </w:r>
      <w:r w:rsidR="00762E01" w:rsidRPr="00797379">
        <w:t xml:space="preserve">a </w:t>
      </w:r>
      <w:r w:rsidRPr="00797379">
        <w:t xml:space="preserve">key </w:t>
      </w:r>
      <w:r w:rsidR="00762E01" w:rsidRPr="00797379">
        <w:t xml:space="preserve">factor in </w:t>
      </w:r>
      <w:r w:rsidRPr="00797379">
        <w:t xml:space="preserve">the WPS 2030 improvement plan. </w:t>
      </w:r>
      <w:r w:rsidR="00762E01" w:rsidRPr="00797379">
        <w:t>T</w:t>
      </w:r>
      <w:r w:rsidRPr="00797379">
        <w:t xml:space="preserve">he </w:t>
      </w:r>
      <w:r w:rsidRPr="00797379" w:rsidDel="00762E01">
        <w:t xml:space="preserve">district </w:t>
      </w:r>
      <w:r w:rsidRPr="00797379">
        <w:t xml:space="preserve">integrated </w:t>
      </w:r>
      <w:r w:rsidR="00762E01" w:rsidRPr="00797379">
        <w:t xml:space="preserve">social-emotional learning </w:t>
      </w:r>
      <w:r w:rsidRPr="00797379">
        <w:t>into its instructional framework</w:t>
      </w:r>
      <w:r w:rsidRPr="00797379" w:rsidDel="00762E01">
        <w:t xml:space="preserve"> </w:t>
      </w:r>
      <w:r w:rsidRPr="00797379">
        <w:t>over a decade</w:t>
      </w:r>
      <w:r w:rsidR="00762E01" w:rsidRPr="00797379">
        <w:t xml:space="preserve"> </w:t>
      </w:r>
      <w:r w:rsidR="004B2E0B" w:rsidRPr="00797379">
        <w:t>ago and</w:t>
      </w:r>
      <w:r w:rsidR="00762E01" w:rsidRPr="00797379">
        <w:t xml:space="preserve"> </w:t>
      </w:r>
      <w:r w:rsidRPr="00797379">
        <w:t>employ</w:t>
      </w:r>
      <w:r w:rsidR="00762E01" w:rsidRPr="00797379">
        <w:t>s</w:t>
      </w:r>
      <w:r w:rsidRPr="00797379">
        <w:t xml:space="preserve"> </w:t>
      </w:r>
      <w:r w:rsidR="00762E01" w:rsidRPr="00797379">
        <w:t>social-emotional learning</w:t>
      </w:r>
      <w:r w:rsidRPr="00797379">
        <w:t xml:space="preserve"> coaches at the elementary and middle school levels to deliver explicit instruction to students and provide professional development for staff. These coaches facilitate classroom lessons and targeted </w:t>
      </w:r>
      <w:r w:rsidR="00762E01" w:rsidRPr="00797379">
        <w:t xml:space="preserve">social-emotional learning </w:t>
      </w:r>
      <w:r w:rsidRPr="00797379">
        <w:t xml:space="preserve">skills groups, ensuring consistency in standards across schools and working toward vertical alignment to minimize cultural shifts as students transition between grade levels. </w:t>
      </w:r>
      <w:r w:rsidR="00762E01" w:rsidRPr="003542B9">
        <w:t xml:space="preserve">The focus on, and implementation of, </w:t>
      </w:r>
      <w:r w:rsidR="00271A40" w:rsidRPr="003542B9">
        <w:t>social-emotional learning</w:t>
      </w:r>
      <w:r w:rsidR="00762E01" w:rsidRPr="003542B9">
        <w:t xml:space="preserve"> at the elementary</w:t>
      </w:r>
      <w:r w:rsidR="00C62D06" w:rsidRPr="003542B9">
        <w:t xml:space="preserve"> and middle school</w:t>
      </w:r>
      <w:r w:rsidR="00762E01" w:rsidRPr="003542B9">
        <w:t xml:space="preserve"> level is a strength of the district</w:t>
      </w:r>
      <w:r w:rsidR="00622643" w:rsidRPr="003542B9">
        <w:t xml:space="preserve">. </w:t>
      </w:r>
    </w:p>
    <w:p w14:paraId="33CE8A5D" w14:textId="54719B8E" w:rsidR="000C62A8" w:rsidRPr="00797379" w:rsidRDefault="00622643" w:rsidP="003542B9">
      <w:pPr>
        <w:pStyle w:val="BodyTextposthead"/>
        <w:spacing w:before="240"/>
      </w:pPr>
      <w:r w:rsidRPr="00797379">
        <w:t xml:space="preserve">District </w:t>
      </w:r>
      <w:r w:rsidR="00271A40" w:rsidRPr="00797379">
        <w:t>social-emotional learning</w:t>
      </w:r>
      <w:r w:rsidRPr="00797379">
        <w:t xml:space="preserve"> </w:t>
      </w:r>
      <w:r w:rsidR="00762E01" w:rsidRPr="00797379">
        <w:t>efforts</w:t>
      </w:r>
      <w:r w:rsidR="00271A40" w:rsidRPr="00797379">
        <w:t xml:space="preserve"> </w:t>
      </w:r>
      <w:r w:rsidRPr="00797379">
        <w:t xml:space="preserve">also </w:t>
      </w:r>
      <w:r w:rsidR="00762E01" w:rsidRPr="00797379">
        <w:t xml:space="preserve">include mentoring programs for </w:t>
      </w:r>
      <w:r w:rsidR="00271A40" w:rsidRPr="00797379">
        <w:t>ninth graders</w:t>
      </w:r>
      <w:r w:rsidR="00762E01" w:rsidRPr="00797379">
        <w:t xml:space="preserve"> and flexible </w:t>
      </w:r>
      <w:r w:rsidR="00271A40" w:rsidRPr="00797379">
        <w:t>WIN</w:t>
      </w:r>
      <w:r w:rsidR="0049245B" w:rsidRPr="00797379">
        <w:t>/Flex</w:t>
      </w:r>
      <w:r w:rsidR="00271A40" w:rsidRPr="00797379">
        <w:t xml:space="preserve"> B</w:t>
      </w:r>
      <w:r w:rsidR="00762E01" w:rsidRPr="00797379">
        <w:t>locks that offer enrichment. T</w:t>
      </w:r>
      <w:r w:rsidR="000C62A8" w:rsidRPr="00797379">
        <w:t xml:space="preserve">here is no </w:t>
      </w:r>
      <w:r w:rsidR="00762E01" w:rsidRPr="00797379">
        <w:t>social-emotional learning</w:t>
      </w:r>
      <w:r w:rsidR="000C62A8" w:rsidRPr="00797379">
        <w:t xml:space="preserve"> coach </w:t>
      </w:r>
      <w:r w:rsidR="00762E01" w:rsidRPr="00797379">
        <w:t>at the high school</w:t>
      </w:r>
      <w:r w:rsidR="000C62A8" w:rsidRPr="00797379">
        <w:t xml:space="preserve">, </w:t>
      </w:r>
      <w:r w:rsidR="00762E01" w:rsidRPr="00797379">
        <w:t xml:space="preserve">but </w:t>
      </w:r>
      <w:r w:rsidR="000C62A8" w:rsidRPr="00797379">
        <w:t xml:space="preserve">the district plans to expand </w:t>
      </w:r>
      <w:r w:rsidR="00762E01" w:rsidRPr="00797379">
        <w:t>social-emotional learning into the high school</w:t>
      </w:r>
      <w:r w:rsidR="000C62A8" w:rsidRPr="00797379">
        <w:t xml:space="preserve"> in coming years. According to school support staff</w:t>
      </w:r>
      <w:r w:rsidR="00271A40" w:rsidRPr="00797379">
        <w:t xml:space="preserve"> respondents</w:t>
      </w:r>
      <w:r w:rsidR="000C62A8" w:rsidRPr="00797379">
        <w:t xml:space="preserve">, </w:t>
      </w:r>
      <w:r w:rsidR="00271A40" w:rsidRPr="00797379">
        <w:t xml:space="preserve">there are </w:t>
      </w:r>
      <w:r w:rsidR="000C62A8" w:rsidRPr="00797379">
        <w:t xml:space="preserve">guidance </w:t>
      </w:r>
      <w:r w:rsidR="00762E01" w:rsidRPr="00797379">
        <w:t xml:space="preserve">counselors, </w:t>
      </w:r>
      <w:r w:rsidR="000C62A8" w:rsidRPr="00797379">
        <w:t>adjustment counselors</w:t>
      </w:r>
      <w:r w:rsidR="00762E01" w:rsidRPr="00797379">
        <w:t>,</w:t>
      </w:r>
      <w:r w:rsidR="000C62A8" w:rsidRPr="00797379">
        <w:t xml:space="preserve"> </w:t>
      </w:r>
      <w:r w:rsidR="00762E01" w:rsidRPr="00797379">
        <w:t xml:space="preserve">and a school psychologist </w:t>
      </w:r>
      <w:r w:rsidR="000C62A8" w:rsidRPr="00797379">
        <w:t>at the high school level.</w:t>
      </w:r>
      <w:r w:rsidR="005B7C63" w:rsidRPr="00797379">
        <w:t xml:space="preserve"> District student support documents detail tiered interventions and targeted programs such as Signs of Suicide (SOS)</w:t>
      </w:r>
      <w:r w:rsidR="00762E01" w:rsidRPr="00797379">
        <w:t xml:space="preserve"> and </w:t>
      </w:r>
      <w:r w:rsidR="005B7C63" w:rsidRPr="00797379">
        <w:t xml:space="preserve">screening tools such as </w:t>
      </w:r>
      <w:r w:rsidR="00762E01" w:rsidRPr="00797379">
        <w:t>S</w:t>
      </w:r>
      <w:r w:rsidR="005B7C63" w:rsidRPr="00797379">
        <w:t xml:space="preserve">creening, </w:t>
      </w:r>
      <w:r w:rsidR="00762E01" w:rsidRPr="00797379">
        <w:t>B</w:t>
      </w:r>
      <w:r w:rsidR="005B7C63" w:rsidRPr="00797379">
        <w:t xml:space="preserve">rief </w:t>
      </w:r>
      <w:r w:rsidR="00762E01" w:rsidRPr="00797379">
        <w:t>I</w:t>
      </w:r>
      <w:r w:rsidR="005B7C63" w:rsidRPr="00797379">
        <w:t xml:space="preserve">ntervention, and </w:t>
      </w:r>
      <w:r w:rsidR="00762E01" w:rsidRPr="00797379">
        <w:t>R</w:t>
      </w:r>
      <w:r w:rsidR="005B7C63" w:rsidRPr="00797379">
        <w:t xml:space="preserve">eferral to </w:t>
      </w:r>
      <w:r w:rsidR="00762E01" w:rsidRPr="00797379">
        <w:t>T</w:t>
      </w:r>
      <w:r w:rsidR="005B7C63" w:rsidRPr="00797379">
        <w:t xml:space="preserve">reatment (SBIRT) to screen for substance use disorders. </w:t>
      </w:r>
    </w:p>
    <w:p w14:paraId="60E3B439" w14:textId="5BBDF2E3" w:rsidR="000C62A8" w:rsidRPr="00797379" w:rsidRDefault="001C10F2" w:rsidP="003542B9">
      <w:pPr>
        <w:pStyle w:val="BodyText"/>
      </w:pPr>
      <w:r w:rsidRPr="00797379">
        <w:t>As noted earlier in the report, t</w:t>
      </w:r>
      <w:r w:rsidR="000C62A8" w:rsidRPr="00797379">
        <w:t xml:space="preserve">he district uses data from the YRBS and </w:t>
      </w:r>
      <w:r w:rsidRPr="00797379">
        <w:t xml:space="preserve">the </w:t>
      </w:r>
      <w:r w:rsidR="000C62A8" w:rsidRPr="00797379">
        <w:t>MCIEA survey to monitor student well-being and inform programming</w:t>
      </w:r>
      <w:r w:rsidRPr="00797379">
        <w:t>; t</w:t>
      </w:r>
      <w:r w:rsidR="000C62A8" w:rsidRPr="00797379">
        <w:t xml:space="preserve">hese data have highlighted areas of concern particularly for LGBTQ+ students, especially around bullying and stress, prompting </w:t>
      </w:r>
      <w:r w:rsidRPr="00797379">
        <w:t xml:space="preserve">district </w:t>
      </w:r>
      <w:r w:rsidR="000C62A8" w:rsidRPr="00797379">
        <w:t xml:space="preserve">initiatives such as Gay Straight Alliance (GSA) groups, Day of Dialogue events, and partnerships with external agencies to improve staff capacity for supporting LGBTQ+ students. </w:t>
      </w:r>
      <w:r w:rsidRPr="00797379">
        <w:t>D</w:t>
      </w:r>
      <w:r w:rsidR="000C62A8" w:rsidRPr="00797379">
        <w:t>istrict leaders acknowledge</w:t>
      </w:r>
      <w:r w:rsidRPr="00797379">
        <w:t>d</w:t>
      </w:r>
      <w:r w:rsidR="000C62A8" w:rsidRPr="00797379">
        <w:t xml:space="preserve"> that these </w:t>
      </w:r>
      <w:r w:rsidR="002535BB">
        <w:t>initiatives</w:t>
      </w:r>
      <w:r w:rsidR="002535BB" w:rsidRPr="00797379">
        <w:t xml:space="preserve"> </w:t>
      </w:r>
      <w:r w:rsidR="000C62A8" w:rsidRPr="00797379">
        <w:t>are insufficient and are working to establish focus groups and additional resources to address gaps.</w:t>
      </w:r>
    </w:p>
    <w:p w14:paraId="751863D6" w14:textId="58E4F3AD" w:rsidR="000C62A8" w:rsidRPr="00797379" w:rsidRDefault="000C62A8" w:rsidP="003542B9">
      <w:pPr>
        <w:pStyle w:val="BodyText"/>
        <w:rPr>
          <w:color w:val="538135" w:themeColor="accent6" w:themeShade="BF"/>
        </w:rPr>
      </w:pPr>
      <w:r w:rsidRPr="00797379">
        <w:t>The District Curriculum Accommodation Plan (DCAP) outlin</w:t>
      </w:r>
      <w:r w:rsidR="003443C0" w:rsidRPr="00797379">
        <w:t>es</w:t>
      </w:r>
      <w:r w:rsidRPr="00797379">
        <w:t xml:space="preserve"> strategies for </w:t>
      </w:r>
      <w:r w:rsidR="003443C0" w:rsidRPr="00797379">
        <w:t xml:space="preserve">students’ </w:t>
      </w:r>
      <w:r w:rsidRPr="00797379">
        <w:t>behavior, reading, writing, and math success, as well as accommodations to support diverse learners in general education classrooms. It mandates structured routines, visual supports, and multi-modal instruction to address behavioral and academic needs, aligning with DESE expectations for inclusive environments. High school students reported that they generally understand classroom expectations and tasks, though clarity varie</w:t>
      </w:r>
      <w:r w:rsidR="003443C0" w:rsidRPr="00797379">
        <w:t>d</w:t>
      </w:r>
      <w:r w:rsidRPr="00797379">
        <w:t xml:space="preserve"> by teacher. They noted that some teachers provide</w:t>
      </w:r>
      <w:r w:rsidR="003443C0" w:rsidRPr="00797379">
        <w:t>d</w:t>
      </w:r>
      <w:r w:rsidRPr="00797379">
        <w:t xml:space="preserve"> explicit directions and models, while </w:t>
      </w:r>
      <w:r w:rsidR="003443C0" w:rsidRPr="00797379">
        <w:t>one student said teachers</w:t>
      </w:r>
      <w:r w:rsidRPr="00797379">
        <w:t xml:space="preserve"> “just throw it” at students</w:t>
      </w:r>
      <w:r w:rsidR="003443C0" w:rsidRPr="00797379">
        <w:t xml:space="preserve"> without</w:t>
      </w:r>
      <w:r w:rsidRPr="00797379" w:rsidDel="003443C0">
        <w:t xml:space="preserve"> </w:t>
      </w:r>
      <w:r w:rsidRPr="00797379">
        <w:t>reinforcement. Students also reported that behavioral expectations are known throughout the school, and students understand the consequence</w:t>
      </w:r>
      <w:r w:rsidR="008C5418" w:rsidRPr="00797379">
        <w:t>s</w:t>
      </w:r>
      <w:r w:rsidRPr="00797379">
        <w:t xml:space="preserve"> for not following these expectations. </w:t>
      </w:r>
      <w:r w:rsidR="003443C0" w:rsidRPr="00797379">
        <w:t xml:space="preserve">These assertions are supported by </w:t>
      </w:r>
      <w:r w:rsidR="003F5C03" w:rsidRPr="00797379">
        <w:t>CLASS observations scores</w:t>
      </w:r>
      <w:r w:rsidR="003443C0" w:rsidRPr="00797379">
        <w:t xml:space="preserve"> averaging</w:t>
      </w:r>
      <w:r w:rsidR="003F5C03" w:rsidRPr="00797379">
        <w:t xml:space="preserve"> </w:t>
      </w:r>
      <w:r w:rsidR="003443C0" w:rsidRPr="00797379">
        <w:t xml:space="preserve">in the high range </w:t>
      </w:r>
      <w:r w:rsidR="003F5C03" w:rsidRPr="00797379">
        <w:t xml:space="preserve">for </w:t>
      </w:r>
      <w:r w:rsidR="003443C0" w:rsidRPr="00797379">
        <w:t>B</w:t>
      </w:r>
      <w:r w:rsidR="00103365" w:rsidRPr="00797379">
        <w:t xml:space="preserve">ehavior </w:t>
      </w:r>
      <w:r w:rsidR="003443C0" w:rsidRPr="00797379">
        <w:t>M</w:t>
      </w:r>
      <w:r w:rsidR="00103365" w:rsidRPr="00797379">
        <w:t>anagement</w:t>
      </w:r>
      <w:r w:rsidR="003443C0" w:rsidRPr="00797379">
        <w:t xml:space="preserve"> for</w:t>
      </w:r>
      <w:r w:rsidR="00103365" w:rsidRPr="00797379" w:rsidDel="003443C0">
        <w:t xml:space="preserve"> </w:t>
      </w:r>
      <w:r w:rsidR="00103365" w:rsidRPr="00797379">
        <w:t>all grade bands (P</w:t>
      </w:r>
      <w:r w:rsidR="004138AD" w:rsidRPr="00797379">
        <w:t>K-5, 6-8, and 9-12)</w:t>
      </w:r>
      <w:r w:rsidR="0091710E" w:rsidRPr="00797379">
        <w:t xml:space="preserve"> (see </w:t>
      </w:r>
      <w:r w:rsidR="0091710E" w:rsidRPr="00797379">
        <w:rPr>
          <w:i/>
          <w:iCs/>
        </w:rPr>
        <w:t>Appendix B</w:t>
      </w:r>
      <w:r w:rsidR="005B7C63" w:rsidRPr="00797379">
        <w:t xml:space="preserve">). </w:t>
      </w:r>
      <w:r w:rsidR="005B7C63" w:rsidRPr="00FE731D">
        <w:t>Consistent</w:t>
      </w:r>
      <w:r w:rsidRPr="00FE731D">
        <w:t xml:space="preserve"> and understood behavioral expectations are a strength for the district</w:t>
      </w:r>
      <w:r w:rsidR="005C3B57" w:rsidRPr="00FE731D">
        <w:t>.</w:t>
      </w:r>
    </w:p>
    <w:p w14:paraId="463565B5" w14:textId="28FC4C7D" w:rsidR="00844323" w:rsidRPr="00797379" w:rsidRDefault="00844323" w:rsidP="00AE0CFD">
      <w:pPr>
        <w:pStyle w:val="BodyText"/>
      </w:pPr>
      <w:r w:rsidRPr="00797379">
        <w:t xml:space="preserve">According to district documents and information from students and district leaders, </w:t>
      </w:r>
      <w:r w:rsidR="00303C94" w:rsidRPr="00797379">
        <w:t xml:space="preserve">all </w:t>
      </w:r>
      <w:r w:rsidRPr="00797379">
        <w:t>schools in the district have a bullying prevention plan</w:t>
      </w:r>
      <w:r w:rsidR="002649CF" w:rsidRPr="00797379">
        <w:t>, which t</w:t>
      </w:r>
      <w:r w:rsidRPr="00797379">
        <w:t xml:space="preserve">he </w:t>
      </w:r>
      <w:r w:rsidR="00303C94" w:rsidRPr="00797379">
        <w:t>s</w:t>
      </w:r>
      <w:r w:rsidRPr="00797379">
        <w:t xml:space="preserve">chool </w:t>
      </w:r>
      <w:r w:rsidR="00303C94" w:rsidRPr="00797379">
        <w:t>c</w:t>
      </w:r>
      <w:r w:rsidRPr="00797379">
        <w:t>ommittee</w:t>
      </w:r>
      <w:r w:rsidRPr="00797379" w:rsidDel="002649CF">
        <w:t xml:space="preserve"> recently reviewed </w:t>
      </w:r>
      <w:r w:rsidRPr="00797379">
        <w:t xml:space="preserve">in December 2025. </w:t>
      </w:r>
      <w:r w:rsidR="00303C94" w:rsidRPr="00797379">
        <w:t>T</w:t>
      </w:r>
      <w:r w:rsidRPr="00797379">
        <w:t xml:space="preserve">he bullying prevention plan was created in collaboration with teachers, school staff, professional support personnel, administrators, volunteers, community representatives, local law enforcement agencies, students, parents, and guardians. </w:t>
      </w:r>
      <w:r w:rsidR="00303C94" w:rsidRPr="00797379">
        <w:t>T</w:t>
      </w:r>
      <w:r w:rsidRPr="00797379">
        <w:t xml:space="preserve">he middle and high schools in the district </w:t>
      </w:r>
      <w:r w:rsidR="00E43A5C">
        <w:t xml:space="preserve">also </w:t>
      </w:r>
      <w:r w:rsidRPr="00797379">
        <w:t>conduct</w:t>
      </w:r>
      <w:r w:rsidR="00303C94" w:rsidRPr="00797379">
        <w:t>ed</w:t>
      </w:r>
      <w:r w:rsidRPr="00797379">
        <w:t xml:space="preserve"> a school climate survey. According to district leaders, the district </w:t>
      </w:r>
      <w:r w:rsidR="005571C9" w:rsidRPr="00797379">
        <w:t xml:space="preserve">regularly </w:t>
      </w:r>
      <w:r w:rsidRPr="00797379">
        <w:t xml:space="preserve">uses </w:t>
      </w:r>
      <w:r w:rsidR="0056659D">
        <w:t xml:space="preserve">the </w:t>
      </w:r>
      <w:r w:rsidRPr="00797379">
        <w:t xml:space="preserve">MCIEA Dashboard, </w:t>
      </w:r>
      <w:r w:rsidR="005571C9" w:rsidRPr="00797379">
        <w:t>YRBS</w:t>
      </w:r>
      <w:r w:rsidRPr="00797379">
        <w:t>, and student and staff surveys to</w:t>
      </w:r>
      <w:r w:rsidRPr="00797379" w:rsidDel="005571C9">
        <w:t xml:space="preserve"> </w:t>
      </w:r>
      <w:r w:rsidRPr="00797379">
        <w:t xml:space="preserve">monitor school and district </w:t>
      </w:r>
      <w:r w:rsidR="00413FD7">
        <w:t xml:space="preserve">climate and </w:t>
      </w:r>
      <w:r w:rsidRPr="00797379">
        <w:t>culture.</w:t>
      </w:r>
    </w:p>
    <w:p w14:paraId="5DB9B864" w14:textId="01419A25" w:rsidR="000C62A8" w:rsidRPr="00797379" w:rsidRDefault="000C62A8" w:rsidP="00AE0CFD">
      <w:pPr>
        <w:pStyle w:val="BodyText"/>
      </w:pPr>
      <w:r w:rsidRPr="00797379">
        <w:t xml:space="preserve">According to district leaders, the district is continuing to develop and implement effective strategies to increase attendance and engagement </w:t>
      </w:r>
      <w:r w:rsidR="0083106C" w:rsidRPr="00797379">
        <w:t xml:space="preserve">and </w:t>
      </w:r>
      <w:r w:rsidRPr="00797379">
        <w:t>to prevent and mitigate the effects of chronic absenteeism. Data from student support personnel highlighted that chronic absenteeism was a major challenge</w:t>
      </w:r>
      <w:r w:rsidR="0083106C" w:rsidRPr="00797379">
        <w:t xml:space="preserve"> after the </w:t>
      </w:r>
      <w:r w:rsidR="002649CF" w:rsidRPr="00797379">
        <w:t>pandemic</w:t>
      </w:r>
      <w:r w:rsidR="0068045C" w:rsidRPr="00797379">
        <w:t xml:space="preserve">. </w:t>
      </w:r>
      <w:r w:rsidR="0083106C" w:rsidRPr="00797379">
        <w:t>C</w:t>
      </w:r>
      <w:r w:rsidR="009B61A0" w:rsidRPr="00797379">
        <w:t xml:space="preserve">hronic absenteeism has </w:t>
      </w:r>
      <w:r w:rsidR="0083106C" w:rsidRPr="00797379">
        <w:t>been</w:t>
      </w:r>
      <w:r w:rsidR="009B61A0" w:rsidRPr="00797379">
        <w:t xml:space="preserve"> identified </w:t>
      </w:r>
      <w:r w:rsidR="0083106C" w:rsidRPr="00797379">
        <w:t xml:space="preserve">as </w:t>
      </w:r>
      <w:r w:rsidR="007924B8" w:rsidRPr="00797379">
        <w:t xml:space="preserve">a </w:t>
      </w:r>
      <w:r w:rsidR="009B61A0" w:rsidRPr="00797379">
        <w:t xml:space="preserve">district priority, with weekly monitoring by assistant principals and review through SST meetings. </w:t>
      </w:r>
      <w:r w:rsidRPr="00797379">
        <w:t xml:space="preserve">Attendance data </w:t>
      </w:r>
      <w:r w:rsidR="0083106C" w:rsidRPr="00797379">
        <w:t>and</w:t>
      </w:r>
      <w:r w:rsidRPr="00797379">
        <w:t xml:space="preserve"> anecdotal observations </w:t>
      </w:r>
      <w:r w:rsidR="0083106C" w:rsidRPr="00797379">
        <w:t xml:space="preserve">are used </w:t>
      </w:r>
      <w:r w:rsidRPr="00797379">
        <w:t>to flag students for intervention</w:t>
      </w:r>
      <w:r w:rsidR="0083106C" w:rsidRPr="00797379">
        <w:t>. S</w:t>
      </w:r>
      <w:r w:rsidRPr="00797379">
        <w:t xml:space="preserve">tudent support staff acknowledged the </w:t>
      </w:r>
      <w:r w:rsidR="0083106C" w:rsidRPr="00797379">
        <w:t xml:space="preserve">lack </w:t>
      </w:r>
      <w:r w:rsidRPr="00797379">
        <w:t xml:space="preserve">of </w:t>
      </w:r>
      <w:r w:rsidR="0083106C" w:rsidRPr="00797379">
        <w:t xml:space="preserve">objective data sources, such as </w:t>
      </w:r>
      <w:r w:rsidRPr="00797379">
        <w:t xml:space="preserve">universal screeners for </w:t>
      </w:r>
      <w:r w:rsidR="0083106C" w:rsidRPr="00797379">
        <w:t xml:space="preserve">social-emotional learning </w:t>
      </w:r>
      <w:r w:rsidRPr="00797379">
        <w:t>or mental health needs</w:t>
      </w:r>
      <w:r w:rsidR="00FF3036">
        <w:t xml:space="preserve"> (see Data Collection)</w:t>
      </w:r>
      <w:r w:rsidRPr="00797379">
        <w:t>. School staff noted the reliance on anecdotal and observational data limits their ability to proactively identify students at risk of disengagement</w:t>
      </w:r>
      <w:r w:rsidR="00874DBC" w:rsidRPr="00797379">
        <w:t>.</w:t>
      </w:r>
    </w:p>
    <w:p w14:paraId="39403B39" w14:textId="5308E0EC" w:rsidR="000C62A8" w:rsidRPr="00797379" w:rsidRDefault="00716E9E" w:rsidP="00AE0CFD">
      <w:pPr>
        <w:pStyle w:val="BodyText"/>
      </w:pPr>
      <w:r w:rsidRPr="00797379">
        <w:t xml:space="preserve">WPS </w:t>
      </w:r>
      <w:r w:rsidR="000C62A8" w:rsidRPr="00797379">
        <w:t>offers student</w:t>
      </w:r>
      <w:r w:rsidRPr="00797379">
        <w:t>s</w:t>
      </w:r>
      <w:r w:rsidR="000C62A8" w:rsidRPr="00797379">
        <w:t xml:space="preserve"> </w:t>
      </w:r>
      <w:r w:rsidRPr="00797379">
        <w:t xml:space="preserve">multiple opportunities for </w:t>
      </w:r>
      <w:r w:rsidR="000C62A8" w:rsidRPr="00797379">
        <w:t xml:space="preserve">leadership, though these vary by grade level. According to elementary staff, fifth-grade students can participate in student council and help lead schoolwide meetings. Buddy and mentor programs foster leadership and peer connections. Middle school students </w:t>
      </w:r>
      <w:r w:rsidRPr="00797379">
        <w:t xml:space="preserve">may </w:t>
      </w:r>
      <w:r w:rsidR="000C62A8" w:rsidRPr="00797379">
        <w:t xml:space="preserve">engage in student council </w:t>
      </w:r>
      <w:r w:rsidRPr="00797379">
        <w:t xml:space="preserve">(formal) </w:t>
      </w:r>
      <w:r w:rsidR="000C62A8" w:rsidRPr="00797379">
        <w:t>and afterschool clubs</w:t>
      </w:r>
      <w:r w:rsidRPr="00797379">
        <w:t xml:space="preserve"> (</w:t>
      </w:r>
      <w:r w:rsidR="000C62A8" w:rsidRPr="00797379">
        <w:t>informal</w:t>
      </w:r>
      <w:r w:rsidRPr="00797379">
        <w:t>)</w:t>
      </w:r>
      <w:r w:rsidR="000C62A8" w:rsidRPr="00797379">
        <w:t xml:space="preserve"> leadership roles</w:t>
      </w:r>
      <w:r w:rsidRPr="00797379">
        <w:t>. H</w:t>
      </w:r>
      <w:r w:rsidR="000C62A8" w:rsidRPr="00797379">
        <w:t xml:space="preserve">igh school students have more formal structures, including class officer elections, student council, and the ability to </w:t>
      </w:r>
      <w:r w:rsidRPr="00797379">
        <w:t xml:space="preserve">start </w:t>
      </w:r>
      <w:r w:rsidR="000C62A8" w:rsidRPr="00797379">
        <w:t xml:space="preserve">new clubs. The high school boasts over 100 clubs, reflecting a strong culture of student-driven activities. </w:t>
      </w:r>
      <w:r w:rsidRPr="00797379">
        <w:t>School specialists said that high school s</w:t>
      </w:r>
      <w:r w:rsidR="000C62A8" w:rsidRPr="00797379">
        <w:t xml:space="preserve">tudents can also serve as teaching assistants in classes they </w:t>
      </w:r>
      <w:r w:rsidR="00731E23" w:rsidRPr="00797379">
        <w:t>previously</w:t>
      </w:r>
      <w:r w:rsidRPr="00797379">
        <w:t xml:space="preserve"> completed and </w:t>
      </w:r>
      <w:r w:rsidR="000C62A8" w:rsidRPr="00797379">
        <w:t>excelled in,</w:t>
      </w:r>
      <w:r w:rsidR="000C62A8" w:rsidRPr="00797379" w:rsidDel="00716E9E">
        <w:t xml:space="preserve"> </w:t>
      </w:r>
      <w:r w:rsidR="000C62A8" w:rsidRPr="00797379">
        <w:t>promoting leadership and ownership of learning.</w:t>
      </w:r>
      <w:r w:rsidR="00246D66" w:rsidRPr="00797379">
        <w:t xml:space="preserve"> Staff noted that middle school leadership roles are less formal, often depending on student initiative rather than on structured pathways. Beyond the classroom, two high school students serve on the school committee and provide input on how proposed policies may affect students. </w:t>
      </w:r>
    </w:p>
    <w:p w14:paraId="281BFCB3" w14:textId="5A7262D9" w:rsidR="00704DD5" w:rsidRPr="00797379" w:rsidRDefault="00731E23" w:rsidP="00AE0CFD">
      <w:pPr>
        <w:pStyle w:val="BodyText"/>
      </w:pPr>
      <w:r w:rsidRPr="00797379">
        <w:t xml:space="preserve">Middle school student focus </w:t>
      </w:r>
      <w:r w:rsidR="00704DD5" w:rsidRPr="00797379">
        <w:t xml:space="preserve">groups </w:t>
      </w:r>
      <w:r w:rsidRPr="00797379">
        <w:t>and</w:t>
      </w:r>
      <w:r w:rsidR="00704DD5" w:rsidRPr="00797379">
        <w:t xml:space="preserve"> high school student</w:t>
      </w:r>
      <w:r w:rsidRPr="00797379">
        <w:t xml:space="preserve"> focus groups</w:t>
      </w:r>
      <w:r w:rsidR="00704DD5" w:rsidRPr="00797379" w:rsidDel="00731E23">
        <w:t xml:space="preserve"> </w:t>
      </w:r>
      <w:r w:rsidRPr="00797379">
        <w:t xml:space="preserve">noted </w:t>
      </w:r>
      <w:r w:rsidR="00704DD5" w:rsidRPr="00797379">
        <w:t xml:space="preserve">that although formal leadership opportunities exist, students primarily experience </w:t>
      </w:r>
      <w:r w:rsidRPr="00797379">
        <w:t xml:space="preserve">using their </w:t>
      </w:r>
      <w:r w:rsidR="00704DD5" w:rsidRPr="00797379">
        <w:t>voice through classroom engagement and team structures rather than governance roles. Middle school students described their school as “big</w:t>
      </w:r>
      <w:r w:rsidRPr="00797379">
        <w:t>,</w:t>
      </w:r>
      <w:r w:rsidR="00704DD5" w:rsidRPr="00797379">
        <w:t>” and emphasized the importance of team</w:t>
      </w:r>
      <w:r w:rsidRPr="00797379">
        <w:t>-</w:t>
      </w:r>
      <w:r w:rsidR="00704DD5" w:rsidRPr="00797379">
        <w:t>based structures (e.g., Titans, Oracles, Gemini, Discovery) that create smaller communities, foster belonging, and support relationships with teachers and peers. Overall, staff emphasized formal leadership roles such as student council, class officers, and clubs, while students focused more on classroom</w:t>
      </w:r>
      <w:r w:rsidR="00246D66" w:rsidRPr="00797379">
        <w:t>-</w:t>
      </w:r>
      <w:r w:rsidR="00704DD5" w:rsidRPr="00797379">
        <w:t>level voice and clarity of expectations</w:t>
      </w:r>
      <w:r w:rsidR="00246D66" w:rsidRPr="00797379">
        <w:t xml:space="preserve">. This difference </w:t>
      </w:r>
      <w:r w:rsidR="00704DD5" w:rsidRPr="00797379">
        <w:t>suggest</w:t>
      </w:r>
      <w:r w:rsidR="00246D66" w:rsidRPr="00797379">
        <w:t>s</w:t>
      </w:r>
      <w:r w:rsidR="00704DD5" w:rsidRPr="00797379">
        <w:t xml:space="preserve"> a gap between available leadership opportunities and students’ perceptions </w:t>
      </w:r>
      <w:r w:rsidR="00704DD5" w:rsidRPr="00797379" w:rsidDel="00246D66">
        <w:t xml:space="preserve">of </w:t>
      </w:r>
      <w:r w:rsidR="00246D66" w:rsidRPr="00797379">
        <w:t>availability</w:t>
      </w:r>
      <w:r w:rsidR="00704DD5" w:rsidRPr="00797379">
        <w:t>. Although district documents do not explicitly outline student leadership structures, they emphasize student</w:t>
      </w:r>
      <w:r w:rsidR="00246D66" w:rsidRPr="00797379">
        <w:t>-</w:t>
      </w:r>
      <w:r w:rsidR="00704DD5" w:rsidRPr="00797379">
        <w:t>centered practices through DCAP accommodations, such as offering choices, encouraging active learning, and promoting collaboration, which indirectly support student voice by embedding autonomy and engagement into daily routines.</w:t>
      </w:r>
    </w:p>
    <w:p w14:paraId="2B4225B9" w14:textId="6AA84B71" w:rsidR="00890B24" w:rsidRPr="00797379" w:rsidRDefault="00890B24" w:rsidP="00AE0CFD">
      <w:pPr>
        <w:pStyle w:val="Heading3"/>
      </w:pPr>
      <w:bookmarkStart w:id="75" w:name="_Tiered_Systems_of"/>
      <w:bookmarkStart w:id="76" w:name="_Health_and_Wellbeing"/>
      <w:bookmarkEnd w:id="75"/>
      <w:bookmarkEnd w:id="76"/>
      <w:r w:rsidRPr="00797379">
        <w:t>Health and Well</w:t>
      </w:r>
      <w:r w:rsidR="00FC05D4" w:rsidRPr="00797379">
        <w:t>-B</w:t>
      </w:r>
      <w:r w:rsidRPr="00797379">
        <w:t>eing</w:t>
      </w:r>
    </w:p>
    <w:p w14:paraId="6CEC39C2" w14:textId="0BB4C6A1" w:rsidR="00B723D3" w:rsidRPr="00797379" w:rsidRDefault="00B723D3" w:rsidP="00AE0CFD">
      <w:pPr>
        <w:pStyle w:val="BodyTextposthead"/>
      </w:pPr>
      <w:r w:rsidRPr="00797379">
        <w:t xml:space="preserve">School administration reported that the district provides students with multiple opportunities to engage in physical </w:t>
      </w:r>
      <w:r w:rsidR="006E2B22" w:rsidRPr="00797379">
        <w:t xml:space="preserve">education (PE) </w:t>
      </w:r>
      <w:r w:rsidRPr="00797379">
        <w:t xml:space="preserve">and strengthen their bodies while attending school. </w:t>
      </w:r>
      <w:r w:rsidR="007E7476">
        <w:t>Each year, s</w:t>
      </w:r>
      <w:r w:rsidRPr="00797379">
        <w:t xml:space="preserve">tudents in </w:t>
      </w:r>
      <w:r w:rsidR="00155C2D">
        <w:t>g</w:t>
      </w:r>
      <w:r w:rsidRPr="00797379">
        <w:t>rades</w:t>
      </w:r>
      <w:r w:rsidR="00AE0CFD" w:rsidRPr="00797379">
        <w:t> </w:t>
      </w:r>
      <w:r w:rsidRPr="00797379">
        <w:t>K</w:t>
      </w:r>
      <w:r w:rsidR="00AE0CFD" w:rsidRPr="00797379">
        <w:noBreakHyphen/>
      </w:r>
      <w:r w:rsidRPr="00797379">
        <w:t xml:space="preserve">5 participate in a full year of PE, while </w:t>
      </w:r>
      <w:r w:rsidR="00155C2D">
        <w:t>g</w:t>
      </w:r>
      <w:r w:rsidRPr="00797379">
        <w:t xml:space="preserve">rades 6-12 participate in </w:t>
      </w:r>
      <w:r w:rsidR="00F16090" w:rsidRPr="00797379">
        <w:t xml:space="preserve">a </w:t>
      </w:r>
      <w:r w:rsidRPr="00797379">
        <w:t>half</w:t>
      </w:r>
      <w:r w:rsidR="00F16090" w:rsidRPr="00797379">
        <w:t>-</w:t>
      </w:r>
      <w:r w:rsidRPr="00797379">
        <w:t>year</w:t>
      </w:r>
      <w:r w:rsidR="006E2B22" w:rsidRPr="00797379">
        <w:t xml:space="preserve"> of PE and</w:t>
      </w:r>
      <w:r w:rsidRPr="00797379">
        <w:t xml:space="preserve"> </w:t>
      </w:r>
      <w:r w:rsidR="006E2B22" w:rsidRPr="00797379">
        <w:t>h</w:t>
      </w:r>
      <w:r w:rsidRPr="00797379">
        <w:t>ealth classes.</w:t>
      </w:r>
    </w:p>
    <w:p w14:paraId="2AE3CA9C" w14:textId="36827A80" w:rsidR="00CD3927" w:rsidRPr="00797379" w:rsidRDefault="00B723D3" w:rsidP="00AE0CFD">
      <w:pPr>
        <w:pStyle w:val="BodyText"/>
      </w:pPr>
      <w:r w:rsidRPr="00797379">
        <w:t>The district provide</w:t>
      </w:r>
      <w:r w:rsidR="00155C2D">
        <w:t>s</w:t>
      </w:r>
      <w:r w:rsidRPr="00797379">
        <w:t xml:space="preserve"> health and </w:t>
      </w:r>
      <w:r w:rsidR="006E2B22" w:rsidRPr="00797379">
        <w:t>PE</w:t>
      </w:r>
      <w:r w:rsidRPr="00797379">
        <w:t xml:space="preserve"> </w:t>
      </w:r>
      <w:r w:rsidR="00155C2D">
        <w:t xml:space="preserve">that </w:t>
      </w:r>
      <w:r w:rsidRPr="00797379">
        <w:t>align</w:t>
      </w:r>
      <w:r w:rsidR="00155C2D">
        <w:t>s</w:t>
      </w:r>
      <w:r w:rsidRPr="00797379">
        <w:t xml:space="preserve"> with state standards, but implementation is uneven across grade levels. According to district and school staff, at the elementary and middle school levels, health-related instruction is primarily embedded within </w:t>
      </w:r>
      <w:r w:rsidR="006E2B22" w:rsidRPr="00797379">
        <w:t xml:space="preserve">social-emotional learning </w:t>
      </w:r>
      <w:r w:rsidRPr="00797379">
        <w:t xml:space="preserve">lessons and classroom activities rather than through a formal health curriculum. </w:t>
      </w:r>
      <w:r w:rsidR="008D4785" w:rsidRPr="00797379">
        <w:t>Both students and school specialists noted that, a</w:t>
      </w:r>
      <w:r w:rsidRPr="00797379">
        <w:t xml:space="preserve">t the high school level, students access health education through wellness courses and targeted programs such as SOS, which address mental health awareness and substance use prevention, </w:t>
      </w:r>
      <w:r w:rsidR="008D4785" w:rsidRPr="00797379">
        <w:t>respectively</w:t>
      </w:r>
      <w:r w:rsidR="00CD3927" w:rsidRPr="00797379">
        <w:t>.</w:t>
      </w:r>
    </w:p>
    <w:p w14:paraId="7EE27A3F" w14:textId="75EE40D7" w:rsidR="00B723D3" w:rsidRPr="00797379" w:rsidRDefault="00B723D3" w:rsidP="00AE0CFD">
      <w:pPr>
        <w:pStyle w:val="BodyText"/>
      </w:pPr>
      <w:r w:rsidRPr="00797379">
        <w:t xml:space="preserve">Elementary students have scheduled recess and </w:t>
      </w:r>
      <w:r w:rsidR="00571AF8" w:rsidRPr="00797379">
        <w:t>PE</w:t>
      </w:r>
      <w:r w:rsidRPr="00797379">
        <w:t xml:space="preserve"> classes</w:t>
      </w:r>
      <w:r w:rsidR="00571AF8" w:rsidRPr="00797379">
        <w:t>;</w:t>
      </w:r>
      <w:r w:rsidRPr="00797379">
        <w:t xml:space="preserve"> middle and high school students participate in PE courses and extracurricular athletics. Student focus groups confirm</w:t>
      </w:r>
      <w:r w:rsidR="00571AF8" w:rsidRPr="00797379">
        <w:t>ed</w:t>
      </w:r>
      <w:r w:rsidRPr="00797379">
        <w:t xml:space="preserve"> that opportunities for physical activity </w:t>
      </w:r>
      <w:r w:rsidR="002846F6" w:rsidRPr="00797379">
        <w:t>exist,</w:t>
      </w:r>
      <w:r w:rsidRPr="00797379">
        <w:t xml:space="preserve"> but access var</w:t>
      </w:r>
      <w:r w:rsidR="00571AF8" w:rsidRPr="00797379">
        <w:t>ies</w:t>
      </w:r>
      <w:r w:rsidRPr="00797379">
        <w:t xml:space="preserve"> based on </w:t>
      </w:r>
      <w:r w:rsidR="00571AF8" w:rsidRPr="00797379">
        <w:t xml:space="preserve">class </w:t>
      </w:r>
      <w:r w:rsidRPr="00797379">
        <w:t>scheduling and team placement</w:t>
      </w:r>
      <w:r w:rsidR="00156C8A" w:rsidRPr="00797379">
        <w:t>.</w:t>
      </w:r>
      <w:r w:rsidRPr="00797379">
        <w:t xml:space="preserve"> Staff interviews also referenced WIN/Flex </w:t>
      </w:r>
      <w:r w:rsidR="00571AF8" w:rsidRPr="00797379">
        <w:t xml:space="preserve">Blocks </w:t>
      </w:r>
      <w:r w:rsidRPr="00797379">
        <w:t>that allow for enrichment and movement opportunities at the secondary level</w:t>
      </w:r>
      <w:r w:rsidR="00571AF8" w:rsidRPr="00797379">
        <w:t>. S</w:t>
      </w:r>
      <w:r w:rsidRPr="00797379">
        <w:t xml:space="preserve">tudents at the secondary level can </w:t>
      </w:r>
      <w:r w:rsidR="00571AF8" w:rsidRPr="00797379">
        <w:t xml:space="preserve">also </w:t>
      </w:r>
      <w:r w:rsidRPr="00797379">
        <w:t>participate in sports through the school’s various sports teams. According to district documents, there are numerous boys</w:t>
      </w:r>
      <w:r w:rsidR="00571AF8" w:rsidRPr="00797379">
        <w:t>’</w:t>
      </w:r>
      <w:r w:rsidRPr="00797379">
        <w:t xml:space="preserve"> and girls</w:t>
      </w:r>
      <w:r w:rsidR="00571AF8" w:rsidRPr="00797379">
        <w:t>’</w:t>
      </w:r>
      <w:r w:rsidRPr="00797379">
        <w:t xml:space="preserve"> teams</w:t>
      </w:r>
      <w:r w:rsidRPr="00797379" w:rsidDel="00571AF8">
        <w:t xml:space="preserve"> </w:t>
      </w:r>
      <w:r w:rsidRPr="00797379">
        <w:t xml:space="preserve">as well as </w:t>
      </w:r>
      <w:r w:rsidR="00732119">
        <w:t>U</w:t>
      </w:r>
      <w:r w:rsidRPr="00797379">
        <w:t xml:space="preserve">nified </w:t>
      </w:r>
      <w:r w:rsidR="00732119">
        <w:t>S</w:t>
      </w:r>
      <w:r w:rsidRPr="00797379">
        <w:t xml:space="preserve">ports options. The </w:t>
      </w:r>
      <w:r w:rsidR="00732119">
        <w:t>U</w:t>
      </w:r>
      <w:r w:rsidRPr="00797379">
        <w:t xml:space="preserve">nified </w:t>
      </w:r>
      <w:r w:rsidR="00732119">
        <w:t>S</w:t>
      </w:r>
      <w:r w:rsidRPr="00797379">
        <w:t>ports teams</w:t>
      </w:r>
      <w:r w:rsidR="00732119">
        <w:t xml:space="preserve">, on which students with disabilities </w:t>
      </w:r>
      <w:r w:rsidR="00D70EC0">
        <w:t xml:space="preserve">are on teams alongside </w:t>
      </w:r>
      <w:r w:rsidR="004D5DDC">
        <w:t>their peers,</w:t>
      </w:r>
      <w:r w:rsidRPr="00797379">
        <w:t xml:space="preserve"> show the district’s commitment to inclusion</w:t>
      </w:r>
      <w:r w:rsidR="00333C24" w:rsidRPr="00797379">
        <w:t xml:space="preserve"> and </w:t>
      </w:r>
      <w:r w:rsidRPr="00797379">
        <w:t>ensuring that physical activity and sports are accessible to all students.</w:t>
      </w:r>
    </w:p>
    <w:p w14:paraId="1F76EB66" w14:textId="34210B0F" w:rsidR="00B723D3" w:rsidRPr="00797379" w:rsidRDefault="00B723D3" w:rsidP="00AE0CFD">
      <w:pPr>
        <w:pStyle w:val="BodyText"/>
      </w:pPr>
      <w:r w:rsidRPr="00797379">
        <w:t>School nurses are actively involved in student support processes</w:t>
      </w:r>
      <w:r w:rsidR="00333C24" w:rsidRPr="00797379">
        <w:t xml:space="preserve">; they </w:t>
      </w:r>
      <w:r w:rsidRPr="00797379">
        <w:t>collaborat</w:t>
      </w:r>
      <w:r w:rsidR="00333C24" w:rsidRPr="00797379">
        <w:t>e</w:t>
      </w:r>
      <w:r w:rsidRPr="00797379">
        <w:t xml:space="preserve"> with counselors and administrators during SST meetings to address health</w:t>
      </w:r>
      <w:r w:rsidR="00333C24" w:rsidRPr="00797379">
        <w:t>-</w:t>
      </w:r>
      <w:r w:rsidRPr="00797379">
        <w:t>related concerns. Nursing staff provide direct services and consultation, but there is no indication of proactive health promotion initiatives beyond state-mandated screenings.</w:t>
      </w:r>
    </w:p>
    <w:p w14:paraId="749EF363" w14:textId="4ADE130F" w:rsidR="00B723D3" w:rsidRPr="00797379" w:rsidRDefault="00B723D3" w:rsidP="00AE0CFD">
      <w:pPr>
        <w:pStyle w:val="BodyText"/>
      </w:pPr>
      <w:r w:rsidRPr="00797379">
        <w:t xml:space="preserve">District leaders reported that mental health is a district priority supported </w:t>
      </w:r>
      <w:r w:rsidR="00357182" w:rsidRPr="00797379">
        <w:t>with</w:t>
      </w:r>
      <w:r w:rsidRPr="00797379">
        <w:t xml:space="preserve"> adjustment counselors, guidance counselors, and </w:t>
      </w:r>
      <w:r w:rsidR="00357182" w:rsidRPr="00797379">
        <w:t xml:space="preserve">social-emotional learning </w:t>
      </w:r>
      <w:r w:rsidRPr="00797379">
        <w:t>coaches</w:t>
      </w:r>
      <w:r w:rsidR="00357182" w:rsidRPr="00797379">
        <w:t>, who</w:t>
      </w:r>
      <w:r w:rsidRPr="00797379">
        <w:t xml:space="preserve"> provid</w:t>
      </w:r>
      <w:r w:rsidR="00357182" w:rsidRPr="00797379">
        <w:t>e</w:t>
      </w:r>
      <w:r w:rsidRPr="00797379">
        <w:t xml:space="preserve"> tiered interventions. </w:t>
      </w:r>
      <w:r w:rsidR="00357182" w:rsidRPr="00797379">
        <w:t>A review of district documents show t</w:t>
      </w:r>
      <w:r w:rsidRPr="00797379">
        <w:t xml:space="preserve">he importance of mental health and </w:t>
      </w:r>
      <w:r w:rsidR="00357182" w:rsidRPr="00797379">
        <w:t>social-emotional learning</w:t>
      </w:r>
      <w:r w:rsidRPr="00797379">
        <w:t>, including the WPS 2030 improvement plan. Programs such as SOS and SBIRT are implemented at the secondary level to promote prevention and early identification. School support staff reported strong collaboration among counselors and administrators but also noted gaps in universal screening and variability in intervention timelines. Student feedback was mixed:</w:t>
      </w:r>
      <w:r w:rsidRPr="00797379" w:rsidDel="00357182">
        <w:t xml:space="preserve"> </w:t>
      </w:r>
      <w:r w:rsidRPr="00797379">
        <w:t xml:space="preserve">some </w:t>
      </w:r>
      <w:r w:rsidR="00357182" w:rsidRPr="00797379">
        <w:t xml:space="preserve">students </w:t>
      </w:r>
      <w:r w:rsidRPr="00797379">
        <w:t xml:space="preserve">acknowledged access to counselors, </w:t>
      </w:r>
      <w:r w:rsidR="00357182" w:rsidRPr="00797379">
        <w:t xml:space="preserve">but </w:t>
      </w:r>
      <w:r w:rsidRPr="00797379">
        <w:t xml:space="preserve">others indicated that mental health supports were not consistently visible or accessible. For example, </w:t>
      </w:r>
      <w:r w:rsidR="00357182" w:rsidRPr="00797379">
        <w:t xml:space="preserve">not all </w:t>
      </w:r>
      <w:r w:rsidRPr="00797379">
        <w:t xml:space="preserve">students were </w:t>
      </w:r>
      <w:r w:rsidR="00525F81" w:rsidRPr="00797379">
        <w:t>familiar with their building school psychologist and did not know how to access them or other support staff.</w:t>
      </w:r>
    </w:p>
    <w:p w14:paraId="4E5B5E74" w14:textId="5FEB9903" w:rsidR="00B723D3" w:rsidRPr="00797379" w:rsidRDefault="00B723D3" w:rsidP="00E94763">
      <w:pPr>
        <w:pStyle w:val="BodyText"/>
      </w:pPr>
      <w:r w:rsidRPr="00797379">
        <w:t>The district maintains</w:t>
      </w:r>
      <w:r w:rsidRPr="00797379">
        <w:rPr>
          <w:b/>
          <w:i/>
        </w:rPr>
        <w:t xml:space="preserve"> </w:t>
      </w:r>
      <w:r w:rsidRPr="00797379">
        <w:t xml:space="preserve">a local wellness policy that is documented and accessible through the district website, as required by law. The policy provides guidelines </w:t>
      </w:r>
      <w:r w:rsidR="00E94763" w:rsidRPr="00797379">
        <w:t xml:space="preserve">on </w:t>
      </w:r>
      <w:r w:rsidRPr="00797379">
        <w:t>establish</w:t>
      </w:r>
      <w:r w:rsidR="00E94763" w:rsidRPr="00797379">
        <w:t>ing</w:t>
      </w:r>
      <w:r w:rsidRPr="00797379">
        <w:t xml:space="preserve"> an environment that prioritizes student health, well-being, and the ability to learn. Additionally, district and school staff referenced practices such as movement breaks, </w:t>
      </w:r>
      <w:r w:rsidR="00E94763" w:rsidRPr="00797379">
        <w:t xml:space="preserve">social-emotional learning </w:t>
      </w:r>
      <w:r w:rsidRPr="00797379">
        <w:t>integration, and mental health programming</w:t>
      </w:r>
      <w:r w:rsidR="00E94763" w:rsidRPr="00797379">
        <w:t>, all of</w:t>
      </w:r>
      <w:r w:rsidRPr="00797379">
        <w:t xml:space="preserve"> which reflect the district’s wellness priorities.</w:t>
      </w:r>
    </w:p>
    <w:p w14:paraId="5199D00E" w14:textId="7FC31C2F" w:rsidR="00CD3927" w:rsidRPr="00797379" w:rsidRDefault="00A473C7" w:rsidP="00AE0CFD">
      <w:pPr>
        <w:pStyle w:val="BodyText"/>
      </w:pPr>
      <w:r w:rsidRPr="00797379">
        <w:t xml:space="preserve">Wraparound supports are primarily provided through counseling services, </w:t>
      </w:r>
      <w:r w:rsidR="00795197" w:rsidRPr="00797379">
        <w:t xml:space="preserve">social-emotional learning </w:t>
      </w:r>
      <w:r w:rsidRPr="00797379">
        <w:t xml:space="preserve">coaching, and targeted programs. Staff described </w:t>
      </w:r>
      <w:r w:rsidR="00795197" w:rsidRPr="00797379">
        <w:t>an MTSS</w:t>
      </w:r>
      <w:r w:rsidRPr="00797379">
        <w:t xml:space="preserve"> that includes adjustment counselors, guidance counselors, and collaboration with external providers for students with complex needs</w:t>
      </w:r>
      <w:r w:rsidR="00CD3927" w:rsidRPr="00797379">
        <w:t>.</w:t>
      </w:r>
    </w:p>
    <w:p w14:paraId="6904C9BA" w14:textId="45E14DA3" w:rsidR="00A473C7" w:rsidRPr="00797379" w:rsidRDefault="00A473C7" w:rsidP="00A473C7">
      <w:pPr>
        <w:rPr>
          <w:rFonts w:ascii="Franklin Gothic Book" w:eastAsia="Franklin Gothic Book" w:hAnsi="Franklin Gothic Book" w:cs="Franklin Gothic Book"/>
        </w:rPr>
      </w:pPr>
      <w:r w:rsidRPr="00797379">
        <w:rPr>
          <w:rFonts w:ascii="Franklin Gothic Book" w:eastAsia="Franklin Gothic Book" w:hAnsi="Franklin Gothic Book" w:cs="Franklin Gothic Book"/>
        </w:rPr>
        <w:t xml:space="preserve">Family focus group participants indicated that while these supports exist, access and awareness vary. Some families reported positive experiences with counseling and intervention planning, while others expressed uncertainty about </w:t>
      </w:r>
      <w:r w:rsidR="00795197" w:rsidRPr="00797379">
        <w:rPr>
          <w:rFonts w:ascii="Franklin Gothic Book" w:eastAsia="Franklin Gothic Book" w:hAnsi="Franklin Gothic Book" w:cs="Franklin Gothic Book"/>
        </w:rPr>
        <w:t xml:space="preserve">what resources were </w:t>
      </w:r>
      <w:r w:rsidRPr="00797379">
        <w:rPr>
          <w:rFonts w:ascii="Franklin Gothic Book" w:eastAsia="Franklin Gothic Book" w:hAnsi="Franklin Gothic Book" w:cs="Franklin Gothic Book"/>
        </w:rPr>
        <w:t>available and how to navigate support systems.</w:t>
      </w:r>
      <w:r w:rsidR="007372EC">
        <w:rPr>
          <w:rFonts w:ascii="Franklin Gothic Book" w:eastAsia="Franklin Gothic Book" w:hAnsi="Franklin Gothic Book" w:cs="Franklin Gothic Book"/>
        </w:rPr>
        <w:t xml:space="preserve"> </w:t>
      </w:r>
      <w:r w:rsidR="007372EC" w:rsidRPr="0010595A">
        <w:rPr>
          <w:rFonts w:ascii="Franklin Gothic Book" w:eastAsia="Franklin Gothic Book" w:hAnsi="Franklin Gothic Book" w:cs="Franklin Gothic Book"/>
        </w:rPr>
        <w:t>Ensuring that all students and families are aware of, and can access, available supports is an area for growth for the district.</w:t>
      </w:r>
    </w:p>
    <w:p w14:paraId="59695C6E" w14:textId="3B0EE62A" w:rsidR="00B827DE" w:rsidRPr="00797379" w:rsidRDefault="00B827DE" w:rsidP="00AE0CFD">
      <w:pPr>
        <w:pStyle w:val="Heading3"/>
      </w:pPr>
      <w:bookmarkStart w:id="77" w:name="_Family_and_Community"/>
      <w:bookmarkEnd w:id="77"/>
      <w:r w:rsidRPr="00797379">
        <w:t>Family and Community Partnerships</w:t>
      </w:r>
    </w:p>
    <w:p w14:paraId="2ABB9829" w14:textId="3FA9CAC1" w:rsidR="00493E80" w:rsidRPr="00797379" w:rsidRDefault="00493E80" w:rsidP="00603C3D">
      <w:pPr>
        <w:pStyle w:val="BodyTextposthead"/>
      </w:pPr>
      <w:r w:rsidRPr="00797379">
        <w:t xml:space="preserve">The district </w:t>
      </w:r>
      <w:r w:rsidR="00155C2D">
        <w:t>utilizes</w:t>
      </w:r>
      <w:r w:rsidRPr="00797379">
        <w:t xml:space="preserve"> multiple strategies for engaging families, though consistency varies across schools. District leaders reported using ParentSquare and Aspen to communicate with families, in both English and other languages. Family focus group participants reported regular communication at the elementary level through weekly updates and parent-teacher conferences, as well as responsive outreach when concerns arise. However, they noted variability among teachers and less frequent communication at the middle school level, where updates often depend on individual teams. </w:t>
      </w:r>
      <w:r w:rsidR="001A5399" w:rsidRPr="00797379">
        <w:t>There were mixed responses by</w:t>
      </w:r>
      <w:r w:rsidRPr="00797379" w:rsidDel="001A5399">
        <w:t xml:space="preserve"> </w:t>
      </w:r>
      <w:r w:rsidR="001A5399" w:rsidRPr="00797379">
        <w:t xml:space="preserve">high </w:t>
      </w:r>
      <w:r w:rsidRPr="00797379">
        <w:t xml:space="preserve">school families </w:t>
      </w:r>
      <w:r w:rsidR="001A5399" w:rsidRPr="00797379">
        <w:t xml:space="preserve">on engagement. Some </w:t>
      </w:r>
      <w:r w:rsidRPr="00797379">
        <w:t>described reliance on Aspen for academic updates and email communication</w:t>
      </w:r>
      <w:r w:rsidR="00795197" w:rsidRPr="00797379">
        <w:t>;</w:t>
      </w:r>
      <w:r w:rsidRPr="00797379">
        <w:t xml:space="preserve"> </w:t>
      </w:r>
      <w:r w:rsidR="00795197" w:rsidRPr="00797379">
        <w:t xml:space="preserve">some </w:t>
      </w:r>
      <w:r w:rsidRPr="00797379">
        <w:t>expressed confusion about grading policies</w:t>
      </w:r>
      <w:r w:rsidR="00795197" w:rsidRPr="00797379">
        <w:t>;</w:t>
      </w:r>
      <w:r w:rsidRPr="00797379">
        <w:t xml:space="preserve"> and some reported limited proactive outreach from teachers.</w:t>
      </w:r>
      <w:r w:rsidR="00E4540E">
        <w:t xml:space="preserve"> Families also expressed confusion around the SST process, particularly as students transition between grade l</w:t>
      </w:r>
      <w:r w:rsidR="00603C3D">
        <w:t xml:space="preserve">evels. </w:t>
      </w:r>
      <w:r w:rsidR="00C058B3" w:rsidRPr="00797379">
        <w:t>In interviews, s</w:t>
      </w:r>
      <w:r w:rsidRPr="00797379">
        <w:t xml:space="preserve">taff confirmed that schools use structured processes such as SST meetings to involve families </w:t>
      </w:r>
      <w:r w:rsidR="00603C3D">
        <w:t xml:space="preserve">in the Tiered Support process </w:t>
      </w:r>
      <w:r w:rsidRPr="00797379">
        <w:t>when students require additional supports</w:t>
      </w:r>
      <w:r w:rsidR="00603C3D">
        <w:t xml:space="preserve">. Additionally, </w:t>
      </w:r>
      <w:r w:rsidRPr="00797379">
        <w:t xml:space="preserve">counselors </w:t>
      </w:r>
      <w:r w:rsidR="00603C3D">
        <w:t xml:space="preserve">reportedly </w:t>
      </w:r>
      <w:r w:rsidRPr="00797379">
        <w:t xml:space="preserve">maintain ongoing communication during interventions. Despite these efforts, both families and staff acknowledged challenges in ensuring clarity and consistency in communication, particularly during </w:t>
      </w:r>
      <w:r w:rsidR="00C058B3" w:rsidRPr="00797379">
        <w:t xml:space="preserve">student </w:t>
      </w:r>
      <w:r w:rsidRPr="00797379">
        <w:t>transitions between grade levels.</w:t>
      </w:r>
      <w:r w:rsidR="00603C3D">
        <w:t xml:space="preserve"> </w:t>
      </w:r>
      <w:r w:rsidR="00603C3D" w:rsidRPr="00644E5A">
        <w:t xml:space="preserve">Promoting district-wide policies for consistent and </w:t>
      </w:r>
      <w:r w:rsidR="00EA1E17" w:rsidRPr="00644E5A">
        <w:t>clear family communication is an area for growth for the district</w:t>
      </w:r>
      <w:r w:rsidR="00EA1E17" w:rsidRPr="00EA1E17">
        <w:rPr>
          <w:color w:val="EE0000"/>
        </w:rPr>
        <w:t>.</w:t>
      </w:r>
    </w:p>
    <w:p w14:paraId="07FA1900" w14:textId="7F1A5AB4" w:rsidR="00A473C7" w:rsidRPr="00797379" w:rsidRDefault="00493E80" w:rsidP="00AE0CFD">
      <w:pPr>
        <w:pStyle w:val="BodyText"/>
        <w:rPr>
          <w:color w:val="538135" w:themeColor="accent6" w:themeShade="BF"/>
        </w:rPr>
      </w:pPr>
      <w:r w:rsidRPr="00797379">
        <w:t xml:space="preserve">The district collaborates with several community organizations to enhance student support services. </w:t>
      </w:r>
      <w:r w:rsidR="00B4455A" w:rsidRPr="00797379">
        <w:t>For example, d</w:t>
      </w:r>
      <w:r w:rsidRPr="00797379">
        <w:t>istrict leaders highlighted partnerships with local coalitions and external agencies to address mental health needs and support LGBTQ+ students</w:t>
      </w:r>
      <w:r w:rsidR="00B4455A" w:rsidRPr="00797379">
        <w:t xml:space="preserve"> (along with</w:t>
      </w:r>
      <w:r w:rsidRPr="00797379">
        <w:t xml:space="preserve"> focus groups and professional learning for staff</w:t>
      </w:r>
      <w:r w:rsidR="00B4455A" w:rsidRPr="00797379">
        <w:t>)</w:t>
      </w:r>
      <w:r w:rsidRPr="00797379">
        <w:t>. These collaborations aim to strengthen adult capacity and improve student experiences, particularly for historically underserved groups.</w:t>
      </w:r>
      <w:r w:rsidR="00A473C7" w:rsidRPr="00797379">
        <w:t xml:space="preserve"> </w:t>
      </w:r>
      <w:r w:rsidR="00B4455A" w:rsidRPr="00797379">
        <w:t>T</w:t>
      </w:r>
      <w:r w:rsidR="00A473C7" w:rsidRPr="00797379">
        <w:t>he district</w:t>
      </w:r>
      <w:r w:rsidR="00B4455A" w:rsidRPr="00797379">
        <w:t xml:space="preserve"> also</w:t>
      </w:r>
      <w:r w:rsidR="00A473C7" w:rsidRPr="00797379">
        <w:t xml:space="preserve"> leverages community resources for programs such as motivational interviewing training and substance use prevention initiatives </w:t>
      </w:r>
      <w:r w:rsidR="00B4455A" w:rsidRPr="00797379">
        <w:t xml:space="preserve">(e.g., </w:t>
      </w:r>
      <w:r w:rsidR="00A473C7" w:rsidRPr="00797379">
        <w:t>SBIRT</w:t>
      </w:r>
      <w:r w:rsidR="00B4455A" w:rsidRPr="00797379">
        <w:t>)</w:t>
      </w:r>
      <w:r w:rsidR="00A473C7" w:rsidRPr="00797379">
        <w:t>. School leaders reported that the district works with the Winchester Foundation for Educational Excellence, The EnKa Society, the Coalition for a Safer Community to address district and school needs and the needs of individual students and families. These partnerships are well-established for mental health and wellness</w:t>
      </w:r>
      <w:r w:rsidR="00B4455A" w:rsidRPr="00797379">
        <w:t>. S</w:t>
      </w:r>
      <w:r w:rsidR="00A473C7" w:rsidRPr="00797379">
        <w:t xml:space="preserve">ome </w:t>
      </w:r>
      <w:r w:rsidR="00B4455A" w:rsidRPr="00797379">
        <w:t xml:space="preserve">partnerships also </w:t>
      </w:r>
      <w:r w:rsidR="00A473C7" w:rsidRPr="00797379">
        <w:t xml:space="preserve">focus on academic advancement. </w:t>
      </w:r>
      <w:r w:rsidR="00A473C7" w:rsidRPr="00644E5A">
        <w:t>Access to multiple community partnerships is a strength in the district.</w:t>
      </w:r>
    </w:p>
    <w:p w14:paraId="5D523900" w14:textId="1D62445C" w:rsidR="005F7A41" w:rsidRPr="00797379" w:rsidRDefault="005F7A41" w:rsidP="00AE0CFD">
      <w:pPr>
        <w:pStyle w:val="Heading3"/>
      </w:pPr>
      <w:bookmarkStart w:id="78" w:name="_Multi-Tiered_Systems_of"/>
      <w:bookmarkEnd w:id="78"/>
      <w:r w:rsidRPr="00797379">
        <w:t>Multi-Tiered Systems of Support (MTSS)</w:t>
      </w:r>
    </w:p>
    <w:p w14:paraId="2B992CD6" w14:textId="70741CC6" w:rsidR="0013556E" w:rsidRPr="00797379" w:rsidRDefault="0013556E" w:rsidP="00AE0CFD">
      <w:pPr>
        <w:pStyle w:val="BodyTextposthead"/>
      </w:pPr>
      <w:r w:rsidRPr="00797379">
        <w:t xml:space="preserve">The district established </w:t>
      </w:r>
      <w:r w:rsidR="00B4455A" w:rsidRPr="00797379">
        <w:t>an MTSS</w:t>
      </w:r>
      <w:r w:rsidRPr="00797379">
        <w:t xml:space="preserve"> that includes academic, social-emotional</w:t>
      </w:r>
      <w:r w:rsidR="00B4455A" w:rsidRPr="00797379">
        <w:t xml:space="preserve"> learning</w:t>
      </w:r>
      <w:r w:rsidRPr="00797379">
        <w:t>, and behavioral components, but alignment and consistency remain areas for improvement. School leaders and teachers confirmed that MTSS is organized into three tiers:</w:t>
      </w:r>
    </w:p>
    <w:p w14:paraId="2E59E6FC" w14:textId="23F47125" w:rsidR="0013556E" w:rsidRPr="00797379" w:rsidRDefault="0013556E" w:rsidP="00AE0CFD">
      <w:pPr>
        <w:pStyle w:val="Bullet1"/>
      </w:pPr>
      <w:r w:rsidRPr="00797379">
        <w:rPr>
          <w:b/>
          <w:bCs/>
        </w:rPr>
        <w:t>Tier 1:</w:t>
      </w:r>
      <w:r w:rsidRPr="00797379">
        <w:t xml:space="preserve"> Universal supports such as standards-based instruction, </w:t>
      </w:r>
      <w:r w:rsidR="008F5D4D" w:rsidRPr="00797379">
        <w:t>social-emotional learning</w:t>
      </w:r>
      <w:r w:rsidRPr="00797379">
        <w:t xml:space="preserve"> integration, and classroom accommodations. </w:t>
      </w:r>
      <w:r w:rsidR="008F5D4D" w:rsidRPr="00797379">
        <w:t>Social-emotional learning</w:t>
      </w:r>
      <w:r w:rsidRPr="00797379">
        <w:t xml:space="preserve"> coaches deliver lessons and provide professional development to strengthen Tier 1 practices, but this primarily takes place at the elementary level.</w:t>
      </w:r>
    </w:p>
    <w:p w14:paraId="49FF11D6" w14:textId="73A55AE6" w:rsidR="0013556E" w:rsidRPr="00797379" w:rsidRDefault="0013556E" w:rsidP="00AE0CFD">
      <w:pPr>
        <w:pStyle w:val="Bullet1"/>
      </w:pPr>
      <w:r w:rsidRPr="00797379">
        <w:rPr>
          <w:b/>
          <w:bCs/>
        </w:rPr>
        <w:t>Tier 2:</w:t>
      </w:r>
      <w:r w:rsidRPr="00797379">
        <w:t xml:space="preserve"> Targeted interventions including small-group </w:t>
      </w:r>
      <w:r w:rsidR="008F5D4D" w:rsidRPr="00797379">
        <w:t>social-emotional learning</w:t>
      </w:r>
      <w:r w:rsidRPr="00797379">
        <w:t xml:space="preserve"> instruction, skills</w:t>
      </w:r>
      <w:r w:rsidR="008F5D4D" w:rsidRPr="00797379">
        <w:t>-</w:t>
      </w:r>
      <w:r w:rsidRPr="00797379">
        <w:t>based counseling sessions, and academic supports from literacy and math specialists. These interventions are designed for students who require additional time and practice beyond Tier 1.</w:t>
      </w:r>
    </w:p>
    <w:p w14:paraId="595C12BC" w14:textId="19EB0F31" w:rsidR="0013556E" w:rsidRPr="00797379" w:rsidRDefault="0013556E" w:rsidP="00AE0CFD">
      <w:pPr>
        <w:pStyle w:val="Bullet1"/>
      </w:pPr>
      <w:r w:rsidRPr="00797379">
        <w:rPr>
          <w:b/>
          <w:bCs/>
        </w:rPr>
        <w:t>Tier 3:</w:t>
      </w:r>
      <w:r w:rsidRPr="00797379">
        <w:t xml:space="preserve"> Intensive supports such as specialized reading programs (</w:t>
      </w:r>
      <w:r w:rsidR="008F5D4D" w:rsidRPr="00797379">
        <w:t xml:space="preserve">e.g., </w:t>
      </w:r>
      <w:r w:rsidRPr="00797379">
        <w:t>Wilson, Orton-Gillingham) and individualized counseling plans. These are coordinated through SST meetings and involve collaboration among administrators, counselors, and specialists.</w:t>
      </w:r>
    </w:p>
    <w:p w14:paraId="4066B55A" w14:textId="27085F5A" w:rsidR="00470E6F" w:rsidRPr="00797379" w:rsidRDefault="00470E6F" w:rsidP="00470E6F">
      <w:pPr>
        <w:pStyle w:val="BodyText"/>
      </w:pPr>
      <w:r w:rsidRPr="00797379">
        <w:t>SST members at both the district and school levels detailed the systems and structures WPS uses</w:t>
      </w:r>
      <w:r w:rsidRPr="00797379" w:rsidDel="00E24A23">
        <w:t xml:space="preserve"> </w:t>
      </w:r>
      <w:r w:rsidRPr="00797379">
        <w:t>to identify student support needs. At the elementary and secondary level, structures include the Child Study Team (CST), the SST, and the Student Response Team (SRT), which meet weekly to review academic, behavioral, and attendance data to recommend interventions. However, capacity constraints and procedural limitations sometimes delay support for students, particularly when meeting slots are filled or follow-up cycles extend over several weeks. The schools generally involve the families</w:t>
      </w:r>
      <w:r w:rsidRPr="00797379" w:rsidDel="00081944">
        <w:t xml:space="preserve"> </w:t>
      </w:r>
      <w:r w:rsidRPr="00797379">
        <w:t>when formal interventions are implemented, though informal supports (e.g., check-ins) may occur without parental notification. The high school</w:t>
      </w:r>
      <w:r w:rsidRPr="00797379" w:rsidDel="00E24A23">
        <w:t xml:space="preserve"> </w:t>
      </w:r>
      <w:r w:rsidRPr="00797379">
        <w:t>uses a Student Support Flowchart that adds clarity by defining roles for SSTs and SRTs</w:t>
      </w:r>
      <w:r w:rsidRPr="00797379" w:rsidDel="00081944">
        <w:t xml:space="preserve"> </w:t>
      </w:r>
      <w:r w:rsidRPr="00797379">
        <w:t xml:space="preserve">and addressing attendance and climate issues through structured cycles of intervention, which last from six to eight weeks. </w:t>
      </w:r>
      <w:r w:rsidR="00436C1B">
        <w:t xml:space="preserve">However, </w:t>
      </w:r>
      <w:r w:rsidRPr="00797379">
        <w:t>data from school support staff described variability and capacity constraints in these processes.</w:t>
      </w:r>
    </w:p>
    <w:p w14:paraId="3F480B06" w14:textId="6EE4F79F" w:rsidR="00470E6F" w:rsidRPr="00797379" w:rsidRDefault="00470E6F" w:rsidP="00470E6F">
      <w:pPr>
        <w:pStyle w:val="BodyText"/>
      </w:pPr>
      <w:r w:rsidRPr="00797379">
        <w:t xml:space="preserve">The middle school also </w:t>
      </w:r>
      <w:r w:rsidRPr="00797379" w:rsidDel="00B04266">
        <w:t xml:space="preserve">has </w:t>
      </w:r>
      <w:r w:rsidRPr="00797379">
        <w:t xml:space="preserve">SSTs, which </w:t>
      </w:r>
      <w:r w:rsidR="005451C2">
        <w:t>include</w:t>
      </w:r>
      <w:r w:rsidRPr="00797379">
        <w:t xml:space="preserve"> various school staff (e.g., social-emotional learning coaches, counselors, coaches,</w:t>
      </w:r>
      <w:r w:rsidRPr="00797379" w:rsidDel="00E24A23">
        <w:t xml:space="preserve"> </w:t>
      </w:r>
      <w:r w:rsidRPr="00797379">
        <w:t>administrators). According to school support staff, SSTs meet weekly to discuss academic,</w:t>
      </w:r>
      <w:r w:rsidRPr="00797379" w:rsidDel="00E24A23">
        <w:t xml:space="preserve"> </w:t>
      </w:r>
      <w:r w:rsidRPr="00797379">
        <w:t>social-emotional learning, and behavioral concerns. High school staff said their SST also follows a cycle from six to eight weeks</w:t>
      </w:r>
      <w:r w:rsidRPr="00797379" w:rsidDel="00E24A23">
        <w:t xml:space="preserve"> </w:t>
      </w:r>
      <w:r w:rsidRPr="00797379">
        <w:t>to monitor and assess interventions. The elementary school employs a similar approach, according to school support staff. At the elementary level, the CST includes various staff members (e.g., counselors, coaches,</w:t>
      </w:r>
      <w:r w:rsidRPr="00797379" w:rsidDel="00D13DA0">
        <w:t xml:space="preserve"> </w:t>
      </w:r>
      <w:r w:rsidRPr="00797379">
        <w:t xml:space="preserve">administrators). Support staff reported that the CST cycle is also six to eight weeks, and </w:t>
      </w:r>
      <w:r w:rsidR="0047190B">
        <w:t>that teachers or parents can refer students to the CST</w:t>
      </w:r>
      <w:r w:rsidRPr="00797379">
        <w:t>. Unlike at the high school level, the SST (middle level) and CST (elementary level)</w:t>
      </w:r>
      <w:r w:rsidRPr="00797379" w:rsidDel="005B5C1B">
        <w:t xml:space="preserve"> </w:t>
      </w:r>
      <w:r w:rsidRPr="00797379">
        <w:t>focus on both academic and nonacademic concerns in a consolidated approach.</w:t>
      </w:r>
    </w:p>
    <w:p w14:paraId="3C47A7E4" w14:textId="43D1ED44" w:rsidR="0013556E" w:rsidRPr="00797379" w:rsidRDefault="003A463D" w:rsidP="00AE0CFD">
      <w:pPr>
        <w:pStyle w:val="BodyText"/>
        <w:rPr>
          <w:color w:val="EE0000"/>
        </w:rPr>
      </w:pPr>
      <w:r w:rsidRPr="00797379">
        <w:t>R</w:t>
      </w:r>
      <w:r w:rsidR="0013556E" w:rsidRPr="00797379">
        <w:t>oles within MTSS are clearly defined through SST and SRT structures</w:t>
      </w:r>
      <w:r w:rsidR="00667CC6" w:rsidRPr="00797379">
        <w:t>,</w:t>
      </w:r>
      <w:r w:rsidR="001D07D2" w:rsidRPr="00797379">
        <w:t xml:space="preserve"> but</w:t>
      </w:r>
      <w:r w:rsidR="00667CC6" w:rsidRPr="00797379">
        <w:t xml:space="preserve"> they are</w:t>
      </w:r>
      <w:r w:rsidR="001D07D2" w:rsidRPr="00797379">
        <w:t xml:space="preserve"> not widely understo</w:t>
      </w:r>
      <w:r w:rsidRPr="00797379">
        <w:t>od</w:t>
      </w:r>
      <w:r w:rsidR="00F505EC" w:rsidRPr="00797379">
        <w:t xml:space="preserve"> </w:t>
      </w:r>
      <w:r w:rsidR="00BD03DD" w:rsidRPr="00797379">
        <w:t xml:space="preserve">across the district </w:t>
      </w:r>
      <w:r w:rsidR="00F505EC" w:rsidRPr="00797379">
        <w:t xml:space="preserve">by school </w:t>
      </w:r>
      <w:r w:rsidR="00CD2126" w:rsidRPr="00797379">
        <w:t>staff</w:t>
      </w:r>
      <w:r w:rsidR="0013556E" w:rsidRPr="00797379">
        <w:t xml:space="preserve">. </w:t>
      </w:r>
      <w:r w:rsidR="00BD03DD" w:rsidRPr="00797379">
        <w:t xml:space="preserve">According to district leaders, </w:t>
      </w:r>
      <w:r w:rsidR="00667CC6" w:rsidRPr="00797379">
        <w:t>WPS</w:t>
      </w:r>
      <w:r w:rsidR="00BD03DD" w:rsidRPr="00797379">
        <w:t xml:space="preserve"> is focusing on streamlining the SST process, including teaming structures, processes, and interventions to better meet student needs and provide clarity to staff and families about the process. </w:t>
      </w:r>
      <w:r w:rsidR="00667CC6" w:rsidRPr="00797379">
        <w:t>L</w:t>
      </w:r>
      <w:r w:rsidR="006D5149" w:rsidRPr="00797379">
        <w:t>eaders spoke about the need to consolidate the various acronyms being used to minimize confusion among staff.</w:t>
      </w:r>
      <w:r w:rsidR="00F34A6C" w:rsidRPr="00797379">
        <w:t xml:space="preserve"> </w:t>
      </w:r>
      <w:r w:rsidR="006D5149" w:rsidRPr="00797379">
        <w:t xml:space="preserve">District and school staff described </w:t>
      </w:r>
      <w:r w:rsidR="00A76A50" w:rsidRPr="00797379">
        <w:t xml:space="preserve">the student support process similarly: </w:t>
      </w:r>
      <w:r w:rsidR="0013556E" w:rsidRPr="00797379">
        <w:t xml:space="preserve">SST meetings occur weekly at all schools </w:t>
      </w:r>
      <w:r w:rsidR="007E46EB" w:rsidRPr="00797379">
        <w:t xml:space="preserve">and </w:t>
      </w:r>
      <w:r w:rsidR="0013556E" w:rsidRPr="00797379">
        <w:t>address academic and social-emotional concerns</w:t>
      </w:r>
      <w:r w:rsidR="00667CC6" w:rsidRPr="00797379">
        <w:t>, and</w:t>
      </w:r>
      <w:r w:rsidR="0013556E" w:rsidRPr="00797379">
        <w:t xml:space="preserve"> SRT meetings </w:t>
      </w:r>
      <w:r w:rsidR="007E46EB" w:rsidRPr="00797379">
        <w:t xml:space="preserve">occur quarterly </w:t>
      </w:r>
      <w:r w:rsidR="0013556E" w:rsidRPr="00797379">
        <w:t>at</w:t>
      </w:r>
      <w:r w:rsidR="001D07D2" w:rsidRPr="00797379">
        <w:t xml:space="preserve"> the</w:t>
      </w:r>
      <w:r w:rsidR="0013556E" w:rsidRPr="00797379">
        <w:t xml:space="preserve"> high school </w:t>
      </w:r>
      <w:r w:rsidR="007E46EB" w:rsidRPr="00797379">
        <w:t xml:space="preserve">and </w:t>
      </w:r>
      <w:r w:rsidR="0013556E" w:rsidRPr="00797379">
        <w:t xml:space="preserve">focus on academic issues. These teams include administrators, counselors, nurses, and other specialists to ensure a multidisciplinary approach. However, according to district and school-based student support staff, confusion exists among staff as to who </w:t>
      </w:r>
      <w:r w:rsidR="00667CC6" w:rsidRPr="00797379">
        <w:t xml:space="preserve">is </w:t>
      </w:r>
      <w:r w:rsidR="0013556E" w:rsidRPr="00797379">
        <w:t>involved in SST and SRT meetings.</w:t>
      </w:r>
      <w:r w:rsidR="00EC0B59" w:rsidRPr="00797379">
        <w:t xml:space="preserve"> </w:t>
      </w:r>
      <w:r w:rsidR="002C7EB8" w:rsidRPr="004C3700">
        <w:t>S</w:t>
      </w:r>
      <w:r w:rsidR="0013556E" w:rsidRPr="004C3700">
        <w:t xml:space="preserve">treamlining the SST process across all grade levels </w:t>
      </w:r>
      <w:r w:rsidR="00B8267D" w:rsidRPr="004C3700">
        <w:t xml:space="preserve">and schools </w:t>
      </w:r>
      <w:r w:rsidR="0013556E" w:rsidRPr="004C3700">
        <w:t>to ensure clarity and consistency is an area for growth.</w:t>
      </w:r>
    </w:p>
    <w:p w14:paraId="45BCAEB2" w14:textId="47BF8C1F" w:rsidR="0013556E" w:rsidRPr="00797379" w:rsidRDefault="0013556E" w:rsidP="00AE0CFD">
      <w:pPr>
        <w:pStyle w:val="BodyText"/>
      </w:pPr>
      <w:r w:rsidRPr="00797379">
        <w:t>The district has documented MTSS processes that clearly define three tiers of support and</w:t>
      </w:r>
      <w:r w:rsidRPr="00797379" w:rsidDel="00381B84">
        <w:t xml:space="preserve"> </w:t>
      </w:r>
      <w:r w:rsidRPr="00797379">
        <w:t xml:space="preserve">how the district applies an adaptable MTSS to implement interventions for students. According to school leaders, MTSS processes are well documented at the elementary school level but vary in implementation at the middle and high schools. Elementary school leaders reported that these guidelines are followed relatively consistently with </w:t>
      </w:r>
      <w:r w:rsidR="00853D48" w:rsidRPr="00797379">
        <w:t xml:space="preserve">only </w:t>
      </w:r>
      <w:r w:rsidRPr="00797379">
        <w:t xml:space="preserve">slight variation. Secondary leaders reported that they do offer tiered supports, but the descriptions vary by school. </w:t>
      </w:r>
      <w:r w:rsidR="00853D48" w:rsidRPr="00797379">
        <w:t>L</w:t>
      </w:r>
      <w:r w:rsidRPr="00797379">
        <w:t>eaders reported that explicit interventions are built into the schedule</w:t>
      </w:r>
      <w:r w:rsidR="00853D48" w:rsidRPr="00797379">
        <w:t xml:space="preserve"> at the middle school, and that the m</w:t>
      </w:r>
      <w:r w:rsidRPr="00797379">
        <w:t>iddle school</w:t>
      </w:r>
      <w:r w:rsidRPr="00797379" w:rsidDel="00853D48">
        <w:t xml:space="preserve"> </w:t>
      </w:r>
      <w:r w:rsidR="00853D48" w:rsidRPr="00797379">
        <w:t xml:space="preserve">offers </w:t>
      </w:r>
      <w:r w:rsidRPr="00797379">
        <w:t xml:space="preserve">30-minute </w:t>
      </w:r>
      <w:r w:rsidR="00853D48" w:rsidRPr="00797379">
        <w:t xml:space="preserve">WIN/Flex Blocks </w:t>
      </w:r>
      <w:r w:rsidRPr="00797379">
        <w:t xml:space="preserve">for students in need of targeted assistance. </w:t>
      </w:r>
      <w:r w:rsidR="00853D48" w:rsidRPr="00797379">
        <w:t>One l</w:t>
      </w:r>
      <w:r w:rsidRPr="00797379">
        <w:t xml:space="preserve">eader </w:t>
      </w:r>
      <w:r w:rsidR="00853D48" w:rsidRPr="00797379">
        <w:t xml:space="preserve">explained that </w:t>
      </w:r>
      <w:r w:rsidRPr="00797379">
        <w:t>“they don’t use a lot of that [MTSS] terminology at the high school</w:t>
      </w:r>
      <w:r w:rsidR="00853D48" w:rsidRPr="00797379">
        <w:t>,</w:t>
      </w:r>
      <w:r w:rsidRPr="00797379">
        <w:t>” but they do provide structures that function as Tier 2 and Tier 3 supports. For example, all students have a WIN</w:t>
      </w:r>
      <w:r w:rsidR="00322C2E" w:rsidRPr="00797379">
        <w:t>/Flex</w:t>
      </w:r>
      <w:r w:rsidRPr="00797379">
        <w:t xml:space="preserve"> </w:t>
      </w:r>
      <w:r w:rsidR="00853D48" w:rsidRPr="00797379">
        <w:t>B</w:t>
      </w:r>
      <w:r w:rsidRPr="00797379">
        <w:t xml:space="preserve">lock </w:t>
      </w:r>
      <w:r w:rsidR="00853D48" w:rsidRPr="00797379">
        <w:t xml:space="preserve">built </w:t>
      </w:r>
      <w:r w:rsidRPr="00797379">
        <w:t>in</w:t>
      </w:r>
      <w:r w:rsidR="00853D48" w:rsidRPr="00797379">
        <w:t>to</w:t>
      </w:r>
      <w:r w:rsidRPr="00797379">
        <w:t xml:space="preserve"> their schedule </w:t>
      </w:r>
      <w:r w:rsidR="00853D48" w:rsidRPr="00797379">
        <w:t>so</w:t>
      </w:r>
      <w:r w:rsidRPr="00797379">
        <w:t xml:space="preserve"> they can receive extra help, make up work, or receive teacher-supported interventions. </w:t>
      </w:r>
      <w:r w:rsidR="00853D48" w:rsidRPr="00797379">
        <w:t>S</w:t>
      </w:r>
      <w:r w:rsidRPr="00797379">
        <w:t>chool leaders reported the high school has a more formal support program called Excel,</w:t>
      </w:r>
      <w:r w:rsidRPr="00797379" w:rsidDel="00853D48">
        <w:t xml:space="preserve"> </w:t>
      </w:r>
      <w:r w:rsidR="00853D48" w:rsidRPr="00797379">
        <w:t xml:space="preserve">in which </w:t>
      </w:r>
      <w:r w:rsidRPr="00797379">
        <w:t>students receive executive function help, academic support, or social-emotional support from school adjustment counselors.</w:t>
      </w:r>
    </w:p>
    <w:p w14:paraId="7286B48F" w14:textId="1A6F5FD3" w:rsidR="0013556E" w:rsidRPr="00797379" w:rsidRDefault="0013556E" w:rsidP="00AE0CFD">
      <w:pPr>
        <w:pStyle w:val="BodyText"/>
      </w:pPr>
      <w:r w:rsidRPr="00797379">
        <w:t xml:space="preserve">District and school support staff reported that Tier 2 interventions typically run for </w:t>
      </w:r>
      <w:r w:rsidR="002E1246" w:rsidRPr="00797379">
        <w:t>six to eight</w:t>
      </w:r>
      <w:r w:rsidRPr="00797379">
        <w:t xml:space="preserve"> weeks, with progress monitoring through formative assessments and team reviews. However, capacity constraints and inconsistent adherence to timelines were noted as challenges.</w:t>
      </w:r>
    </w:p>
    <w:p w14:paraId="34C9C03F" w14:textId="156FEDF7" w:rsidR="0013556E" w:rsidRPr="00797379" w:rsidRDefault="0013556E" w:rsidP="00AE0CFD">
      <w:pPr>
        <w:pStyle w:val="BodyText"/>
        <w:rPr>
          <w:color w:val="EE0000"/>
        </w:rPr>
      </w:pPr>
      <w:r w:rsidRPr="00797379">
        <w:rPr>
          <w:bCs/>
        </w:rPr>
        <w:t xml:space="preserve">School staff reported that </w:t>
      </w:r>
      <w:r w:rsidRPr="00797379">
        <w:t>academic and behavioral data are considered during SST meetings, but</w:t>
      </w:r>
      <w:r w:rsidR="00E44D86" w:rsidRPr="00797379">
        <w:t xml:space="preserve"> school support staff</w:t>
      </w:r>
      <w:r w:rsidRPr="00797379">
        <w:t xml:space="preserve"> </w:t>
      </w:r>
      <w:r w:rsidR="00E44D86" w:rsidRPr="00797379">
        <w:t xml:space="preserve">cited </w:t>
      </w:r>
      <w:r w:rsidRPr="00797379">
        <w:t xml:space="preserve">variability in data systems and </w:t>
      </w:r>
      <w:r w:rsidR="00E44D86" w:rsidRPr="00797379">
        <w:t xml:space="preserve">the </w:t>
      </w:r>
      <w:r w:rsidRPr="00797379">
        <w:t xml:space="preserve">lack of centralized dashboards as barriers to consistent monitoring. </w:t>
      </w:r>
      <w:r w:rsidR="004B776F" w:rsidRPr="00797379">
        <w:t>Special education teachers expressed frustration that the district does not have digitized and centralized data regarding student histories with the SST process. Special educators reported that the system is largely “paper-based” and is siloed in various locations that makes it difficult to find information</w:t>
      </w:r>
      <w:r w:rsidR="004B776F">
        <w:t xml:space="preserve">. </w:t>
      </w:r>
      <w:r w:rsidRPr="00797379">
        <w:t xml:space="preserve">Teachers and student support staff described reliance on anecdotal observations and teacher reports rather than standardized tools, which limits the ability to track progress systematically. </w:t>
      </w:r>
      <w:r w:rsidRPr="004C3700">
        <w:t>Developing centralized data systems to support consistent implementation of interventions is an area for growth.</w:t>
      </w:r>
    </w:p>
    <w:p w14:paraId="6F5D797E" w14:textId="57815B8B" w:rsidR="002B4CEF" w:rsidRPr="00797379" w:rsidRDefault="002B4CEF" w:rsidP="00AE0CFD">
      <w:pPr>
        <w:pStyle w:val="Heading3"/>
      </w:pPr>
      <w:r w:rsidRPr="00797379">
        <w:t>Recommendations</w:t>
      </w:r>
    </w:p>
    <w:p w14:paraId="566D1D21" w14:textId="130F3922" w:rsidR="001C172E" w:rsidRPr="001C172E" w:rsidRDefault="007F549D" w:rsidP="001C172E">
      <w:pPr>
        <w:pStyle w:val="Bullet1"/>
        <w:rPr>
          <w:bCs/>
          <w:i/>
          <w:iCs/>
        </w:rPr>
      </w:pPr>
      <w:r>
        <w:rPr>
          <w:bCs/>
          <w:i/>
          <w:iCs/>
        </w:rPr>
        <w:t xml:space="preserve">The district should develop and implement a plan </w:t>
      </w:r>
      <w:r w:rsidR="00350E43">
        <w:rPr>
          <w:bCs/>
          <w:i/>
          <w:iCs/>
        </w:rPr>
        <w:t xml:space="preserve">to </w:t>
      </w:r>
      <w:r w:rsidR="003E2B50">
        <w:rPr>
          <w:bCs/>
          <w:i/>
          <w:iCs/>
        </w:rPr>
        <w:t>make all families aware of the social emotional</w:t>
      </w:r>
      <w:r w:rsidR="00393F19">
        <w:rPr>
          <w:bCs/>
          <w:i/>
          <w:iCs/>
        </w:rPr>
        <w:t>,</w:t>
      </w:r>
      <w:r w:rsidR="003E2B50">
        <w:rPr>
          <w:bCs/>
          <w:i/>
          <w:iCs/>
        </w:rPr>
        <w:t>mental</w:t>
      </w:r>
      <w:r w:rsidR="00393F19">
        <w:rPr>
          <w:bCs/>
          <w:i/>
          <w:iCs/>
        </w:rPr>
        <w:t xml:space="preserve"> health,</w:t>
      </w:r>
      <w:r w:rsidR="003E2B50">
        <w:rPr>
          <w:bCs/>
          <w:i/>
          <w:iCs/>
        </w:rPr>
        <w:t xml:space="preserve"> and </w:t>
      </w:r>
      <w:r w:rsidR="002814AC">
        <w:rPr>
          <w:bCs/>
          <w:i/>
          <w:iCs/>
        </w:rPr>
        <w:t xml:space="preserve">behavioral health supports </w:t>
      </w:r>
      <w:r w:rsidR="008D6E97">
        <w:rPr>
          <w:bCs/>
          <w:i/>
          <w:iCs/>
        </w:rPr>
        <w:t xml:space="preserve">available to students </w:t>
      </w:r>
      <w:r w:rsidR="002814AC">
        <w:rPr>
          <w:bCs/>
          <w:i/>
          <w:iCs/>
        </w:rPr>
        <w:t>and how to access them.</w:t>
      </w:r>
    </w:p>
    <w:p w14:paraId="53562016" w14:textId="1A58253E" w:rsidR="001C172E" w:rsidRPr="001C172E" w:rsidRDefault="002814AC" w:rsidP="001C172E">
      <w:pPr>
        <w:pStyle w:val="Bullet1"/>
        <w:rPr>
          <w:bCs/>
          <w:i/>
          <w:iCs/>
        </w:rPr>
      </w:pPr>
      <w:r>
        <w:rPr>
          <w:bCs/>
          <w:i/>
          <w:iCs/>
        </w:rPr>
        <w:t xml:space="preserve">The district should issue guidance to support clear and consistent family communication, particularly for when students are transitioning between grade levels. </w:t>
      </w:r>
    </w:p>
    <w:p w14:paraId="4CC9525B" w14:textId="5E139504" w:rsidR="001C172E" w:rsidRPr="00B273DB" w:rsidRDefault="006F658D" w:rsidP="00B273DB">
      <w:pPr>
        <w:pStyle w:val="Bullet1"/>
        <w:rPr>
          <w:bCs/>
          <w:i/>
          <w:iCs/>
        </w:rPr>
      </w:pPr>
      <w:r>
        <w:rPr>
          <w:bCs/>
          <w:i/>
          <w:iCs/>
        </w:rPr>
        <w:t xml:space="preserve">The district should continue its efforts to streamline the SST process across all schools and grade levels. </w:t>
      </w:r>
    </w:p>
    <w:p w14:paraId="700AD2ED" w14:textId="5FB4198F" w:rsidR="002B4CEF" w:rsidRPr="00D85B90" w:rsidRDefault="0000074B" w:rsidP="00AE0CFD">
      <w:pPr>
        <w:pStyle w:val="Bullet1"/>
        <w:rPr>
          <w:bCs/>
          <w:i/>
          <w:iCs/>
        </w:rPr>
      </w:pPr>
      <w:r>
        <w:rPr>
          <w:i/>
          <w:iCs/>
        </w:rPr>
        <w:t xml:space="preserve">The district should </w:t>
      </w:r>
      <w:r w:rsidR="00064565">
        <w:rPr>
          <w:i/>
          <w:iCs/>
        </w:rPr>
        <w:t>adopt a centralized system for tracking</w:t>
      </w:r>
      <w:r w:rsidR="00BB3AFB">
        <w:rPr>
          <w:i/>
          <w:iCs/>
        </w:rPr>
        <w:t xml:space="preserve"> all aspects of the MTSS including data collected, referrals to</w:t>
      </w:r>
      <w:r w:rsidR="003E5CDA">
        <w:rPr>
          <w:i/>
          <w:iCs/>
        </w:rPr>
        <w:t xml:space="preserve"> </w:t>
      </w:r>
      <w:r w:rsidR="006544F9">
        <w:rPr>
          <w:i/>
          <w:iCs/>
        </w:rPr>
        <w:t>T</w:t>
      </w:r>
      <w:r w:rsidR="003E5CDA">
        <w:rPr>
          <w:i/>
          <w:iCs/>
        </w:rPr>
        <w:t xml:space="preserve">ier 2 or 3 supports, </w:t>
      </w:r>
      <w:r w:rsidR="008D1A43">
        <w:rPr>
          <w:i/>
          <w:iCs/>
        </w:rPr>
        <w:t xml:space="preserve">implementation of interventions, and progress monitoring. </w:t>
      </w:r>
    </w:p>
    <w:p w14:paraId="2075BC88" w14:textId="6EC47102" w:rsidR="00AE0CFD" w:rsidRPr="00797379" w:rsidRDefault="000604FE" w:rsidP="00AE0CFD">
      <w:pPr>
        <w:pStyle w:val="BodyText"/>
      </w:pPr>
      <w:r w:rsidRPr="00797379">
        <w:t>For related resources, see Appendix C.</w:t>
      </w:r>
      <w:r w:rsidR="00AE0CFD" w:rsidRPr="00797379">
        <w:br w:type="page"/>
      </w:r>
    </w:p>
    <w:p w14:paraId="4A6A5268" w14:textId="77777777" w:rsidR="008D6102" w:rsidRPr="00797379" w:rsidRDefault="008D6102" w:rsidP="00AE0CFD">
      <w:pPr>
        <w:pStyle w:val="Heading2"/>
      </w:pPr>
      <w:bookmarkStart w:id="79" w:name="_Financial_and_Asset"/>
      <w:bookmarkStart w:id="80" w:name="_Toc223625543"/>
      <w:bookmarkEnd w:id="79"/>
      <w:r w:rsidRPr="00797379">
        <w:t>Financial and Asset Management</w:t>
      </w:r>
      <w:bookmarkEnd w:id="72"/>
      <w:bookmarkEnd w:id="80"/>
    </w:p>
    <w:p w14:paraId="188CF4B7" w14:textId="48CDF453" w:rsidR="003B2ED7" w:rsidRPr="00797379" w:rsidRDefault="003B2ED7" w:rsidP="00AE0CFD">
      <w:pPr>
        <w:pStyle w:val="BodyTextposthead"/>
      </w:pPr>
      <w:r w:rsidRPr="00797379">
        <w:t>This section focuses on the extent to which</w:t>
      </w:r>
      <w:r w:rsidR="00E44D86" w:rsidRPr="00797379">
        <w:t xml:space="preserve"> the district, </w:t>
      </w:r>
      <w:r w:rsidRPr="00797379">
        <w:t xml:space="preserve">through its policies, systems, and procedures, strategically allocates and </w:t>
      </w:r>
      <w:r w:rsidR="00E44D86" w:rsidRPr="00797379">
        <w:t>uses</w:t>
      </w:r>
      <w:r w:rsidRPr="00797379">
        <w:t xml:space="preserve"> funding and other resources in alignment with applicable laws to improve all students’ performance, opportunities, and outcomes. It also focuses on the ways in which the district collaborates with its partners to run daily operations, manage its assets, and develop long-term plans for sustainability.</w:t>
      </w:r>
    </w:p>
    <w:p w14:paraId="542F10D1" w14:textId="74EBF3A5" w:rsidR="00494638" w:rsidRPr="00797379" w:rsidRDefault="00494638" w:rsidP="00AE0CFD">
      <w:pPr>
        <w:pStyle w:val="BodyText"/>
      </w:pPr>
      <w:r w:rsidRPr="00797379">
        <w:t>Table</w:t>
      </w:r>
      <w:r w:rsidR="008C36C6" w:rsidRPr="00797379" w:rsidDel="00E44D86">
        <w:t xml:space="preserve"> </w:t>
      </w:r>
      <w:r w:rsidR="00E44D86" w:rsidRPr="00797379">
        <w:t xml:space="preserve">10 </w:t>
      </w:r>
      <w:r w:rsidRPr="00797379">
        <w:t>summarizes key strengths and areas for growth in financial and asset management</w:t>
      </w:r>
      <w:r w:rsidR="00250663" w:rsidRPr="00797379">
        <w:t xml:space="preserve"> in </w:t>
      </w:r>
      <w:r w:rsidR="003C7A70" w:rsidRPr="00797379">
        <w:t>Winchester</w:t>
      </w:r>
      <w:r w:rsidRPr="00797379">
        <w:t>.</w:t>
      </w:r>
    </w:p>
    <w:p w14:paraId="127D9DF7" w14:textId="1AEEEE31" w:rsidR="00B827DE" w:rsidRPr="00797379" w:rsidRDefault="00B827DE" w:rsidP="00AE0CFD">
      <w:pPr>
        <w:pStyle w:val="TableTitle0"/>
      </w:pPr>
      <w:bookmarkStart w:id="81" w:name="_Toc220932415"/>
      <w:r w:rsidRPr="00797379">
        <w:t xml:space="preserve">Table </w:t>
      </w:r>
      <w:r w:rsidR="00E44D86" w:rsidRPr="00797379">
        <w:t>10</w:t>
      </w:r>
      <w:r w:rsidRPr="00797379">
        <w:t xml:space="preserve">. Summary of </w:t>
      </w:r>
      <w:r w:rsidR="00494638" w:rsidRPr="00797379">
        <w:t xml:space="preserve">Key Strengths </w:t>
      </w:r>
      <w:r w:rsidRPr="00797379">
        <w:t xml:space="preserve">and </w:t>
      </w:r>
      <w:r w:rsidR="00494638" w:rsidRPr="00797379">
        <w:t xml:space="preserve">Areas </w:t>
      </w:r>
      <w:r w:rsidRPr="00797379">
        <w:t xml:space="preserve">for </w:t>
      </w:r>
      <w:r w:rsidR="00494638" w:rsidRPr="00797379">
        <w:t>Growth:</w:t>
      </w:r>
      <w:r w:rsidRPr="00797379">
        <w:t xml:space="preserve"> Financial and Asset Management</w:t>
      </w:r>
      <w:r w:rsidR="00494638" w:rsidRPr="00797379">
        <w:t xml:space="preserve"> Standard</w:t>
      </w:r>
      <w:bookmarkEnd w:id="81"/>
    </w:p>
    <w:tbl>
      <w:tblPr>
        <w:tblStyle w:val="MSVTable1"/>
        <w:tblW w:w="5000" w:type="pct"/>
        <w:tblLook w:val="04A0" w:firstRow="1" w:lastRow="0" w:firstColumn="1" w:lastColumn="0" w:noHBand="0" w:noVBand="1"/>
      </w:tblPr>
      <w:tblGrid>
        <w:gridCol w:w="1972"/>
        <w:gridCol w:w="3685"/>
        <w:gridCol w:w="3687"/>
      </w:tblGrid>
      <w:tr w:rsidR="00B827DE" w:rsidRPr="00797379" w14:paraId="32BDE053" w14:textId="77777777" w:rsidTr="00AE0CFD">
        <w:trPr>
          <w:cnfStyle w:val="100000000000" w:firstRow="1" w:lastRow="0" w:firstColumn="0" w:lastColumn="0" w:oddVBand="0" w:evenVBand="0" w:oddHBand="0" w:evenHBand="0" w:firstRowFirstColumn="0" w:firstRowLastColumn="0" w:lastRowFirstColumn="0" w:lastRowLastColumn="0"/>
        </w:trPr>
        <w:tc>
          <w:tcPr>
            <w:tcW w:w="1055" w:type="pct"/>
          </w:tcPr>
          <w:p w14:paraId="7821BEB4" w14:textId="77777777" w:rsidR="00B827DE" w:rsidRPr="00797379" w:rsidRDefault="00B827DE" w:rsidP="00B827DE">
            <w:pPr>
              <w:pStyle w:val="TableColHeadingCenter"/>
              <w:rPr>
                <w:bdr w:val="none" w:sz="0" w:space="0" w:color="auto" w:frame="1"/>
              </w:rPr>
            </w:pPr>
            <w:r w:rsidRPr="00797379">
              <w:rPr>
                <w:bdr w:val="none" w:sz="0" w:space="0" w:color="auto" w:frame="1"/>
              </w:rPr>
              <w:t>Indicator</w:t>
            </w:r>
          </w:p>
        </w:tc>
        <w:tc>
          <w:tcPr>
            <w:tcW w:w="1972" w:type="pct"/>
          </w:tcPr>
          <w:p w14:paraId="419E0583" w14:textId="77777777" w:rsidR="00B827DE" w:rsidRPr="00797379" w:rsidRDefault="00B827DE" w:rsidP="00B827DE">
            <w:pPr>
              <w:pStyle w:val="TableColHeadingCenter"/>
              <w:rPr>
                <w:bdr w:val="none" w:sz="0" w:space="0" w:color="auto" w:frame="1"/>
              </w:rPr>
            </w:pPr>
            <w:r w:rsidRPr="00797379">
              <w:rPr>
                <w:bdr w:val="none" w:sz="0" w:space="0" w:color="auto" w:frame="1"/>
              </w:rPr>
              <w:t>Strengths</w:t>
            </w:r>
          </w:p>
        </w:tc>
        <w:tc>
          <w:tcPr>
            <w:tcW w:w="1973" w:type="pct"/>
          </w:tcPr>
          <w:p w14:paraId="664651D2" w14:textId="0C40A2BC" w:rsidR="00B827DE" w:rsidRPr="00797379" w:rsidRDefault="00B827DE" w:rsidP="00B827DE">
            <w:pPr>
              <w:pStyle w:val="TableColHeadingCenter"/>
              <w:rPr>
                <w:bdr w:val="none" w:sz="0" w:space="0" w:color="auto" w:frame="1"/>
              </w:rPr>
            </w:pPr>
            <w:r w:rsidRPr="00797379">
              <w:rPr>
                <w:bdr w:val="none" w:sz="0" w:space="0" w:color="auto" w:frame="1"/>
              </w:rPr>
              <w:t xml:space="preserve">Areas for </w:t>
            </w:r>
            <w:r w:rsidR="00494638" w:rsidRPr="00797379">
              <w:rPr>
                <w:bdr w:val="none" w:sz="0" w:space="0" w:color="auto" w:frame="1"/>
              </w:rPr>
              <w:t>growth</w:t>
            </w:r>
          </w:p>
        </w:tc>
      </w:tr>
      <w:tr w:rsidR="00B827DE" w:rsidRPr="00797379" w14:paraId="6A18501A" w14:textId="77777777" w:rsidTr="00AE0CFD">
        <w:trPr>
          <w:cnfStyle w:val="000000100000" w:firstRow="0" w:lastRow="0" w:firstColumn="0" w:lastColumn="0" w:oddVBand="0" w:evenVBand="0" w:oddHBand="1" w:evenHBand="0" w:firstRowFirstColumn="0" w:firstRowLastColumn="0" w:lastRowFirstColumn="0" w:lastRowLastColumn="0"/>
        </w:trPr>
        <w:tc>
          <w:tcPr>
            <w:tcW w:w="1055" w:type="pct"/>
          </w:tcPr>
          <w:p w14:paraId="39538D5F" w14:textId="755DC606" w:rsidR="00B827DE" w:rsidRPr="00797379" w:rsidRDefault="00B827DE" w:rsidP="00AE0CFD">
            <w:pPr>
              <w:pStyle w:val="TableSubheading"/>
            </w:pPr>
            <w:hyperlink w:anchor="_Business_Office_Staffing" w:history="1">
              <w:r w:rsidRPr="00797379">
                <w:rPr>
                  <w:rStyle w:val="Hyperlink"/>
                  <w:color w:val="auto"/>
                  <w:u w:val="none"/>
                </w:rPr>
                <w:t>Bu</w:t>
              </w:r>
              <w:r w:rsidR="00041E9B" w:rsidRPr="00797379">
                <w:rPr>
                  <w:rStyle w:val="Hyperlink"/>
                  <w:color w:val="auto"/>
                  <w:u w:val="none"/>
                </w:rPr>
                <w:t>siness Office Staffing and Infrastructure</w:t>
              </w:r>
            </w:hyperlink>
          </w:p>
        </w:tc>
        <w:tc>
          <w:tcPr>
            <w:tcW w:w="1972" w:type="pct"/>
          </w:tcPr>
          <w:p w14:paraId="55633859" w14:textId="079DBEAA" w:rsidR="00B827DE" w:rsidRPr="002C7EB8" w:rsidRDefault="004C3700" w:rsidP="00AE0CFD">
            <w:pPr>
              <w:pStyle w:val="TableBullet1"/>
              <w:rPr>
                <w:color w:val="000000" w:themeColor="text1"/>
              </w:rPr>
            </w:pPr>
            <w:r>
              <w:rPr>
                <w:color w:val="000000" w:themeColor="text1"/>
              </w:rPr>
              <w:t>N/A</w:t>
            </w:r>
          </w:p>
        </w:tc>
        <w:tc>
          <w:tcPr>
            <w:tcW w:w="1973" w:type="pct"/>
          </w:tcPr>
          <w:p w14:paraId="7A334A06" w14:textId="5651E47E" w:rsidR="00B827DE" w:rsidRPr="002C7EB8" w:rsidRDefault="002C7EB8" w:rsidP="00AE0CFD">
            <w:pPr>
              <w:pStyle w:val="TableBullet1"/>
              <w:rPr>
                <w:color w:val="000000" w:themeColor="text1"/>
              </w:rPr>
            </w:pPr>
            <w:r w:rsidRPr="002C7EB8">
              <w:rPr>
                <w:color w:val="000000" w:themeColor="text1"/>
              </w:rPr>
              <w:t>Developing a more comprehensive library of standard business office operating procedures</w:t>
            </w:r>
          </w:p>
          <w:p w14:paraId="5A758912" w14:textId="4A0F8A6B" w:rsidR="002C7EB8" w:rsidRPr="002C7EB8" w:rsidRDefault="002C7EB8" w:rsidP="00AE0CFD">
            <w:pPr>
              <w:pStyle w:val="TableBullet1"/>
              <w:rPr>
                <w:color w:val="000000" w:themeColor="text1"/>
              </w:rPr>
            </w:pPr>
            <w:r w:rsidRPr="002C7EB8">
              <w:rPr>
                <w:color w:val="000000" w:themeColor="text1"/>
              </w:rPr>
              <w:t>Establishing a</w:t>
            </w:r>
            <w:r w:rsidR="00051F31">
              <w:rPr>
                <w:color w:val="000000" w:themeColor="text1"/>
              </w:rPr>
              <w:t>n</w:t>
            </w:r>
            <w:r w:rsidRPr="002C7EB8">
              <w:rPr>
                <w:color w:val="000000" w:themeColor="text1"/>
              </w:rPr>
              <w:t xml:space="preserve"> </w:t>
            </w:r>
            <w:r w:rsidR="00051F31">
              <w:rPr>
                <w:color w:val="000000" w:themeColor="text1"/>
              </w:rPr>
              <w:t xml:space="preserve">agreement </w:t>
            </w:r>
            <w:r w:rsidRPr="002C7EB8">
              <w:rPr>
                <w:color w:val="000000" w:themeColor="text1"/>
              </w:rPr>
              <w:t>regarding the district and town’s fiscal responsibilities</w:t>
            </w:r>
          </w:p>
        </w:tc>
      </w:tr>
      <w:tr w:rsidR="00B827DE" w:rsidRPr="00797379" w14:paraId="0ADE789F" w14:textId="77777777" w:rsidTr="00AE0CFD">
        <w:tc>
          <w:tcPr>
            <w:tcW w:w="1055" w:type="pct"/>
          </w:tcPr>
          <w:p w14:paraId="41C5EA1C" w14:textId="641A9906" w:rsidR="00B827DE" w:rsidRPr="00797379" w:rsidRDefault="00041E9B" w:rsidP="00AE0CFD">
            <w:pPr>
              <w:pStyle w:val="TableSubheading"/>
            </w:pPr>
            <w:hyperlink w:anchor="_Budgeting_and_Budget" w:history="1">
              <w:r w:rsidRPr="00797379">
                <w:rPr>
                  <w:rStyle w:val="Hyperlink"/>
                  <w:color w:val="auto"/>
                  <w:u w:val="none"/>
                </w:rPr>
                <w:t>Budgeting and Budget Process</w:t>
              </w:r>
            </w:hyperlink>
          </w:p>
        </w:tc>
        <w:tc>
          <w:tcPr>
            <w:tcW w:w="1972" w:type="pct"/>
          </w:tcPr>
          <w:p w14:paraId="60B306E4" w14:textId="7120BCAC" w:rsidR="00B827DE" w:rsidRPr="002C7EB8" w:rsidRDefault="002C7EB8" w:rsidP="00AE0CFD">
            <w:pPr>
              <w:pStyle w:val="TableBullet1"/>
              <w:rPr>
                <w:color w:val="000000" w:themeColor="text1"/>
              </w:rPr>
            </w:pPr>
            <w:r w:rsidRPr="002C7EB8">
              <w:rPr>
                <w:color w:val="000000" w:themeColor="text1"/>
              </w:rPr>
              <w:t xml:space="preserve">The </w:t>
            </w:r>
            <w:r w:rsidR="004C3700">
              <w:rPr>
                <w:color w:val="000000" w:themeColor="text1"/>
              </w:rPr>
              <w:t xml:space="preserve">district budget </w:t>
            </w:r>
            <w:r w:rsidR="00473F3F" w:rsidRPr="002C7EB8">
              <w:rPr>
                <w:color w:val="000000" w:themeColor="text1"/>
              </w:rPr>
              <w:t xml:space="preserve">priorities </w:t>
            </w:r>
            <w:r w:rsidRPr="002C7EB8">
              <w:rPr>
                <w:color w:val="000000" w:themeColor="text1"/>
              </w:rPr>
              <w:t>align</w:t>
            </w:r>
            <w:r w:rsidR="00473F3F">
              <w:rPr>
                <w:color w:val="000000" w:themeColor="text1"/>
              </w:rPr>
              <w:t xml:space="preserve"> </w:t>
            </w:r>
            <w:r w:rsidRPr="002C7EB8">
              <w:rPr>
                <w:color w:val="000000" w:themeColor="text1"/>
              </w:rPr>
              <w:t>with the five-year strategic plan.</w:t>
            </w:r>
          </w:p>
        </w:tc>
        <w:tc>
          <w:tcPr>
            <w:tcW w:w="1973" w:type="pct"/>
          </w:tcPr>
          <w:p w14:paraId="263FE4B0" w14:textId="2A0479B2" w:rsidR="00B827DE" w:rsidRPr="002C7EB8" w:rsidRDefault="002C7EB8" w:rsidP="00AE0CFD">
            <w:pPr>
              <w:pStyle w:val="TableBullet1"/>
              <w:rPr>
                <w:color w:val="000000" w:themeColor="text1"/>
              </w:rPr>
            </w:pPr>
            <w:r w:rsidRPr="002C7EB8">
              <w:rPr>
                <w:color w:val="000000" w:themeColor="text1"/>
              </w:rPr>
              <w:t>Ensuring</w:t>
            </w:r>
            <w:r w:rsidR="005E76B9">
              <w:rPr>
                <w:color w:val="000000" w:themeColor="text1"/>
              </w:rPr>
              <w:t xml:space="preserve"> that budgetary decisions consider the full range of students’ needs</w:t>
            </w:r>
          </w:p>
          <w:p w14:paraId="4F1C470C" w14:textId="29A2E016" w:rsidR="002C7EB8" w:rsidRPr="002C7EB8" w:rsidRDefault="00C30EAB" w:rsidP="00AE0CFD">
            <w:pPr>
              <w:pStyle w:val="TableBullet1"/>
              <w:rPr>
                <w:color w:val="000000" w:themeColor="text1"/>
              </w:rPr>
            </w:pPr>
            <w:r>
              <w:rPr>
                <w:color w:val="000000" w:themeColor="text1"/>
              </w:rPr>
              <w:t>Developing long-term</w:t>
            </w:r>
            <w:r w:rsidR="002C7EB8" w:rsidRPr="002C7EB8">
              <w:rPr>
                <w:color w:val="000000" w:themeColor="text1"/>
              </w:rPr>
              <w:t xml:space="preserve"> district planning that </w:t>
            </w:r>
            <w:r>
              <w:rPr>
                <w:color w:val="000000" w:themeColor="text1"/>
              </w:rPr>
              <w:t xml:space="preserve">does not </w:t>
            </w:r>
            <w:r w:rsidR="00926988">
              <w:rPr>
                <w:color w:val="000000" w:themeColor="text1"/>
              </w:rPr>
              <w:t>depend</w:t>
            </w:r>
            <w:r w:rsidR="002C7EB8" w:rsidRPr="002C7EB8">
              <w:rPr>
                <w:color w:val="000000" w:themeColor="text1"/>
              </w:rPr>
              <w:t xml:space="preserve"> on annual override discussions and reallocation</w:t>
            </w:r>
            <w:r w:rsidR="00926988">
              <w:rPr>
                <w:color w:val="000000" w:themeColor="text1"/>
              </w:rPr>
              <w:t>s</w:t>
            </w:r>
          </w:p>
        </w:tc>
      </w:tr>
      <w:tr w:rsidR="00B827DE" w:rsidRPr="00797379" w14:paraId="178D87DE" w14:textId="77777777" w:rsidTr="00AE0CFD">
        <w:trPr>
          <w:cnfStyle w:val="000000100000" w:firstRow="0" w:lastRow="0" w:firstColumn="0" w:lastColumn="0" w:oddVBand="0" w:evenVBand="0" w:oddHBand="1" w:evenHBand="0" w:firstRowFirstColumn="0" w:firstRowLastColumn="0" w:lastRowFirstColumn="0" w:lastRowLastColumn="0"/>
        </w:trPr>
        <w:tc>
          <w:tcPr>
            <w:tcW w:w="1055" w:type="pct"/>
          </w:tcPr>
          <w:p w14:paraId="13C61666" w14:textId="0697BE85" w:rsidR="00B827DE" w:rsidRPr="00797379" w:rsidRDefault="00041E9B" w:rsidP="00AE0CFD">
            <w:pPr>
              <w:pStyle w:val="TableSubheading"/>
            </w:pPr>
            <w:hyperlink w:anchor="_Operations" w:history="1">
              <w:r w:rsidRPr="00797379">
                <w:rPr>
                  <w:rStyle w:val="Hyperlink"/>
                  <w:color w:val="auto"/>
                  <w:u w:val="none"/>
                </w:rPr>
                <w:t>Operations</w:t>
              </w:r>
            </w:hyperlink>
          </w:p>
        </w:tc>
        <w:tc>
          <w:tcPr>
            <w:tcW w:w="1972" w:type="pct"/>
          </w:tcPr>
          <w:p w14:paraId="31560818" w14:textId="68DDCF73" w:rsidR="00B827DE" w:rsidRPr="002C7EB8" w:rsidRDefault="00473F3F" w:rsidP="00AE0CFD">
            <w:pPr>
              <w:pStyle w:val="TableBullet1"/>
              <w:rPr>
                <w:color w:val="000000" w:themeColor="text1"/>
              </w:rPr>
            </w:pPr>
            <w:r>
              <w:rPr>
                <w:color w:val="000000" w:themeColor="text1"/>
              </w:rPr>
              <w:t>N/A</w:t>
            </w:r>
          </w:p>
        </w:tc>
        <w:tc>
          <w:tcPr>
            <w:tcW w:w="1973" w:type="pct"/>
          </w:tcPr>
          <w:p w14:paraId="4C814DAB" w14:textId="3878F5A3" w:rsidR="00B827DE" w:rsidRPr="002C7EB8" w:rsidRDefault="00473F3F" w:rsidP="00AE0CFD">
            <w:pPr>
              <w:pStyle w:val="TableBullet1"/>
              <w:rPr>
                <w:color w:val="000000" w:themeColor="text1"/>
              </w:rPr>
            </w:pPr>
            <w:r>
              <w:rPr>
                <w:color w:val="000000" w:themeColor="text1"/>
              </w:rPr>
              <w:t>N/A</w:t>
            </w:r>
          </w:p>
        </w:tc>
      </w:tr>
      <w:tr w:rsidR="00B827DE" w:rsidRPr="00797379" w14:paraId="671ADB7B" w14:textId="77777777" w:rsidTr="00AE0CFD">
        <w:tc>
          <w:tcPr>
            <w:tcW w:w="1055" w:type="pct"/>
          </w:tcPr>
          <w:p w14:paraId="2BA214F5" w14:textId="238D855A" w:rsidR="00B827DE" w:rsidRPr="00797379" w:rsidRDefault="00041E9B" w:rsidP="00AE0CFD">
            <w:pPr>
              <w:pStyle w:val="TableSubheading"/>
            </w:pPr>
            <w:hyperlink w:anchor="_Managing_Capital_Assets" w:history="1">
              <w:r w:rsidRPr="00797379">
                <w:rPr>
                  <w:rStyle w:val="Hyperlink"/>
                  <w:color w:val="auto"/>
                  <w:u w:val="none"/>
                </w:rPr>
                <w:t>Managing C</w:t>
              </w:r>
              <w:r w:rsidR="00B827DE" w:rsidRPr="00797379">
                <w:rPr>
                  <w:rStyle w:val="Hyperlink"/>
                  <w:color w:val="auto"/>
                  <w:u w:val="none"/>
                </w:rPr>
                <w:t xml:space="preserve">apital </w:t>
              </w:r>
              <w:r w:rsidRPr="00797379">
                <w:rPr>
                  <w:rStyle w:val="Hyperlink"/>
                  <w:color w:val="auto"/>
                  <w:u w:val="none"/>
                </w:rPr>
                <w:t>Assets and Capital P</w:t>
              </w:r>
              <w:r w:rsidR="00B827DE" w:rsidRPr="00797379">
                <w:rPr>
                  <w:rStyle w:val="Hyperlink"/>
                  <w:color w:val="auto"/>
                  <w:u w:val="none"/>
                </w:rPr>
                <w:t>lanning</w:t>
              </w:r>
            </w:hyperlink>
          </w:p>
        </w:tc>
        <w:tc>
          <w:tcPr>
            <w:tcW w:w="1972" w:type="pct"/>
          </w:tcPr>
          <w:p w14:paraId="040AD585" w14:textId="79FC544A" w:rsidR="00B827DE" w:rsidRPr="002C7EB8" w:rsidRDefault="002C7EB8" w:rsidP="00AE0CFD">
            <w:pPr>
              <w:pStyle w:val="TableBullet1"/>
              <w:rPr>
                <w:color w:val="000000" w:themeColor="text1"/>
              </w:rPr>
            </w:pPr>
            <w:r w:rsidRPr="002C7EB8">
              <w:rPr>
                <w:color w:val="000000" w:themeColor="text1"/>
              </w:rPr>
              <w:t>The district has a comprehensive and data driven approach to capital planning.</w:t>
            </w:r>
          </w:p>
        </w:tc>
        <w:tc>
          <w:tcPr>
            <w:tcW w:w="1973" w:type="pct"/>
          </w:tcPr>
          <w:p w14:paraId="2EAE12FA" w14:textId="7FEA9424" w:rsidR="00B827DE" w:rsidRPr="002C7EB8" w:rsidRDefault="00473F3F" w:rsidP="00AE0CFD">
            <w:pPr>
              <w:pStyle w:val="TableBullet1"/>
              <w:rPr>
                <w:color w:val="000000" w:themeColor="text1"/>
              </w:rPr>
            </w:pPr>
            <w:r>
              <w:rPr>
                <w:color w:val="000000" w:themeColor="text1"/>
              </w:rPr>
              <w:t>N/A</w:t>
            </w:r>
          </w:p>
        </w:tc>
      </w:tr>
    </w:tbl>
    <w:p w14:paraId="3B30F4B3" w14:textId="50250AD6" w:rsidR="003C7A70" w:rsidRPr="00797379" w:rsidRDefault="003C7A70" w:rsidP="00AE0CFD">
      <w:pPr>
        <w:pStyle w:val="Heading3"/>
      </w:pPr>
      <w:bookmarkStart w:id="82" w:name="_Budget_Documentation_and"/>
      <w:bookmarkStart w:id="83" w:name="_Business_Office_Staffing"/>
      <w:bookmarkEnd w:id="82"/>
      <w:bookmarkEnd w:id="83"/>
      <w:r w:rsidRPr="00797379">
        <w:t>Business Office Staffing and Infrastructure</w:t>
      </w:r>
    </w:p>
    <w:p w14:paraId="6028378A" w14:textId="0BCA848A" w:rsidR="003C7A70" w:rsidRPr="00797379" w:rsidRDefault="00B103AD" w:rsidP="00AE0CFD">
      <w:pPr>
        <w:pStyle w:val="BodyTextposthead"/>
      </w:pPr>
      <w:r w:rsidRPr="00797379">
        <w:t>The</w:t>
      </w:r>
      <w:r w:rsidRPr="00797379" w:rsidDel="00E44D86">
        <w:t xml:space="preserve"> </w:t>
      </w:r>
      <w:r w:rsidR="00E44D86" w:rsidRPr="00797379">
        <w:t xml:space="preserve">WPS </w:t>
      </w:r>
      <w:r w:rsidRPr="00797379">
        <w:t xml:space="preserve">business office staff includes the director of </w:t>
      </w:r>
      <w:r w:rsidR="00155C2D">
        <w:t>f</w:t>
      </w:r>
      <w:r w:rsidRPr="00797379">
        <w:t xml:space="preserve">inance </w:t>
      </w:r>
      <w:r w:rsidR="00155C2D">
        <w:t>and</w:t>
      </w:r>
      <w:r w:rsidR="00C4258C" w:rsidRPr="00797379">
        <w:t xml:space="preserve"> </w:t>
      </w:r>
      <w:r w:rsidR="00155C2D">
        <w:t>o</w:t>
      </w:r>
      <w:r w:rsidRPr="00797379">
        <w:t xml:space="preserve">perations, a human resources manager, a payroll coordinator, a human resources/accounting specialist, </w:t>
      </w:r>
      <w:r w:rsidR="002A4FD7">
        <w:t xml:space="preserve">an accounting coordinator, </w:t>
      </w:r>
      <w:r w:rsidRPr="00797379">
        <w:t xml:space="preserve">and </w:t>
      </w:r>
      <w:r w:rsidR="002C29CF">
        <w:t>two</w:t>
      </w:r>
      <w:r w:rsidR="002A4FD7">
        <w:t xml:space="preserve"> </w:t>
      </w:r>
      <w:r w:rsidRPr="00797379">
        <w:t>administrative assistant</w:t>
      </w:r>
      <w:r w:rsidR="002A4FD7">
        <w:t>s</w:t>
      </w:r>
      <w:r w:rsidRPr="00797379">
        <w:t>. This office</w:t>
      </w:r>
      <w:r w:rsidRPr="00797379" w:rsidDel="00E44D86">
        <w:t xml:space="preserve"> </w:t>
      </w:r>
      <w:r w:rsidRPr="00797379">
        <w:t>oversees human resources, technology</w:t>
      </w:r>
      <w:r w:rsidR="002A4FD7">
        <w:t xml:space="preserve"> infrastructure</w:t>
      </w:r>
      <w:r w:rsidRPr="00797379">
        <w:t>, student registration, transportation, food services, building rentals, and afterschool programs.</w:t>
      </w:r>
      <w:r w:rsidRPr="00797379">
        <w:rPr>
          <w:rFonts w:ascii="Helvetica" w:eastAsia="Times New Roman" w:hAnsi="Helvetica" w:cs="Helvetica"/>
          <w:sz w:val="24"/>
          <w:szCs w:val="24"/>
        </w:rPr>
        <w:t xml:space="preserve"> </w:t>
      </w:r>
      <w:r w:rsidR="003C7A70" w:rsidRPr="00797379">
        <w:t xml:space="preserve">According to district leaders, the business office has a “lean staff” </w:t>
      </w:r>
      <w:r w:rsidR="00E44D86" w:rsidRPr="00797379">
        <w:t xml:space="preserve">that </w:t>
      </w:r>
      <w:r w:rsidR="003C7A70" w:rsidRPr="00797379">
        <w:t>is effective</w:t>
      </w:r>
      <w:r w:rsidR="00E44D86" w:rsidRPr="00797379">
        <w:t xml:space="preserve">; </w:t>
      </w:r>
      <w:r w:rsidR="003C7A70" w:rsidRPr="00797379">
        <w:t xml:space="preserve">however, leaders also noted that this creates challenges when managing complex financial operations tasks, especially during peak budget cycles. District staff reported the director of </w:t>
      </w:r>
      <w:r w:rsidR="00155C2D">
        <w:t>f</w:t>
      </w:r>
      <w:r w:rsidR="003C7A70" w:rsidRPr="00797379">
        <w:t xml:space="preserve">inance </w:t>
      </w:r>
      <w:r w:rsidR="00155C2D">
        <w:t>and</w:t>
      </w:r>
      <w:r w:rsidR="00C4258C" w:rsidRPr="00797379">
        <w:t xml:space="preserve"> </w:t>
      </w:r>
      <w:r w:rsidR="00155C2D">
        <w:t>o</w:t>
      </w:r>
      <w:r w:rsidR="003C7A70" w:rsidRPr="00797379">
        <w:t xml:space="preserve">perations is licensed as a business administrator through DESE, </w:t>
      </w:r>
      <w:r w:rsidR="00477075" w:rsidRPr="00797379">
        <w:t xml:space="preserve">and </w:t>
      </w:r>
      <w:r w:rsidR="003C7A70" w:rsidRPr="00797379">
        <w:t>the H</w:t>
      </w:r>
      <w:r w:rsidR="00473F3F">
        <w:t>R</w:t>
      </w:r>
      <w:r w:rsidR="003C7A70" w:rsidRPr="00797379">
        <w:t xml:space="preserve"> manager is</w:t>
      </w:r>
      <w:r w:rsidR="00473F3F" w:rsidRPr="00473F3F">
        <w:t xml:space="preserve"> </w:t>
      </w:r>
      <w:r w:rsidR="00473F3F">
        <w:t>also</w:t>
      </w:r>
      <w:r w:rsidR="003C7A70" w:rsidRPr="00797379">
        <w:t xml:space="preserve"> a </w:t>
      </w:r>
      <w:r w:rsidR="0044528C">
        <w:t>certified</w:t>
      </w:r>
      <w:r w:rsidR="003C7A70" w:rsidRPr="00797379">
        <w:t xml:space="preserve"> Massachusetts Certified Public Purchasing Official.</w:t>
      </w:r>
    </w:p>
    <w:p w14:paraId="6A5C5B67" w14:textId="45D1F6AB" w:rsidR="003C7A70" w:rsidRPr="00797379" w:rsidRDefault="003C7A70" w:rsidP="00AE0CFD">
      <w:pPr>
        <w:pStyle w:val="BodyText"/>
        <w:rPr>
          <w:rFonts w:ascii="Franklin Gothic Book" w:hAnsi="Franklin Gothic Book"/>
          <w:color w:val="EE0000"/>
        </w:rPr>
      </w:pPr>
      <w:r w:rsidRPr="00797379">
        <w:t>The school committee page on the district’s website includes an online policy manual that provides high-level guidance on fiscal management, including the annual budget, budget planning, and fiscal accounting and reporting. Business office staff reported they follow all school committee policies, state procurement laws, and town</w:t>
      </w:r>
      <w:r w:rsidR="00477075" w:rsidRPr="00797379">
        <w:t>-</w:t>
      </w:r>
      <w:r w:rsidRPr="00797379">
        <w:t>level procedures for accounts payable and procurement. Additionally, staff reported they follow a federal grants manual for applying for grants. According to district staff, some standard operating procedures (SOPs) exist</w:t>
      </w:r>
      <w:r w:rsidR="00477075" w:rsidRPr="00797379">
        <w:t>,</w:t>
      </w:r>
      <w:r w:rsidRPr="00797379">
        <w:t xml:space="preserve"> but they are developed reactively as issues arise. As one staff member noted, “</w:t>
      </w:r>
      <w:r w:rsidR="00477075" w:rsidRPr="00797379">
        <w:t>O</w:t>
      </w:r>
      <w:r w:rsidRPr="00797379">
        <w:t>ur goal is to adopt a standard operating procedures manual</w:t>
      </w:r>
      <w:r w:rsidR="00477075" w:rsidRPr="00797379">
        <w:t>.</w:t>
      </w:r>
      <w:r w:rsidRPr="00797379">
        <w:t xml:space="preserve">” Staff reported that the district is working </w:t>
      </w:r>
      <w:r w:rsidR="00477075" w:rsidRPr="00797379">
        <w:t xml:space="preserve">on </w:t>
      </w:r>
      <w:r w:rsidRPr="00797379">
        <w:t xml:space="preserve">compiling these SOPs into a single resource manual, but </w:t>
      </w:r>
      <w:r w:rsidR="00477075" w:rsidRPr="00797379">
        <w:t>it</w:t>
      </w:r>
      <w:r w:rsidRPr="00797379" w:rsidDel="00477075">
        <w:t xml:space="preserve"> </w:t>
      </w:r>
      <w:r w:rsidRPr="00797379">
        <w:t xml:space="preserve">is not yet complete. Currently, the business office maintains SOPs on their internal Google </w:t>
      </w:r>
      <w:r w:rsidR="00477075" w:rsidRPr="00797379">
        <w:t>D</w:t>
      </w:r>
      <w:r w:rsidRPr="00797379">
        <w:t>rive so it</w:t>
      </w:r>
      <w:r w:rsidR="00477075" w:rsidRPr="00797379">
        <w:t xml:space="preserve"> i</w:t>
      </w:r>
      <w:r w:rsidRPr="00797379">
        <w:t xml:space="preserve">s accessible to business office staff. </w:t>
      </w:r>
      <w:r w:rsidRPr="00473F3F">
        <w:t>Developing a more comprehensive library of standard business office operating procedures is an area of growth for the district.</w:t>
      </w:r>
    </w:p>
    <w:p w14:paraId="3F63FC73" w14:textId="5DD1E192" w:rsidR="003C7A70" w:rsidRPr="00797379" w:rsidRDefault="003C7A70" w:rsidP="00AE0CFD">
      <w:pPr>
        <w:pStyle w:val="BodyText"/>
        <w:rPr>
          <w:rFonts w:ascii="Franklin Gothic Book" w:hAnsi="Franklin Gothic Book"/>
        </w:rPr>
      </w:pPr>
      <w:r w:rsidRPr="00797379">
        <w:t>District staff outlined their system for preserving, categorizing, and, when permissible, destroying financial documents in accordance with their financial policies and procedures</w:t>
      </w:r>
      <w:r w:rsidR="00A326C5" w:rsidRPr="00797379">
        <w:t xml:space="preserve"> and in</w:t>
      </w:r>
      <w:r w:rsidRPr="00797379">
        <w:t xml:space="preserve"> full compliance with state </w:t>
      </w:r>
      <w:r w:rsidRPr="00797379" w:rsidDel="00E42677">
        <w:t>guidelines</w:t>
      </w:r>
      <w:r w:rsidRPr="00797379">
        <w:t xml:space="preserve">. Staff reported financial records, including invoices, purchase orders, and receipts are physically stored in locked file cabinets. Staff members expressed a desire to convert this system to a digital system, </w:t>
      </w:r>
      <w:r w:rsidR="00A326C5" w:rsidRPr="00797379">
        <w:t>but, as one member</w:t>
      </w:r>
      <w:r w:rsidRPr="00797379">
        <w:t xml:space="preserve"> noted</w:t>
      </w:r>
      <w:r w:rsidR="00A326C5" w:rsidRPr="00797379">
        <w:t>,</w:t>
      </w:r>
      <w:r w:rsidRPr="00797379" w:rsidDel="00A326C5">
        <w:t xml:space="preserve"> </w:t>
      </w:r>
      <w:r w:rsidRPr="00797379">
        <w:t xml:space="preserve">the town is “paper-driven” </w:t>
      </w:r>
      <w:r w:rsidR="00813F5D">
        <w:t>but</w:t>
      </w:r>
      <w:r w:rsidR="00813F5D" w:rsidRPr="00797379">
        <w:t xml:space="preserve"> </w:t>
      </w:r>
      <w:r w:rsidRPr="00797379">
        <w:t>“extremely organized</w:t>
      </w:r>
      <w:r w:rsidR="001101E4">
        <w:t>.</w:t>
      </w:r>
      <w:r w:rsidR="0044528C">
        <w:t>”</w:t>
      </w:r>
    </w:p>
    <w:p w14:paraId="1D9634DE" w14:textId="3AA48FE0" w:rsidR="003C7A70" w:rsidRPr="00797379" w:rsidRDefault="003C7A70" w:rsidP="00AE0CFD">
      <w:pPr>
        <w:pStyle w:val="BodyText"/>
        <w:rPr>
          <w:color w:val="EE0000"/>
        </w:rPr>
      </w:pPr>
      <w:r w:rsidRPr="00797379">
        <w:t>District and town representatives reported</w:t>
      </w:r>
      <w:r w:rsidR="00A97643" w:rsidRPr="00797379">
        <w:t xml:space="preserve"> they</w:t>
      </w:r>
      <w:r w:rsidRPr="00797379">
        <w:t xml:space="preserve"> maintain a collaborative informal relationship regarding district finances. District staff explained the town manages most building maintenance and capital planning through its Department of Public Works (DPW) and </w:t>
      </w:r>
      <w:r w:rsidR="00F633A9" w:rsidRPr="00797379">
        <w:t>c</w:t>
      </w:r>
      <w:r w:rsidRPr="00797379">
        <w:t xml:space="preserve">apital </w:t>
      </w:r>
      <w:r w:rsidR="00F633A9" w:rsidRPr="00797379">
        <w:t>p</w:t>
      </w:r>
      <w:r w:rsidRPr="00797379">
        <w:t xml:space="preserve">lanning </w:t>
      </w:r>
      <w:r w:rsidR="00F633A9" w:rsidRPr="00797379">
        <w:t>c</w:t>
      </w:r>
      <w:r w:rsidRPr="00797379">
        <w:t>ommittee,</w:t>
      </w:r>
      <w:r w:rsidRPr="00797379" w:rsidDel="00A97643">
        <w:t xml:space="preserve"> </w:t>
      </w:r>
      <w:r w:rsidR="00A97643" w:rsidRPr="00797379">
        <w:t xml:space="preserve">and </w:t>
      </w:r>
      <w:r w:rsidRPr="00797379">
        <w:t xml:space="preserve">the district focuses on programmatic needs. Both town and district staff reported this partnership is effective but complex </w:t>
      </w:r>
      <w:r w:rsidR="00A97643" w:rsidRPr="00797379">
        <w:t>because of</w:t>
      </w:r>
      <w:r w:rsidRPr="00797379">
        <w:t xml:space="preserve"> overlapping responsibilities and multiple committees. </w:t>
      </w:r>
      <w:r w:rsidR="006D2E0C" w:rsidRPr="00797379">
        <w:t>One d</w:t>
      </w:r>
      <w:r w:rsidRPr="00797379">
        <w:t xml:space="preserve">istrict finance staff </w:t>
      </w:r>
      <w:r w:rsidR="006D2E0C" w:rsidRPr="00797379">
        <w:t xml:space="preserve">member </w:t>
      </w:r>
      <w:r w:rsidRPr="00797379">
        <w:t>reported that the district works in a “daily partnership” with the town’s facilities manager to maintain schools in the district.</w:t>
      </w:r>
      <w:r w:rsidR="009F6A8D" w:rsidRPr="00797379">
        <w:t xml:space="preserve"> </w:t>
      </w:r>
      <w:r w:rsidRPr="00797379">
        <w:t>When asked how it was determined who is fiscally responsible for specific items, one district leader explained</w:t>
      </w:r>
      <w:r w:rsidR="00766122" w:rsidRPr="00797379">
        <w:t xml:space="preserve"> that the district is responsible for items covered by its operating budget, such as instructional programs, curriculum materials, and professional services, as well as most personnel</w:t>
      </w:r>
      <w:r w:rsidR="00A97643" w:rsidRPr="00797379">
        <w:t>-</w:t>
      </w:r>
      <w:r w:rsidR="00766122" w:rsidRPr="00797379">
        <w:t xml:space="preserve">related </w:t>
      </w:r>
      <w:r w:rsidR="00A97643" w:rsidRPr="00797379">
        <w:t>expenditures</w:t>
      </w:r>
      <w:r w:rsidR="00766122" w:rsidRPr="00797379">
        <w:t>. Facilities</w:t>
      </w:r>
      <w:r w:rsidR="00A97643" w:rsidRPr="00797379">
        <w:t>-</w:t>
      </w:r>
      <w:r w:rsidR="00766122" w:rsidRPr="00797379">
        <w:t>related responsibilities</w:t>
      </w:r>
      <w:r w:rsidR="00766122" w:rsidRPr="00797379" w:rsidDel="00A97643">
        <w:t xml:space="preserve"> </w:t>
      </w:r>
      <w:r w:rsidR="00766122" w:rsidRPr="00797379">
        <w:t xml:space="preserve">fall largely to the town. For example, the district may replace classroom furniture while the town handles building needs </w:t>
      </w:r>
      <w:r w:rsidR="00A97643" w:rsidRPr="00797379">
        <w:t xml:space="preserve">such as </w:t>
      </w:r>
      <w:r w:rsidR="00766122" w:rsidRPr="00797379">
        <w:t xml:space="preserve">light bulbs or window shades. </w:t>
      </w:r>
      <w:r w:rsidR="00A97643" w:rsidRPr="00797379">
        <w:t xml:space="preserve">This </w:t>
      </w:r>
      <w:r w:rsidR="00766122" w:rsidRPr="00797379">
        <w:t xml:space="preserve">division of responsibility </w:t>
      </w:r>
      <w:r w:rsidR="00A97643" w:rsidRPr="00797379">
        <w:t xml:space="preserve">is </w:t>
      </w:r>
      <w:r w:rsidR="00766122" w:rsidRPr="00797379">
        <w:t>based on long</w:t>
      </w:r>
      <w:r w:rsidR="00A97643" w:rsidRPr="00797379">
        <w:t>-</w:t>
      </w:r>
      <w:r w:rsidR="00766122" w:rsidRPr="00797379">
        <w:t>standing practice</w:t>
      </w:r>
      <w:r w:rsidR="00A97643" w:rsidRPr="00797379">
        <w:t>s</w:t>
      </w:r>
      <w:r w:rsidR="00766122" w:rsidRPr="00797379">
        <w:t xml:space="preserve"> rather than </w:t>
      </w:r>
      <w:r w:rsidR="00A97643" w:rsidRPr="00797379">
        <w:t>a</w:t>
      </w:r>
      <w:r w:rsidR="0089145D">
        <w:t>n established agreement</w:t>
      </w:r>
      <w:r w:rsidR="00766122" w:rsidRPr="00797379">
        <w:t>.</w:t>
      </w:r>
      <w:r w:rsidR="007E5B11" w:rsidRPr="00797379">
        <w:t xml:space="preserve"> </w:t>
      </w:r>
      <w:r w:rsidRPr="00797379">
        <w:t xml:space="preserve">When </w:t>
      </w:r>
      <w:r w:rsidR="00A97643" w:rsidRPr="00797379">
        <w:t xml:space="preserve">district staff were </w:t>
      </w:r>
      <w:r w:rsidRPr="00797379">
        <w:t xml:space="preserve">asked how long this </w:t>
      </w:r>
      <w:r w:rsidR="00A97643" w:rsidRPr="00797379">
        <w:t xml:space="preserve">division </w:t>
      </w:r>
      <w:r w:rsidRPr="00797379">
        <w:t xml:space="preserve">has been in place, </w:t>
      </w:r>
      <w:r w:rsidR="00A97643" w:rsidRPr="00797379">
        <w:t>they</w:t>
      </w:r>
      <w:r w:rsidRPr="00797379">
        <w:t xml:space="preserve"> were unsure but</w:t>
      </w:r>
      <w:r w:rsidRPr="00797379" w:rsidDel="00A97643">
        <w:t xml:space="preserve"> </w:t>
      </w:r>
      <w:r w:rsidR="00A97643" w:rsidRPr="00797379">
        <w:t xml:space="preserve">that </w:t>
      </w:r>
      <w:r w:rsidRPr="00797379">
        <w:t xml:space="preserve">it was likely more than twenty years. </w:t>
      </w:r>
      <w:r w:rsidRPr="001101E4">
        <w:t xml:space="preserve">Establishing a formal </w:t>
      </w:r>
      <w:r w:rsidR="0089145D">
        <w:t>agreement</w:t>
      </w:r>
      <w:r w:rsidR="0089145D" w:rsidRPr="001101E4">
        <w:t xml:space="preserve"> </w:t>
      </w:r>
      <w:r w:rsidRPr="001101E4">
        <w:t>regarding the district and town</w:t>
      </w:r>
      <w:r w:rsidR="004C2062" w:rsidRPr="001101E4">
        <w:t>’</w:t>
      </w:r>
      <w:r w:rsidRPr="001101E4">
        <w:t>s fiscal responsibilities is an area of growth for the district.</w:t>
      </w:r>
    </w:p>
    <w:p w14:paraId="3C45E280" w14:textId="52C9D48D" w:rsidR="003C7A70" w:rsidRPr="00797379" w:rsidRDefault="003C7A70" w:rsidP="00AE0CFD">
      <w:pPr>
        <w:pStyle w:val="Heading3"/>
      </w:pPr>
      <w:r w:rsidRPr="00797379">
        <w:t>Budgeting and Budget Process</w:t>
      </w:r>
    </w:p>
    <w:p w14:paraId="3E46850E" w14:textId="267D6CAF" w:rsidR="003C7A70" w:rsidRPr="00797379" w:rsidRDefault="003C7A70" w:rsidP="00AE0CFD">
      <w:pPr>
        <w:pStyle w:val="BodyTextposthead"/>
      </w:pPr>
      <w:r w:rsidRPr="00797379">
        <w:t xml:space="preserve">As described by district leaders, </w:t>
      </w:r>
      <w:r w:rsidR="00B75014" w:rsidRPr="00797379">
        <w:t xml:space="preserve">the superintendent and finance office initially develop </w:t>
      </w:r>
      <w:r w:rsidRPr="00797379">
        <w:t>the district’s budget</w:t>
      </w:r>
      <w:r w:rsidRPr="00797379" w:rsidDel="00B75014">
        <w:t xml:space="preserve"> </w:t>
      </w:r>
      <w:r w:rsidR="00B75014" w:rsidRPr="00797379">
        <w:t>by</w:t>
      </w:r>
      <w:r w:rsidRPr="00797379">
        <w:t xml:space="preserve"> gather</w:t>
      </w:r>
      <w:r w:rsidR="00B75014" w:rsidRPr="00797379">
        <w:t>ing</w:t>
      </w:r>
      <w:r w:rsidRPr="00797379">
        <w:t xml:space="preserve"> detailed input from principals, department directors, and</w:t>
      </w:r>
      <w:r w:rsidRPr="00797379" w:rsidDel="00B75014">
        <w:t xml:space="preserve"> </w:t>
      </w:r>
      <w:r w:rsidRPr="00797379">
        <w:t>staff surveys</w:t>
      </w:r>
      <w:r w:rsidR="00B75014" w:rsidRPr="00797379">
        <w:t>.</w:t>
      </w:r>
      <w:r w:rsidRPr="00797379">
        <w:t xml:space="preserve"> </w:t>
      </w:r>
      <w:r w:rsidR="00B75014" w:rsidRPr="00797379">
        <w:t>The</w:t>
      </w:r>
      <w:r w:rsidRPr="00797379">
        <w:t xml:space="preserve"> recommended budget </w:t>
      </w:r>
      <w:r w:rsidR="00B75014" w:rsidRPr="00797379">
        <w:t>is then sent to</w:t>
      </w:r>
      <w:r w:rsidRPr="00797379">
        <w:t xml:space="preserve"> the </w:t>
      </w:r>
      <w:r w:rsidR="00B75014" w:rsidRPr="00797379">
        <w:t>s</w:t>
      </w:r>
      <w:r w:rsidRPr="00797379">
        <w:t xml:space="preserve">chool </w:t>
      </w:r>
      <w:r w:rsidR="00B75014" w:rsidRPr="00797379">
        <w:t>c</w:t>
      </w:r>
      <w:r w:rsidRPr="00797379">
        <w:t xml:space="preserve">ommittee </w:t>
      </w:r>
      <w:r w:rsidR="00B75014" w:rsidRPr="00797379">
        <w:t xml:space="preserve">for </w:t>
      </w:r>
      <w:r w:rsidRPr="00797379">
        <w:t>review and adjust</w:t>
      </w:r>
      <w:r w:rsidR="00B75014" w:rsidRPr="00797379">
        <w:t>ment</w:t>
      </w:r>
      <w:r w:rsidRPr="00797379">
        <w:t xml:space="preserve"> before </w:t>
      </w:r>
      <w:r w:rsidR="00B75014" w:rsidRPr="00797379">
        <w:t xml:space="preserve">a vote on </w:t>
      </w:r>
      <w:r w:rsidRPr="00797379">
        <w:t xml:space="preserve">adoption. Throughout the development period, the district administration collaborates closely with the </w:t>
      </w:r>
      <w:r w:rsidR="00B75014" w:rsidRPr="00797379">
        <w:t>s</w:t>
      </w:r>
      <w:r w:rsidRPr="00797379">
        <w:t xml:space="preserve">chool </w:t>
      </w:r>
      <w:r w:rsidR="00B75014" w:rsidRPr="00797379">
        <w:t>c</w:t>
      </w:r>
      <w:r w:rsidRPr="00797379">
        <w:t>ommittee</w:t>
      </w:r>
      <w:r w:rsidR="00B75014" w:rsidRPr="00797379">
        <w:t xml:space="preserve"> by </w:t>
      </w:r>
      <w:r w:rsidRPr="00797379">
        <w:t xml:space="preserve">providing detailed budget materials and timely updates. </w:t>
      </w:r>
      <w:r w:rsidR="00B75014" w:rsidRPr="00797379">
        <w:t>School c</w:t>
      </w:r>
      <w:r w:rsidRPr="00797379">
        <w:t xml:space="preserve">ommittee members described </w:t>
      </w:r>
      <w:r w:rsidR="00B75014" w:rsidRPr="00797379">
        <w:t>the process</w:t>
      </w:r>
      <w:r w:rsidRPr="00797379">
        <w:t xml:space="preserve"> as highly interactive</w:t>
      </w:r>
      <w:r w:rsidRPr="00797379" w:rsidDel="00B75014">
        <w:t xml:space="preserve"> </w:t>
      </w:r>
      <w:r w:rsidR="00B75014" w:rsidRPr="00797379">
        <w:t xml:space="preserve">and </w:t>
      </w:r>
      <w:r w:rsidRPr="00797379">
        <w:t xml:space="preserve">sometimes </w:t>
      </w:r>
      <w:r w:rsidR="00B75014" w:rsidRPr="00797379">
        <w:t xml:space="preserve">it </w:t>
      </w:r>
      <w:r w:rsidRPr="00797379">
        <w:t>requir</w:t>
      </w:r>
      <w:r w:rsidR="00B75014" w:rsidRPr="00797379">
        <w:t>e</w:t>
      </w:r>
      <w:r w:rsidR="001874E5" w:rsidRPr="00797379">
        <w:t>d</w:t>
      </w:r>
      <w:r w:rsidRPr="00797379">
        <w:t xml:space="preserve"> intensive collaboration</w:t>
      </w:r>
      <w:r w:rsidR="00B75014" w:rsidRPr="00797379">
        <w:t xml:space="preserve">, for example, </w:t>
      </w:r>
      <w:r w:rsidRPr="00797379">
        <w:t>when the district is refining complex financial proposals or preparing for contract negotiations.</w:t>
      </w:r>
      <w:r w:rsidR="00B75014" w:rsidRPr="00797379">
        <w:t xml:space="preserve"> This can include</w:t>
      </w:r>
      <w:r w:rsidRPr="00797379" w:rsidDel="00B75014">
        <w:t xml:space="preserve"> </w:t>
      </w:r>
      <w:r w:rsidR="00B75014" w:rsidRPr="00797379">
        <w:t>working outside scheduled meetings. T</w:t>
      </w:r>
      <w:r w:rsidRPr="00797379">
        <w:t>h</w:t>
      </w:r>
      <w:r w:rsidR="00026D77">
        <w:t>e 2025</w:t>
      </w:r>
      <w:r w:rsidR="001101E4">
        <w:t>–</w:t>
      </w:r>
      <w:r w:rsidR="00026D77">
        <w:t>2026 school</w:t>
      </w:r>
      <w:r w:rsidRPr="00797379">
        <w:t xml:space="preserve"> year has been particularly intense</w:t>
      </w:r>
      <w:r w:rsidR="00B75014" w:rsidRPr="00797379">
        <w:t>.</w:t>
      </w:r>
      <w:r w:rsidRPr="00797379">
        <w:t xml:space="preserve"> </w:t>
      </w:r>
      <w:r w:rsidR="00EA742F">
        <w:t>At the time of the review, s</w:t>
      </w:r>
      <w:r w:rsidR="00B75014" w:rsidRPr="00797379">
        <w:t xml:space="preserve">chool </w:t>
      </w:r>
      <w:r w:rsidRPr="00797379">
        <w:t xml:space="preserve">committee members and district staff reported they </w:t>
      </w:r>
      <w:r w:rsidR="00EA742F">
        <w:t>we</w:t>
      </w:r>
      <w:r w:rsidRPr="00797379">
        <w:t xml:space="preserve">re </w:t>
      </w:r>
      <w:r w:rsidR="00B75014" w:rsidRPr="00797379">
        <w:t xml:space="preserve">simultaneously working </w:t>
      </w:r>
      <w:r w:rsidRPr="00797379">
        <w:t xml:space="preserve">on a budget override bill and negotiating a new contract for teachers. Historically, coordination between the </w:t>
      </w:r>
      <w:r w:rsidR="00B75014" w:rsidRPr="00797379">
        <w:t>s</w:t>
      </w:r>
      <w:r w:rsidRPr="00797379">
        <w:t xml:space="preserve">chool </w:t>
      </w:r>
      <w:r w:rsidR="00B75014" w:rsidRPr="00797379">
        <w:t>c</w:t>
      </w:r>
      <w:r w:rsidRPr="00797379">
        <w:t xml:space="preserve">ommittee, </w:t>
      </w:r>
      <w:r w:rsidR="00B75014" w:rsidRPr="00797379">
        <w:t>s</w:t>
      </w:r>
      <w:r w:rsidRPr="00797379">
        <w:t xml:space="preserve">elect </w:t>
      </w:r>
      <w:r w:rsidR="00B75014" w:rsidRPr="00797379">
        <w:t>b</w:t>
      </w:r>
      <w:r w:rsidRPr="00797379">
        <w:t xml:space="preserve">oard, and </w:t>
      </w:r>
      <w:r w:rsidR="00B75014" w:rsidRPr="00797379">
        <w:t>f</w:t>
      </w:r>
      <w:r w:rsidRPr="00797379">
        <w:t xml:space="preserve">inance </w:t>
      </w:r>
      <w:r w:rsidR="00B75014" w:rsidRPr="00797379">
        <w:t>c</w:t>
      </w:r>
      <w:r w:rsidRPr="00797379">
        <w:t>ommittee has been limited to a few fall budget meetings, but</w:t>
      </w:r>
      <w:r w:rsidR="00813F5D">
        <w:t>, at the time of the review,</w:t>
      </w:r>
      <w:r w:rsidRPr="00797379">
        <w:t xml:space="preserve"> the </w:t>
      </w:r>
      <w:r w:rsidR="00EA742F">
        <w:t>2026</w:t>
      </w:r>
      <w:r w:rsidR="00EA742F" w:rsidRPr="00797379">
        <w:t xml:space="preserve"> </w:t>
      </w:r>
      <w:r w:rsidRPr="00797379">
        <w:t>override process ha</w:t>
      </w:r>
      <w:r w:rsidR="00EA742F">
        <w:t>d</w:t>
      </w:r>
      <w:r w:rsidRPr="00797379">
        <w:t xml:space="preserve"> led to far more frequent joint discussions to align on priorities and financial constraints.</w:t>
      </w:r>
    </w:p>
    <w:p w14:paraId="4364772A" w14:textId="3C8970DA" w:rsidR="00CD3927" w:rsidRPr="00797379" w:rsidRDefault="003C7A70" w:rsidP="00AE0CFD">
      <w:pPr>
        <w:pStyle w:val="BodyText"/>
        <w:keepNext/>
        <w:keepLines/>
      </w:pPr>
      <w:r w:rsidRPr="00797379">
        <w:t xml:space="preserve">The </w:t>
      </w:r>
      <w:r w:rsidR="00947B7C" w:rsidRPr="00797379">
        <w:t xml:space="preserve">budgeting </w:t>
      </w:r>
      <w:r w:rsidRPr="00797379">
        <w:t>process typically begins in October</w:t>
      </w:r>
      <w:r w:rsidR="00241C05" w:rsidRPr="00797379">
        <w:t>;</w:t>
      </w:r>
      <w:r w:rsidRPr="00797379">
        <w:t xml:space="preserve"> the </w:t>
      </w:r>
      <w:r w:rsidR="00241C05" w:rsidRPr="00797379">
        <w:t>s</w:t>
      </w:r>
      <w:r w:rsidRPr="00797379">
        <w:t xml:space="preserve">chool </w:t>
      </w:r>
      <w:r w:rsidR="00241C05" w:rsidRPr="00797379">
        <w:t>c</w:t>
      </w:r>
      <w:r w:rsidRPr="00797379">
        <w:t xml:space="preserve">ommittee </w:t>
      </w:r>
      <w:r w:rsidR="00241C05" w:rsidRPr="00797379">
        <w:t xml:space="preserve">then </w:t>
      </w:r>
      <w:r w:rsidRPr="00797379">
        <w:t>votes on a</w:t>
      </w:r>
      <w:r w:rsidR="00AE0CFD" w:rsidRPr="00797379">
        <w:t xml:space="preserve"> </w:t>
      </w:r>
      <w:r w:rsidRPr="00797379">
        <w:t>preliminary budget</w:t>
      </w:r>
      <w:r w:rsidR="00AE0CFD" w:rsidRPr="00797379">
        <w:t xml:space="preserve"> </w:t>
      </w:r>
      <w:r w:rsidRPr="00797379">
        <w:t>in January, followed by a</w:t>
      </w:r>
      <w:r w:rsidR="00AE0CFD" w:rsidRPr="00797379">
        <w:t xml:space="preserve"> </w:t>
      </w:r>
      <w:r w:rsidRPr="00797379">
        <w:t>final budget vote</w:t>
      </w:r>
      <w:r w:rsidR="00AE0CFD" w:rsidRPr="00797379">
        <w:t xml:space="preserve"> </w:t>
      </w:r>
      <w:r w:rsidRPr="00797379">
        <w:t xml:space="preserve">in March or April, depending on the yearly cycle. Committee members noted that although March is the customary </w:t>
      </w:r>
      <w:r w:rsidR="00241C05" w:rsidRPr="00797379">
        <w:t>deadline</w:t>
      </w:r>
      <w:r w:rsidRPr="00797379">
        <w:t>,</w:t>
      </w:r>
      <w:r w:rsidRPr="00797379" w:rsidDel="00241C05">
        <w:t xml:space="preserve"> </w:t>
      </w:r>
      <w:r w:rsidRPr="00797379">
        <w:t>the final vote has occurred in April</w:t>
      </w:r>
      <w:r w:rsidR="00241C05" w:rsidRPr="00797379">
        <w:t xml:space="preserve"> in some years</w:t>
      </w:r>
      <w:r w:rsidR="00B85B27">
        <w:t>,</w:t>
      </w:r>
      <w:r w:rsidR="006531BC">
        <w:t xml:space="preserve"> prior to the town meeting</w:t>
      </w:r>
      <w:r w:rsidR="00CD3927" w:rsidRPr="00797379" w:rsidDel="00241C05">
        <w:t>.</w:t>
      </w:r>
    </w:p>
    <w:p w14:paraId="55FCC0F6" w14:textId="34BF4E24" w:rsidR="003C7A70" w:rsidRPr="00797379" w:rsidRDefault="00711921" w:rsidP="00AE0CFD">
      <w:pPr>
        <w:pStyle w:val="BodyText"/>
        <w:rPr>
          <w:color w:val="538135" w:themeColor="accent6" w:themeShade="BF"/>
        </w:rPr>
      </w:pPr>
      <w:r w:rsidRPr="00797379">
        <w:t>S</w:t>
      </w:r>
      <w:r w:rsidR="003C7A70" w:rsidRPr="00797379">
        <w:t xml:space="preserve">uperintendent </w:t>
      </w:r>
      <w:r w:rsidRPr="00797379">
        <w:t xml:space="preserve">Hackett </w:t>
      </w:r>
      <w:r w:rsidR="003C7A70" w:rsidRPr="00797379">
        <w:t>explained that the district’s budget development process is now closely tied to WPS2030</w:t>
      </w:r>
      <w:r w:rsidR="003C7A70" w:rsidRPr="00797379" w:rsidDel="00947B7C">
        <w:t xml:space="preserve"> </w:t>
      </w:r>
      <w:r w:rsidR="003C7A70" w:rsidRPr="00797379">
        <w:t>priorities</w:t>
      </w:r>
      <w:r w:rsidR="00947B7C" w:rsidRPr="00797379">
        <w:t>,</w:t>
      </w:r>
      <w:r w:rsidR="003C7A70" w:rsidRPr="00797379">
        <w:t xml:space="preserve"> identified through broad community input gathered via ThoughtExchange</w:t>
      </w:r>
      <w:r w:rsidR="00947B7C" w:rsidRPr="00797379">
        <w:t>. This input</w:t>
      </w:r>
      <w:r w:rsidR="003C7A70" w:rsidRPr="00797379">
        <w:t xml:space="preserve"> revealed strong demand for clearly articulated curriculum and expanded, externally sourced professional development. </w:t>
      </w:r>
      <w:r w:rsidR="00905180">
        <w:t xml:space="preserve">The </w:t>
      </w:r>
      <w:r w:rsidR="00B85B27">
        <w:t>s</w:t>
      </w:r>
      <w:r w:rsidR="00947B7C" w:rsidRPr="00797379">
        <w:t>uperintendent</w:t>
      </w:r>
      <w:r w:rsidR="003C7A70" w:rsidRPr="00797379">
        <w:t xml:space="preserve"> noted that limited funding had previously constrained meaningful professional development and curriculum work, creating an internal “echo chamber,” but the </w:t>
      </w:r>
      <w:r w:rsidR="00AC499F">
        <w:t>2026</w:t>
      </w:r>
      <w:r w:rsidR="00AC499F" w:rsidRPr="00797379">
        <w:t xml:space="preserve"> </w:t>
      </w:r>
      <w:r w:rsidR="003C7A70" w:rsidRPr="00797379">
        <w:t xml:space="preserve">$4–$4.5 million override request </w:t>
      </w:r>
      <w:r w:rsidR="006531BC">
        <w:t>was</w:t>
      </w:r>
      <w:r w:rsidR="006531BC" w:rsidRPr="00797379">
        <w:t xml:space="preserve"> </w:t>
      </w:r>
      <w:r w:rsidR="003C7A70" w:rsidRPr="00797379">
        <w:t>intentionally aligned to support literacy programming, math curriculum updates, and improved professional learning. He emphasized that the budget must reflect the district’s true values and that past school improvement plans often lacked the resources needed for real impact</w:t>
      </w:r>
      <w:r w:rsidR="00947B7C" w:rsidRPr="00797379">
        <w:t>. I</w:t>
      </w:r>
      <w:r w:rsidR="003C7A70" w:rsidRPr="00797379">
        <w:t>n contrast, the present process integrates strategic planning, community feedback</w:t>
      </w:r>
      <w:r w:rsidR="008A5835" w:rsidRPr="00797379">
        <w:t>,</w:t>
      </w:r>
      <w:r w:rsidR="003C7A70" w:rsidRPr="00797379">
        <w:t xml:space="preserve"> and resource allocation in a more cohesive and actionable way.</w:t>
      </w:r>
      <w:r w:rsidR="00933E0B" w:rsidRPr="00797379">
        <w:t xml:space="preserve"> </w:t>
      </w:r>
      <w:r w:rsidR="00947B7C" w:rsidRPr="00797379">
        <w:rPr>
          <w:rFonts w:cs="Times New Roman (Body CS)"/>
          <w:kern w:val="2"/>
          <w14:ligatures w14:val="standardContextual"/>
        </w:rPr>
        <w:t>O</w:t>
      </w:r>
      <w:r w:rsidR="00933E0B" w:rsidRPr="00797379">
        <w:rPr>
          <w:rFonts w:cs="Times New Roman (Body CS)"/>
          <w:kern w:val="2"/>
          <w14:ligatures w14:val="standardContextual"/>
        </w:rPr>
        <w:t xml:space="preserve">ne district leader explained how </w:t>
      </w:r>
      <w:r w:rsidR="00947B7C" w:rsidRPr="00797379">
        <w:rPr>
          <w:rFonts w:cs="Times New Roman (Body CS)"/>
          <w:kern w:val="2"/>
          <w14:ligatures w14:val="standardContextual"/>
        </w:rPr>
        <w:t>WPS</w:t>
      </w:r>
      <w:r w:rsidR="00933E0B" w:rsidRPr="00797379">
        <w:rPr>
          <w:rFonts w:cs="Times New Roman (Body CS)"/>
          <w:kern w:val="2"/>
          <w14:ligatures w14:val="standardContextual"/>
        </w:rPr>
        <w:t xml:space="preserve"> focus</w:t>
      </w:r>
      <w:r w:rsidR="00947B7C" w:rsidRPr="00797379">
        <w:rPr>
          <w:rFonts w:cs="Times New Roman (Body CS)"/>
          <w:kern w:val="2"/>
          <w14:ligatures w14:val="standardContextual"/>
        </w:rPr>
        <w:t>es</w:t>
      </w:r>
      <w:r w:rsidR="00933E0B" w:rsidRPr="00797379">
        <w:rPr>
          <w:rFonts w:cs="Times New Roman (Body CS)"/>
          <w:kern w:val="2"/>
          <w14:ligatures w14:val="standardContextual"/>
        </w:rPr>
        <w:t xml:space="preserve"> on budget priorities</w:t>
      </w:r>
      <w:r w:rsidR="00947B7C" w:rsidRPr="00797379">
        <w:rPr>
          <w:rFonts w:cs="Times New Roman (Body CS)"/>
          <w:kern w:val="2"/>
          <w14:ligatures w14:val="standardContextual"/>
        </w:rPr>
        <w:t>:</w:t>
      </w:r>
      <w:r w:rsidR="00933E0B" w:rsidRPr="00797379">
        <w:rPr>
          <w:rFonts w:cs="Times New Roman (Body CS)"/>
          <w:kern w:val="2"/>
          <w14:ligatures w14:val="standardContextual"/>
        </w:rPr>
        <w:t xml:space="preserve"> “Our budget is aligned to the strategic plan, and we link our goals to the priority requests.”</w:t>
      </w:r>
      <w:r w:rsidR="003C7A70" w:rsidRPr="00797379">
        <w:t xml:space="preserve"> </w:t>
      </w:r>
      <w:r w:rsidR="003C7A70" w:rsidRPr="00B85B27">
        <w:t>The alignment of district budget priorities with the five-year strategic plan is a strength for the district.</w:t>
      </w:r>
    </w:p>
    <w:p w14:paraId="5C837FE5" w14:textId="0841453A" w:rsidR="003C7A70" w:rsidRPr="00797379" w:rsidRDefault="00583643" w:rsidP="00AE0CFD">
      <w:pPr>
        <w:pStyle w:val="BodyText"/>
      </w:pPr>
      <w:r>
        <w:t>Despite this alignment with priorities, a</w:t>
      </w:r>
      <w:r w:rsidR="003C7A70" w:rsidRPr="00116081">
        <w:t xml:space="preserve">ccording to </w:t>
      </w:r>
      <w:r w:rsidR="005317C0" w:rsidRPr="00116081">
        <w:t xml:space="preserve">district leaders, </w:t>
      </w:r>
      <w:r w:rsidR="003C7A70" w:rsidRPr="00116081">
        <w:t>school leaders</w:t>
      </w:r>
      <w:r w:rsidR="005317C0" w:rsidRPr="00116081">
        <w:t>,</w:t>
      </w:r>
      <w:r w:rsidR="003C7A70" w:rsidRPr="00116081">
        <w:t xml:space="preserve"> and teachers, the district’s budget does not provide appropriate levels of funding for key instructional resources</w:t>
      </w:r>
      <w:r w:rsidR="00605661" w:rsidRPr="00116081">
        <w:t>,</w:t>
      </w:r>
      <w:r w:rsidR="0045480C" w:rsidRPr="00116081">
        <w:t xml:space="preserve"> such as staffing </w:t>
      </w:r>
      <w:r w:rsidR="00E967E1" w:rsidRPr="00116081">
        <w:t xml:space="preserve">for </w:t>
      </w:r>
      <w:r w:rsidR="00605661" w:rsidRPr="00116081">
        <w:t>T</w:t>
      </w:r>
      <w:r w:rsidR="00E967E1" w:rsidRPr="00116081">
        <w:t>ier</w:t>
      </w:r>
      <w:r w:rsidR="00605661" w:rsidRPr="00116081">
        <w:t xml:space="preserve"> </w:t>
      </w:r>
      <w:r w:rsidR="00E967E1" w:rsidRPr="00116081">
        <w:t xml:space="preserve">2 </w:t>
      </w:r>
      <w:r w:rsidR="008C7876" w:rsidRPr="00116081">
        <w:t>academic and social-emotional</w:t>
      </w:r>
      <w:r w:rsidR="00E967E1" w:rsidRPr="00116081">
        <w:t xml:space="preserve"> supports</w:t>
      </w:r>
      <w:r w:rsidR="00605661" w:rsidRPr="00116081">
        <w:t xml:space="preserve">. </w:t>
      </w:r>
      <w:r w:rsidR="003C7A70" w:rsidRPr="00797379">
        <w:t>For example, one district leader shared, “New spending really is driven by the needs of students who have identified needs; it's because we have more kids who are multilevel who need those services, or we need another special education teacher because we have a group of kids [who</w:t>
      </w:r>
      <w:r w:rsidR="00FD22A9">
        <w:t>]</w:t>
      </w:r>
      <w:r w:rsidR="003C7A70" w:rsidRPr="00797379">
        <w:t xml:space="preserve"> need services</w:t>
      </w:r>
      <w:r w:rsidR="00AE0CFD" w:rsidRPr="00797379">
        <w:t>.</w:t>
      </w:r>
      <w:r w:rsidR="00605661" w:rsidRPr="00797379">
        <w:t>”</w:t>
      </w:r>
      <w:r w:rsidR="00271C28">
        <w:t xml:space="preserve"> </w:t>
      </w:r>
      <w:r w:rsidR="00D61B8E" w:rsidRPr="004C4BCA">
        <w:t xml:space="preserve">Ensuring </w:t>
      </w:r>
      <w:r w:rsidR="009E6A66">
        <w:t xml:space="preserve">budgetary decisions consider the full range of students’ needs </w:t>
      </w:r>
      <w:r w:rsidR="003C7A70" w:rsidRPr="004C4BCA">
        <w:t xml:space="preserve">is an area of growth for the district. </w:t>
      </w:r>
    </w:p>
    <w:p w14:paraId="3BCE6EED" w14:textId="07C7189D" w:rsidR="003C7A70" w:rsidRPr="00797379" w:rsidRDefault="006531BC" w:rsidP="00AE0CFD">
      <w:pPr>
        <w:pStyle w:val="BodyText"/>
        <w:rPr>
          <w:color w:val="EE0000"/>
        </w:rPr>
      </w:pPr>
      <w:r w:rsidRPr="00797379">
        <w:t xml:space="preserve">District budget documents clearly identify funds associated with grants, student activities and organizations, fees, and revolving funds. </w:t>
      </w:r>
      <w:r w:rsidR="003C7A70" w:rsidRPr="00797379">
        <w:t xml:space="preserve">When </w:t>
      </w:r>
      <w:r w:rsidR="001969BB" w:rsidRPr="00797379">
        <w:t xml:space="preserve">district leaders were </w:t>
      </w:r>
      <w:r w:rsidR="003C7A70" w:rsidRPr="00797379">
        <w:t xml:space="preserve">asked if the district has systems in place to </w:t>
      </w:r>
      <w:r w:rsidR="001969BB" w:rsidRPr="00797379">
        <w:t xml:space="preserve">spend </w:t>
      </w:r>
      <w:r w:rsidR="003C7A70" w:rsidRPr="00797379">
        <w:t xml:space="preserve">grant funding, </w:t>
      </w:r>
      <w:r w:rsidR="001969BB" w:rsidRPr="00797379">
        <w:t xml:space="preserve">they </w:t>
      </w:r>
      <w:r w:rsidR="003C7A70" w:rsidRPr="00797379">
        <w:t xml:space="preserve">reported the district strategically </w:t>
      </w:r>
      <w:r w:rsidR="001969BB" w:rsidRPr="00797379">
        <w:t>uses</w:t>
      </w:r>
      <w:r w:rsidR="003C7A70" w:rsidRPr="00797379">
        <w:t xml:space="preserve"> restricted funds</w:t>
      </w:r>
      <w:r w:rsidR="003C7A70" w:rsidRPr="00797379" w:rsidDel="001969BB">
        <w:t xml:space="preserve"> </w:t>
      </w:r>
      <w:r w:rsidR="001969BB" w:rsidRPr="00797379">
        <w:t>(e.g.,</w:t>
      </w:r>
      <w:r w:rsidR="003C7A70" w:rsidRPr="00797379">
        <w:t xml:space="preserve"> state grants</w:t>
      </w:r>
      <w:r w:rsidR="001969BB" w:rsidRPr="00797379">
        <w:t>)</w:t>
      </w:r>
      <w:r w:rsidR="001A7524" w:rsidRPr="00797379">
        <w:t xml:space="preserve"> by</w:t>
      </w:r>
      <w:r w:rsidR="003C7A70" w:rsidRPr="00797379">
        <w:t xml:space="preserve"> blending them</w:t>
      </w:r>
      <w:r w:rsidR="00FD22A9">
        <w:t>,</w:t>
      </w:r>
      <w:r w:rsidR="003C7A70" w:rsidRPr="00797379">
        <w:t xml:space="preserve"> when </w:t>
      </w:r>
      <w:r w:rsidR="001F4E12" w:rsidRPr="00797379">
        <w:t>appropriat</w:t>
      </w:r>
      <w:r w:rsidR="001F4E12">
        <w:t>e</w:t>
      </w:r>
      <w:r w:rsidR="00FD22A9">
        <w:t>,</w:t>
      </w:r>
      <w:r w:rsidR="003C7A70" w:rsidRPr="00797379">
        <w:t xml:space="preserve"> with unrestricted funds </w:t>
      </w:r>
      <w:r w:rsidR="001A7524" w:rsidRPr="00797379">
        <w:t xml:space="preserve">(e.g., </w:t>
      </w:r>
      <w:r w:rsidR="003C7A70" w:rsidRPr="00797379">
        <w:t>Chapter 70</w:t>
      </w:r>
      <w:r w:rsidR="001A7524" w:rsidRPr="00797379">
        <w:t>)</w:t>
      </w:r>
      <w:r w:rsidR="003C7A70" w:rsidRPr="00797379">
        <w:t xml:space="preserve"> and local appropriations to maximize benefits for students. This approach </w:t>
      </w:r>
      <w:r w:rsidR="001A7524" w:rsidRPr="00797379">
        <w:t xml:space="preserve">was </w:t>
      </w:r>
      <w:r w:rsidR="003C7A70" w:rsidRPr="00797379">
        <w:t xml:space="preserve">evident in budget presentations and </w:t>
      </w:r>
      <w:r w:rsidR="001A7524" w:rsidRPr="00797379">
        <w:t>s</w:t>
      </w:r>
      <w:r w:rsidR="003C7A70" w:rsidRPr="00797379">
        <w:t xml:space="preserve">chool </w:t>
      </w:r>
      <w:r w:rsidR="001A7524" w:rsidRPr="00797379">
        <w:t>c</w:t>
      </w:r>
      <w:r w:rsidR="003C7A70" w:rsidRPr="00797379">
        <w:t>ommittee discussions</w:t>
      </w:r>
      <w:r w:rsidR="001A7524" w:rsidRPr="00797379">
        <w:t>;</w:t>
      </w:r>
      <w:r w:rsidR="003C7A70" w:rsidRPr="00797379" w:rsidDel="001A7524">
        <w:t xml:space="preserve"> </w:t>
      </w:r>
      <w:r w:rsidR="003C7A70" w:rsidRPr="00797379">
        <w:t>leaders describe</w:t>
      </w:r>
      <w:r w:rsidR="001A7524" w:rsidRPr="00797379">
        <w:t>d</w:t>
      </w:r>
      <w:r w:rsidR="003C7A70" w:rsidRPr="00797379">
        <w:t xml:space="preserve"> leveraging multiple funding streams to support special education, early literacy pilots, and multilingual learner initiatives. According to town officials, the town comptroller’s office conducts weekly reviews </w:t>
      </w:r>
      <w:r w:rsidR="001A7524" w:rsidRPr="00797379">
        <w:t>that</w:t>
      </w:r>
      <w:r w:rsidR="003C7A70" w:rsidRPr="00797379">
        <w:t xml:space="preserve"> provide an additional layer of oversight for authorizations and compliance to ensure grant-related funds meet policy standards. </w:t>
      </w:r>
      <w:r w:rsidR="001A7524" w:rsidRPr="00797379">
        <w:t>Although</w:t>
      </w:r>
      <w:r w:rsidR="003C7A70" w:rsidRPr="00797379">
        <w:t xml:space="preserve"> the district demonstrates effective short-term grant management, formal sustainability plans for continuing grant-funded initiatives beyond the grant period are not consistently documented. In </w:t>
      </w:r>
      <w:r w:rsidR="00A15180" w:rsidRPr="00797379">
        <w:t>i</w:t>
      </w:r>
      <w:r w:rsidR="003C7A70" w:rsidRPr="00797379">
        <w:t xml:space="preserve">nterviews and focus groups, district and town leaders recognized the need for sustainability planning, particularly for positions and programs funded through temporary grants, but </w:t>
      </w:r>
      <w:r w:rsidR="003C7A70" w:rsidRPr="00C30EAB">
        <w:t xml:space="preserve">current </w:t>
      </w:r>
      <w:r w:rsidR="00A15180" w:rsidRPr="00C30EAB">
        <w:t xml:space="preserve">district </w:t>
      </w:r>
      <w:r w:rsidR="00F30C77" w:rsidRPr="00C30EAB">
        <w:t>planning</w:t>
      </w:r>
      <w:r w:rsidR="003C7A70" w:rsidRPr="00C30EAB">
        <w:t xml:space="preserve"> rel</w:t>
      </w:r>
      <w:r w:rsidR="00F30C77" w:rsidRPr="00C30EAB">
        <w:t>ies</w:t>
      </w:r>
      <w:r w:rsidR="003C7A70" w:rsidRPr="00C30EAB">
        <w:t xml:space="preserve"> heavily on annual override discussions and reallocations rather than codified long-term </w:t>
      </w:r>
      <w:r w:rsidR="00F30C77" w:rsidRPr="00C30EAB">
        <w:t xml:space="preserve">planning </w:t>
      </w:r>
      <w:r w:rsidR="003C7A70" w:rsidRPr="00C30EAB">
        <w:t>strategies</w:t>
      </w:r>
      <w:r w:rsidR="00A15180" w:rsidRPr="00C30EAB">
        <w:t>,</w:t>
      </w:r>
      <w:r w:rsidR="003C7A70" w:rsidRPr="00C30EAB">
        <w:t xml:space="preserve"> which is an area of growth for the district.</w:t>
      </w:r>
    </w:p>
    <w:p w14:paraId="798241CD" w14:textId="3B37AC2C" w:rsidR="003C7A70" w:rsidRPr="00797379" w:rsidRDefault="003C7A70" w:rsidP="00AE0CFD">
      <w:pPr>
        <w:pStyle w:val="BodyText"/>
      </w:pPr>
      <w:r w:rsidRPr="00797379">
        <w:t>A review of district documents confirm</w:t>
      </w:r>
      <w:r w:rsidR="00A15180" w:rsidRPr="00797379">
        <w:t>ed</w:t>
      </w:r>
      <w:r w:rsidRPr="00797379">
        <w:t xml:space="preserve"> the district adheres to Chapter 30B procurement guidelines, using state contracts and cooperative agreements for most purchases. </w:t>
      </w:r>
      <w:r w:rsidR="00E7683F">
        <w:t>According to district leaders</w:t>
      </w:r>
      <w:r w:rsidR="007A6561">
        <w:t>,</w:t>
      </w:r>
      <w:r w:rsidRPr="00797379">
        <w:t xml:space="preserve"> requisitions </w:t>
      </w:r>
      <w:r w:rsidR="00E7683F">
        <w:t>are</w:t>
      </w:r>
      <w:r w:rsidR="00A15180" w:rsidRPr="00797379">
        <w:t xml:space="preserve"> </w:t>
      </w:r>
      <w:r w:rsidRPr="00797379">
        <w:t xml:space="preserve">documented in Munis and require electronic approval, with higher thresholds routed through the </w:t>
      </w:r>
      <w:r w:rsidR="00A15180" w:rsidRPr="00797379">
        <w:t>t</w:t>
      </w:r>
      <w:r w:rsidRPr="00797379">
        <w:t xml:space="preserve">own </w:t>
      </w:r>
      <w:r w:rsidR="00A15180" w:rsidRPr="00797379">
        <w:t>m</w:t>
      </w:r>
      <w:r w:rsidRPr="00797379">
        <w:t>anager for validation. Weekly bill reviews and payroll processing occur in partnership with the town’s Comptroller office, ensuring compliance and accuracy. End</w:t>
      </w:r>
      <w:r w:rsidR="00A15180" w:rsidRPr="00797379">
        <w:t>-</w:t>
      </w:r>
      <w:r w:rsidRPr="00797379">
        <w:t>of</w:t>
      </w:r>
      <w:r w:rsidR="00A15180" w:rsidRPr="00797379">
        <w:t>-</w:t>
      </w:r>
      <w:r w:rsidRPr="00797379">
        <w:t>year compliance documentation confirmed accurate classification of expenditures and adherence to DESE standards for financial reporting. In addition, the superintendent reported that the district implement</w:t>
      </w:r>
      <w:r w:rsidR="00F30C77">
        <w:t>s</w:t>
      </w:r>
      <w:r w:rsidRPr="00797379">
        <w:t xml:space="preserve"> internal spending controls</w:t>
      </w:r>
      <w:r w:rsidR="00A15180" w:rsidRPr="00797379">
        <w:t>,</w:t>
      </w:r>
      <w:r w:rsidRPr="00797379">
        <w:t xml:space="preserve"> </w:t>
      </w:r>
      <w:r w:rsidR="00431467" w:rsidRPr="00797379">
        <w:t xml:space="preserve">including </w:t>
      </w:r>
      <w:r w:rsidRPr="00797379">
        <w:t xml:space="preserve">electronic approval workflows and regular </w:t>
      </w:r>
      <w:r w:rsidR="009F15A6" w:rsidRPr="00797379">
        <w:t>audits</w:t>
      </w:r>
      <w:r w:rsidR="00A15180" w:rsidRPr="00797379">
        <w:t>,</w:t>
      </w:r>
      <w:r w:rsidR="009F15A6" w:rsidRPr="00797379">
        <w:t xml:space="preserve"> but</w:t>
      </w:r>
      <w:r w:rsidRPr="00797379">
        <w:t xml:space="preserve"> </w:t>
      </w:r>
      <w:r w:rsidR="006F6569" w:rsidRPr="00797379">
        <w:t xml:space="preserve">noted that </w:t>
      </w:r>
      <w:r w:rsidRPr="00797379">
        <w:t>staffing limitations in the business office create operational strain during peak cycles.</w:t>
      </w:r>
    </w:p>
    <w:p w14:paraId="06A08AC6" w14:textId="47D114B9" w:rsidR="003C7A70" w:rsidRPr="00797379" w:rsidRDefault="003C7A70" w:rsidP="00AE0CFD">
      <w:pPr>
        <w:pStyle w:val="Heading3"/>
      </w:pPr>
      <w:r w:rsidRPr="00797379">
        <w:t>Operations</w:t>
      </w:r>
    </w:p>
    <w:p w14:paraId="7574CE56" w14:textId="36F50369" w:rsidR="003C7A70" w:rsidRPr="00797379" w:rsidRDefault="003C7A70" w:rsidP="00AE0CFD">
      <w:pPr>
        <w:pStyle w:val="BodyTextposthead"/>
      </w:pPr>
      <w:r w:rsidRPr="00797379">
        <w:t>The district office monitor</w:t>
      </w:r>
      <w:r w:rsidR="00F30C77">
        <w:t>s</w:t>
      </w:r>
      <w:r w:rsidRPr="00797379">
        <w:t xml:space="preserve"> enrollment trends with weekly updates to track shifts across grade levels and schools. Students register</w:t>
      </w:r>
      <w:r w:rsidR="00BB7DD8" w:rsidRPr="00797379">
        <w:t>ed</w:t>
      </w:r>
      <w:r w:rsidRPr="00797379">
        <w:t xml:space="preserve"> for</w:t>
      </w:r>
      <w:r w:rsidR="005D31DA" w:rsidRPr="00797379">
        <w:t>,</w:t>
      </w:r>
      <w:r w:rsidRPr="00797379">
        <w:t xml:space="preserve"> and </w:t>
      </w:r>
      <w:r w:rsidR="00BB7DD8" w:rsidRPr="00797379">
        <w:t>were</w:t>
      </w:r>
      <w:r w:rsidRPr="00797379">
        <w:t xml:space="preserve"> assigned</w:t>
      </w:r>
      <w:r w:rsidR="005D31DA" w:rsidRPr="00797379">
        <w:t>,</w:t>
      </w:r>
      <w:r w:rsidRPr="00797379">
        <w:t xml:space="preserve"> to schools based on their home address</w:t>
      </w:r>
      <w:r w:rsidR="00BB7DD8" w:rsidRPr="00797379">
        <w:t>;</w:t>
      </w:r>
      <w:r w:rsidRPr="00797379">
        <w:t xml:space="preserve"> the district’s school assignment policy is accessible through the district’s web site. </w:t>
      </w:r>
      <w:r w:rsidRPr="00797379">
        <w:rPr>
          <w:rFonts w:cs="Times New Roman (Body CS)"/>
        </w:rPr>
        <w:t>District leaders report</w:t>
      </w:r>
      <w:r w:rsidR="00BB7DD8" w:rsidRPr="00797379">
        <w:rPr>
          <w:rFonts w:cs="Times New Roman (Body CS)"/>
        </w:rPr>
        <w:t>ed</w:t>
      </w:r>
      <w:r w:rsidRPr="00797379">
        <w:rPr>
          <w:rFonts w:cs="Times New Roman (Body CS)"/>
        </w:rPr>
        <w:t xml:space="preserve"> declining elementary enrollment</w:t>
      </w:r>
      <w:r w:rsidR="00B62B9D" w:rsidRPr="00797379">
        <w:rPr>
          <w:rFonts w:cs="Times New Roman (Body CS)"/>
        </w:rPr>
        <w:t xml:space="preserve"> </w:t>
      </w:r>
      <w:r w:rsidRPr="00797379">
        <w:rPr>
          <w:rFonts w:cs="Times New Roman (Body CS)"/>
        </w:rPr>
        <w:t xml:space="preserve">has led to reductions of over </w:t>
      </w:r>
      <w:r w:rsidR="00B62B9D" w:rsidRPr="00797379">
        <w:rPr>
          <w:rFonts w:cs="Times New Roman (Body CS)"/>
        </w:rPr>
        <w:t xml:space="preserve">10 </w:t>
      </w:r>
      <w:r w:rsidRPr="00797379">
        <w:rPr>
          <w:rFonts w:cs="Times New Roman (Body CS)"/>
        </w:rPr>
        <w:t>positions in recent years.</w:t>
      </w:r>
      <w:r w:rsidRPr="00797379">
        <w:t xml:space="preserve"> </w:t>
      </w:r>
      <w:r w:rsidR="00BB7DD8" w:rsidRPr="00797379">
        <w:t>L</w:t>
      </w:r>
      <w:r w:rsidRPr="00797379">
        <w:t>eaders reported</w:t>
      </w:r>
      <w:r w:rsidRPr="00797379">
        <w:rPr>
          <w:rFonts w:cs="Times New Roman (Body CS)"/>
        </w:rPr>
        <w:t xml:space="preserve"> </w:t>
      </w:r>
      <w:r w:rsidRPr="00797379">
        <w:rPr>
          <w:rFonts w:cs="Times New Roman (Body CS)"/>
          <w:kern w:val="2"/>
          <w14:ligatures w14:val="standardContextual"/>
        </w:rPr>
        <w:t>that</w:t>
      </w:r>
      <w:r w:rsidR="00BB7DD8" w:rsidRPr="00797379">
        <w:rPr>
          <w:rFonts w:cs="Times New Roman (Body CS)"/>
          <w:kern w:val="2"/>
          <w14:ligatures w14:val="standardContextual"/>
        </w:rPr>
        <w:t xml:space="preserve"> </w:t>
      </w:r>
      <w:r w:rsidRPr="00797379">
        <w:rPr>
          <w:rFonts w:cs="Times New Roman (Body CS)"/>
          <w:kern w:val="2"/>
          <w14:ligatures w14:val="standardContextual"/>
        </w:rPr>
        <w:t xml:space="preserve">students </w:t>
      </w:r>
      <w:r w:rsidR="00BB7DD8" w:rsidRPr="00797379">
        <w:rPr>
          <w:rFonts w:cs="Times New Roman (Body CS)"/>
          <w:kern w:val="2"/>
          <w14:ligatures w14:val="standardContextual"/>
        </w:rPr>
        <w:t xml:space="preserve">were </w:t>
      </w:r>
      <w:r w:rsidRPr="00797379">
        <w:rPr>
          <w:rFonts w:cs="Times New Roman (Body CS)"/>
          <w:kern w:val="2"/>
          <w14:ligatures w14:val="standardContextual"/>
        </w:rPr>
        <w:t xml:space="preserve">assigned to one of the district’s five neighborhood elementary schools, each of which has its own character and community expectations. </w:t>
      </w:r>
      <w:r w:rsidRPr="00797379">
        <w:t>They</w:t>
      </w:r>
      <w:r w:rsidRPr="00797379">
        <w:rPr>
          <w:rFonts w:cs="Times New Roman (Body CS)"/>
          <w:kern w:val="2"/>
          <w14:ligatures w14:val="standardContextual"/>
        </w:rPr>
        <w:t xml:space="preserve"> explain</w:t>
      </w:r>
      <w:r w:rsidRPr="00797379">
        <w:t>ed</w:t>
      </w:r>
      <w:r w:rsidRPr="00797379">
        <w:rPr>
          <w:rFonts w:cs="Times New Roman (Body CS)"/>
          <w:kern w:val="2"/>
          <w14:ligatures w14:val="standardContextual"/>
        </w:rPr>
        <w:t xml:space="preserve"> that </w:t>
      </w:r>
      <w:r w:rsidR="00BB7DD8" w:rsidRPr="00797379">
        <w:rPr>
          <w:rFonts w:cs="Times New Roman (Body CS)"/>
          <w:kern w:val="2"/>
          <w14:ligatures w14:val="standardContextual"/>
        </w:rPr>
        <w:t xml:space="preserve">WPS </w:t>
      </w:r>
      <w:r w:rsidRPr="00797379">
        <w:rPr>
          <w:rFonts w:cs="Times New Roman (Body CS)"/>
          <w:kern w:val="2"/>
          <w14:ligatures w14:val="standardContextual"/>
        </w:rPr>
        <w:t>has a strong tradition o</w:t>
      </w:r>
      <w:r w:rsidR="00BB7DD8" w:rsidRPr="00797379">
        <w:rPr>
          <w:rFonts w:cs="Times New Roman (Body CS)"/>
          <w:kern w:val="2"/>
          <w14:ligatures w14:val="standardContextual"/>
        </w:rPr>
        <w:t xml:space="preserve">f </w:t>
      </w:r>
      <w:r w:rsidRPr="00797379">
        <w:rPr>
          <w:rFonts w:cs="Times New Roman (Body CS)"/>
          <w:kern w:val="2"/>
          <w14:ligatures w14:val="standardContextual"/>
        </w:rPr>
        <w:t xml:space="preserve">local control over the district </w:t>
      </w:r>
      <w:r w:rsidR="00C03259" w:rsidRPr="00797379">
        <w:rPr>
          <w:rFonts w:cs="Times New Roman (Body CS)"/>
          <w:kern w:val="2"/>
          <w14:ligatures w14:val="standardContextual"/>
        </w:rPr>
        <w:t>and</w:t>
      </w:r>
      <w:r w:rsidRPr="00797379">
        <w:rPr>
          <w:rFonts w:cs="Times New Roman (Body CS)"/>
          <w:kern w:val="2"/>
          <w14:ligatures w14:val="standardContextual"/>
        </w:rPr>
        <w:t xml:space="preserve"> over each individual school, meaning families are closely connected to</w:t>
      </w:r>
      <w:r w:rsidRPr="00797379">
        <w:t xml:space="preserve">, </w:t>
      </w:r>
      <w:r w:rsidRPr="00797379">
        <w:rPr>
          <w:rFonts w:cs="Times New Roman (Body CS)"/>
          <w:kern w:val="2"/>
          <w14:ligatures w14:val="standardContextual"/>
        </w:rPr>
        <w:t>and often protective of</w:t>
      </w:r>
      <w:r w:rsidRPr="00797379">
        <w:t xml:space="preserve">, </w:t>
      </w:r>
      <w:r w:rsidRPr="00797379">
        <w:rPr>
          <w:rFonts w:cs="Times New Roman (Body CS)"/>
          <w:kern w:val="2"/>
          <w14:ligatures w14:val="standardContextual"/>
        </w:rPr>
        <w:t>their neighborhood school. This structure creates challenges for ensuring</w:t>
      </w:r>
      <w:r w:rsidR="00C03259" w:rsidRPr="00797379">
        <w:rPr>
          <w:rFonts w:cs="Times New Roman (Body CS)"/>
          <w:kern w:val="2"/>
          <w14:ligatures w14:val="standardContextual"/>
        </w:rPr>
        <w:t xml:space="preserve"> </w:t>
      </w:r>
      <w:r w:rsidRPr="00797379">
        <w:rPr>
          <w:rFonts w:cs="Times New Roman (Body CS)"/>
          <w:kern w:val="2"/>
          <w14:ligatures w14:val="standardContextual"/>
        </w:rPr>
        <w:t xml:space="preserve">equity and consistent access to resources, because supports </w:t>
      </w:r>
      <w:r w:rsidR="00B329C4" w:rsidRPr="00797379">
        <w:rPr>
          <w:rFonts w:cs="Times New Roman (Body CS)"/>
          <w:kern w:val="2"/>
          <w14:ligatures w14:val="standardContextual"/>
        </w:rPr>
        <w:t xml:space="preserve">for elementary schools </w:t>
      </w:r>
      <w:r w:rsidRPr="00797379">
        <w:rPr>
          <w:rFonts w:cs="Times New Roman (Body CS)"/>
          <w:kern w:val="2"/>
          <w14:ligatures w14:val="standardContextual"/>
        </w:rPr>
        <w:t>must be distributed across five separate sites rather than housed in a single elementary campus.</w:t>
      </w:r>
      <w:r w:rsidRPr="00797379">
        <w:t xml:space="preserve"> </w:t>
      </w:r>
      <w:r w:rsidRPr="00797379">
        <w:rPr>
          <w:rFonts w:cs="Times New Roman (Body CS)"/>
        </w:rPr>
        <w:t>The district use</w:t>
      </w:r>
      <w:r w:rsidR="00C03259" w:rsidRPr="00797379">
        <w:rPr>
          <w:rFonts w:cs="Times New Roman (Body CS)"/>
        </w:rPr>
        <w:t>d</w:t>
      </w:r>
      <w:r w:rsidRPr="00797379">
        <w:rPr>
          <w:rFonts w:cs="Times New Roman (Body CS)"/>
        </w:rPr>
        <w:t xml:space="preserve"> enrollment data to inform staffing decisions and reallocate resources, especially for special education caseloads and workloads. </w:t>
      </w:r>
    </w:p>
    <w:p w14:paraId="0158BC36" w14:textId="2AA3A22D" w:rsidR="00CD3927" w:rsidRPr="00797379" w:rsidRDefault="00AA6E1F" w:rsidP="00AE0CFD">
      <w:pPr>
        <w:pStyle w:val="BodyText"/>
        <w:rPr>
          <w:color w:val="EE0000"/>
        </w:rPr>
      </w:pPr>
      <w:r>
        <w:t>The town and school district share responsibility for facilities management</w:t>
      </w:r>
      <w:r w:rsidR="003C7A70" w:rsidRPr="00797379">
        <w:t xml:space="preserve">. The town manages most building maintenance and capital planning through its Department of Public Works and </w:t>
      </w:r>
      <w:r w:rsidR="004B5E34" w:rsidRPr="00797379">
        <w:t>c</w:t>
      </w:r>
      <w:r w:rsidR="003C7A70" w:rsidRPr="00797379">
        <w:t xml:space="preserve">apital </w:t>
      </w:r>
      <w:r w:rsidR="004B5E34" w:rsidRPr="00797379">
        <w:t>p</w:t>
      </w:r>
      <w:r w:rsidR="003C7A70" w:rsidRPr="00797379">
        <w:t xml:space="preserve">lanning </w:t>
      </w:r>
      <w:r w:rsidR="004B5E34" w:rsidRPr="00797379">
        <w:t>c</w:t>
      </w:r>
      <w:r w:rsidR="003C7A70" w:rsidRPr="00797379">
        <w:t>ommittee. This partnership is described as “critical” by town leaders for maintaining facilities, cleanliness, and planning for renovations. Town leaders reported the process of facilities management is methodical and includes prioritization of projects across municipal and school needs. The district’s director</w:t>
      </w:r>
      <w:r w:rsidR="0006251B" w:rsidRPr="00797379">
        <w:t xml:space="preserve"> of</w:t>
      </w:r>
      <w:r w:rsidR="003C7A70" w:rsidRPr="00797379">
        <w:t xml:space="preserve"> </w:t>
      </w:r>
      <w:r w:rsidR="003C7A70" w:rsidRPr="00797379" w:rsidDel="0006251B">
        <w:t>f</w:t>
      </w:r>
      <w:r w:rsidR="003C7A70" w:rsidRPr="00797379">
        <w:t xml:space="preserve">inance </w:t>
      </w:r>
      <w:r w:rsidR="003C7A70" w:rsidRPr="00797379" w:rsidDel="00C4258C">
        <w:t xml:space="preserve">and </w:t>
      </w:r>
      <w:r w:rsidR="003C7A70" w:rsidRPr="00797379" w:rsidDel="0006251B">
        <w:t>o</w:t>
      </w:r>
      <w:r w:rsidR="003C7A70" w:rsidRPr="00797379">
        <w:t>perations noted that building upkeep falls primarily on the town’s facilities department</w:t>
      </w:r>
      <w:r w:rsidR="0006251B" w:rsidRPr="00797379">
        <w:t>,</w:t>
      </w:r>
      <w:r w:rsidR="003C7A70" w:rsidRPr="00797379">
        <w:t xml:space="preserve"> </w:t>
      </w:r>
      <w:r w:rsidR="0006251B" w:rsidRPr="00797379">
        <w:t>which</w:t>
      </w:r>
      <w:r w:rsidR="003C7A70" w:rsidRPr="00797379">
        <w:t xml:space="preserve"> is guided by a five-year capital planning cycle for major building maintenance and replacements. </w:t>
      </w:r>
      <w:r w:rsidR="0006251B" w:rsidRPr="00797379">
        <w:t>T</w:t>
      </w:r>
      <w:r w:rsidR="003C7A70" w:rsidRPr="00797379">
        <w:t>own employees</w:t>
      </w:r>
      <w:r w:rsidR="00D6641A" w:rsidRPr="00797379">
        <w:t xml:space="preserve"> use</w:t>
      </w:r>
      <w:r w:rsidR="003C7A70" w:rsidRPr="00797379">
        <w:t xml:space="preserve"> specialized software to assess the needs of all school buildings. When asked how responsibilities were determined for maintenance and upkeep, district leaders explained</w:t>
      </w:r>
      <w:r w:rsidR="0006251B" w:rsidRPr="00797379">
        <w:t>, as noted earlier,</w:t>
      </w:r>
      <w:r w:rsidR="003C7A70" w:rsidRPr="00797379">
        <w:t xml:space="preserve"> that the district covers items</w:t>
      </w:r>
      <w:r w:rsidR="0006251B" w:rsidRPr="00797379">
        <w:t xml:space="preserve"> </w:t>
      </w:r>
      <w:r w:rsidR="003C7A70" w:rsidRPr="00797379">
        <w:t>within its operating budget, particularly those that ar</w:t>
      </w:r>
      <w:r w:rsidR="0006251B" w:rsidRPr="00797379">
        <w:t xml:space="preserve">e </w:t>
      </w:r>
      <w:r w:rsidR="003C7A70" w:rsidRPr="00797379">
        <w:t>program</w:t>
      </w:r>
      <w:r w:rsidR="0006251B" w:rsidRPr="00797379">
        <w:t>-</w:t>
      </w:r>
      <w:r w:rsidR="003C7A70" w:rsidRPr="00797379">
        <w:t>related or tied directly to school use (e.g., tables, curriculum supplies) while the town would be responsible for building maintenance and infrastructure needs (e.g., window shades, light bulbs</w:t>
      </w:r>
      <w:r w:rsidR="00765C18">
        <w:t>).</w:t>
      </w:r>
    </w:p>
    <w:p w14:paraId="7CB6A8B3" w14:textId="20F31A53" w:rsidR="003C7A70" w:rsidRPr="00797379" w:rsidRDefault="003C7A70" w:rsidP="00AE0CFD">
      <w:pPr>
        <w:pStyle w:val="BodyText"/>
      </w:pPr>
      <w:r w:rsidRPr="00797379">
        <w:t>The district has a contract for transportation services.</w:t>
      </w:r>
      <w:r w:rsidR="0006251B" w:rsidRPr="00797379">
        <w:t xml:space="preserve"> </w:t>
      </w:r>
      <w:r w:rsidRPr="00797379">
        <w:t>Bus contractors are responsible for the safe operation of school buses and comply with all applicable state laws and regulations. The district website homepage has a link to a bus schedule for transportation to and from each school. Town leaders note</w:t>
      </w:r>
      <w:r w:rsidR="0006251B" w:rsidRPr="00797379">
        <w:t>d</w:t>
      </w:r>
      <w:r w:rsidRPr="00797379">
        <w:t xml:space="preserve"> that transportation costs are a significant </w:t>
      </w:r>
      <w:r w:rsidR="0006251B" w:rsidRPr="00797379">
        <w:t xml:space="preserve">driver of the </w:t>
      </w:r>
      <w:r w:rsidRPr="00797379">
        <w:t>budget, particularly for out-of-district special education placements. The district participates in a cooperative for specialized transportation but faces rising costs, with some increases as high as 30 percent in recent years. Leaders also reported general education transportation is also challenging, with limited vendor competition resulting in high bids.</w:t>
      </w:r>
    </w:p>
    <w:p w14:paraId="1B5585D4" w14:textId="2945B733" w:rsidR="00CD3927" w:rsidRPr="00797379" w:rsidRDefault="003C7A70" w:rsidP="00AE0CFD">
      <w:pPr>
        <w:pStyle w:val="BodyText"/>
      </w:pPr>
      <w:r w:rsidRPr="00797379">
        <w:t xml:space="preserve">Food services fall under the </w:t>
      </w:r>
      <w:r w:rsidR="00353A78" w:rsidRPr="00797379">
        <w:t>d</w:t>
      </w:r>
      <w:r w:rsidRPr="00797379">
        <w:t xml:space="preserve">irector of </w:t>
      </w:r>
      <w:r w:rsidR="002A1B90">
        <w:t>f</w:t>
      </w:r>
      <w:r w:rsidRPr="00797379">
        <w:t xml:space="preserve">inance </w:t>
      </w:r>
      <w:r w:rsidR="002A1B90">
        <w:t>and o</w:t>
      </w:r>
      <w:r w:rsidRPr="00797379">
        <w:t>perations, who oversees compliance with state and federal nutrition guidelines</w:t>
      </w:r>
      <w:r w:rsidR="00353A78" w:rsidRPr="00797379">
        <w:t>.</w:t>
      </w:r>
      <w:r w:rsidRPr="00797379">
        <w:t xml:space="preserve"> </w:t>
      </w:r>
      <w:r w:rsidR="00353A78" w:rsidRPr="00797379">
        <w:t>T</w:t>
      </w:r>
      <w:r w:rsidRPr="00797379">
        <w:t xml:space="preserve">he district contracts with a vendor for food services </w:t>
      </w:r>
      <w:r w:rsidR="00353A78" w:rsidRPr="00797379">
        <w:t xml:space="preserve">that </w:t>
      </w:r>
      <w:r w:rsidRPr="00797379">
        <w:t>provides students with a variety of breakfast and lunch options. Town leaders reported that the district collaborates with municipal offices for procurement of food service supplies, leveraging state contracts</w:t>
      </w:r>
      <w:r w:rsidR="00353A78" w:rsidRPr="00797379">
        <w:t>,</w:t>
      </w:r>
      <w:r w:rsidRPr="00797379">
        <w:t xml:space="preserve"> </w:t>
      </w:r>
      <w:r w:rsidR="00353A78" w:rsidRPr="00797379">
        <w:t xml:space="preserve">when </w:t>
      </w:r>
      <w:r w:rsidRPr="00797379">
        <w:t>possible</w:t>
      </w:r>
      <w:r w:rsidR="00353A78" w:rsidRPr="00797379">
        <w:t>,</w:t>
      </w:r>
      <w:r w:rsidRPr="00797379">
        <w:t xml:space="preserve"> to ensure cost efficiency and compliance</w:t>
      </w:r>
      <w:r w:rsidR="00CD3927" w:rsidRPr="00797379">
        <w:t>.</w:t>
      </w:r>
    </w:p>
    <w:p w14:paraId="7E2085E3" w14:textId="7115B955" w:rsidR="003C7A70" w:rsidRPr="00797379" w:rsidRDefault="003C7A70" w:rsidP="00AE0CFD">
      <w:pPr>
        <w:pStyle w:val="BodyText"/>
      </w:pPr>
      <w:r w:rsidRPr="00797379">
        <w:t>District operations</w:t>
      </w:r>
      <w:r w:rsidRPr="00797379" w:rsidDel="005F6E10">
        <w:t xml:space="preserve"> </w:t>
      </w:r>
      <w:r w:rsidRPr="00797379">
        <w:t>also include</w:t>
      </w:r>
      <w:r w:rsidRPr="00797379" w:rsidDel="009369C8">
        <w:t xml:space="preserve"> </w:t>
      </w:r>
      <w:r w:rsidRPr="00797379">
        <w:t xml:space="preserve">verifying that students and staff receive appropriate information technology (IT) support. According to a district leader, </w:t>
      </w:r>
      <w:r w:rsidR="00AE76DE" w:rsidRPr="00797379">
        <w:t>t</w:t>
      </w:r>
      <w:r w:rsidRPr="00797379">
        <w:t>echnology operations are separate for the town and schools, with shared infrastructure such as fiber</w:t>
      </w:r>
      <w:r w:rsidR="00AA6E1F">
        <w:t>optic cables</w:t>
      </w:r>
      <w:r w:rsidRPr="00797379">
        <w:t xml:space="preserve"> and firewall</w:t>
      </w:r>
      <w:r w:rsidR="00AE76DE" w:rsidRPr="00797379">
        <w:t>s</w:t>
      </w:r>
      <w:r w:rsidRPr="00797379">
        <w:t xml:space="preserve"> but independent management of internal systems. The district oversees its own switches and internal network, while the town manages broader IT services. This division requires coordination but allows the district autonomy in instructional technology decisions</w:t>
      </w:r>
      <w:r w:rsidR="00401985">
        <w:t>.</w:t>
      </w:r>
      <w:r w:rsidRPr="00797379">
        <w:t xml:space="preserve"> </w:t>
      </w:r>
      <w:r w:rsidR="00FE41D6" w:rsidRPr="00797379">
        <w:t>N</w:t>
      </w:r>
      <w:r w:rsidRPr="00797379">
        <w:t>o families, teachers, or students raised concerns about access to technology.</w:t>
      </w:r>
    </w:p>
    <w:p w14:paraId="40BD44A9" w14:textId="30E2CD11" w:rsidR="003C7A70" w:rsidRPr="00797379" w:rsidRDefault="003C7A70" w:rsidP="00AE0CFD">
      <w:pPr>
        <w:pStyle w:val="Heading3"/>
      </w:pPr>
      <w:r w:rsidRPr="00797379">
        <w:t>Managing</w:t>
      </w:r>
      <w:r w:rsidR="00AE0CFD" w:rsidRPr="00797379">
        <w:t xml:space="preserve"> </w:t>
      </w:r>
      <w:r w:rsidRPr="00797379">
        <w:t>Capital</w:t>
      </w:r>
      <w:r w:rsidR="00AE0CFD" w:rsidRPr="00797379">
        <w:t xml:space="preserve"> </w:t>
      </w:r>
      <w:r w:rsidRPr="00797379">
        <w:t>Assets and Capital</w:t>
      </w:r>
      <w:r w:rsidR="00AE0CFD" w:rsidRPr="00797379">
        <w:t xml:space="preserve"> </w:t>
      </w:r>
      <w:r w:rsidRPr="00797379">
        <w:t>Planning</w:t>
      </w:r>
    </w:p>
    <w:p w14:paraId="6BE129F4" w14:textId="237C9DD4" w:rsidR="003C7A70" w:rsidRPr="00797379" w:rsidRDefault="003C7A70" w:rsidP="009F6401">
      <w:pPr>
        <w:pStyle w:val="BodyTextposthead"/>
        <w:rPr>
          <w:color w:val="538135" w:themeColor="accent6" w:themeShade="BF"/>
        </w:rPr>
      </w:pPr>
      <w:r w:rsidRPr="00797379">
        <w:t>According to district and town leaders</w:t>
      </w:r>
      <w:r w:rsidR="0062467C" w:rsidRPr="00797379">
        <w:t>,</w:t>
      </w:r>
      <w:r w:rsidRPr="00797379">
        <w:t xml:space="preserve"> the district maintains a five-year capital plan aligned with town priorities. This plan is updated annually, with input from school leaders and the </w:t>
      </w:r>
      <w:r w:rsidR="0062467C" w:rsidRPr="00797379">
        <w:t>s</w:t>
      </w:r>
      <w:r w:rsidRPr="00797379">
        <w:t xml:space="preserve">chool </w:t>
      </w:r>
      <w:r w:rsidR="0062467C" w:rsidRPr="00797379">
        <w:t>c</w:t>
      </w:r>
      <w:r w:rsidRPr="00797379">
        <w:t>ommittee</w:t>
      </w:r>
      <w:r w:rsidR="00483727" w:rsidRPr="00797379">
        <w:t xml:space="preserve">. The school committee </w:t>
      </w:r>
      <w:r w:rsidRPr="00797379">
        <w:t xml:space="preserve">votes </w:t>
      </w:r>
      <w:r w:rsidR="0062467C" w:rsidRPr="00797379">
        <w:t xml:space="preserve">on </w:t>
      </w:r>
      <w:r w:rsidRPr="00797379">
        <w:t>prioritiz</w:t>
      </w:r>
      <w:r w:rsidR="0062467C" w:rsidRPr="00797379">
        <w:t>ing</w:t>
      </w:r>
      <w:r w:rsidRPr="00797379">
        <w:t xml:space="preserve"> projects</w:t>
      </w:r>
      <w:r w:rsidR="00483727" w:rsidRPr="00797379">
        <w:t xml:space="preserve"> from the superintendent’s budget</w:t>
      </w:r>
      <w:r w:rsidRPr="00797379">
        <w:t xml:space="preserve"> before </w:t>
      </w:r>
      <w:r w:rsidR="005E6B65" w:rsidRPr="00797379">
        <w:t xml:space="preserve">forwarding </w:t>
      </w:r>
      <w:r w:rsidR="00483727" w:rsidRPr="00797379">
        <w:t>the budget for</w:t>
      </w:r>
      <w:r w:rsidR="005E6B65" w:rsidRPr="00797379">
        <w:t xml:space="preserve"> the</w:t>
      </w:r>
      <w:r w:rsidRPr="00797379">
        <w:t xml:space="preserve"> townwide capital planning process. The capital plan includes major infrastructure projects such as HVAC system replacements, roof repairs, playground upgrades, and technology improvements. Capital planning is informed by condition assessments conducted by external consultants and integrated into VFA</w:t>
      </w:r>
      <w:r w:rsidR="005C7450">
        <w:t>,</w:t>
      </w:r>
      <w:r w:rsidRPr="00797379">
        <w:t xml:space="preserve"> </w:t>
      </w:r>
      <w:r w:rsidR="005C7450">
        <w:t>the town-managed</w:t>
      </w:r>
      <w:r w:rsidRPr="00797379">
        <w:t xml:space="preserve"> software, which provides lifecycle data for building systems. District leaders reported this approach ensures that decisions are based on objective facility conditions and projected service life. </w:t>
      </w:r>
      <w:r w:rsidRPr="00401985">
        <w:t>The comprehensive and data driven approach to capital planning is a strength for the district.</w:t>
      </w:r>
    </w:p>
    <w:p w14:paraId="381361EA" w14:textId="1A412B31" w:rsidR="003C7A70" w:rsidRPr="00797379" w:rsidRDefault="003C7A70" w:rsidP="009F6401">
      <w:pPr>
        <w:pStyle w:val="BodyText"/>
      </w:pPr>
      <w:r w:rsidRPr="00797379">
        <w:t>District leaders reported</w:t>
      </w:r>
      <w:r w:rsidR="00BB6537" w:rsidRPr="00797379">
        <w:t xml:space="preserve"> that</w:t>
      </w:r>
      <w:r w:rsidRPr="00797379">
        <w:t xml:space="preserve"> technology assets</w:t>
      </w:r>
      <w:r w:rsidR="00BB6537" w:rsidRPr="00797379">
        <w:t xml:space="preserve"> </w:t>
      </w:r>
      <w:r w:rsidRPr="00797379">
        <w:t>includ</w:t>
      </w:r>
      <w:r w:rsidR="00BB6537" w:rsidRPr="00797379">
        <w:t>e</w:t>
      </w:r>
      <w:r w:rsidRPr="00797379">
        <w:t xml:space="preserve"> Chromebooks and staff devices</w:t>
      </w:r>
      <w:r w:rsidR="00BB6537" w:rsidRPr="00797379">
        <w:t>.</w:t>
      </w:r>
      <w:r w:rsidRPr="00797379">
        <w:t xml:space="preserve"> </w:t>
      </w:r>
      <w:r w:rsidR="00BB6537" w:rsidRPr="00797379">
        <w:t>A</w:t>
      </w:r>
      <w:r w:rsidRPr="00797379">
        <w:t>n IT ticketing system serves as an asset management tool, tracking devices issued to employees and bulk-managed items. This system also projects replacement cycles based on the age and condition of the items. Technology assets follow planned replacement timelines, though adjustments occur when devices fail prematurely. For facilities, replacement planning is informed by a town-managed software system (VFA) that assesses all municipal and school buildings and recommends preventative maintenance and long-term replacement cycles.</w:t>
      </w:r>
    </w:p>
    <w:p w14:paraId="6A8BD12D" w14:textId="17FFCC5B" w:rsidR="002B4CEF" w:rsidRPr="00797379" w:rsidRDefault="002B4CEF" w:rsidP="009F6401">
      <w:pPr>
        <w:pStyle w:val="Heading3"/>
      </w:pPr>
      <w:r w:rsidRPr="00797379">
        <w:t>Recommendations</w:t>
      </w:r>
    </w:p>
    <w:p w14:paraId="10E4978C" w14:textId="50F14156" w:rsidR="002B4CEF" w:rsidRPr="003117B2" w:rsidRDefault="009B7DB8" w:rsidP="009F6401">
      <w:pPr>
        <w:pStyle w:val="Bullet1"/>
        <w:rPr>
          <w:bCs/>
          <w:i/>
          <w:iCs/>
        </w:rPr>
      </w:pPr>
      <w:r>
        <w:rPr>
          <w:i/>
          <w:iCs/>
        </w:rPr>
        <w:t>The district should build upon</w:t>
      </w:r>
      <w:r w:rsidR="003117B2">
        <w:rPr>
          <w:i/>
          <w:iCs/>
        </w:rPr>
        <w:t xml:space="preserve"> and systematically organize</w:t>
      </w:r>
      <w:r>
        <w:rPr>
          <w:i/>
          <w:iCs/>
        </w:rPr>
        <w:t xml:space="preserve"> its existing</w:t>
      </w:r>
      <w:r w:rsidR="003117B2">
        <w:rPr>
          <w:i/>
          <w:iCs/>
        </w:rPr>
        <w:t xml:space="preserve"> documents pertaining to</w:t>
      </w:r>
      <w:r>
        <w:rPr>
          <w:i/>
          <w:iCs/>
        </w:rPr>
        <w:t xml:space="preserve"> </w:t>
      </w:r>
      <w:r w:rsidR="003117B2">
        <w:rPr>
          <w:i/>
          <w:iCs/>
        </w:rPr>
        <w:t xml:space="preserve">business office standard operating procedures. </w:t>
      </w:r>
    </w:p>
    <w:p w14:paraId="2D2775F2" w14:textId="4B097D0A" w:rsidR="003117B2" w:rsidRDefault="004202A5" w:rsidP="009F6401">
      <w:pPr>
        <w:pStyle w:val="Bullet1"/>
        <w:rPr>
          <w:bCs/>
          <w:i/>
          <w:iCs/>
        </w:rPr>
      </w:pPr>
      <w:r>
        <w:rPr>
          <w:bCs/>
          <w:i/>
          <w:iCs/>
        </w:rPr>
        <w:t>The district should collaborate with its municipal partners to develop a</w:t>
      </w:r>
      <w:r w:rsidR="00E955CB">
        <w:rPr>
          <w:bCs/>
          <w:i/>
          <w:iCs/>
        </w:rPr>
        <w:t xml:space="preserve">n </w:t>
      </w:r>
      <w:r w:rsidR="0089145D">
        <w:rPr>
          <w:bCs/>
          <w:i/>
          <w:iCs/>
        </w:rPr>
        <w:t xml:space="preserve">agreement </w:t>
      </w:r>
      <w:r w:rsidR="00E955CB">
        <w:rPr>
          <w:bCs/>
          <w:i/>
          <w:iCs/>
        </w:rPr>
        <w:t xml:space="preserve">that clearly differentiates and describes the financial and operational responsibilities of each entity. </w:t>
      </w:r>
    </w:p>
    <w:p w14:paraId="637D4E56" w14:textId="5BC05D28" w:rsidR="000D6D17" w:rsidRDefault="002745E5">
      <w:pPr>
        <w:pStyle w:val="Bullet1"/>
        <w:rPr>
          <w:bCs/>
          <w:i/>
          <w:iCs/>
        </w:rPr>
      </w:pPr>
      <w:r w:rsidRPr="000D6D17">
        <w:rPr>
          <w:bCs/>
          <w:i/>
          <w:iCs/>
        </w:rPr>
        <w:t xml:space="preserve">The district should continue its efforts to strategically allocate funding to ensure </w:t>
      </w:r>
      <w:r w:rsidR="00F00F16">
        <w:rPr>
          <w:bCs/>
          <w:i/>
          <w:iCs/>
        </w:rPr>
        <w:t>equitable</w:t>
      </w:r>
      <w:r w:rsidRPr="000D6D17">
        <w:rPr>
          <w:bCs/>
          <w:i/>
          <w:iCs/>
        </w:rPr>
        <w:t xml:space="preserve"> resources </w:t>
      </w:r>
      <w:r w:rsidR="00B06972" w:rsidRPr="000D6D17">
        <w:rPr>
          <w:bCs/>
          <w:i/>
          <w:iCs/>
        </w:rPr>
        <w:t>for</w:t>
      </w:r>
      <w:r w:rsidRPr="000D6D17">
        <w:rPr>
          <w:bCs/>
          <w:i/>
          <w:iCs/>
        </w:rPr>
        <w:t xml:space="preserve"> </w:t>
      </w:r>
      <w:r w:rsidR="000D6D17" w:rsidRPr="000D6D17">
        <w:rPr>
          <w:bCs/>
          <w:i/>
          <w:iCs/>
        </w:rPr>
        <w:t xml:space="preserve">students who require specialized services. </w:t>
      </w:r>
    </w:p>
    <w:p w14:paraId="3B68CFCE" w14:textId="0F476402" w:rsidR="00C34072" w:rsidRPr="00BE253B" w:rsidRDefault="0013782B" w:rsidP="00E26C47">
      <w:pPr>
        <w:pStyle w:val="Bullet1"/>
        <w:rPr>
          <w:bCs/>
          <w:i/>
          <w:iCs/>
        </w:rPr>
      </w:pPr>
      <w:r>
        <w:rPr>
          <w:bCs/>
          <w:i/>
          <w:iCs/>
        </w:rPr>
        <w:t xml:space="preserve">The district should </w:t>
      </w:r>
      <w:r w:rsidR="003C5120">
        <w:rPr>
          <w:bCs/>
          <w:i/>
          <w:iCs/>
        </w:rPr>
        <w:t>engage in sustainability planning around its grant-funded initiatives</w:t>
      </w:r>
      <w:r w:rsidR="00C34072">
        <w:rPr>
          <w:bCs/>
          <w:i/>
          <w:iCs/>
        </w:rPr>
        <w:t xml:space="preserve"> to support the long-term provision of programs and resources. </w:t>
      </w:r>
    </w:p>
    <w:p w14:paraId="62900DF7" w14:textId="20264DFE" w:rsidR="000604FE" w:rsidRPr="00797379" w:rsidRDefault="000604FE" w:rsidP="009F6401">
      <w:pPr>
        <w:pStyle w:val="BodyText"/>
      </w:pPr>
      <w:r w:rsidRPr="00797379">
        <w:t>For related resources, see Appendix C.</w:t>
      </w:r>
    </w:p>
    <w:p w14:paraId="26CC0050" w14:textId="23F54D24" w:rsidR="000604FE" w:rsidRPr="00797379" w:rsidRDefault="000604FE" w:rsidP="00711976">
      <w:pPr>
        <w:pStyle w:val="BodyText"/>
        <w:sectPr w:rsidR="000604FE" w:rsidRPr="00797379" w:rsidSect="0051540B">
          <w:headerReference w:type="default" r:id="rId26"/>
          <w:footerReference w:type="default" r:id="rId27"/>
          <w:headerReference w:type="first" r:id="rId28"/>
          <w:footerReference w:type="first" r:id="rId29"/>
          <w:pgSz w:w="12240" w:h="15840" w:code="1"/>
          <w:pgMar w:top="1440" w:right="1440" w:bottom="1260" w:left="1440" w:header="720" w:footer="720" w:gutter="0"/>
          <w:pgNumType w:start="1"/>
          <w:cols w:space="720"/>
          <w:docGrid w:linePitch="360"/>
        </w:sectPr>
      </w:pPr>
    </w:p>
    <w:p w14:paraId="3086BDED" w14:textId="6668ACD0" w:rsidR="008E314D" w:rsidRPr="00797379" w:rsidRDefault="008E314D" w:rsidP="009F6401">
      <w:pPr>
        <w:pStyle w:val="Heading2"/>
      </w:pPr>
      <w:bookmarkStart w:id="84" w:name="_Toc223625544"/>
      <w:r w:rsidRPr="00797379">
        <w:t>Appendix A</w:t>
      </w:r>
      <w:r w:rsidR="006A3A0E" w:rsidRPr="00797379">
        <w:t>.</w:t>
      </w:r>
      <w:r w:rsidRPr="00797379">
        <w:t xml:space="preserve"> </w:t>
      </w:r>
      <w:bookmarkEnd w:id="6"/>
      <w:bookmarkEnd w:id="7"/>
      <w:bookmarkEnd w:id="8"/>
      <w:r w:rsidR="00E475E7" w:rsidRPr="00797379">
        <w:t>Summary of Site Visit Activities</w:t>
      </w:r>
      <w:bookmarkEnd w:id="9"/>
      <w:bookmarkEnd w:id="84"/>
    </w:p>
    <w:p w14:paraId="5CB5BDC4" w14:textId="42FB09D0" w:rsidR="00B827DE" w:rsidRPr="00797379" w:rsidRDefault="00B827DE" w:rsidP="009F6401">
      <w:pPr>
        <w:pStyle w:val="BodyTextposthead"/>
      </w:pPr>
      <w:r w:rsidRPr="00797379">
        <w:t xml:space="preserve">The </w:t>
      </w:r>
      <w:r w:rsidR="00494638" w:rsidRPr="00797379">
        <w:t>AIR</w:t>
      </w:r>
      <w:r w:rsidRPr="00797379">
        <w:t xml:space="preserve"> team completed the following activities as part of the district review activities in </w:t>
      </w:r>
      <w:r w:rsidR="00384414" w:rsidRPr="00797379">
        <w:t>DISTRICT</w:t>
      </w:r>
      <w:r w:rsidRPr="00797379">
        <w:t>. The team conducted </w:t>
      </w:r>
      <w:r w:rsidR="00245803" w:rsidRPr="00797379">
        <w:t>7</w:t>
      </w:r>
      <w:r w:rsidR="00DB5176" w:rsidRPr="00797379">
        <w:t>4</w:t>
      </w:r>
      <w:r w:rsidR="00245803" w:rsidRPr="00797379">
        <w:t xml:space="preserve"> </w:t>
      </w:r>
      <w:r w:rsidRPr="00797379">
        <w:t xml:space="preserve">classroom observations during the week of </w:t>
      </w:r>
      <w:r w:rsidR="00245803" w:rsidRPr="00797379">
        <w:t xml:space="preserve">December </w:t>
      </w:r>
      <w:r w:rsidR="00DB5176" w:rsidRPr="00797379">
        <w:t>8</w:t>
      </w:r>
      <w:r w:rsidR="00245803" w:rsidRPr="00797379">
        <w:t>, 2025</w:t>
      </w:r>
      <w:r w:rsidRPr="00797379">
        <w:t xml:space="preserve">, and held interviews and focus groups between </w:t>
      </w:r>
      <w:r w:rsidR="00245803" w:rsidRPr="00797379">
        <w:t xml:space="preserve">December </w:t>
      </w:r>
      <w:r w:rsidR="00DB5176" w:rsidRPr="00797379">
        <w:t>8</w:t>
      </w:r>
      <w:r w:rsidR="00245803" w:rsidRPr="00797379">
        <w:t>-</w:t>
      </w:r>
      <w:r w:rsidR="00DB5176" w:rsidRPr="00797379">
        <w:t>10</w:t>
      </w:r>
      <w:r w:rsidR="00245803" w:rsidRPr="00797379">
        <w:t>, 2025</w:t>
      </w:r>
      <w:r w:rsidRPr="00797379">
        <w:t>. The site visit team conducted interviews and focus groups with the following representatives from the school and the district:</w:t>
      </w:r>
    </w:p>
    <w:p w14:paraId="433DFA3E" w14:textId="1C19E725" w:rsidR="00B827DE" w:rsidRPr="00797379" w:rsidRDefault="00B827DE" w:rsidP="009F6401">
      <w:pPr>
        <w:pStyle w:val="Bullet1"/>
      </w:pPr>
      <w:r w:rsidRPr="00797379">
        <w:t>Superintendent</w:t>
      </w:r>
    </w:p>
    <w:p w14:paraId="3BB607E5" w14:textId="473A213C" w:rsidR="00B827DE" w:rsidRPr="00797379" w:rsidRDefault="00B827DE" w:rsidP="009F6401">
      <w:pPr>
        <w:pStyle w:val="Bullet1"/>
      </w:pPr>
      <w:r w:rsidRPr="00797379">
        <w:t>Other district leaders</w:t>
      </w:r>
    </w:p>
    <w:p w14:paraId="5159C132" w14:textId="1F741327" w:rsidR="00B827DE" w:rsidRPr="00797379" w:rsidRDefault="00B827DE" w:rsidP="009F6401">
      <w:pPr>
        <w:pStyle w:val="Bullet1"/>
      </w:pPr>
      <w:r w:rsidRPr="00797379">
        <w:t>School committee members</w:t>
      </w:r>
    </w:p>
    <w:p w14:paraId="7B556F4E" w14:textId="430F90FD" w:rsidR="00B827DE" w:rsidRPr="00797379" w:rsidRDefault="00B827DE" w:rsidP="009F6401">
      <w:pPr>
        <w:pStyle w:val="Bullet1"/>
      </w:pPr>
      <w:r w:rsidRPr="00797379">
        <w:t>Teachers’ association members</w:t>
      </w:r>
    </w:p>
    <w:p w14:paraId="179C02DE" w14:textId="68E7CB6D" w:rsidR="00B827DE" w:rsidRPr="00797379" w:rsidRDefault="00B827DE" w:rsidP="009F6401">
      <w:pPr>
        <w:pStyle w:val="Bullet1"/>
      </w:pPr>
      <w:r w:rsidRPr="00797379">
        <w:t>Principals</w:t>
      </w:r>
    </w:p>
    <w:p w14:paraId="5726B81E" w14:textId="431071BA" w:rsidR="00B827DE" w:rsidRPr="00797379" w:rsidRDefault="00B827DE" w:rsidP="009F6401">
      <w:pPr>
        <w:pStyle w:val="Bullet1"/>
      </w:pPr>
      <w:r w:rsidRPr="00797379">
        <w:t>Teachers</w:t>
      </w:r>
    </w:p>
    <w:p w14:paraId="03723CF4" w14:textId="29E7F78C" w:rsidR="00B827DE" w:rsidRPr="00797379" w:rsidRDefault="00B827DE" w:rsidP="009F6401">
      <w:pPr>
        <w:pStyle w:val="Bullet1"/>
      </w:pPr>
      <w:r w:rsidRPr="00797379">
        <w:t>Support specialists</w:t>
      </w:r>
    </w:p>
    <w:p w14:paraId="50991F40" w14:textId="6C6CEDB4" w:rsidR="00B827DE" w:rsidRPr="00797379" w:rsidRDefault="00B827DE" w:rsidP="009F6401">
      <w:pPr>
        <w:pStyle w:val="Bullet1"/>
      </w:pPr>
      <w:r w:rsidRPr="00797379">
        <w:t>Parents</w:t>
      </w:r>
    </w:p>
    <w:p w14:paraId="1D50C673" w14:textId="24EE7E38" w:rsidR="00B827DE" w:rsidRPr="00797379" w:rsidRDefault="00B827DE" w:rsidP="009F6401">
      <w:pPr>
        <w:pStyle w:val="Bullet1"/>
      </w:pPr>
      <w:r w:rsidRPr="00797379">
        <w:t>Students</w:t>
      </w:r>
    </w:p>
    <w:p w14:paraId="3ED9E858" w14:textId="6FD04B87" w:rsidR="00B827DE" w:rsidRPr="00797379" w:rsidRDefault="00B827DE" w:rsidP="009F6401">
      <w:pPr>
        <w:pStyle w:val="Bullet1"/>
      </w:pPr>
      <w:r w:rsidRPr="00797379">
        <w:t>Town representative</w:t>
      </w:r>
    </w:p>
    <w:p w14:paraId="48B34525" w14:textId="4DCE3DBA" w:rsidR="00B827DE" w:rsidRPr="00797379" w:rsidRDefault="00B827DE" w:rsidP="009F6401">
      <w:pPr>
        <w:pStyle w:val="BodyText"/>
      </w:pPr>
      <w:r w:rsidRPr="00797379">
        <w:t>The review team analyzed multiple datasets and reviewed numerous documents before and during the site visit, including</w:t>
      </w:r>
      <w:r w:rsidR="00494638" w:rsidRPr="00797379">
        <w:t xml:space="preserve"> the following</w:t>
      </w:r>
      <w:r w:rsidRPr="00797379">
        <w:t>:</w:t>
      </w:r>
    </w:p>
    <w:p w14:paraId="207079BB" w14:textId="1E1AA310" w:rsidR="00B827DE" w:rsidRPr="00797379" w:rsidRDefault="00B827DE" w:rsidP="009F6401">
      <w:pPr>
        <w:pStyle w:val="Bullet1"/>
      </w:pPr>
      <w:r w:rsidRPr="00797379">
        <w:t>Student and school performance data, including achievement and growth, enrollment, graduation, dropout, retention, suspension, and attendance rates</w:t>
      </w:r>
    </w:p>
    <w:p w14:paraId="15FAB3E2" w14:textId="7EEE6304" w:rsidR="00B827DE" w:rsidRPr="00797379" w:rsidRDefault="00B827DE" w:rsidP="009F6401">
      <w:pPr>
        <w:pStyle w:val="Bullet1"/>
      </w:pPr>
      <w:r w:rsidRPr="00797379">
        <w:t xml:space="preserve">Data on the district’s staffing and finances </w:t>
      </w:r>
    </w:p>
    <w:p w14:paraId="4DD39A60" w14:textId="7A31A1A3" w:rsidR="00B827DE" w:rsidRPr="00797379" w:rsidRDefault="0054101D" w:rsidP="009F6401">
      <w:pPr>
        <w:pStyle w:val="Bullet1"/>
      </w:pPr>
      <w:r w:rsidRPr="00797379">
        <w:t xml:space="preserve">Curricular </w:t>
      </w:r>
      <w:r w:rsidR="00B827DE" w:rsidRPr="00797379">
        <w:t>review process and timeline</w:t>
      </w:r>
    </w:p>
    <w:p w14:paraId="49D63455" w14:textId="5CA51319" w:rsidR="00B827DE" w:rsidRPr="00797379" w:rsidRDefault="00DB5176" w:rsidP="009F6401">
      <w:pPr>
        <w:pStyle w:val="Bullet1"/>
      </w:pPr>
      <w:r w:rsidRPr="00797379">
        <w:t xml:space="preserve">Winchester’s </w:t>
      </w:r>
      <w:r w:rsidR="00B827DE" w:rsidRPr="00797379">
        <w:t>curriculum unit template</w:t>
      </w:r>
    </w:p>
    <w:p w14:paraId="39A28A74" w14:textId="28E7347B" w:rsidR="00B827DE" w:rsidRPr="00797379" w:rsidRDefault="00B827DE" w:rsidP="009F6401">
      <w:pPr>
        <w:pStyle w:val="Bullet1"/>
      </w:pPr>
      <w:r w:rsidRPr="00797379">
        <w:t>Published educational reports on the district by DESE</w:t>
      </w:r>
      <w:r w:rsidR="00DB5176" w:rsidRPr="00797379">
        <w:t>.</w:t>
      </w:r>
      <w:r w:rsidRPr="00797379">
        <w:t xml:space="preserve"> </w:t>
      </w:r>
    </w:p>
    <w:p w14:paraId="2BA65B5C" w14:textId="64699D20" w:rsidR="00B827DE" w:rsidRPr="00797379" w:rsidRDefault="00B827DE" w:rsidP="009F6401">
      <w:pPr>
        <w:pStyle w:val="Bullet1"/>
      </w:pPr>
      <w:r w:rsidRPr="00797379">
        <w:t xml:space="preserve">District documents such as district and </w:t>
      </w:r>
      <w:r w:rsidR="00494638" w:rsidRPr="00797379">
        <w:t xml:space="preserve">school </w:t>
      </w:r>
      <w:r w:rsidRPr="00797379">
        <w:t>improvement plans, school committee policies, curriculum documents, summaries of student assessments, job descriptions, collective bargaining agreements, evaluation tools for staff, handbooks, school schedules, and the district’s end-of-year financial reports</w:t>
      </w:r>
    </w:p>
    <w:p w14:paraId="645B15D9" w14:textId="0319EE8D" w:rsidR="00D60F09" w:rsidRPr="00797379" w:rsidRDefault="00B827DE" w:rsidP="009F6401">
      <w:pPr>
        <w:pStyle w:val="Bullet1"/>
      </w:pPr>
      <w:r w:rsidRPr="00797379">
        <w:t>All completed program and administrator evaluations and a random selection of completed teacher evaluations</w:t>
      </w:r>
    </w:p>
    <w:p w14:paraId="463A5006" w14:textId="131068F2" w:rsidR="008D6102" w:rsidRPr="00797379" w:rsidRDefault="008D6102" w:rsidP="009F6401">
      <w:pPr>
        <w:pStyle w:val="BodyText"/>
      </w:pPr>
    </w:p>
    <w:p w14:paraId="6A7B59BA" w14:textId="77777777" w:rsidR="006D0B48" w:rsidRPr="00797379" w:rsidRDefault="006D0B48" w:rsidP="009F6401">
      <w:pPr>
        <w:pStyle w:val="BodyText"/>
        <w:sectPr w:rsidR="006D0B48" w:rsidRPr="00797379" w:rsidSect="00D67AD2">
          <w:footerReference w:type="default" r:id="rId30"/>
          <w:headerReference w:type="first" r:id="rId31"/>
          <w:pgSz w:w="12240" w:h="15840" w:code="1"/>
          <w:pgMar w:top="1440" w:right="1440" w:bottom="1440" w:left="1440" w:header="720" w:footer="720" w:gutter="0"/>
          <w:pgNumType w:start="1"/>
          <w:cols w:space="720"/>
          <w:docGrid w:linePitch="360"/>
        </w:sectPr>
      </w:pPr>
    </w:p>
    <w:p w14:paraId="2A2032DD" w14:textId="3F9A4274" w:rsidR="009C28A5" w:rsidRPr="00797379" w:rsidRDefault="00486B55" w:rsidP="009F6401">
      <w:pPr>
        <w:pStyle w:val="Heading2"/>
      </w:pPr>
      <w:bookmarkStart w:id="85" w:name="_Toc101878651"/>
      <w:bookmarkStart w:id="86" w:name="_Toc223625545"/>
      <w:bookmarkStart w:id="87" w:name="_Hlk100740908"/>
      <w:bookmarkStart w:id="88" w:name="_Toc101878652"/>
      <w:bookmarkStart w:id="89" w:name="_Toc101878650"/>
      <w:r w:rsidRPr="00797379">
        <w:t>Appendix B. Districtwide Instructional Observation Report</w:t>
      </w:r>
      <w:bookmarkEnd w:id="85"/>
      <w:bookmarkEnd w:id="86"/>
      <w:r w:rsidR="009C28A5" w:rsidRPr="00797379">
        <w:br w:type="page"/>
      </w:r>
    </w:p>
    <w:p w14:paraId="2C6429BA" w14:textId="77777777" w:rsidR="007303EE" w:rsidRPr="00797379" w:rsidRDefault="007303EE" w:rsidP="003D058B">
      <w:pPr>
        <w:pStyle w:val="CoverTopLogo"/>
        <w:ind w:left="0"/>
      </w:pPr>
      <w:r w:rsidRPr="00797379">
        <w:rPr>
          <w:rFonts w:ascii="Times New Roman" w:eastAsia="Calibri" w:hAnsi="Times New Roman" w:cs="Times New Roman"/>
          <w:noProof/>
          <w:sz w:val="20"/>
        </w:rPr>
        <w:drawing>
          <wp:inline distT="0" distB="0" distL="0" distR="0" wp14:anchorId="3C152869" wp14:editId="12BC2375">
            <wp:extent cx="2404872" cy="685800"/>
            <wp:effectExtent l="0" t="0" r="0" b="0"/>
            <wp:docPr id="30" name="Picture 30" descr="Logo for DESE; Massachusetts Department of Elementary and Secondary Educ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Logo for DESE; Massachusetts Department of Elementary and Secondary Education. "/>
                    <pic:cNvPicPr/>
                  </pic:nvPicPr>
                  <pic:blipFill>
                    <a:blip r:embed="rId32" cstate="print">
                      <a:extLst>
                        <a:ext uri="{28A0092B-C50C-407E-A947-70E740481C1C}">
                          <a14:useLocalDpi xmlns:a14="http://schemas.microsoft.com/office/drawing/2010/main" val="0"/>
                        </a:ext>
                      </a:extLst>
                    </a:blip>
                    <a:stretch>
                      <a:fillRect/>
                    </a:stretch>
                  </pic:blipFill>
                  <pic:spPr>
                    <a:xfrm>
                      <a:off x="0" y="0"/>
                      <a:ext cx="2404872" cy="685800"/>
                    </a:xfrm>
                    <a:prstGeom prst="rect">
                      <a:avLst/>
                    </a:prstGeom>
                  </pic:spPr>
                </pic:pic>
              </a:graphicData>
            </a:graphic>
          </wp:inline>
        </w:drawing>
      </w:r>
      <w:r w:rsidRPr="00797379">
        <w:rPr>
          <w:noProof/>
        </w:rPr>
        <w:drawing>
          <wp:anchor distT="0" distB="0" distL="114300" distR="114300" simplePos="0" relativeHeight="251658240" behindDoc="1" locked="1" layoutInCell="1" allowOverlap="1" wp14:anchorId="56A8F4C7" wp14:editId="35B11F55">
            <wp:simplePos x="0" y="0"/>
            <wp:positionH relativeFrom="margin">
              <wp:align>right</wp:align>
            </wp:positionH>
            <wp:positionV relativeFrom="margin">
              <wp:align>top</wp:align>
            </wp:positionV>
            <wp:extent cx="6572250" cy="9133840"/>
            <wp:effectExtent l="0" t="0" r="0" b="0"/>
            <wp:wrapNone/>
            <wp:docPr id="1083214574" name="Picture 108321457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572250" cy="9133840"/>
                    </a:xfrm>
                    <a:prstGeom prst="rect">
                      <a:avLst/>
                    </a:prstGeom>
                    <a:noFill/>
                  </pic:spPr>
                </pic:pic>
              </a:graphicData>
            </a:graphic>
            <wp14:sizeRelH relativeFrom="margin">
              <wp14:pctWidth>0</wp14:pctWidth>
            </wp14:sizeRelH>
            <wp14:sizeRelV relativeFrom="margin">
              <wp14:pctHeight>0</wp14:pctHeight>
            </wp14:sizeRelV>
          </wp:anchor>
        </w:drawing>
      </w:r>
    </w:p>
    <w:p w14:paraId="19A17DAB" w14:textId="77777777" w:rsidR="007303EE" w:rsidRPr="00797379" w:rsidRDefault="007303EE" w:rsidP="00C701D0">
      <w:pPr>
        <w:pStyle w:val="CoverDistrictName"/>
      </w:pPr>
      <w:bookmarkStart w:id="90" w:name="District1"/>
      <w:r w:rsidRPr="00797379">
        <w:t>Winchester</w:t>
      </w:r>
      <w:bookmarkEnd w:id="90"/>
      <w:r w:rsidRPr="00797379">
        <w:t xml:space="preserve"> Public Schools</w:t>
      </w:r>
    </w:p>
    <w:p w14:paraId="635ECC54" w14:textId="77777777" w:rsidR="007303EE" w:rsidRPr="00797379" w:rsidRDefault="007303EE" w:rsidP="00C701D0">
      <w:pPr>
        <w:pStyle w:val="CoverSubtitle3"/>
      </w:pPr>
      <w:r w:rsidRPr="00797379">
        <w:t>Classroom Visits: Summary of Findings</w:t>
      </w:r>
    </w:p>
    <w:p w14:paraId="46D1B018" w14:textId="77777777" w:rsidR="007303EE" w:rsidRPr="00E25CB0" w:rsidRDefault="007303EE" w:rsidP="00E51DF0">
      <w:pPr>
        <w:pStyle w:val="CoverSubtitle2-SIOR"/>
        <w:spacing w:before="1200"/>
        <w:rPr>
          <w:color w:val="auto"/>
        </w:rPr>
      </w:pPr>
      <w:r w:rsidRPr="00E25CB0">
        <w:rPr>
          <w:color w:val="auto"/>
        </w:rPr>
        <w:t>Districtwide Instructional Observation Report</w:t>
      </w:r>
    </w:p>
    <w:p w14:paraId="755D730A" w14:textId="77777777" w:rsidR="007303EE" w:rsidRPr="00797379" w:rsidRDefault="007303EE" w:rsidP="00C701D0">
      <w:pPr>
        <w:pStyle w:val="CoverDate"/>
      </w:pPr>
      <w:bookmarkStart w:id="91" w:name="MonthName1"/>
      <w:r w:rsidRPr="00797379">
        <w:t>December</w:t>
      </w:r>
      <w:bookmarkEnd w:id="91"/>
      <w:r w:rsidRPr="00797379">
        <w:t xml:space="preserve"> </w:t>
      </w:r>
      <w:bookmarkStart w:id="92" w:name="Year1"/>
      <w:r w:rsidRPr="00797379">
        <w:t>2025</w:t>
      </w:r>
      <w:bookmarkEnd w:id="92"/>
    </w:p>
    <w:p w14:paraId="1D133D2C" w14:textId="77777777" w:rsidR="007303EE" w:rsidRPr="00797379" w:rsidRDefault="007303EE">
      <w:pPr>
        <w:pStyle w:val="CoverBottomLogo"/>
        <w:spacing w:before="6200"/>
        <w:ind w:left="450"/>
        <w:sectPr w:rsidR="007303EE" w:rsidRPr="00797379" w:rsidSect="000C2201">
          <w:footerReference w:type="default" r:id="rId34"/>
          <w:pgSz w:w="12240" w:h="15840" w:code="1"/>
          <w:pgMar w:top="720" w:right="1008" w:bottom="720" w:left="1008" w:header="720" w:footer="720" w:gutter="0"/>
          <w:pgNumType w:start="1"/>
          <w:cols w:space="720"/>
          <w:titlePg/>
          <w:docGrid w:linePitch="360"/>
        </w:sectPr>
      </w:pPr>
    </w:p>
    <w:p w14:paraId="061E8240" w14:textId="77777777" w:rsidR="007303EE" w:rsidRPr="00797379" w:rsidRDefault="007303EE" w:rsidP="009934DA">
      <w:pPr>
        <w:pStyle w:val="CoverBottomLogo"/>
        <w:spacing w:before="6000"/>
        <w:ind w:left="432"/>
      </w:pPr>
      <w:r w:rsidRPr="00797379">
        <w:rPr>
          <w:noProof/>
        </w:rPr>
        <w:drawing>
          <wp:inline distT="0" distB="0" distL="0" distR="0" wp14:anchorId="22BD9053" wp14:editId="3D07F773">
            <wp:extent cx="1655064" cy="484632"/>
            <wp:effectExtent l="0" t="0" r="2540" b="0"/>
            <wp:docPr id="29" name="Picture 29" descr="Logo for AIR; American Institutes for Researc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Logo for AIR; American Institutes for Research. "/>
                    <pic:cNvPicPr/>
                  </pic:nvPicPr>
                  <pic:blipFill>
                    <a:blip r:embed="rId35" cstate="print">
                      <a:extLst>
                        <a:ext uri="{28A0092B-C50C-407E-A947-70E740481C1C}">
                          <a14:useLocalDpi xmlns:a14="http://schemas.microsoft.com/office/drawing/2010/main" val="0"/>
                        </a:ext>
                      </a:extLst>
                    </a:blip>
                    <a:stretch>
                      <a:fillRect/>
                    </a:stretch>
                  </pic:blipFill>
                  <pic:spPr bwMode="auto">
                    <a:xfrm>
                      <a:off x="0" y="0"/>
                      <a:ext cx="1655064" cy="484632"/>
                    </a:xfrm>
                    <a:prstGeom prst="rect">
                      <a:avLst/>
                    </a:prstGeom>
                    <a:ln>
                      <a:noFill/>
                    </a:ln>
                    <a:extLst>
                      <a:ext uri="{53640926-AAD7-44D8-BBD7-CCE9431645EC}">
                        <a14:shadowObscured xmlns:a14="http://schemas.microsoft.com/office/drawing/2010/main"/>
                      </a:ext>
                    </a:extLst>
                  </pic:spPr>
                </pic:pic>
              </a:graphicData>
            </a:graphic>
          </wp:inline>
        </w:drawing>
      </w:r>
    </w:p>
    <w:p w14:paraId="5B778CBE" w14:textId="77777777" w:rsidR="007303EE" w:rsidRPr="00797379" w:rsidRDefault="007303EE" w:rsidP="009934DA">
      <w:pPr>
        <w:pStyle w:val="Cover-AIRaddress"/>
      </w:pPr>
      <w:r w:rsidRPr="00797379">
        <w:br w:type="column"/>
        <w:t>1400 Crystal Drive, 10</w:t>
      </w:r>
      <w:r w:rsidRPr="00797379">
        <w:rPr>
          <w:vertAlign w:val="superscript"/>
        </w:rPr>
        <w:t>th</w:t>
      </w:r>
      <w:r w:rsidRPr="00797379">
        <w:t xml:space="preserve"> Floor</w:t>
      </w:r>
      <w:r w:rsidRPr="00797379">
        <w:br/>
        <w:t>Arlington, Virginia 22202-3289</w:t>
      </w:r>
      <w:r w:rsidRPr="00797379">
        <w:br/>
        <w:t>(202) 403-5000</w:t>
      </w:r>
    </w:p>
    <w:p w14:paraId="145F3768" w14:textId="77777777" w:rsidR="007303EE" w:rsidRPr="00797379" w:rsidRDefault="007303EE">
      <w:pPr>
        <w:pStyle w:val="Cover-AIRaddress"/>
        <w:rPr>
          <w:sz w:val="18"/>
        </w:rPr>
      </w:pPr>
      <w:hyperlink r:id="rId36" w:history="1">
        <w:r w:rsidRPr="00797379">
          <w:rPr>
            <w:rStyle w:val="FranklinGothicDemi"/>
            <w:u w:val="single"/>
          </w:rPr>
          <w:t>www.air.org</w:t>
        </w:r>
      </w:hyperlink>
    </w:p>
    <w:p w14:paraId="23DD5737" w14:textId="77777777" w:rsidR="007303EE" w:rsidRPr="00797379" w:rsidRDefault="007303EE">
      <w:pPr>
        <w:pStyle w:val="Cover-AIRaddress"/>
        <w:sectPr w:rsidR="007303EE" w:rsidRPr="00797379" w:rsidSect="00A84109">
          <w:type w:val="continuous"/>
          <w:pgSz w:w="12240" w:h="15840" w:code="1"/>
          <w:pgMar w:top="720" w:right="1008" w:bottom="720" w:left="1008" w:header="720" w:footer="720" w:gutter="0"/>
          <w:pgNumType w:fmt="lowerRoman" w:start="1"/>
          <w:cols w:num="2" w:space="0" w:equalWidth="0">
            <w:col w:w="4032" w:space="0"/>
            <w:col w:w="6192"/>
          </w:cols>
          <w:docGrid w:linePitch="360"/>
        </w:sectPr>
      </w:pPr>
    </w:p>
    <w:p w14:paraId="7D67A8ED" w14:textId="77777777" w:rsidR="007303EE" w:rsidRPr="00797379" w:rsidRDefault="007303EE" w:rsidP="00823B04">
      <w:pPr>
        <w:pStyle w:val="TOCHeading"/>
      </w:pPr>
      <w:r w:rsidRPr="00797379">
        <w:t>Contents</w:t>
      </w:r>
    </w:p>
    <w:p w14:paraId="0CC88509" w14:textId="77777777" w:rsidR="007303EE" w:rsidRPr="00797379" w:rsidRDefault="007303EE">
      <w:pPr>
        <w:spacing w:after="120"/>
        <w:jc w:val="right"/>
        <w:rPr>
          <w:rFonts w:ascii="Calibri" w:eastAsia="Times New Roman" w:hAnsi="Calibri" w:cs="Calibri"/>
          <w:b/>
          <w:bCs/>
          <w:szCs w:val="20"/>
        </w:rPr>
      </w:pPr>
      <w:r w:rsidRPr="00797379">
        <w:rPr>
          <w:rFonts w:ascii="Calibri" w:eastAsia="Times New Roman" w:hAnsi="Calibri" w:cs="Calibri"/>
          <w:b/>
          <w:bCs/>
          <w:szCs w:val="20"/>
        </w:rPr>
        <w:t>Page</w:t>
      </w:r>
    </w:p>
    <w:p w14:paraId="6EBF02CA" w14:textId="18556CEF" w:rsidR="0039626F" w:rsidRPr="00797379" w:rsidRDefault="007303EE">
      <w:pPr>
        <w:pStyle w:val="TOC1"/>
        <w:rPr>
          <w:rFonts w:eastAsiaTheme="minorEastAsia"/>
          <w:noProof/>
          <w:kern w:val="2"/>
          <w:sz w:val="24"/>
          <w:szCs w:val="24"/>
          <w14:ligatures w14:val="standardContextual"/>
        </w:rPr>
      </w:pPr>
      <w:r w:rsidRPr="00797379">
        <w:rPr>
          <w:rFonts w:ascii="Calibri" w:eastAsia="Times New Roman" w:hAnsi="Calibri" w:cs="Calibri"/>
          <w:b/>
          <w:bCs/>
          <w:szCs w:val="20"/>
        </w:rPr>
        <w:fldChar w:fldCharType="begin"/>
      </w:r>
      <w:r w:rsidRPr="00797379">
        <w:rPr>
          <w:rFonts w:ascii="Calibri" w:eastAsia="Times New Roman" w:hAnsi="Calibri" w:cs="Calibri"/>
          <w:b/>
          <w:bCs/>
          <w:szCs w:val="20"/>
        </w:rPr>
        <w:instrText xml:space="preserve"> TOC \h \z \t "Heading 2 - SIOR,1" </w:instrText>
      </w:r>
      <w:r w:rsidRPr="00797379">
        <w:rPr>
          <w:rFonts w:ascii="Calibri" w:eastAsia="Times New Roman" w:hAnsi="Calibri" w:cs="Calibri"/>
          <w:b/>
          <w:bCs/>
          <w:szCs w:val="20"/>
        </w:rPr>
        <w:fldChar w:fldCharType="separate"/>
      </w:r>
      <w:hyperlink w:anchor="_Toc220931744" w:history="1">
        <w:r w:rsidR="0039626F" w:rsidRPr="00797379">
          <w:rPr>
            <w:rStyle w:val="Hyperlink"/>
            <w:noProof/>
          </w:rPr>
          <w:t>Introduction</w:t>
        </w:r>
        <w:r w:rsidR="0039626F" w:rsidRPr="00797379">
          <w:rPr>
            <w:noProof/>
            <w:webHidden/>
          </w:rPr>
          <w:tab/>
        </w:r>
        <w:r w:rsidR="00E100DF" w:rsidRPr="00797379">
          <w:rPr>
            <w:noProof/>
            <w:webHidden/>
          </w:rPr>
          <w:t>B-</w:t>
        </w:r>
        <w:r w:rsidR="0039626F" w:rsidRPr="00797379">
          <w:rPr>
            <w:noProof/>
            <w:webHidden/>
          </w:rPr>
          <w:fldChar w:fldCharType="begin"/>
        </w:r>
        <w:r w:rsidR="0039626F" w:rsidRPr="00797379">
          <w:rPr>
            <w:noProof/>
            <w:webHidden/>
          </w:rPr>
          <w:instrText xml:space="preserve"> PAGEREF _Toc220931744 \h </w:instrText>
        </w:r>
        <w:r w:rsidR="0039626F" w:rsidRPr="00797379">
          <w:rPr>
            <w:noProof/>
            <w:webHidden/>
          </w:rPr>
        </w:r>
        <w:r w:rsidR="0039626F" w:rsidRPr="00797379">
          <w:rPr>
            <w:noProof/>
            <w:webHidden/>
          </w:rPr>
          <w:fldChar w:fldCharType="separate"/>
        </w:r>
        <w:r w:rsidR="0039626F" w:rsidRPr="00797379">
          <w:rPr>
            <w:noProof/>
            <w:webHidden/>
          </w:rPr>
          <w:t>5</w:t>
        </w:r>
        <w:r w:rsidR="0039626F" w:rsidRPr="00797379">
          <w:rPr>
            <w:noProof/>
            <w:webHidden/>
          </w:rPr>
          <w:fldChar w:fldCharType="end"/>
        </w:r>
      </w:hyperlink>
    </w:p>
    <w:p w14:paraId="30DAEF07" w14:textId="3589F558" w:rsidR="0039626F" w:rsidRPr="00797379" w:rsidRDefault="0039626F">
      <w:pPr>
        <w:pStyle w:val="TOC1"/>
        <w:rPr>
          <w:rFonts w:eastAsiaTheme="minorEastAsia"/>
          <w:noProof/>
          <w:kern w:val="2"/>
          <w:sz w:val="24"/>
          <w:szCs w:val="24"/>
          <w14:ligatures w14:val="standardContextual"/>
        </w:rPr>
      </w:pPr>
      <w:hyperlink w:anchor="_Toc220931745" w:history="1">
        <w:r w:rsidRPr="00797379">
          <w:rPr>
            <w:rStyle w:val="Hyperlink"/>
            <w:noProof/>
          </w:rPr>
          <w:t>Positive Climate</w:t>
        </w:r>
        <w:r w:rsidRPr="00797379">
          <w:rPr>
            <w:noProof/>
            <w:webHidden/>
          </w:rPr>
          <w:tab/>
        </w:r>
        <w:r w:rsidR="00E100DF" w:rsidRPr="00797379">
          <w:rPr>
            <w:noProof/>
            <w:webHidden/>
          </w:rPr>
          <w:t>B-</w:t>
        </w:r>
        <w:r w:rsidRPr="00797379">
          <w:rPr>
            <w:noProof/>
            <w:webHidden/>
          </w:rPr>
          <w:fldChar w:fldCharType="begin"/>
        </w:r>
        <w:r w:rsidRPr="00797379">
          <w:rPr>
            <w:noProof/>
            <w:webHidden/>
          </w:rPr>
          <w:instrText xml:space="preserve"> PAGEREF _Toc220931745 \h </w:instrText>
        </w:r>
        <w:r w:rsidRPr="00797379">
          <w:rPr>
            <w:noProof/>
            <w:webHidden/>
          </w:rPr>
        </w:r>
        <w:r w:rsidRPr="00797379">
          <w:rPr>
            <w:noProof/>
            <w:webHidden/>
          </w:rPr>
          <w:fldChar w:fldCharType="separate"/>
        </w:r>
        <w:r w:rsidRPr="00797379">
          <w:rPr>
            <w:noProof/>
            <w:webHidden/>
          </w:rPr>
          <w:t>7</w:t>
        </w:r>
        <w:r w:rsidRPr="00797379">
          <w:rPr>
            <w:noProof/>
            <w:webHidden/>
          </w:rPr>
          <w:fldChar w:fldCharType="end"/>
        </w:r>
      </w:hyperlink>
    </w:p>
    <w:p w14:paraId="5A10ABE5" w14:textId="18206DC7" w:rsidR="0039626F" w:rsidRPr="00797379" w:rsidRDefault="0039626F">
      <w:pPr>
        <w:pStyle w:val="TOC1"/>
        <w:rPr>
          <w:rFonts w:eastAsiaTheme="minorEastAsia"/>
          <w:noProof/>
          <w:kern w:val="2"/>
          <w:sz w:val="24"/>
          <w:szCs w:val="24"/>
          <w14:ligatures w14:val="standardContextual"/>
        </w:rPr>
      </w:pPr>
      <w:hyperlink w:anchor="_Toc220931746" w:history="1">
        <w:r w:rsidRPr="00797379">
          <w:rPr>
            <w:rStyle w:val="Hyperlink"/>
            <w:noProof/>
          </w:rPr>
          <w:t>Teacher Sensitivity</w:t>
        </w:r>
        <w:r w:rsidRPr="00797379">
          <w:rPr>
            <w:noProof/>
            <w:webHidden/>
          </w:rPr>
          <w:tab/>
        </w:r>
        <w:r w:rsidR="00E100DF" w:rsidRPr="00797379">
          <w:rPr>
            <w:noProof/>
            <w:webHidden/>
          </w:rPr>
          <w:t>B-</w:t>
        </w:r>
        <w:r w:rsidRPr="00797379">
          <w:rPr>
            <w:noProof/>
            <w:webHidden/>
          </w:rPr>
          <w:fldChar w:fldCharType="begin"/>
        </w:r>
        <w:r w:rsidRPr="00797379">
          <w:rPr>
            <w:noProof/>
            <w:webHidden/>
          </w:rPr>
          <w:instrText xml:space="preserve"> PAGEREF _Toc220931746 \h </w:instrText>
        </w:r>
        <w:r w:rsidRPr="00797379">
          <w:rPr>
            <w:noProof/>
            <w:webHidden/>
          </w:rPr>
        </w:r>
        <w:r w:rsidRPr="00797379">
          <w:rPr>
            <w:noProof/>
            <w:webHidden/>
          </w:rPr>
          <w:fldChar w:fldCharType="separate"/>
        </w:r>
        <w:r w:rsidRPr="00797379">
          <w:rPr>
            <w:noProof/>
            <w:webHidden/>
          </w:rPr>
          <w:t>8</w:t>
        </w:r>
        <w:r w:rsidRPr="00797379">
          <w:rPr>
            <w:noProof/>
            <w:webHidden/>
          </w:rPr>
          <w:fldChar w:fldCharType="end"/>
        </w:r>
      </w:hyperlink>
    </w:p>
    <w:p w14:paraId="4C9F4D8D" w14:textId="4DEF4B5E" w:rsidR="0039626F" w:rsidRPr="00797379" w:rsidRDefault="0039626F">
      <w:pPr>
        <w:pStyle w:val="TOC1"/>
        <w:rPr>
          <w:rFonts w:eastAsiaTheme="minorEastAsia"/>
          <w:noProof/>
          <w:kern w:val="2"/>
          <w:sz w:val="24"/>
          <w:szCs w:val="24"/>
          <w14:ligatures w14:val="standardContextual"/>
        </w:rPr>
      </w:pPr>
      <w:hyperlink w:anchor="_Toc220931747" w:history="1">
        <w:r w:rsidRPr="00797379">
          <w:rPr>
            <w:rStyle w:val="Hyperlink"/>
            <w:noProof/>
          </w:rPr>
          <w:t>Regard for Student Perspectives</w:t>
        </w:r>
        <w:r w:rsidRPr="00797379">
          <w:rPr>
            <w:noProof/>
            <w:webHidden/>
          </w:rPr>
          <w:tab/>
        </w:r>
        <w:r w:rsidR="00E100DF" w:rsidRPr="00797379">
          <w:rPr>
            <w:noProof/>
            <w:webHidden/>
          </w:rPr>
          <w:t>B-</w:t>
        </w:r>
        <w:r w:rsidRPr="00797379">
          <w:rPr>
            <w:noProof/>
            <w:webHidden/>
          </w:rPr>
          <w:fldChar w:fldCharType="begin"/>
        </w:r>
        <w:r w:rsidRPr="00797379">
          <w:rPr>
            <w:noProof/>
            <w:webHidden/>
          </w:rPr>
          <w:instrText xml:space="preserve"> PAGEREF _Toc220931747 \h </w:instrText>
        </w:r>
        <w:r w:rsidRPr="00797379">
          <w:rPr>
            <w:noProof/>
            <w:webHidden/>
          </w:rPr>
        </w:r>
        <w:r w:rsidRPr="00797379">
          <w:rPr>
            <w:noProof/>
            <w:webHidden/>
          </w:rPr>
          <w:fldChar w:fldCharType="separate"/>
        </w:r>
        <w:r w:rsidRPr="00797379">
          <w:rPr>
            <w:noProof/>
            <w:webHidden/>
          </w:rPr>
          <w:t>9</w:t>
        </w:r>
        <w:r w:rsidRPr="00797379">
          <w:rPr>
            <w:noProof/>
            <w:webHidden/>
          </w:rPr>
          <w:fldChar w:fldCharType="end"/>
        </w:r>
      </w:hyperlink>
    </w:p>
    <w:p w14:paraId="166F0081" w14:textId="64299F05" w:rsidR="0039626F" w:rsidRPr="00797379" w:rsidRDefault="0039626F">
      <w:pPr>
        <w:pStyle w:val="TOC1"/>
        <w:rPr>
          <w:rFonts w:eastAsiaTheme="minorEastAsia"/>
          <w:noProof/>
          <w:kern w:val="2"/>
          <w:sz w:val="24"/>
          <w:szCs w:val="24"/>
          <w14:ligatures w14:val="standardContextual"/>
        </w:rPr>
      </w:pPr>
      <w:hyperlink w:anchor="_Toc220931748" w:history="1">
        <w:r w:rsidRPr="00797379">
          <w:rPr>
            <w:rStyle w:val="Hyperlink"/>
            <w:noProof/>
          </w:rPr>
          <w:t>Negative Climate</w:t>
        </w:r>
        <w:r w:rsidRPr="00797379">
          <w:rPr>
            <w:noProof/>
            <w:webHidden/>
          </w:rPr>
          <w:tab/>
        </w:r>
        <w:r w:rsidR="00E100DF" w:rsidRPr="00797379">
          <w:rPr>
            <w:noProof/>
            <w:webHidden/>
          </w:rPr>
          <w:t>B-</w:t>
        </w:r>
        <w:r w:rsidRPr="00797379">
          <w:rPr>
            <w:noProof/>
            <w:webHidden/>
          </w:rPr>
          <w:fldChar w:fldCharType="begin"/>
        </w:r>
        <w:r w:rsidRPr="00797379">
          <w:rPr>
            <w:noProof/>
            <w:webHidden/>
          </w:rPr>
          <w:instrText xml:space="preserve"> PAGEREF _Toc220931748 \h </w:instrText>
        </w:r>
        <w:r w:rsidRPr="00797379">
          <w:rPr>
            <w:noProof/>
            <w:webHidden/>
          </w:rPr>
        </w:r>
        <w:r w:rsidRPr="00797379">
          <w:rPr>
            <w:noProof/>
            <w:webHidden/>
          </w:rPr>
          <w:fldChar w:fldCharType="separate"/>
        </w:r>
        <w:r w:rsidRPr="00797379">
          <w:rPr>
            <w:noProof/>
            <w:webHidden/>
          </w:rPr>
          <w:t>10</w:t>
        </w:r>
        <w:r w:rsidRPr="00797379">
          <w:rPr>
            <w:noProof/>
            <w:webHidden/>
          </w:rPr>
          <w:fldChar w:fldCharType="end"/>
        </w:r>
      </w:hyperlink>
    </w:p>
    <w:p w14:paraId="3B730604" w14:textId="0E1064EA" w:rsidR="0039626F" w:rsidRPr="00797379" w:rsidRDefault="0039626F">
      <w:pPr>
        <w:pStyle w:val="TOC1"/>
        <w:rPr>
          <w:rFonts w:eastAsiaTheme="minorEastAsia"/>
          <w:noProof/>
          <w:kern w:val="2"/>
          <w:sz w:val="24"/>
          <w:szCs w:val="24"/>
          <w14:ligatures w14:val="standardContextual"/>
        </w:rPr>
      </w:pPr>
      <w:hyperlink w:anchor="_Toc220931749" w:history="1">
        <w:r w:rsidRPr="00797379">
          <w:rPr>
            <w:rStyle w:val="Hyperlink"/>
            <w:noProof/>
          </w:rPr>
          <w:t>Behavior Management</w:t>
        </w:r>
        <w:r w:rsidRPr="00797379">
          <w:rPr>
            <w:noProof/>
            <w:webHidden/>
          </w:rPr>
          <w:tab/>
        </w:r>
        <w:r w:rsidR="00E100DF" w:rsidRPr="00797379">
          <w:rPr>
            <w:noProof/>
            <w:webHidden/>
          </w:rPr>
          <w:t>B-</w:t>
        </w:r>
        <w:r w:rsidRPr="00797379">
          <w:rPr>
            <w:noProof/>
            <w:webHidden/>
          </w:rPr>
          <w:fldChar w:fldCharType="begin"/>
        </w:r>
        <w:r w:rsidRPr="00797379">
          <w:rPr>
            <w:noProof/>
            <w:webHidden/>
          </w:rPr>
          <w:instrText xml:space="preserve"> PAGEREF _Toc220931749 \h </w:instrText>
        </w:r>
        <w:r w:rsidRPr="00797379">
          <w:rPr>
            <w:noProof/>
            <w:webHidden/>
          </w:rPr>
        </w:r>
        <w:r w:rsidRPr="00797379">
          <w:rPr>
            <w:noProof/>
            <w:webHidden/>
          </w:rPr>
          <w:fldChar w:fldCharType="separate"/>
        </w:r>
        <w:r w:rsidRPr="00797379">
          <w:rPr>
            <w:noProof/>
            <w:webHidden/>
          </w:rPr>
          <w:t>11</w:t>
        </w:r>
        <w:r w:rsidRPr="00797379">
          <w:rPr>
            <w:noProof/>
            <w:webHidden/>
          </w:rPr>
          <w:fldChar w:fldCharType="end"/>
        </w:r>
      </w:hyperlink>
    </w:p>
    <w:p w14:paraId="46BAA749" w14:textId="7244ECB6" w:rsidR="0039626F" w:rsidRPr="00797379" w:rsidRDefault="0039626F">
      <w:pPr>
        <w:pStyle w:val="TOC1"/>
        <w:rPr>
          <w:rFonts w:eastAsiaTheme="minorEastAsia"/>
          <w:noProof/>
          <w:kern w:val="2"/>
          <w:sz w:val="24"/>
          <w:szCs w:val="24"/>
          <w14:ligatures w14:val="standardContextual"/>
        </w:rPr>
      </w:pPr>
      <w:hyperlink w:anchor="_Toc220931750" w:history="1">
        <w:r w:rsidRPr="00797379">
          <w:rPr>
            <w:rStyle w:val="Hyperlink"/>
            <w:noProof/>
          </w:rPr>
          <w:t>Productivity</w:t>
        </w:r>
        <w:r w:rsidRPr="00797379">
          <w:rPr>
            <w:noProof/>
            <w:webHidden/>
          </w:rPr>
          <w:tab/>
        </w:r>
        <w:r w:rsidR="00E100DF" w:rsidRPr="00797379">
          <w:rPr>
            <w:noProof/>
            <w:webHidden/>
          </w:rPr>
          <w:t>B-</w:t>
        </w:r>
        <w:r w:rsidRPr="00797379">
          <w:rPr>
            <w:noProof/>
            <w:webHidden/>
          </w:rPr>
          <w:fldChar w:fldCharType="begin"/>
        </w:r>
        <w:r w:rsidRPr="00797379">
          <w:rPr>
            <w:noProof/>
            <w:webHidden/>
          </w:rPr>
          <w:instrText xml:space="preserve"> PAGEREF _Toc220931750 \h </w:instrText>
        </w:r>
        <w:r w:rsidRPr="00797379">
          <w:rPr>
            <w:noProof/>
            <w:webHidden/>
          </w:rPr>
        </w:r>
        <w:r w:rsidRPr="00797379">
          <w:rPr>
            <w:noProof/>
            <w:webHidden/>
          </w:rPr>
          <w:fldChar w:fldCharType="separate"/>
        </w:r>
        <w:r w:rsidRPr="00797379">
          <w:rPr>
            <w:noProof/>
            <w:webHidden/>
          </w:rPr>
          <w:t>12</w:t>
        </w:r>
        <w:r w:rsidRPr="00797379">
          <w:rPr>
            <w:noProof/>
            <w:webHidden/>
          </w:rPr>
          <w:fldChar w:fldCharType="end"/>
        </w:r>
      </w:hyperlink>
    </w:p>
    <w:p w14:paraId="01B08193" w14:textId="0A31BE0B" w:rsidR="0039626F" w:rsidRPr="00797379" w:rsidRDefault="0039626F">
      <w:pPr>
        <w:pStyle w:val="TOC1"/>
        <w:rPr>
          <w:rFonts w:eastAsiaTheme="minorEastAsia"/>
          <w:noProof/>
          <w:kern w:val="2"/>
          <w:sz w:val="24"/>
          <w:szCs w:val="24"/>
          <w14:ligatures w14:val="standardContextual"/>
        </w:rPr>
      </w:pPr>
      <w:hyperlink w:anchor="_Toc220931751" w:history="1">
        <w:r w:rsidRPr="00797379">
          <w:rPr>
            <w:rStyle w:val="Hyperlink"/>
            <w:noProof/>
          </w:rPr>
          <w:t>Instructional Learning Formats</w:t>
        </w:r>
        <w:r w:rsidRPr="00797379">
          <w:rPr>
            <w:noProof/>
            <w:webHidden/>
          </w:rPr>
          <w:tab/>
        </w:r>
        <w:r w:rsidR="00E100DF" w:rsidRPr="00797379">
          <w:rPr>
            <w:noProof/>
            <w:webHidden/>
          </w:rPr>
          <w:t>B-</w:t>
        </w:r>
        <w:r w:rsidRPr="00797379">
          <w:rPr>
            <w:noProof/>
            <w:webHidden/>
          </w:rPr>
          <w:fldChar w:fldCharType="begin"/>
        </w:r>
        <w:r w:rsidRPr="00797379">
          <w:rPr>
            <w:noProof/>
            <w:webHidden/>
          </w:rPr>
          <w:instrText xml:space="preserve"> PAGEREF _Toc220931751 \h </w:instrText>
        </w:r>
        <w:r w:rsidRPr="00797379">
          <w:rPr>
            <w:noProof/>
            <w:webHidden/>
          </w:rPr>
        </w:r>
        <w:r w:rsidRPr="00797379">
          <w:rPr>
            <w:noProof/>
            <w:webHidden/>
          </w:rPr>
          <w:fldChar w:fldCharType="separate"/>
        </w:r>
        <w:r w:rsidRPr="00797379">
          <w:rPr>
            <w:noProof/>
            <w:webHidden/>
          </w:rPr>
          <w:t>13</w:t>
        </w:r>
        <w:r w:rsidRPr="00797379">
          <w:rPr>
            <w:noProof/>
            <w:webHidden/>
          </w:rPr>
          <w:fldChar w:fldCharType="end"/>
        </w:r>
      </w:hyperlink>
    </w:p>
    <w:p w14:paraId="6B67A703" w14:textId="57FB8CBE" w:rsidR="0039626F" w:rsidRPr="00797379" w:rsidRDefault="0039626F">
      <w:pPr>
        <w:pStyle w:val="TOC1"/>
        <w:rPr>
          <w:rFonts w:eastAsiaTheme="minorEastAsia"/>
          <w:noProof/>
          <w:kern w:val="2"/>
          <w:sz w:val="24"/>
          <w:szCs w:val="24"/>
          <w14:ligatures w14:val="standardContextual"/>
        </w:rPr>
      </w:pPr>
      <w:hyperlink w:anchor="_Toc220931752" w:history="1">
        <w:r w:rsidRPr="00797379">
          <w:rPr>
            <w:rStyle w:val="Hyperlink"/>
            <w:noProof/>
          </w:rPr>
          <w:t>Concept Development</w:t>
        </w:r>
        <w:r w:rsidRPr="00797379">
          <w:rPr>
            <w:noProof/>
            <w:webHidden/>
          </w:rPr>
          <w:tab/>
        </w:r>
        <w:r w:rsidR="00E100DF" w:rsidRPr="00797379">
          <w:rPr>
            <w:noProof/>
            <w:webHidden/>
          </w:rPr>
          <w:t>B-</w:t>
        </w:r>
        <w:r w:rsidRPr="00797379">
          <w:rPr>
            <w:noProof/>
            <w:webHidden/>
          </w:rPr>
          <w:fldChar w:fldCharType="begin"/>
        </w:r>
        <w:r w:rsidRPr="00797379">
          <w:rPr>
            <w:noProof/>
            <w:webHidden/>
          </w:rPr>
          <w:instrText xml:space="preserve"> PAGEREF _Toc220931752 \h </w:instrText>
        </w:r>
        <w:r w:rsidRPr="00797379">
          <w:rPr>
            <w:noProof/>
            <w:webHidden/>
          </w:rPr>
        </w:r>
        <w:r w:rsidRPr="00797379">
          <w:rPr>
            <w:noProof/>
            <w:webHidden/>
          </w:rPr>
          <w:fldChar w:fldCharType="separate"/>
        </w:r>
        <w:r w:rsidRPr="00797379">
          <w:rPr>
            <w:noProof/>
            <w:webHidden/>
          </w:rPr>
          <w:t>14</w:t>
        </w:r>
        <w:r w:rsidRPr="00797379">
          <w:rPr>
            <w:noProof/>
            <w:webHidden/>
          </w:rPr>
          <w:fldChar w:fldCharType="end"/>
        </w:r>
      </w:hyperlink>
    </w:p>
    <w:p w14:paraId="027F0A4B" w14:textId="3B823400" w:rsidR="0039626F" w:rsidRPr="00797379" w:rsidRDefault="0039626F">
      <w:pPr>
        <w:pStyle w:val="TOC1"/>
        <w:rPr>
          <w:rFonts w:eastAsiaTheme="minorEastAsia"/>
          <w:noProof/>
          <w:kern w:val="2"/>
          <w:sz w:val="24"/>
          <w:szCs w:val="24"/>
          <w14:ligatures w14:val="standardContextual"/>
        </w:rPr>
      </w:pPr>
      <w:hyperlink w:anchor="_Toc220931753" w:history="1">
        <w:r w:rsidRPr="00797379">
          <w:rPr>
            <w:rStyle w:val="Hyperlink"/>
            <w:noProof/>
          </w:rPr>
          <w:t>Content Understanding</w:t>
        </w:r>
        <w:r w:rsidRPr="00797379">
          <w:rPr>
            <w:noProof/>
            <w:webHidden/>
          </w:rPr>
          <w:tab/>
        </w:r>
        <w:r w:rsidR="00E100DF" w:rsidRPr="00797379">
          <w:rPr>
            <w:noProof/>
            <w:webHidden/>
          </w:rPr>
          <w:t>B-</w:t>
        </w:r>
        <w:r w:rsidRPr="00797379">
          <w:rPr>
            <w:noProof/>
            <w:webHidden/>
          </w:rPr>
          <w:fldChar w:fldCharType="begin"/>
        </w:r>
        <w:r w:rsidRPr="00797379">
          <w:rPr>
            <w:noProof/>
            <w:webHidden/>
          </w:rPr>
          <w:instrText xml:space="preserve"> PAGEREF _Toc220931753 \h </w:instrText>
        </w:r>
        <w:r w:rsidRPr="00797379">
          <w:rPr>
            <w:noProof/>
            <w:webHidden/>
          </w:rPr>
        </w:r>
        <w:r w:rsidRPr="00797379">
          <w:rPr>
            <w:noProof/>
            <w:webHidden/>
          </w:rPr>
          <w:fldChar w:fldCharType="separate"/>
        </w:r>
        <w:r w:rsidRPr="00797379">
          <w:rPr>
            <w:noProof/>
            <w:webHidden/>
          </w:rPr>
          <w:t>15</w:t>
        </w:r>
        <w:r w:rsidRPr="00797379">
          <w:rPr>
            <w:noProof/>
            <w:webHidden/>
          </w:rPr>
          <w:fldChar w:fldCharType="end"/>
        </w:r>
      </w:hyperlink>
    </w:p>
    <w:p w14:paraId="5EBA8E86" w14:textId="338F7C4E" w:rsidR="0039626F" w:rsidRPr="00797379" w:rsidRDefault="0039626F">
      <w:pPr>
        <w:pStyle w:val="TOC1"/>
        <w:rPr>
          <w:rFonts w:eastAsiaTheme="minorEastAsia"/>
          <w:noProof/>
          <w:kern w:val="2"/>
          <w:sz w:val="24"/>
          <w:szCs w:val="24"/>
          <w14:ligatures w14:val="standardContextual"/>
        </w:rPr>
      </w:pPr>
      <w:hyperlink w:anchor="_Toc220931754" w:history="1">
        <w:r w:rsidRPr="00797379">
          <w:rPr>
            <w:rStyle w:val="Hyperlink"/>
            <w:noProof/>
          </w:rPr>
          <w:t>Analysis and Inquiry</w:t>
        </w:r>
        <w:r w:rsidRPr="00797379">
          <w:rPr>
            <w:noProof/>
            <w:webHidden/>
          </w:rPr>
          <w:tab/>
        </w:r>
        <w:r w:rsidR="00E100DF" w:rsidRPr="00797379">
          <w:rPr>
            <w:noProof/>
            <w:webHidden/>
          </w:rPr>
          <w:t>B-</w:t>
        </w:r>
        <w:r w:rsidRPr="00797379">
          <w:rPr>
            <w:noProof/>
            <w:webHidden/>
          </w:rPr>
          <w:fldChar w:fldCharType="begin"/>
        </w:r>
        <w:r w:rsidRPr="00797379">
          <w:rPr>
            <w:noProof/>
            <w:webHidden/>
          </w:rPr>
          <w:instrText xml:space="preserve"> PAGEREF _Toc220931754 \h </w:instrText>
        </w:r>
        <w:r w:rsidRPr="00797379">
          <w:rPr>
            <w:noProof/>
            <w:webHidden/>
          </w:rPr>
        </w:r>
        <w:r w:rsidRPr="00797379">
          <w:rPr>
            <w:noProof/>
            <w:webHidden/>
          </w:rPr>
          <w:fldChar w:fldCharType="separate"/>
        </w:r>
        <w:r w:rsidRPr="00797379">
          <w:rPr>
            <w:noProof/>
            <w:webHidden/>
          </w:rPr>
          <w:t>16</w:t>
        </w:r>
        <w:r w:rsidRPr="00797379">
          <w:rPr>
            <w:noProof/>
            <w:webHidden/>
          </w:rPr>
          <w:fldChar w:fldCharType="end"/>
        </w:r>
      </w:hyperlink>
    </w:p>
    <w:p w14:paraId="35FA9C20" w14:textId="194F0F2F" w:rsidR="0039626F" w:rsidRPr="00797379" w:rsidRDefault="0039626F">
      <w:pPr>
        <w:pStyle w:val="TOC1"/>
        <w:rPr>
          <w:rFonts w:eastAsiaTheme="minorEastAsia"/>
          <w:noProof/>
          <w:kern w:val="2"/>
          <w:sz w:val="24"/>
          <w:szCs w:val="24"/>
          <w14:ligatures w14:val="standardContextual"/>
        </w:rPr>
      </w:pPr>
      <w:hyperlink w:anchor="_Toc220931755" w:history="1">
        <w:r w:rsidRPr="00797379">
          <w:rPr>
            <w:rStyle w:val="Hyperlink"/>
            <w:noProof/>
          </w:rPr>
          <w:t>Quality of Feedback</w:t>
        </w:r>
        <w:r w:rsidRPr="00797379">
          <w:rPr>
            <w:noProof/>
            <w:webHidden/>
          </w:rPr>
          <w:tab/>
        </w:r>
        <w:r w:rsidR="00E100DF" w:rsidRPr="00797379">
          <w:rPr>
            <w:noProof/>
            <w:webHidden/>
          </w:rPr>
          <w:t>B-</w:t>
        </w:r>
        <w:r w:rsidRPr="00797379">
          <w:rPr>
            <w:noProof/>
            <w:webHidden/>
          </w:rPr>
          <w:fldChar w:fldCharType="begin"/>
        </w:r>
        <w:r w:rsidRPr="00797379">
          <w:rPr>
            <w:noProof/>
            <w:webHidden/>
          </w:rPr>
          <w:instrText xml:space="preserve"> PAGEREF _Toc220931755 \h </w:instrText>
        </w:r>
        <w:r w:rsidRPr="00797379">
          <w:rPr>
            <w:noProof/>
            <w:webHidden/>
          </w:rPr>
        </w:r>
        <w:r w:rsidRPr="00797379">
          <w:rPr>
            <w:noProof/>
            <w:webHidden/>
          </w:rPr>
          <w:fldChar w:fldCharType="separate"/>
        </w:r>
        <w:r w:rsidRPr="00797379">
          <w:rPr>
            <w:noProof/>
            <w:webHidden/>
          </w:rPr>
          <w:t>17</w:t>
        </w:r>
        <w:r w:rsidRPr="00797379">
          <w:rPr>
            <w:noProof/>
            <w:webHidden/>
          </w:rPr>
          <w:fldChar w:fldCharType="end"/>
        </w:r>
      </w:hyperlink>
    </w:p>
    <w:p w14:paraId="6A444240" w14:textId="0E59EDFA" w:rsidR="0039626F" w:rsidRPr="00797379" w:rsidRDefault="0039626F">
      <w:pPr>
        <w:pStyle w:val="TOC1"/>
        <w:rPr>
          <w:rFonts w:eastAsiaTheme="minorEastAsia"/>
          <w:noProof/>
          <w:kern w:val="2"/>
          <w:sz w:val="24"/>
          <w:szCs w:val="24"/>
          <w14:ligatures w14:val="standardContextual"/>
        </w:rPr>
      </w:pPr>
      <w:hyperlink w:anchor="_Toc220931756" w:history="1">
        <w:r w:rsidRPr="00797379">
          <w:rPr>
            <w:rStyle w:val="Hyperlink"/>
            <w:noProof/>
          </w:rPr>
          <w:t>Language Modeling</w:t>
        </w:r>
        <w:r w:rsidRPr="00797379">
          <w:rPr>
            <w:noProof/>
            <w:webHidden/>
          </w:rPr>
          <w:tab/>
        </w:r>
        <w:r w:rsidR="00E100DF" w:rsidRPr="00797379">
          <w:rPr>
            <w:noProof/>
            <w:webHidden/>
          </w:rPr>
          <w:t>B-</w:t>
        </w:r>
        <w:r w:rsidRPr="00797379">
          <w:rPr>
            <w:noProof/>
            <w:webHidden/>
          </w:rPr>
          <w:fldChar w:fldCharType="begin"/>
        </w:r>
        <w:r w:rsidRPr="00797379">
          <w:rPr>
            <w:noProof/>
            <w:webHidden/>
          </w:rPr>
          <w:instrText xml:space="preserve"> PAGEREF _Toc220931756 \h </w:instrText>
        </w:r>
        <w:r w:rsidRPr="00797379">
          <w:rPr>
            <w:noProof/>
            <w:webHidden/>
          </w:rPr>
        </w:r>
        <w:r w:rsidRPr="00797379">
          <w:rPr>
            <w:noProof/>
            <w:webHidden/>
          </w:rPr>
          <w:fldChar w:fldCharType="separate"/>
        </w:r>
        <w:r w:rsidRPr="00797379">
          <w:rPr>
            <w:noProof/>
            <w:webHidden/>
          </w:rPr>
          <w:t>18</w:t>
        </w:r>
        <w:r w:rsidRPr="00797379">
          <w:rPr>
            <w:noProof/>
            <w:webHidden/>
          </w:rPr>
          <w:fldChar w:fldCharType="end"/>
        </w:r>
      </w:hyperlink>
    </w:p>
    <w:p w14:paraId="57AE8E28" w14:textId="51D9A82D" w:rsidR="0039626F" w:rsidRPr="00797379" w:rsidRDefault="0039626F">
      <w:pPr>
        <w:pStyle w:val="TOC1"/>
        <w:rPr>
          <w:rFonts w:eastAsiaTheme="minorEastAsia"/>
          <w:noProof/>
          <w:kern w:val="2"/>
          <w:sz w:val="24"/>
          <w:szCs w:val="24"/>
          <w14:ligatures w14:val="standardContextual"/>
        </w:rPr>
      </w:pPr>
      <w:hyperlink w:anchor="_Toc220931757" w:history="1">
        <w:r w:rsidRPr="00797379">
          <w:rPr>
            <w:rStyle w:val="Hyperlink"/>
            <w:noProof/>
            <w:lang w:val="fr-FR"/>
          </w:rPr>
          <w:t xml:space="preserve">Instructional </w:t>
        </w:r>
        <w:r w:rsidRPr="00797379">
          <w:rPr>
            <w:rStyle w:val="Hyperlink"/>
            <w:noProof/>
          </w:rPr>
          <w:t>Dialogue</w:t>
        </w:r>
        <w:r w:rsidRPr="00797379">
          <w:rPr>
            <w:noProof/>
            <w:webHidden/>
          </w:rPr>
          <w:tab/>
        </w:r>
        <w:r w:rsidR="00E100DF" w:rsidRPr="00797379">
          <w:rPr>
            <w:noProof/>
            <w:webHidden/>
          </w:rPr>
          <w:t>B-</w:t>
        </w:r>
        <w:r w:rsidRPr="00797379">
          <w:rPr>
            <w:noProof/>
            <w:webHidden/>
          </w:rPr>
          <w:fldChar w:fldCharType="begin"/>
        </w:r>
        <w:r w:rsidRPr="00797379">
          <w:rPr>
            <w:noProof/>
            <w:webHidden/>
          </w:rPr>
          <w:instrText xml:space="preserve"> PAGEREF _Toc220931757 \h </w:instrText>
        </w:r>
        <w:r w:rsidRPr="00797379">
          <w:rPr>
            <w:noProof/>
            <w:webHidden/>
          </w:rPr>
        </w:r>
        <w:r w:rsidRPr="00797379">
          <w:rPr>
            <w:noProof/>
            <w:webHidden/>
          </w:rPr>
          <w:fldChar w:fldCharType="separate"/>
        </w:r>
        <w:r w:rsidRPr="00797379">
          <w:rPr>
            <w:noProof/>
            <w:webHidden/>
          </w:rPr>
          <w:t>19</w:t>
        </w:r>
        <w:r w:rsidRPr="00797379">
          <w:rPr>
            <w:noProof/>
            <w:webHidden/>
          </w:rPr>
          <w:fldChar w:fldCharType="end"/>
        </w:r>
      </w:hyperlink>
    </w:p>
    <w:p w14:paraId="5E906680" w14:textId="7E61EF3F" w:rsidR="0039626F" w:rsidRPr="00797379" w:rsidRDefault="0039626F">
      <w:pPr>
        <w:pStyle w:val="TOC1"/>
        <w:rPr>
          <w:rFonts w:eastAsiaTheme="minorEastAsia"/>
          <w:noProof/>
          <w:kern w:val="2"/>
          <w:sz w:val="24"/>
          <w:szCs w:val="24"/>
          <w14:ligatures w14:val="standardContextual"/>
        </w:rPr>
      </w:pPr>
      <w:hyperlink w:anchor="_Toc220931758" w:history="1">
        <w:r w:rsidRPr="00797379">
          <w:rPr>
            <w:rStyle w:val="Hyperlink"/>
            <w:noProof/>
            <w:lang w:val="fr-FR"/>
          </w:rPr>
          <w:t>Student Engagement</w:t>
        </w:r>
        <w:r w:rsidRPr="00797379">
          <w:rPr>
            <w:noProof/>
            <w:webHidden/>
          </w:rPr>
          <w:tab/>
        </w:r>
        <w:r w:rsidR="00E100DF" w:rsidRPr="00797379">
          <w:rPr>
            <w:noProof/>
            <w:webHidden/>
          </w:rPr>
          <w:t>B-</w:t>
        </w:r>
        <w:r w:rsidRPr="00797379">
          <w:rPr>
            <w:noProof/>
            <w:webHidden/>
          </w:rPr>
          <w:fldChar w:fldCharType="begin"/>
        </w:r>
        <w:r w:rsidRPr="00797379">
          <w:rPr>
            <w:noProof/>
            <w:webHidden/>
          </w:rPr>
          <w:instrText xml:space="preserve"> PAGEREF _Toc220931758 \h </w:instrText>
        </w:r>
        <w:r w:rsidRPr="00797379">
          <w:rPr>
            <w:noProof/>
            <w:webHidden/>
          </w:rPr>
        </w:r>
        <w:r w:rsidRPr="00797379">
          <w:rPr>
            <w:noProof/>
            <w:webHidden/>
          </w:rPr>
          <w:fldChar w:fldCharType="separate"/>
        </w:r>
        <w:r w:rsidRPr="00797379">
          <w:rPr>
            <w:noProof/>
            <w:webHidden/>
          </w:rPr>
          <w:t>20</w:t>
        </w:r>
        <w:r w:rsidRPr="00797379">
          <w:rPr>
            <w:noProof/>
            <w:webHidden/>
          </w:rPr>
          <w:fldChar w:fldCharType="end"/>
        </w:r>
      </w:hyperlink>
    </w:p>
    <w:p w14:paraId="64B931C3" w14:textId="654A5D0B" w:rsidR="0039626F" w:rsidRPr="00797379" w:rsidRDefault="0039626F">
      <w:pPr>
        <w:pStyle w:val="TOC1"/>
        <w:rPr>
          <w:rFonts w:eastAsiaTheme="minorEastAsia"/>
          <w:noProof/>
          <w:kern w:val="2"/>
          <w:sz w:val="24"/>
          <w:szCs w:val="24"/>
          <w14:ligatures w14:val="standardContextual"/>
        </w:rPr>
      </w:pPr>
      <w:hyperlink w:anchor="_Toc220931759" w:history="1">
        <w:r w:rsidRPr="00797379">
          <w:rPr>
            <w:rStyle w:val="Hyperlink"/>
            <w:noProof/>
          </w:rPr>
          <w:t>Summary of Average Ratings: Grades PK–5</w:t>
        </w:r>
        <w:r w:rsidRPr="00797379">
          <w:rPr>
            <w:noProof/>
            <w:webHidden/>
          </w:rPr>
          <w:tab/>
        </w:r>
        <w:r w:rsidR="00E100DF" w:rsidRPr="00797379">
          <w:rPr>
            <w:noProof/>
            <w:webHidden/>
          </w:rPr>
          <w:t>B-</w:t>
        </w:r>
        <w:r w:rsidRPr="00797379">
          <w:rPr>
            <w:noProof/>
            <w:webHidden/>
          </w:rPr>
          <w:fldChar w:fldCharType="begin"/>
        </w:r>
        <w:r w:rsidRPr="00797379">
          <w:rPr>
            <w:noProof/>
            <w:webHidden/>
          </w:rPr>
          <w:instrText xml:space="preserve"> PAGEREF _Toc220931759 \h </w:instrText>
        </w:r>
        <w:r w:rsidRPr="00797379">
          <w:rPr>
            <w:noProof/>
            <w:webHidden/>
          </w:rPr>
        </w:r>
        <w:r w:rsidRPr="00797379">
          <w:rPr>
            <w:noProof/>
            <w:webHidden/>
          </w:rPr>
          <w:fldChar w:fldCharType="separate"/>
        </w:r>
        <w:r w:rsidRPr="00797379">
          <w:rPr>
            <w:noProof/>
            <w:webHidden/>
          </w:rPr>
          <w:t>21</w:t>
        </w:r>
        <w:r w:rsidRPr="00797379">
          <w:rPr>
            <w:noProof/>
            <w:webHidden/>
          </w:rPr>
          <w:fldChar w:fldCharType="end"/>
        </w:r>
      </w:hyperlink>
    </w:p>
    <w:p w14:paraId="2FB6E9F2" w14:textId="1B9E2B8B" w:rsidR="0039626F" w:rsidRPr="00797379" w:rsidRDefault="0039626F">
      <w:pPr>
        <w:pStyle w:val="TOC1"/>
        <w:rPr>
          <w:rFonts w:eastAsiaTheme="minorEastAsia"/>
          <w:noProof/>
          <w:kern w:val="2"/>
          <w:sz w:val="24"/>
          <w:szCs w:val="24"/>
          <w14:ligatures w14:val="standardContextual"/>
        </w:rPr>
      </w:pPr>
      <w:hyperlink w:anchor="_Toc220931760" w:history="1">
        <w:r w:rsidRPr="00797379">
          <w:rPr>
            <w:rStyle w:val="Hyperlink"/>
            <w:noProof/>
          </w:rPr>
          <w:t>Summary of Average Ratings: Grades 6–8</w:t>
        </w:r>
        <w:r w:rsidRPr="00797379">
          <w:rPr>
            <w:noProof/>
            <w:webHidden/>
          </w:rPr>
          <w:tab/>
        </w:r>
        <w:r w:rsidR="00E100DF" w:rsidRPr="00797379">
          <w:rPr>
            <w:noProof/>
            <w:webHidden/>
          </w:rPr>
          <w:t>B-</w:t>
        </w:r>
        <w:r w:rsidRPr="00797379">
          <w:rPr>
            <w:noProof/>
            <w:webHidden/>
          </w:rPr>
          <w:fldChar w:fldCharType="begin"/>
        </w:r>
        <w:r w:rsidRPr="00797379">
          <w:rPr>
            <w:noProof/>
            <w:webHidden/>
          </w:rPr>
          <w:instrText xml:space="preserve"> PAGEREF _Toc220931760 \h </w:instrText>
        </w:r>
        <w:r w:rsidRPr="00797379">
          <w:rPr>
            <w:noProof/>
            <w:webHidden/>
          </w:rPr>
        </w:r>
        <w:r w:rsidRPr="00797379">
          <w:rPr>
            <w:noProof/>
            <w:webHidden/>
          </w:rPr>
          <w:fldChar w:fldCharType="separate"/>
        </w:r>
        <w:r w:rsidRPr="00797379">
          <w:rPr>
            <w:noProof/>
            <w:webHidden/>
          </w:rPr>
          <w:t>22</w:t>
        </w:r>
        <w:r w:rsidRPr="00797379">
          <w:rPr>
            <w:noProof/>
            <w:webHidden/>
          </w:rPr>
          <w:fldChar w:fldCharType="end"/>
        </w:r>
      </w:hyperlink>
    </w:p>
    <w:p w14:paraId="1739B62B" w14:textId="320D0355" w:rsidR="0039626F" w:rsidRPr="00797379" w:rsidRDefault="0039626F">
      <w:pPr>
        <w:pStyle w:val="TOC1"/>
        <w:rPr>
          <w:rFonts w:eastAsiaTheme="minorEastAsia"/>
          <w:noProof/>
          <w:kern w:val="2"/>
          <w:sz w:val="24"/>
          <w:szCs w:val="24"/>
          <w14:ligatures w14:val="standardContextual"/>
        </w:rPr>
      </w:pPr>
      <w:hyperlink w:anchor="_Toc220931761" w:history="1">
        <w:r w:rsidRPr="00797379">
          <w:rPr>
            <w:rStyle w:val="Hyperlink"/>
            <w:noProof/>
          </w:rPr>
          <w:t>Summary of Average Ratings: Grades 9–12</w:t>
        </w:r>
        <w:r w:rsidRPr="00797379">
          <w:rPr>
            <w:noProof/>
            <w:webHidden/>
          </w:rPr>
          <w:tab/>
        </w:r>
        <w:r w:rsidR="00E100DF" w:rsidRPr="00797379">
          <w:rPr>
            <w:noProof/>
            <w:webHidden/>
          </w:rPr>
          <w:t>B-</w:t>
        </w:r>
        <w:r w:rsidRPr="00797379">
          <w:rPr>
            <w:noProof/>
            <w:webHidden/>
          </w:rPr>
          <w:fldChar w:fldCharType="begin"/>
        </w:r>
        <w:r w:rsidRPr="00797379">
          <w:rPr>
            <w:noProof/>
            <w:webHidden/>
          </w:rPr>
          <w:instrText xml:space="preserve"> PAGEREF _Toc220931761 \h </w:instrText>
        </w:r>
        <w:r w:rsidRPr="00797379">
          <w:rPr>
            <w:noProof/>
            <w:webHidden/>
          </w:rPr>
        </w:r>
        <w:r w:rsidRPr="00797379">
          <w:rPr>
            <w:noProof/>
            <w:webHidden/>
          </w:rPr>
          <w:fldChar w:fldCharType="separate"/>
        </w:r>
        <w:r w:rsidRPr="00797379">
          <w:rPr>
            <w:noProof/>
            <w:webHidden/>
          </w:rPr>
          <w:t>23</w:t>
        </w:r>
        <w:r w:rsidRPr="00797379">
          <w:rPr>
            <w:noProof/>
            <w:webHidden/>
          </w:rPr>
          <w:fldChar w:fldCharType="end"/>
        </w:r>
      </w:hyperlink>
    </w:p>
    <w:p w14:paraId="1C0E4D84" w14:textId="3C86497C" w:rsidR="0039626F" w:rsidRPr="00797379" w:rsidRDefault="0039626F">
      <w:pPr>
        <w:pStyle w:val="TOC1"/>
        <w:rPr>
          <w:rFonts w:eastAsiaTheme="minorEastAsia"/>
          <w:noProof/>
          <w:kern w:val="2"/>
          <w:sz w:val="24"/>
          <w:szCs w:val="24"/>
          <w14:ligatures w14:val="standardContextual"/>
        </w:rPr>
      </w:pPr>
      <w:hyperlink w:anchor="_Toc220931762" w:history="1">
        <w:r w:rsidRPr="00797379">
          <w:rPr>
            <w:rStyle w:val="Hyperlink"/>
            <w:noProof/>
          </w:rPr>
          <w:t>References</w:t>
        </w:r>
        <w:r w:rsidRPr="00797379">
          <w:rPr>
            <w:noProof/>
            <w:webHidden/>
          </w:rPr>
          <w:tab/>
        </w:r>
        <w:r w:rsidR="00E100DF" w:rsidRPr="00797379">
          <w:rPr>
            <w:noProof/>
            <w:webHidden/>
          </w:rPr>
          <w:t>B-</w:t>
        </w:r>
        <w:r w:rsidRPr="00797379">
          <w:rPr>
            <w:noProof/>
            <w:webHidden/>
          </w:rPr>
          <w:fldChar w:fldCharType="begin"/>
        </w:r>
        <w:r w:rsidRPr="00797379">
          <w:rPr>
            <w:noProof/>
            <w:webHidden/>
          </w:rPr>
          <w:instrText xml:space="preserve"> PAGEREF _Toc220931762 \h </w:instrText>
        </w:r>
        <w:r w:rsidRPr="00797379">
          <w:rPr>
            <w:noProof/>
            <w:webHidden/>
          </w:rPr>
        </w:r>
        <w:r w:rsidRPr="00797379">
          <w:rPr>
            <w:noProof/>
            <w:webHidden/>
          </w:rPr>
          <w:fldChar w:fldCharType="separate"/>
        </w:r>
        <w:r w:rsidRPr="00797379">
          <w:rPr>
            <w:noProof/>
            <w:webHidden/>
          </w:rPr>
          <w:t>24</w:t>
        </w:r>
        <w:r w:rsidRPr="00797379">
          <w:rPr>
            <w:noProof/>
            <w:webHidden/>
          </w:rPr>
          <w:fldChar w:fldCharType="end"/>
        </w:r>
      </w:hyperlink>
    </w:p>
    <w:p w14:paraId="4AAC9068" w14:textId="6BC075C6" w:rsidR="007303EE" w:rsidRPr="00797379" w:rsidRDefault="007303EE" w:rsidP="007303EE">
      <w:pPr>
        <w:pStyle w:val="BodyText"/>
      </w:pPr>
      <w:r w:rsidRPr="00797379">
        <w:fldChar w:fldCharType="end"/>
      </w:r>
    </w:p>
    <w:p w14:paraId="592CB80D" w14:textId="77777777" w:rsidR="007303EE" w:rsidRPr="00797379" w:rsidRDefault="007303EE" w:rsidP="007303EE">
      <w:pPr>
        <w:pStyle w:val="BodyText"/>
        <w:sectPr w:rsidR="007303EE" w:rsidRPr="00797379" w:rsidSect="002F2426">
          <w:headerReference w:type="default" r:id="rId37"/>
          <w:footerReference w:type="default" r:id="rId38"/>
          <w:footnotePr>
            <w:numRestart w:val="eachSect"/>
          </w:footnotePr>
          <w:pgSz w:w="12240" w:h="15840"/>
          <w:pgMar w:top="1080" w:right="1440" w:bottom="1080" w:left="1440" w:header="720" w:footer="720" w:gutter="0"/>
          <w:pgNumType w:start="4"/>
          <w:cols w:space="720"/>
          <w:docGrid w:linePitch="360"/>
        </w:sectPr>
      </w:pPr>
    </w:p>
    <w:p w14:paraId="239DB57F" w14:textId="77777777" w:rsidR="007303EE" w:rsidRPr="00797379" w:rsidRDefault="007303EE" w:rsidP="00DB6F03">
      <w:pPr>
        <w:pStyle w:val="Heading2-SIOR"/>
        <w:outlineLvl w:val="2"/>
      </w:pPr>
      <w:bookmarkStart w:id="93" w:name="_Toc411329825"/>
      <w:bookmarkStart w:id="94" w:name="_Toc430114874"/>
      <w:bookmarkStart w:id="95" w:name="_Toc496109989"/>
      <w:bookmarkStart w:id="96" w:name="_Toc220931744"/>
      <w:r w:rsidRPr="00797379">
        <w:t>Introduction</w:t>
      </w:r>
      <w:bookmarkEnd w:id="93"/>
      <w:bookmarkEnd w:id="94"/>
      <w:bookmarkEnd w:id="95"/>
      <w:bookmarkEnd w:id="96"/>
    </w:p>
    <w:p w14:paraId="74489CC1" w14:textId="3A4A54A3" w:rsidR="007303EE" w:rsidRPr="00797379" w:rsidRDefault="007303EE" w:rsidP="00070874">
      <w:pPr>
        <w:pStyle w:val="BodyTextposthead"/>
      </w:pPr>
      <w:r w:rsidRPr="00797379">
        <w:t xml:space="preserve">The </w:t>
      </w:r>
      <w:r w:rsidRPr="00797379">
        <w:rPr>
          <w:i/>
        </w:rPr>
        <w:t xml:space="preserve">Districtwide Instructional Observation Report </w:t>
      </w:r>
      <w:r w:rsidRPr="00797379">
        <w:t>presents ratings for the classroom observations that were conducted by certified observers at American Institutes for Research (AIR) as part of the Massachusetts District Reviews.</w:t>
      </w:r>
    </w:p>
    <w:p w14:paraId="20B28D3A" w14:textId="5CF190BC" w:rsidR="007303EE" w:rsidRPr="00797379" w:rsidRDefault="007303EE" w:rsidP="00BA2A8C">
      <w:pPr>
        <w:pStyle w:val="BodyText"/>
      </w:pPr>
      <w:bookmarkStart w:id="97" w:name="N_Observers1"/>
      <w:r w:rsidRPr="00797379">
        <w:t>Three</w:t>
      </w:r>
      <w:bookmarkEnd w:id="97"/>
      <w:r w:rsidRPr="00797379">
        <w:t xml:space="preserve"> observers visited </w:t>
      </w:r>
      <w:bookmarkStart w:id="98" w:name="District2"/>
      <w:r w:rsidRPr="00797379">
        <w:t>Winchester</w:t>
      </w:r>
      <w:bookmarkEnd w:id="98"/>
      <w:r w:rsidRPr="00797379">
        <w:t xml:space="preserve"> Public Schools during the week of </w:t>
      </w:r>
      <w:bookmarkStart w:id="99" w:name="Obs_Dates1"/>
      <w:r w:rsidRPr="00797379">
        <w:t>December 9, 2025</w:t>
      </w:r>
      <w:bookmarkEnd w:id="99"/>
      <w:r w:rsidRPr="00797379">
        <w:t xml:space="preserve">. Observers conducted </w:t>
      </w:r>
      <w:bookmarkStart w:id="100" w:name="N_Observations1"/>
      <w:r w:rsidRPr="00797379">
        <w:t>74</w:t>
      </w:r>
      <w:bookmarkEnd w:id="100"/>
      <w:r w:rsidRPr="00797379">
        <w:t xml:space="preserve"> observations in a sample of classrooms across </w:t>
      </w:r>
      <w:bookmarkStart w:id="101" w:name="N_SchoolsObserved1"/>
      <w:r w:rsidRPr="00797379">
        <w:t>seven</w:t>
      </w:r>
      <w:bookmarkEnd w:id="101"/>
      <w:r w:rsidRPr="00797379">
        <w:t xml:space="preserve"> schools. Observations were conducted in grades PK-12 and focused primarily on literacy, English language arts, and mathematics instruction.</w:t>
      </w:r>
    </w:p>
    <w:p w14:paraId="7CE0C04F" w14:textId="77777777" w:rsidR="007303EE" w:rsidRPr="00797379" w:rsidRDefault="007303EE" w:rsidP="00BA2A8C">
      <w:pPr>
        <w:pStyle w:val="BodyText"/>
      </w:pPr>
      <w:r w:rsidRPr="00797379">
        <w:t>The classroom observations were guided by the Classroom Assessment Scoring System (CLASS), developed by the Center for Advanced Study of Teaching and Learning (CASTL) at the University of Virginia. Three levels of CLASS Manuals were used: PK–3, Upper Elementary, and Secondary. The PK–3 tool was used to observe grades PK–3, the Upper Elementary tool was used to observe grades 4–5, and the Secondary tool was used to observe grades 6–12.</w:t>
      </w:r>
    </w:p>
    <w:p w14:paraId="553E9986" w14:textId="77777777" w:rsidR="007303EE" w:rsidRPr="00797379" w:rsidRDefault="007303EE" w:rsidP="00BA2A8C">
      <w:pPr>
        <w:pStyle w:val="BodyText"/>
      </w:pPr>
      <w:r w:rsidRPr="00797379">
        <w:t>The PK–3 protocol includes 10 classroom dimensions related to three domains: Emotional Support, Classroom Organization, and Instructional Support (listed in Table 1).</w:t>
      </w:r>
    </w:p>
    <w:p w14:paraId="5D948936" w14:textId="77777777" w:rsidR="007303EE" w:rsidRPr="00797379" w:rsidRDefault="007303EE" w:rsidP="00BA2A8C">
      <w:pPr>
        <w:pStyle w:val="TableTitle0"/>
      </w:pPr>
      <w:bookmarkStart w:id="102" w:name="_Toc220932416"/>
      <w:r w:rsidRPr="00797379">
        <w:t>Table 1. CLASS PK–3 Domains and Dimensions</w:t>
      </w:r>
      <w:bookmarkEnd w:id="102"/>
    </w:p>
    <w:tbl>
      <w:tblPr>
        <w:tblStyle w:val="MSVTable1"/>
        <w:tblW w:w="5000" w:type="pct"/>
        <w:tblLook w:val="04A0" w:firstRow="1" w:lastRow="0" w:firstColumn="1" w:lastColumn="0" w:noHBand="0" w:noVBand="1"/>
      </w:tblPr>
      <w:tblGrid>
        <w:gridCol w:w="3113"/>
        <w:gridCol w:w="3115"/>
        <w:gridCol w:w="3116"/>
      </w:tblGrid>
      <w:tr w:rsidR="007303EE" w:rsidRPr="00797379" w14:paraId="6A5E2152" w14:textId="77777777" w:rsidTr="00AC5299">
        <w:trPr>
          <w:cnfStyle w:val="100000000000" w:firstRow="1" w:lastRow="0" w:firstColumn="0" w:lastColumn="0" w:oddVBand="0" w:evenVBand="0" w:oddHBand="0" w:evenHBand="0" w:firstRowFirstColumn="0" w:firstRowLastColumn="0" w:lastRowFirstColumn="0" w:lastRowLastColumn="0"/>
          <w:trHeight w:val="278"/>
          <w:tblHeader/>
        </w:trPr>
        <w:tc>
          <w:tcPr>
            <w:tcW w:w="3192" w:type="dxa"/>
          </w:tcPr>
          <w:p w14:paraId="2660CD29" w14:textId="77777777" w:rsidR="007303EE" w:rsidRPr="00797379" w:rsidRDefault="007303EE" w:rsidP="00AC5299">
            <w:pPr>
              <w:pStyle w:val="TableColHeadingCenter"/>
            </w:pPr>
            <w:r w:rsidRPr="00797379">
              <w:t>Emotional Support</w:t>
            </w:r>
          </w:p>
        </w:tc>
        <w:tc>
          <w:tcPr>
            <w:tcW w:w="3192" w:type="dxa"/>
          </w:tcPr>
          <w:p w14:paraId="6AAB70FD" w14:textId="77777777" w:rsidR="007303EE" w:rsidRPr="00797379" w:rsidRDefault="007303EE" w:rsidP="00AC5299">
            <w:pPr>
              <w:pStyle w:val="TableColHeadingCenter"/>
            </w:pPr>
            <w:r w:rsidRPr="00797379">
              <w:t>Classroom Organization</w:t>
            </w:r>
          </w:p>
        </w:tc>
        <w:tc>
          <w:tcPr>
            <w:tcW w:w="3192" w:type="dxa"/>
          </w:tcPr>
          <w:p w14:paraId="4E1A849C" w14:textId="77777777" w:rsidR="007303EE" w:rsidRPr="00797379" w:rsidRDefault="007303EE" w:rsidP="00AC5299">
            <w:pPr>
              <w:pStyle w:val="TableColHeadingCenter"/>
            </w:pPr>
            <w:r w:rsidRPr="00797379">
              <w:t>Instructional Support</w:t>
            </w:r>
          </w:p>
        </w:tc>
      </w:tr>
      <w:tr w:rsidR="007303EE" w:rsidRPr="00797379" w14:paraId="2A652D86" w14:textId="77777777" w:rsidTr="00BA2A8C">
        <w:trPr>
          <w:cnfStyle w:val="000000100000" w:firstRow="0" w:lastRow="0" w:firstColumn="0" w:lastColumn="0" w:oddVBand="0" w:evenVBand="0" w:oddHBand="1" w:evenHBand="0" w:firstRowFirstColumn="0" w:firstRowLastColumn="0" w:lastRowFirstColumn="0" w:lastRowLastColumn="0"/>
        </w:trPr>
        <w:tc>
          <w:tcPr>
            <w:tcW w:w="3192" w:type="dxa"/>
          </w:tcPr>
          <w:p w14:paraId="38314006" w14:textId="77777777" w:rsidR="007303EE" w:rsidRPr="00797379" w:rsidRDefault="007303EE" w:rsidP="00AC5299">
            <w:pPr>
              <w:pStyle w:val="TableBullet1"/>
            </w:pPr>
            <w:r w:rsidRPr="00797379">
              <w:t>Positive Climate</w:t>
            </w:r>
          </w:p>
          <w:p w14:paraId="5471FBF9" w14:textId="77777777" w:rsidR="007303EE" w:rsidRPr="00797379" w:rsidRDefault="007303EE" w:rsidP="00AC5299">
            <w:pPr>
              <w:pStyle w:val="TableBullet1"/>
            </w:pPr>
            <w:r w:rsidRPr="00797379">
              <w:t>Negative Climate</w:t>
            </w:r>
          </w:p>
          <w:p w14:paraId="33DC5879" w14:textId="77777777" w:rsidR="007303EE" w:rsidRPr="00797379" w:rsidRDefault="007303EE" w:rsidP="00AC5299">
            <w:pPr>
              <w:pStyle w:val="TableBullet1"/>
            </w:pPr>
            <w:r w:rsidRPr="00797379">
              <w:t>Teacher Sensitivity</w:t>
            </w:r>
          </w:p>
          <w:p w14:paraId="273AEBB5" w14:textId="77777777" w:rsidR="007303EE" w:rsidRPr="00797379" w:rsidRDefault="007303EE" w:rsidP="00AC5299">
            <w:pPr>
              <w:pStyle w:val="TableBullet1"/>
            </w:pPr>
            <w:r w:rsidRPr="00797379">
              <w:t>Regard for Student Perspectives</w:t>
            </w:r>
          </w:p>
        </w:tc>
        <w:tc>
          <w:tcPr>
            <w:tcW w:w="3192" w:type="dxa"/>
          </w:tcPr>
          <w:p w14:paraId="1A7138C0" w14:textId="77777777" w:rsidR="007303EE" w:rsidRPr="00797379" w:rsidRDefault="007303EE" w:rsidP="00AC5299">
            <w:pPr>
              <w:pStyle w:val="TableBullet1"/>
            </w:pPr>
            <w:r w:rsidRPr="00797379">
              <w:t>Behavior Management</w:t>
            </w:r>
          </w:p>
          <w:p w14:paraId="049AE7DC" w14:textId="77777777" w:rsidR="007303EE" w:rsidRPr="00797379" w:rsidRDefault="007303EE" w:rsidP="00AC5299">
            <w:pPr>
              <w:pStyle w:val="TableBullet1"/>
            </w:pPr>
            <w:r w:rsidRPr="00797379">
              <w:t>Productivity</w:t>
            </w:r>
          </w:p>
          <w:p w14:paraId="45BD88B0" w14:textId="77777777" w:rsidR="007303EE" w:rsidRPr="00797379" w:rsidRDefault="007303EE" w:rsidP="00AC5299">
            <w:pPr>
              <w:pStyle w:val="TableBullet1"/>
            </w:pPr>
            <w:r w:rsidRPr="00797379">
              <w:t>Instructional Learning Formats</w:t>
            </w:r>
          </w:p>
        </w:tc>
        <w:tc>
          <w:tcPr>
            <w:tcW w:w="3192" w:type="dxa"/>
          </w:tcPr>
          <w:p w14:paraId="13319065" w14:textId="77777777" w:rsidR="007303EE" w:rsidRPr="00797379" w:rsidRDefault="007303EE" w:rsidP="00AC5299">
            <w:pPr>
              <w:pStyle w:val="TableBullet1"/>
            </w:pPr>
            <w:r w:rsidRPr="00797379">
              <w:t>Concept Development</w:t>
            </w:r>
          </w:p>
          <w:p w14:paraId="6F7D3EF7" w14:textId="77777777" w:rsidR="007303EE" w:rsidRPr="00797379" w:rsidRDefault="007303EE" w:rsidP="00AC5299">
            <w:pPr>
              <w:pStyle w:val="TableBullet1"/>
            </w:pPr>
            <w:r w:rsidRPr="00797379">
              <w:t>Quality of Feedback</w:t>
            </w:r>
          </w:p>
          <w:p w14:paraId="32E5867D" w14:textId="77777777" w:rsidR="007303EE" w:rsidRPr="00797379" w:rsidRDefault="007303EE" w:rsidP="00AC5299">
            <w:pPr>
              <w:pStyle w:val="TableBullet1"/>
            </w:pPr>
            <w:r w:rsidRPr="00797379">
              <w:t>Language Modeling</w:t>
            </w:r>
          </w:p>
        </w:tc>
      </w:tr>
    </w:tbl>
    <w:p w14:paraId="0690256E" w14:textId="39A07D3E" w:rsidR="007303EE" w:rsidRPr="00797379" w:rsidRDefault="007303EE" w:rsidP="00BA2A8C">
      <w:pPr>
        <w:pStyle w:val="BodyText"/>
      </w:pPr>
      <w:r w:rsidRPr="00797379">
        <w:t>The Upper Elementary and Secondary protocols include 11 classroom dimensions related to three domains: Emotional Support, Classroom Organization, and Instructional Support (listed in Table 2), in addition to Student Engagement.</w:t>
      </w:r>
    </w:p>
    <w:p w14:paraId="62F8A5D4" w14:textId="77777777" w:rsidR="007303EE" w:rsidRPr="00797379" w:rsidRDefault="007303EE" w:rsidP="00AC5299">
      <w:pPr>
        <w:pStyle w:val="TableTitle0"/>
      </w:pPr>
      <w:bookmarkStart w:id="103" w:name="_Toc220932417"/>
      <w:r w:rsidRPr="00797379">
        <w:t>Table 2. CLASS Upper Elementary and Secondary Domains and Dimensions</w:t>
      </w:r>
      <w:bookmarkEnd w:id="103"/>
    </w:p>
    <w:tbl>
      <w:tblPr>
        <w:tblStyle w:val="MSVTable1"/>
        <w:tblW w:w="5000" w:type="pct"/>
        <w:jc w:val="center"/>
        <w:tblLook w:val="04A0" w:firstRow="1" w:lastRow="0" w:firstColumn="1" w:lastColumn="0" w:noHBand="0" w:noVBand="1"/>
      </w:tblPr>
      <w:tblGrid>
        <w:gridCol w:w="3112"/>
        <w:gridCol w:w="3114"/>
        <w:gridCol w:w="3118"/>
      </w:tblGrid>
      <w:tr w:rsidR="00550718" w:rsidRPr="00E359BF" w14:paraId="343D1B6E" w14:textId="77777777">
        <w:trPr>
          <w:cnfStyle w:val="100000000000" w:firstRow="1" w:lastRow="0" w:firstColumn="0" w:lastColumn="0" w:oddVBand="0" w:evenVBand="0" w:oddHBand="0" w:evenHBand="0" w:firstRowFirstColumn="0" w:firstRowLastColumn="0" w:lastRowFirstColumn="0" w:lastRowLastColumn="0"/>
          <w:jc w:val="center"/>
        </w:trPr>
        <w:tc>
          <w:tcPr>
            <w:tcW w:w="3111" w:type="dxa"/>
          </w:tcPr>
          <w:p w14:paraId="4BBB898E" w14:textId="77777777" w:rsidR="00550718" w:rsidRPr="00E359BF" w:rsidRDefault="00550718">
            <w:pPr>
              <w:pStyle w:val="TableColHeadingCenter"/>
              <w:rPr>
                <w:rFonts w:eastAsia="MS Mincho"/>
              </w:rPr>
            </w:pPr>
            <w:bookmarkStart w:id="104" w:name="_Toc411329826"/>
            <w:bookmarkStart w:id="105" w:name="_Toc430114875"/>
            <w:bookmarkStart w:id="106" w:name="_Toc496109990"/>
            <w:r w:rsidRPr="00E359BF">
              <w:rPr>
                <w:rFonts w:eastAsia="MS Mincho"/>
              </w:rPr>
              <w:t>Emotional Support</w:t>
            </w:r>
          </w:p>
        </w:tc>
        <w:tc>
          <w:tcPr>
            <w:tcW w:w="3114" w:type="dxa"/>
          </w:tcPr>
          <w:p w14:paraId="7498FB1A" w14:textId="77777777" w:rsidR="00550718" w:rsidRPr="00E359BF" w:rsidRDefault="00550718">
            <w:pPr>
              <w:pStyle w:val="TableColHeadingCenter"/>
              <w:rPr>
                <w:rFonts w:eastAsia="MS Mincho"/>
              </w:rPr>
            </w:pPr>
            <w:r w:rsidRPr="00E359BF">
              <w:rPr>
                <w:rFonts w:eastAsia="MS Mincho"/>
              </w:rPr>
              <w:t>Classroom Organization</w:t>
            </w:r>
          </w:p>
        </w:tc>
        <w:tc>
          <w:tcPr>
            <w:tcW w:w="3119" w:type="dxa"/>
          </w:tcPr>
          <w:p w14:paraId="2BE61194" w14:textId="77777777" w:rsidR="00550718" w:rsidRPr="00E359BF" w:rsidRDefault="00550718">
            <w:pPr>
              <w:pStyle w:val="TableColHeadingCenter"/>
              <w:rPr>
                <w:rFonts w:eastAsia="MS Mincho"/>
              </w:rPr>
            </w:pPr>
            <w:r w:rsidRPr="00E359BF">
              <w:rPr>
                <w:rFonts w:eastAsia="MS Mincho"/>
              </w:rPr>
              <w:t>Instructional Support</w:t>
            </w:r>
          </w:p>
        </w:tc>
      </w:tr>
      <w:tr w:rsidR="00550718" w:rsidRPr="00E359BF" w14:paraId="5C32443E" w14:textId="77777777" w:rsidTr="00550718">
        <w:trPr>
          <w:cnfStyle w:val="000000100000" w:firstRow="0" w:lastRow="0" w:firstColumn="0" w:lastColumn="0" w:oddVBand="0" w:evenVBand="0" w:oddHBand="1" w:evenHBand="0" w:firstRowFirstColumn="0" w:firstRowLastColumn="0" w:lastRowFirstColumn="0" w:lastRowLastColumn="0"/>
          <w:jc w:val="center"/>
        </w:trPr>
        <w:tc>
          <w:tcPr>
            <w:tcW w:w="3111" w:type="dxa"/>
            <w:shd w:val="clear" w:color="auto" w:fill="auto"/>
          </w:tcPr>
          <w:p w14:paraId="27521B70" w14:textId="77777777" w:rsidR="00550718" w:rsidRPr="00E359BF" w:rsidRDefault="00550718" w:rsidP="00E26C47">
            <w:pPr>
              <w:pStyle w:val="TableBullet1"/>
              <w:numPr>
                <w:ilvl w:val="0"/>
                <w:numId w:val="9"/>
              </w:numPr>
              <w:ind w:left="288" w:hanging="288"/>
            </w:pPr>
            <w:r w:rsidRPr="00E359BF">
              <w:t>Positive Climate</w:t>
            </w:r>
          </w:p>
          <w:p w14:paraId="13F34E50" w14:textId="77777777" w:rsidR="00550718" w:rsidRPr="00E359BF" w:rsidRDefault="00550718" w:rsidP="00E26C47">
            <w:pPr>
              <w:pStyle w:val="TableBullet1"/>
              <w:numPr>
                <w:ilvl w:val="0"/>
                <w:numId w:val="9"/>
              </w:numPr>
              <w:ind w:left="288" w:hanging="288"/>
            </w:pPr>
            <w:r w:rsidRPr="00E359BF">
              <w:t>Teacher Sensitivity</w:t>
            </w:r>
          </w:p>
          <w:p w14:paraId="7810167F" w14:textId="77777777" w:rsidR="00550718" w:rsidRPr="00E359BF" w:rsidRDefault="00550718" w:rsidP="00E26C47">
            <w:pPr>
              <w:pStyle w:val="TableBullet1"/>
              <w:numPr>
                <w:ilvl w:val="0"/>
                <w:numId w:val="9"/>
              </w:numPr>
              <w:ind w:left="288" w:hanging="288"/>
            </w:pPr>
            <w:r w:rsidRPr="00E359BF">
              <w:t>Regard for Student Perspectives</w:t>
            </w:r>
          </w:p>
        </w:tc>
        <w:tc>
          <w:tcPr>
            <w:tcW w:w="3114" w:type="dxa"/>
            <w:tcBorders>
              <w:bottom w:val="single" w:sz="6" w:space="0" w:color="2F5496" w:themeColor="accent5" w:themeShade="BF"/>
            </w:tcBorders>
            <w:shd w:val="clear" w:color="auto" w:fill="auto"/>
          </w:tcPr>
          <w:p w14:paraId="1C3BF243" w14:textId="77777777" w:rsidR="00550718" w:rsidRPr="00E359BF" w:rsidRDefault="00550718" w:rsidP="00E26C47">
            <w:pPr>
              <w:pStyle w:val="TableBullet1"/>
              <w:numPr>
                <w:ilvl w:val="0"/>
                <w:numId w:val="9"/>
              </w:numPr>
              <w:ind w:left="288" w:hanging="288"/>
              <w:rPr>
                <w:b/>
                <w:bCs/>
                <w:szCs w:val="20"/>
              </w:rPr>
            </w:pPr>
            <w:r w:rsidRPr="00E359BF">
              <w:t>Behavior Management</w:t>
            </w:r>
          </w:p>
          <w:p w14:paraId="42C9AC03" w14:textId="77777777" w:rsidR="00550718" w:rsidRPr="00E359BF" w:rsidRDefault="00550718" w:rsidP="00E26C47">
            <w:pPr>
              <w:pStyle w:val="TableBullet1"/>
              <w:numPr>
                <w:ilvl w:val="0"/>
                <w:numId w:val="9"/>
              </w:numPr>
              <w:ind w:left="288" w:hanging="288"/>
              <w:rPr>
                <w:b/>
                <w:bCs/>
                <w:szCs w:val="20"/>
              </w:rPr>
            </w:pPr>
            <w:r w:rsidRPr="00E359BF">
              <w:t>Productivity</w:t>
            </w:r>
          </w:p>
          <w:p w14:paraId="4DD8C75B" w14:textId="77777777" w:rsidR="00550718" w:rsidRPr="00E359BF" w:rsidRDefault="00550718" w:rsidP="00E26C47">
            <w:pPr>
              <w:pStyle w:val="TableBullet1"/>
              <w:numPr>
                <w:ilvl w:val="0"/>
                <w:numId w:val="9"/>
              </w:numPr>
              <w:ind w:left="288" w:hanging="288"/>
            </w:pPr>
            <w:r w:rsidRPr="00E359BF">
              <w:t>Negative Climate</w:t>
            </w:r>
          </w:p>
        </w:tc>
        <w:tc>
          <w:tcPr>
            <w:tcW w:w="3119" w:type="dxa"/>
            <w:shd w:val="clear" w:color="auto" w:fill="auto"/>
          </w:tcPr>
          <w:p w14:paraId="1064C6DA" w14:textId="77777777" w:rsidR="00550718" w:rsidRPr="00E359BF" w:rsidRDefault="00550718" w:rsidP="00E26C47">
            <w:pPr>
              <w:pStyle w:val="TableBullet1"/>
              <w:numPr>
                <w:ilvl w:val="0"/>
                <w:numId w:val="9"/>
              </w:numPr>
              <w:ind w:left="288" w:hanging="288"/>
              <w:rPr>
                <w:b/>
                <w:bCs/>
                <w:szCs w:val="20"/>
              </w:rPr>
            </w:pPr>
            <w:r w:rsidRPr="00E359BF">
              <w:t xml:space="preserve">Instructional Learning Formats </w:t>
            </w:r>
          </w:p>
          <w:p w14:paraId="052D560A" w14:textId="77777777" w:rsidR="00550718" w:rsidRPr="00E359BF" w:rsidRDefault="00550718" w:rsidP="00E26C47">
            <w:pPr>
              <w:pStyle w:val="TableBullet1"/>
              <w:numPr>
                <w:ilvl w:val="0"/>
                <w:numId w:val="9"/>
              </w:numPr>
              <w:ind w:left="288" w:hanging="288"/>
              <w:rPr>
                <w:b/>
                <w:bCs/>
                <w:szCs w:val="20"/>
              </w:rPr>
            </w:pPr>
            <w:r w:rsidRPr="00E359BF">
              <w:t>Content Understanding</w:t>
            </w:r>
          </w:p>
          <w:p w14:paraId="374A83FE" w14:textId="77777777" w:rsidR="00550718" w:rsidRPr="00E359BF" w:rsidRDefault="00550718" w:rsidP="00E26C47">
            <w:pPr>
              <w:pStyle w:val="TableBullet1"/>
              <w:numPr>
                <w:ilvl w:val="0"/>
                <w:numId w:val="9"/>
              </w:numPr>
              <w:ind w:left="288" w:hanging="288"/>
              <w:rPr>
                <w:b/>
                <w:bCs/>
                <w:szCs w:val="20"/>
              </w:rPr>
            </w:pPr>
            <w:r w:rsidRPr="00E359BF">
              <w:t>Analysis and Inquiry</w:t>
            </w:r>
          </w:p>
          <w:p w14:paraId="40B67041" w14:textId="77777777" w:rsidR="00550718" w:rsidRPr="00E359BF" w:rsidRDefault="00550718" w:rsidP="00E26C47">
            <w:pPr>
              <w:pStyle w:val="TableBullet1"/>
              <w:numPr>
                <w:ilvl w:val="0"/>
                <w:numId w:val="9"/>
              </w:numPr>
              <w:ind w:left="288" w:hanging="288"/>
              <w:rPr>
                <w:b/>
                <w:bCs/>
                <w:szCs w:val="20"/>
              </w:rPr>
            </w:pPr>
            <w:r w:rsidRPr="00E359BF">
              <w:t>Quality of Feedback</w:t>
            </w:r>
          </w:p>
          <w:p w14:paraId="31FD444E" w14:textId="77777777" w:rsidR="00550718" w:rsidRPr="00E359BF" w:rsidRDefault="00550718" w:rsidP="00E26C47">
            <w:pPr>
              <w:pStyle w:val="TableBullet1"/>
              <w:numPr>
                <w:ilvl w:val="0"/>
                <w:numId w:val="9"/>
              </w:numPr>
              <w:ind w:left="288" w:hanging="288"/>
              <w:rPr>
                <w:b/>
                <w:bCs/>
                <w:szCs w:val="20"/>
              </w:rPr>
            </w:pPr>
            <w:r w:rsidRPr="00E359BF">
              <w:t>Instructional Dialogue</w:t>
            </w:r>
          </w:p>
        </w:tc>
      </w:tr>
      <w:tr w:rsidR="00550718" w:rsidRPr="00E359BF" w14:paraId="49615166" w14:textId="77777777">
        <w:trPr>
          <w:jc w:val="center"/>
        </w:trPr>
        <w:tc>
          <w:tcPr>
            <w:tcW w:w="3114" w:type="dxa"/>
            <w:tcBorders>
              <w:right w:val="nil"/>
            </w:tcBorders>
            <w:shd w:val="clear" w:color="auto" w:fill="D9E2F3" w:themeFill="accent5" w:themeFillTint="33"/>
          </w:tcPr>
          <w:p w14:paraId="0F70EB8C" w14:textId="42D5DA5E" w:rsidR="00550718" w:rsidRPr="00E359BF" w:rsidRDefault="000B59D7">
            <w:pPr>
              <w:pStyle w:val="TableSubheadingCentered"/>
            </w:pPr>
            <w:r>
              <w:rPr>
                <w:rFonts w:ascii="Franklin Gothic Book" w:hAnsi="Franklin Gothic Book"/>
              </w:rPr>
              <w:t>N/A</w:t>
            </w:r>
          </w:p>
        </w:tc>
        <w:tc>
          <w:tcPr>
            <w:tcW w:w="3115" w:type="dxa"/>
            <w:tcBorders>
              <w:top w:val="single" w:sz="6" w:space="0" w:color="2F5496" w:themeColor="accent5" w:themeShade="BF"/>
              <w:left w:val="nil"/>
              <w:bottom w:val="single" w:sz="6" w:space="0" w:color="2F5496" w:themeColor="accent5" w:themeShade="BF"/>
              <w:right w:val="nil"/>
            </w:tcBorders>
            <w:shd w:val="clear" w:color="auto" w:fill="D9E2F3" w:themeFill="accent5" w:themeFillTint="33"/>
          </w:tcPr>
          <w:p w14:paraId="7A091859" w14:textId="77777777" w:rsidR="00550718" w:rsidRPr="00E359BF" w:rsidRDefault="00550718">
            <w:pPr>
              <w:pStyle w:val="TableSubheadingCentered"/>
            </w:pPr>
            <w:r w:rsidRPr="00E359BF">
              <w:t>Student Engagement</w:t>
            </w:r>
          </w:p>
        </w:tc>
        <w:tc>
          <w:tcPr>
            <w:tcW w:w="3115" w:type="dxa"/>
            <w:tcBorders>
              <w:left w:val="nil"/>
            </w:tcBorders>
            <w:shd w:val="clear" w:color="auto" w:fill="D9E2F3" w:themeFill="accent5" w:themeFillTint="33"/>
          </w:tcPr>
          <w:p w14:paraId="49F7FAE7" w14:textId="055DFF54" w:rsidR="00550718" w:rsidRPr="00E359BF" w:rsidRDefault="000B59D7">
            <w:pPr>
              <w:pStyle w:val="TableSubheadingCentered"/>
            </w:pPr>
            <w:r>
              <w:rPr>
                <w:rFonts w:ascii="Franklin Gothic Book" w:hAnsi="Franklin Gothic Book"/>
              </w:rPr>
              <w:t>N/A</w:t>
            </w:r>
          </w:p>
        </w:tc>
      </w:tr>
    </w:tbl>
    <w:p w14:paraId="6461D6A3" w14:textId="23A440AB" w:rsidR="007303EE" w:rsidRPr="00797379" w:rsidRDefault="007303EE" w:rsidP="00AC5299">
      <w:pPr>
        <w:pStyle w:val="BodyText"/>
        <w:keepNext/>
        <w:keepLines/>
      </w:pPr>
      <w:r w:rsidRPr="00797379">
        <w:t>When conducting a visit to a classroom, the observer rates each dimension (including Student Engagement) on a scale of 1 to 7. A rating of 1 or 2 indicates that the dimension was never or rarely evident during the visit. For example, a rating of 1 or 2 on Teacher Sensitivity indicates that, at the time of the visit, the teacher was not aware of students who needed extra support or attention, was unresponsive to or dismissive of students, or was ineffective at addressing students’ problems; as a result, students rarely sought support from the teacher or communicated openly with the teacher. A rating of 3, 4, or 5 indicates that the dimension was evident but not exhibited consistently or in a way that included all students. A rating of 6 or 7 indicates that the dimension was reflected in all or most classroom activities and in a way that included all or most students.</w:t>
      </w:r>
    </w:p>
    <w:p w14:paraId="1874086E" w14:textId="77777777" w:rsidR="007303EE" w:rsidRPr="00797379" w:rsidRDefault="007303EE" w:rsidP="00AC5299">
      <w:pPr>
        <w:pStyle w:val="BodyText"/>
      </w:pPr>
      <w:r w:rsidRPr="00797379">
        <w:t>Members of the observation team who visited the classrooms all received training on the CLASS protocol and then passed a rigorous certification exam for each CLASS protocol to ensure that they were able to accurately rate the dimensions. All observers must pass an exam annually to maintain their certification.</w:t>
      </w:r>
    </w:p>
    <w:p w14:paraId="367415F0" w14:textId="2B6382F8" w:rsidR="007303EE" w:rsidRPr="00797379" w:rsidRDefault="007303EE" w:rsidP="00AC5299">
      <w:pPr>
        <w:pStyle w:val="BodyText"/>
      </w:pPr>
      <w:r w:rsidRPr="00797379">
        <w:t>Research on CLASS protocol shows that students in classrooms that rated high using this observation tool have greater gains in social skills and academic success than students in classrooms with lower ratings (MET Project, 2010; CASTL, n.d.). Furthermore, small improvements on these domains can affect student outcomes: “The ability to demonstrate even small changes in effective interactions has practical implications—differences in just over 1 point on the CLASS 7-point scale translate into improved achievement and social skill development for students” (CASTL, n.d., p. 3).</w:t>
      </w:r>
    </w:p>
    <w:p w14:paraId="1E7A77F3" w14:textId="76209A81" w:rsidR="007303EE" w:rsidRPr="00797379" w:rsidRDefault="007303EE" w:rsidP="00AC5299">
      <w:pPr>
        <w:pStyle w:val="BodyText"/>
      </w:pPr>
      <w:r w:rsidRPr="00797379">
        <w:t>In this report, each CLASS dimension is defined, and descriptions of the dimensions at the high (6</w:t>
      </w:r>
      <w:r w:rsidR="0061537C" w:rsidRPr="00797379">
        <w:t> </w:t>
      </w:r>
      <w:r w:rsidRPr="00797379">
        <w:t>or</w:t>
      </w:r>
      <w:r w:rsidR="0061537C" w:rsidRPr="00797379">
        <w:t> </w:t>
      </w:r>
      <w:r w:rsidRPr="00797379">
        <w:t xml:space="preserve">7), middle (3, 4, or 5), and low levels (1 or 2) are presented </w:t>
      </w:r>
      <w:r w:rsidRPr="00797379">
        <w:rPr>
          <w:i/>
        </w:rPr>
        <w:t>(definitions and rating descriptions are derived from the CLASS PK–3</w:t>
      </w:r>
      <w:r w:rsidRPr="00797379">
        <w:t>,</w:t>
      </w:r>
      <w:r w:rsidRPr="00797379">
        <w:rPr>
          <w:i/>
        </w:rPr>
        <w:t xml:space="preserve"> Upper Elementary, and Secondary Manuals).</w:t>
      </w:r>
      <w:r w:rsidRPr="00797379">
        <w:t xml:space="preserve"> For each dimension we indicate the frequency of classroom observations across the ratings and provide a districtwide average of the observed classrooms. In cases where a dimension is included in more than one CLASS manual level, those results are combined on the dimension-specific pages. In the summary of ratings table following the dimension-specific pages the averages for every dimension are presented by grade band (PK-5, 6-8, and 9-12). For each dimension, we indicate the grade levels for which this dimension is included.</w:t>
      </w:r>
    </w:p>
    <w:p w14:paraId="5B585DFF" w14:textId="77777777" w:rsidR="007303EE" w:rsidRPr="00797379" w:rsidRDefault="007303EE" w:rsidP="00DB6F03">
      <w:pPr>
        <w:pStyle w:val="Heading2-SIOR"/>
        <w:outlineLvl w:val="2"/>
      </w:pPr>
      <w:bookmarkStart w:id="107" w:name="_Toc220931745"/>
      <w:bookmarkStart w:id="108" w:name="_Hlk92190807"/>
      <w:r w:rsidRPr="00797379">
        <w:t>Positive Climate</w:t>
      </w:r>
      <w:bookmarkEnd w:id="104"/>
      <w:bookmarkEnd w:id="105"/>
      <w:bookmarkEnd w:id="106"/>
      <w:bookmarkEnd w:id="107"/>
    </w:p>
    <w:p w14:paraId="681AECBB" w14:textId="77777777" w:rsidR="007303EE" w:rsidRPr="00797379" w:rsidRDefault="007303EE" w:rsidP="00371E56">
      <w:pPr>
        <w:pStyle w:val="BodyTextDomain"/>
      </w:pPr>
      <w:r w:rsidRPr="00797379">
        <w:t>Emotional Support domain, Grades PK−12</w:t>
      </w:r>
    </w:p>
    <w:p w14:paraId="6BF8ADC1" w14:textId="77777777" w:rsidR="007303EE" w:rsidRPr="00797379" w:rsidRDefault="007303EE" w:rsidP="00371E56">
      <w:pPr>
        <w:pStyle w:val="BodyTextposthead"/>
      </w:pPr>
      <w:r w:rsidRPr="00797379">
        <w:t>Positive Climate reflects the emotional connection between the teacher and students and among students and the warmth, respect, and enjoyment communicated by verbal and nonverbal interactions (</w:t>
      </w:r>
      <w:r w:rsidRPr="00797379">
        <w:rPr>
          <w:i/>
        </w:rPr>
        <w:t>CLASS PK–3 Manual</w:t>
      </w:r>
      <w:r w:rsidRPr="00797379">
        <w:t xml:space="preserve">, p. 23, </w:t>
      </w:r>
      <w:r w:rsidRPr="00797379">
        <w:rPr>
          <w:i/>
        </w:rPr>
        <w:t xml:space="preserve">CLASS Upper Elementary Manual, </w:t>
      </w:r>
      <w:r w:rsidRPr="00797379">
        <w:t xml:space="preserve">p. 21, </w:t>
      </w:r>
      <w:r w:rsidRPr="00797379">
        <w:rPr>
          <w:i/>
        </w:rPr>
        <w:t>CLASS Secondary Manual</w:t>
      </w:r>
      <w:r w:rsidRPr="00797379">
        <w:t>, p. 21). Table 3 (as well as tables for the remaining dimensions) includes the number of classrooms for each rating on each dimension and the district average for that dimension.</w:t>
      </w:r>
    </w:p>
    <w:p w14:paraId="3E2EAD90" w14:textId="77777777" w:rsidR="007303EE" w:rsidRPr="00797379" w:rsidRDefault="007303EE" w:rsidP="00371E56">
      <w:pPr>
        <w:pStyle w:val="TableTitle0"/>
      </w:pPr>
      <w:bookmarkStart w:id="109" w:name="_Toc220932418"/>
      <w:r w:rsidRPr="00797379">
        <w:t>Table 3. Positive Climate: Number of Classrooms for Each Rating and District Average</w:t>
      </w:r>
      <w:bookmarkEnd w:id="109"/>
    </w:p>
    <w:p w14:paraId="1FC54F3F" w14:textId="77777777" w:rsidR="007303EE" w:rsidRPr="00797379" w:rsidRDefault="007303EE" w:rsidP="00371E56">
      <w:pPr>
        <w:pStyle w:val="BodyTextDemi"/>
      </w:pPr>
      <w:r w:rsidRPr="00797379">
        <w:t xml:space="preserve">Positive Climate District Average*: </w:t>
      </w:r>
      <w:bookmarkStart w:id="110" w:name="Dist_PC_Avg"/>
      <w:r w:rsidRPr="00797379">
        <w:t>5.0</w:t>
      </w:r>
      <w:bookmarkEnd w:id="110"/>
    </w:p>
    <w:tbl>
      <w:tblPr>
        <w:tblStyle w:val="MSVTable1"/>
        <w:tblW w:w="5000" w:type="pct"/>
        <w:jc w:val="center"/>
        <w:tblLook w:val="04A0" w:firstRow="1" w:lastRow="0" w:firstColumn="1" w:lastColumn="0" w:noHBand="0" w:noVBand="1"/>
      </w:tblPr>
      <w:tblGrid>
        <w:gridCol w:w="1431"/>
        <w:gridCol w:w="874"/>
        <w:gridCol w:w="874"/>
        <w:gridCol w:w="874"/>
        <w:gridCol w:w="875"/>
        <w:gridCol w:w="875"/>
        <w:gridCol w:w="874"/>
        <w:gridCol w:w="875"/>
        <w:gridCol w:w="900"/>
        <w:gridCol w:w="892"/>
      </w:tblGrid>
      <w:tr w:rsidR="0011613F" w:rsidRPr="00E359BF" w14:paraId="642978B9" w14:textId="77777777" w:rsidTr="00FB1C07">
        <w:trPr>
          <w:cnfStyle w:val="100000000000" w:firstRow="1" w:lastRow="0" w:firstColumn="0" w:lastColumn="0" w:oddVBand="0" w:evenVBand="0" w:oddHBand="0" w:evenHBand="0" w:firstRowFirstColumn="0" w:firstRowLastColumn="0" w:lastRowFirstColumn="0" w:lastRowLastColumn="0"/>
          <w:jc w:val="center"/>
        </w:trPr>
        <w:tc>
          <w:tcPr>
            <w:tcW w:w="1431" w:type="dxa"/>
            <w:vAlign w:val="center"/>
          </w:tcPr>
          <w:p w14:paraId="6C28AFA1" w14:textId="77777777" w:rsidR="0011613F" w:rsidRPr="00E359BF" w:rsidRDefault="0011613F" w:rsidP="00FB1C07">
            <w:pPr>
              <w:pStyle w:val="TableColHeadingCenter"/>
              <w:rPr>
                <w:rFonts w:eastAsia="MS Mincho"/>
              </w:rPr>
            </w:pPr>
            <w:bookmarkStart w:id="111" w:name="Tbl_PC"/>
            <w:r>
              <w:rPr>
                <w:rFonts w:eastAsia="MS Mincho"/>
              </w:rPr>
              <w:t>Grade Band</w:t>
            </w:r>
          </w:p>
        </w:tc>
        <w:tc>
          <w:tcPr>
            <w:tcW w:w="874" w:type="dxa"/>
            <w:vAlign w:val="center"/>
          </w:tcPr>
          <w:p w14:paraId="6FE69AE3" w14:textId="77777777" w:rsidR="0011613F" w:rsidRPr="00E359BF" w:rsidRDefault="0011613F" w:rsidP="00FB1C07">
            <w:pPr>
              <w:pStyle w:val="TableColHeadingCenter"/>
              <w:rPr>
                <w:rFonts w:eastAsia="MS Mincho"/>
              </w:rPr>
            </w:pPr>
            <w:r w:rsidRPr="00E359BF">
              <w:rPr>
                <w:rFonts w:eastAsia="MS Mincho"/>
              </w:rPr>
              <w:t>Low Range</w:t>
            </w:r>
            <w:r>
              <w:rPr>
                <w:rFonts w:eastAsia="MS Mincho"/>
              </w:rPr>
              <w:t xml:space="preserve"> (1)</w:t>
            </w:r>
          </w:p>
        </w:tc>
        <w:tc>
          <w:tcPr>
            <w:tcW w:w="874" w:type="dxa"/>
            <w:vAlign w:val="center"/>
          </w:tcPr>
          <w:p w14:paraId="7CD0E9C7" w14:textId="77777777" w:rsidR="0011613F" w:rsidRPr="00E359BF" w:rsidRDefault="0011613F" w:rsidP="00FB1C07">
            <w:pPr>
              <w:pStyle w:val="TableColHeadingCenter"/>
              <w:rPr>
                <w:rFonts w:eastAsia="MS Mincho"/>
              </w:rPr>
            </w:pPr>
            <w:r w:rsidRPr="00E359BF">
              <w:rPr>
                <w:rFonts w:eastAsia="MS Mincho"/>
              </w:rPr>
              <w:t>Low Range</w:t>
            </w:r>
            <w:r>
              <w:rPr>
                <w:rFonts w:eastAsia="MS Mincho"/>
              </w:rPr>
              <w:t xml:space="preserve"> (2)</w:t>
            </w:r>
          </w:p>
        </w:tc>
        <w:tc>
          <w:tcPr>
            <w:tcW w:w="874" w:type="dxa"/>
            <w:vAlign w:val="center"/>
          </w:tcPr>
          <w:p w14:paraId="75A5661C" w14:textId="77777777" w:rsidR="0011613F" w:rsidRPr="00E359BF" w:rsidRDefault="0011613F" w:rsidP="00FB1C07">
            <w:pPr>
              <w:pStyle w:val="TableColHeadingCenter"/>
              <w:rPr>
                <w:rFonts w:eastAsia="MS Mincho"/>
              </w:rPr>
            </w:pPr>
            <w:r w:rsidRPr="00E359BF">
              <w:rPr>
                <w:rFonts w:eastAsia="MS Mincho"/>
              </w:rPr>
              <w:t>Middle Range</w:t>
            </w:r>
            <w:r>
              <w:rPr>
                <w:rFonts w:eastAsia="MS Mincho"/>
              </w:rPr>
              <w:t xml:space="preserve"> (3)</w:t>
            </w:r>
          </w:p>
        </w:tc>
        <w:tc>
          <w:tcPr>
            <w:tcW w:w="875" w:type="dxa"/>
            <w:vAlign w:val="center"/>
          </w:tcPr>
          <w:p w14:paraId="654B32E3" w14:textId="77777777" w:rsidR="0011613F" w:rsidRPr="00E359BF" w:rsidRDefault="0011613F" w:rsidP="00FB1C07">
            <w:pPr>
              <w:pStyle w:val="TableColHeadingCenter"/>
              <w:rPr>
                <w:rFonts w:eastAsia="MS Mincho"/>
              </w:rPr>
            </w:pPr>
            <w:r w:rsidRPr="00E359BF">
              <w:rPr>
                <w:rFonts w:eastAsia="MS Mincho"/>
              </w:rPr>
              <w:t>Middle Range</w:t>
            </w:r>
            <w:r>
              <w:rPr>
                <w:rFonts w:eastAsia="MS Mincho"/>
              </w:rPr>
              <w:t xml:space="preserve"> (4)</w:t>
            </w:r>
          </w:p>
        </w:tc>
        <w:tc>
          <w:tcPr>
            <w:tcW w:w="875" w:type="dxa"/>
            <w:vAlign w:val="center"/>
          </w:tcPr>
          <w:p w14:paraId="10EC0BE7" w14:textId="77777777" w:rsidR="0011613F" w:rsidRPr="00E359BF" w:rsidRDefault="0011613F" w:rsidP="00FB1C07">
            <w:pPr>
              <w:pStyle w:val="TableColHeadingCenter"/>
              <w:rPr>
                <w:rFonts w:eastAsia="MS Mincho"/>
              </w:rPr>
            </w:pPr>
            <w:r w:rsidRPr="00E359BF">
              <w:rPr>
                <w:rFonts w:eastAsia="MS Mincho"/>
              </w:rPr>
              <w:t>Middle Range</w:t>
            </w:r>
            <w:r>
              <w:rPr>
                <w:rFonts w:eastAsia="MS Mincho"/>
              </w:rPr>
              <w:t xml:space="preserve"> (5)</w:t>
            </w:r>
          </w:p>
        </w:tc>
        <w:tc>
          <w:tcPr>
            <w:tcW w:w="874" w:type="dxa"/>
            <w:vAlign w:val="center"/>
          </w:tcPr>
          <w:p w14:paraId="4A9163CD" w14:textId="77777777" w:rsidR="0011613F" w:rsidRPr="00E359BF" w:rsidRDefault="0011613F" w:rsidP="00FB1C07">
            <w:pPr>
              <w:pStyle w:val="TableColHeadingCenter"/>
              <w:rPr>
                <w:rFonts w:eastAsia="MS Mincho"/>
              </w:rPr>
            </w:pPr>
            <w:r w:rsidRPr="00E359BF">
              <w:rPr>
                <w:rFonts w:eastAsia="MS Mincho"/>
              </w:rPr>
              <w:t>High Range</w:t>
            </w:r>
            <w:r>
              <w:rPr>
                <w:rFonts w:eastAsia="MS Mincho"/>
              </w:rPr>
              <w:t xml:space="preserve"> (6)</w:t>
            </w:r>
          </w:p>
        </w:tc>
        <w:tc>
          <w:tcPr>
            <w:tcW w:w="875" w:type="dxa"/>
            <w:vAlign w:val="center"/>
          </w:tcPr>
          <w:p w14:paraId="46AE82DE" w14:textId="77777777" w:rsidR="0011613F" w:rsidRPr="00E359BF" w:rsidRDefault="0011613F" w:rsidP="00FB1C07">
            <w:pPr>
              <w:pStyle w:val="TableColHeadingCenter"/>
              <w:rPr>
                <w:rFonts w:eastAsia="MS Mincho"/>
              </w:rPr>
            </w:pPr>
            <w:r w:rsidRPr="00E359BF">
              <w:rPr>
                <w:rFonts w:eastAsia="MS Mincho"/>
              </w:rPr>
              <w:t>High Range</w:t>
            </w:r>
            <w:r>
              <w:rPr>
                <w:rFonts w:eastAsia="MS Mincho"/>
              </w:rPr>
              <w:t xml:space="preserve"> (7)</w:t>
            </w:r>
          </w:p>
        </w:tc>
        <w:tc>
          <w:tcPr>
            <w:tcW w:w="900" w:type="dxa"/>
            <w:vAlign w:val="center"/>
          </w:tcPr>
          <w:p w14:paraId="2FDF5EDC" w14:textId="77777777" w:rsidR="0011613F" w:rsidRPr="00E359BF" w:rsidRDefault="0011613F" w:rsidP="00FB1C07">
            <w:pPr>
              <w:pStyle w:val="TableColHeadingCenter"/>
              <w:rPr>
                <w:rFonts w:eastAsia="MS Mincho"/>
              </w:rPr>
            </w:pPr>
            <w:r>
              <w:rPr>
                <w:rFonts w:eastAsia="MS Mincho"/>
              </w:rPr>
              <w:t>n</w:t>
            </w:r>
          </w:p>
        </w:tc>
        <w:tc>
          <w:tcPr>
            <w:tcW w:w="892" w:type="dxa"/>
            <w:vAlign w:val="center"/>
          </w:tcPr>
          <w:p w14:paraId="2746DA17" w14:textId="77777777" w:rsidR="0011613F" w:rsidRPr="00E359BF" w:rsidRDefault="0011613F" w:rsidP="00FB1C07">
            <w:pPr>
              <w:pStyle w:val="TableColHeadingCenter"/>
              <w:rPr>
                <w:rFonts w:eastAsia="MS Mincho"/>
              </w:rPr>
            </w:pPr>
            <w:r>
              <w:rPr>
                <w:rFonts w:eastAsia="MS Mincho"/>
              </w:rPr>
              <w:t>Average</w:t>
            </w:r>
          </w:p>
        </w:tc>
      </w:tr>
      <w:tr w:rsidR="0011613F" w:rsidRPr="00E359BF" w14:paraId="28D6869F" w14:textId="77777777" w:rsidTr="00FB1C07">
        <w:trPr>
          <w:cnfStyle w:val="000000100000" w:firstRow="0" w:lastRow="0" w:firstColumn="0" w:lastColumn="0" w:oddVBand="0" w:evenVBand="0" w:oddHBand="1" w:evenHBand="0" w:firstRowFirstColumn="0" w:firstRowLastColumn="0" w:lastRowFirstColumn="0" w:lastRowLastColumn="0"/>
          <w:jc w:val="center"/>
        </w:trPr>
        <w:tc>
          <w:tcPr>
            <w:tcW w:w="1431" w:type="dxa"/>
            <w:shd w:val="clear" w:color="auto" w:fill="FFFFFF" w:themeFill="background1"/>
          </w:tcPr>
          <w:p w14:paraId="26093F47" w14:textId="77777777" w:rsidR="0011613F" w:rsidRPr="008F6B0C" w:rsidRDefault="0011613F" w:rsidP="00FB1C07">
            <w:pPr>
              <w:pStyle w:val="TableText"/>
            </w:pPr>
            <w:r>
              <w:t>Grades PK-5</w:t>
            </w:r>
          </w:p>
        </w:tc>
        <w:tc>
          <w:tcPr>
            <w:tcW w:w="874" w:type="dxa"/>
            <w:shd w:val="clear" w:color="auto" w:fill="FFFFFF" w:themeFill="background1"/>
          </w:tcPr>
          <w:p w14:paraId="4BCD5A1D" w14:textId="77777777" w:rsidR="0011613F" w:rsidRPr="00E359BF" w:rsidRDefault="0011613F" w:rsidP="00FB1C07">
            <w:pPr>
              <w:pStyle w:val="TableTextCentered"/>
              <w:rPr>
                <w:rFonts w:eastAsia="Times New Roman"/>
              </w:rPr>
            </w:pPr>
            <w:r>
              <w:rPr>
                <w:rFonts w:eastAsia="Times New Roman"/>
              </w:rPr>
              <w:t>0</w:t>
            </w:r>
          </w:p>
        </w:tc>
        <w:tc>
          <w:tcPr>
            <w:tcW w:w="874" w:type="dxa"/>
            <w:shd w:val="clear" w:color="auto" w:fill="FFFFFF" w:themeFill="background1"/>
          </w:tcPr>
          <w:p w14:paraId="2006E3C7" w14:textId="77777777" w:rsidR="0011613F" w:rsidRPr="00E359BF" w:rsidRDefault="0011613F" w:rsidP="00FB1C07">
            <w:pPr>
              <w:pStyle w:val="TableTextCentered"/>
              <w:rPr>
                <w:rFonts w:eastAsia="Times New Roman"/>
              </w:rPr>
            </w:pPr>
            <w:r>
              <w:rPr>
                <w:rFonts w:eastAsia="Times New Roman"/>
              </w:rPr>
              <w:t>0</w:t>
            </w:r>
          </w:p>
        </w:tc>
        <w:tc>
          <w:tcPr>
            <w:tcW w:w="874" w:type="dxa"/>
            <w:shd w:val="clear" w:color="auto" w:fill="FFFFFF" w:themeFill="background1"/>
          </w:tcPr>
          <w:p w14:paraId="435D0995" w14:textId="77777777" w:rsidR="0011613F" w:rsidRPr="00E359BF" w:rsidRDefault="0011613F" w:rsidP="00FB1C07">
            <w:pPr>
              <w:pStyle w:val="TableTextCentered"/>
              <w:rPr>
                <w:rFonts w:eastAsia="Times New Roman"/>
              </w:rPr>
            </w:pPr>
            <w:r>
              <w:rPr>
                <w:rFonts w:eastAsia="Times New Roman"/>
              </w:rPr>
              <w:t>2</w:t>
            </w:r>
          </w:p>
        </w:tc>
        <w:tc>
          <w:tcPr>
            <w:tcW w:w="875" w:type="dxa"/>
            <w:shd w:val="clear" w:color="auto" w:fill="FFFFFF" w:themeFill="background1"/>
          </w:tcPr>
          <w:p w14:paraId="63456D1F" w14:textId="77777777" w:rsidR="0011613F" w:rsidRPr="00E359BF" w:rsidRDefault="0011613F" w:rsidP="00FB1C07">
            <w:pPr>
              <w:pStyle w:val="TableTextCentered"/>
              <w:rPr>
                <w:rFonts w:eastAsia="Times New Roman"/>
              </w:rPr>
            </w:pPr>
            <w:r>
              <w:rPr>
                <w:rFonts w:eastAsia="Times New Roman"/>
              </w:rPr>
              <w:t>6</w:t>
            </w:r>
          </w:p>
        </w:tc>
        <w:tc>
          <w:tcPr>
            <w:tcW w:w="875" w:type="dxa"/>
            <w:shd w:val="clear" w:color="auto" w:fill="FFFFFF" w:themeFill="background1"/>
          </w:tcPr>
          <w:p w14:paraId="79782FDA" w14:textId="77777777" w:rsidR="0011613F" w:rsidRPr="00E359BF" w:rsidRDefault="0011613F" w:rsidP="00FB1C07">
            <w:pPr>
              <w:pStyle w:val="TableTextCentered"/>
              <w:rPr>
                <w:rFonts w:eastAsia="Times New Roman"/>
              </w:rPr>
            </w:pPr>
            <w:r>
              <w:rPr>
                <w:rFonts w:eastAsia="Times New Roman"/>
              </w:rPr>
              <w:t>10</w:t>
            </w:r>
          </w:p>
        </w:tc>
        <w:tc>
          <w:tcPr>
            <w:tcW w:w="874" w:type="dxa"/>
            <w:shd w:val="clear" w:color="auto" w:fill="FFFFFF" w:themeFill="background1"/>
          </w:tcPr>
          <w:p w14:paraId="12D0A620" w14:textId="77777777" w:rsidR="0011613F" w:rsidRPr="00E359BF" w:rsidRDefault="0011613F" w:rsidP="00FB1C07">
            <w:pPr>
              <w:pStyle w:val="TableTextCentered"/>
              <w:rPr>
                <w:rFonts w:eastAsia="Times New Roman"/>
              </w:rPr>
            </w:pPr>
            <w:r>
              <w:rPr>
                <w:rFonts w:eastAsia="Times New Roman"/>
              </w:rPr>
              <w:t>12</w:t>
            </w:r>
          </w:p>
        </w:tc>
        <w:tc>
          <w:tcPr>
            <w:tcW w:w="875" w:type="dxa"/>
            <w:shd w:val="clear" w:color="auto" w:fill="FFFFFF" w:themeFill="background1"/>
          </w:tcPr>
          <w:p w14:paraId="6981CAB3" w14:textId="77777777" w:rsidR="0011613F" w:rsidRPr="00E359BF" w:rsidRDefault="0011613F" w:rsidP="00FB1C07">
            <w:pPr>
              <w:pStyle w:val="TableTextCentered"/>
              <w:rPr>
                <w:rFonts w:eastAsia="Times New Roman"/>
              </w:rPr>
            </w:pPr>
            <w:r>
              <w:rPr>
                <w:rFonts w:eastAsia="Times New Roman"/>
              </w:rPr>
              <w:t>4</w:t>
            </w:r>
          </w:p>
        </w:tc>
        <w:tc>
          <w:tcPr>
            <w:tcW w:w="900" w:type="dxa"/>
            <w:shd w:val="clear" w:color="auto" w:fill="FFFFFF" w:themeFill="background1"/>
          </w:tcPr>
          <w:p w14:paraId="334A3442" w14:textId="77777777" w:rsidR="0011613F" w:rsidRPr="00E359BF" w:rsidRDefault="0011613F" w:rsidP="00FB1C07">
            <w:pPr>
              <w:pStyle w:val="TableTextCentered"/>
              <w:rPr>
                <w:rFonts w:eastAsia="Times New Roman"/>
              </w:rPr>
            </w:pPr>
            <w:r>
              <w:rPr>
                <w:rFonts w:eastAsia="Times New Roman"/>
              </w:rPr>
              <w:t>34</w:t>
            </w:r>
          </w:p>
        </w:tc>
        <w:tc>
          <w:tcPr>
            <w:tcW w:w="892" w:type="dxa"/>
            <w:shd w:val="clear" w:color="auto" w:fill="FFFFFF" w:themeFill="background1"/>
          </w:tcPr>
          <w:p w14:paraId="40C38BC9" w14:textId="77777777" w:rsidR="0011613F" w:rsidRPr="00E359BF" w:rsidRDefault="0011613F" w:rsidP="00FB1C07">
            <w:pPr>
              <w:pStyle w:val="TableTextCentered"/>
              <w:rPr>
                <w:rFonts w:eastAsia="Times New Roman"/>
              </w:rPr>
            </w:pPr>
            <w:r>
              <w:rPr>
                <w:rFonts w:eastAsia="Times New Roman"/>
              </w:rPr>
              <w:t>5.3</w:t>
            </w:r>
          </w:p>
        </w:tc>
      </w:tr>
      <w:tr w:rsidR="0011613F" w:rsidRPr="00E359BF" w14:paraId="5F5A8DA6" w14:textId="77777777" w:rsidTr="00FB1C07">
        <w:trPr>
          <w:jc w:val="center"/>
        </w:trPr>
        <w:tc>
          <w:tcPr>
            <w:tcW w:w="1431" w:type="dxa"/>
            <w:shd w:val="clear" w:color="auto" w:fill="DEEAF6" w:themeFill="accent1" w:themeFillTint="33"/>
          </w:tcPr>
          <w:p w14:paraId="48F74B1E" w14:textId="77777777" w:rsidR="0011613F" w:rsidRPr="008F6B0C" w:rsidRDefault="0011613F" w:rsidP="00FB1C07">
            <w:pPr>
              <w:pStyle w:val="TableText"/>
            </w:pPr>
            <w:r>
              <w:t>Grades 6-8</w:t>
            </w:r>
          </w:p>
        </w:tc>
        <w:tc>
          <w:tcPr>
            <w:tcW w:w="874" w:type="dxa"/>
            <w:shd w:val="clear" w:color="auto" w:fill="DEEAF6" w:themeFill="accent1" w:themeFillTint="33"/>
          </w:tcPr>
          <w:p w14:paraId="52099111" w14:textId="77777777" w:rsidR="0011613F" w:rsidRPr="00E359BF" w:rsidRDefault="0011613F" w:rsidP="00FB1C07">
            <w:pPr>
              <w:pStyle w:val="TableTextCentered"/>
              <w:rPr>
                <w:rFonts w:eastAsia="Times New Roman"/>
              </w:rPr>
            </w:pPr>
            <w:r>
              <w:rPr>
                <w:rFonts w:eastAsia="Times New Roman"/>
              </w:rPr>
              <w:t>0</w:t>
            </w:r>
          </w:p>
        </w:tc>
        <w:tc>
          <w:tcPr>
            <w:tcW w:w="874" w:type="dxa"/>
            <w:shd w:val="clear" w:color="auto" w:fill="DEEAF6" w:themeFill="accent1" w:themeFillTint="33"/>
          </w:tcPr>
          <w:p w14:paraId="540F2AD7" w14:textId="77777777" w:rsidR="0011613F" w:rsidRPr="00E359BF" w:rsidRDefault="0011613F" w:rsidP="00FB1C07">
            <w:pPr>
              <w:pStyle w:val="TableTextCentered"/>
              <w:rPr>
                <w:rFonts w:eastAsia="Times New Roman"/>
              </w:rPr>
            </w:pPr>
            <w:r>
              <w:rPr>
                <w:rFonts w:eastAsia="Times New Roman"/>
              </w:rPr>
              <w:t>0</w:t>
            </w:r>
          </w:p>
        </w:tc>
        <w:tc>
          <w:tcPr>
            <w:tcW w:w="874" w:type="dxa"/>
            <w:shd w:val="clear" w:color="auto" w:fill="DEEAF6" w:themeFill="accent1" w:themeFillTint="33"/>
          </w:tcPr>
          <w:p w14:paraId="64EB68FF" w14:textId="77777777" w:rsidR="0011613F" w:rsidRPr="00E359BF" w:rsidRDefault="0011613F" w:rsidP="00FB1C07">
            <w:pPr>
              <w:pStyle w:val="TableTextCentered"/>
              <w:rPr>
                <w:rFonts w:eastAsia="Times New Roman"/>
              </w:rPr>
            </w:pPr>
            <w:r>
              <w:rPr>
                <w:rFonts w:eastAsia="Times New Roman"/>
              </w:rPr>
              <w:t>0</w:t>
            </w:r>
          </w:p>
        </w:tc>
        <w:tc>
          <w:tcPr>
            <w:tcW w:w="875" w:type="dxa"/>
            <w:shd w:val="clear" w:color="auto" w:fill="DEEAF6" w:themeFill="accent1" w:themeFillTint="33"/>
          </w:tcPr>
          <w:p w14:paraId="3627F83F" w14:textId="77777777" w:rsidR="0011613F" w:rsidRPr="00E359BF" w:rsidRDefault="0011613F" w:rsidP="00FB1C07">
            <w:pPr>
              <w:pStyle w:val="TableTextCentered"/>
              <w:rPr>
                <w:rFonts w:eastAsia="Times New Roman"/>
              </w:rPr>
            </w:pPr>
            <w:r>
              <w:rPr>
                <w:rFonts w:eastAsia="Times New Roman"/>
              </w:rPr>
              <w:t>3</w:t>
            </w:r>
          </w:p>
        </w:tc>
        <w:tc>
          <w:tcPr>
            <w:tcW w:w="875" w:type="dxa"/>
            <w:shd w:val="clear" w:color="auto" w:fill="DEEAF6" w:themeFill="accent1" w:themeFillTint="33"/>
          </w:tcPr>
          <w:p w14:paraId="366B5B29" w14:textId="77777777" w:rsidR="0011613F" w:rsidRPr="00E359BF" w:rsidRDefault="0011613F" w:rsidP="00FB1C07">
            <w:pPr>
              <w:pStyle w:val="TableTextCentered"/>
              <w:rPr>
                <w:rFonts w:eastAsia="Times New Roman"/>
              </w:rPr>
            </w:pPr>
            <w:r>
              <w:rPr>
                <w:rFonts w:eastAsia="Times New Roman"/>
              </w:rPr>
              <w:t>9</w:t>
            </w:r>
          </w:p>
        </w:tc>
        <w:tc>
          <w:tcPr>
            <w:tcW w:w="874" w:type="dxa"/>
            <w:shd w:val="clear" w:color="auto" w:fill="DEEAF6" w:themeFill="accent1" w:themeFillTint="33"/>
          </w:tcPr>
          <w:p w14:paraId="4F94F84E" w14:textId="77777777" w:rsidR="0011613F" w:rsidRPr="00E359BF" w:rsidRDefault="0011613F" w:rsidP="00FB1C07">
            <w:pPr>
              <w:pStyle w:val="TableTextCentered"/>
              <w:rPr>
                <w:rFonts w:eastAsia="Times New Roman"/>
              </w:rPr>
            </w:pPr>
            <w:r>
              <w:rPr>
                <w:rFonts w:eastAsia="Times New Roman"/>
              </w:rPr>
              <w:t>7</w:t>
            </w:r>
          </w:p>
        </w:tc>
        <w:tc>
          <w:tcPr>
            <w:tcW w:w="875" w:type="dxa"/>
            <w:shd w:val="clear" w:color="auto" w:fill="DEEAF6" w:themeFill="accent1" w:themeFillTint="33"/>
          </w:tcPr>
          <w:p w14:paraId="21069BF5" w14:textId="77777777" w:rsidR="0011613F" w:rsidRPr="00E359BF" w:rsidRDefault="0011613F" w:rsidP="00FB1C07">
            <w:pPr>
              <w:pStyle w:val="TableTextCentered"/>
              <w:rPr>
                <w:rFonts w:eastAsia="Times New Roman"/>
              </w:rPr>
            </w:pPr>
            <w:r>
              <w:rPr>
                <w:rFonts w:eastAsia="Times New Roman"/>
              </w:rPr>
              <w:t>1</w:t>
            </w:r>
          </w:p>
        </w:tc>
        <w:tc>
          <w:tcPr>
            <w:tcW w:w="900" w:type="dxa"/>
            <w:shd w:val="clear" w:color="auto" w:fill="DEEAF6" w:themeFill="accent1" w:themeFillTint="33"/>
          </w:tcPr>
          <w:p w14:paraId="1599D4C2" w14:textId="77777777" w:rsidR="0011613F" w:rsidRPr="00E359BF" w:rsidRDefault="0011613F" w:rsidP="00FB1C07">
            <w:pPr>
              <w:pStyle w:val="TableTextCentered"/>
              <w:rPr>
                <w:rFonts w:eastAsia="Times New Roman"/>
              </w:rPr>
            </w:pPr>
            <w:r>
              <w:rPr>
                <w:rFonts w:eastAsia="Times New Roman"/>
              </w:rPr>
              <w:t>20</w:t>
            </w:r>
          </w:p>
        </w:tc>
        <w:tc>
          <w:tcPr>
            <w:tcW w:w="892" w:type="dxa"/>
            <w:shd w:val="clear" w:color="auto" w:fill="DEEAF6" w:themeFill="accent1" w:themeFillTint="33"/>
          </w:tcPr>
          <w:p w14:paraId="4983C648" w14:textId="77777777" w:rsidR="0011613F" w:rsidRPr="00E359BF" w:rsidRDefault="0011613F" w:rsidP="00FB1C07">
            <w:pPr>
              <w:pStyle w:val="TableTextCentered"/>
              <w:rPr>
                <w:rFonts w:eastAsia="Times New Roman"/>
              </w:rPr>
            </w:pPr>
            <w:r>
              <w:rPr>
                <w:rFonts w:eastAsia="Times New Roman"/>
              </w:rPr>
              <w:t>5.3</w:t>
            </w:r>
          </w:p>
        </w:tc>
      </w:tr>
      <w:tr w:rsidR="0011613F" w:rsidRPr="00E359BF" w14:paraId="7B99F7AC" w14:textId="77777777" w:rsidTr="00FB1C07">
        <w:trPr>
          <w:cnfStyle w:val="000000100000" w:firstRow="0" w:lastRow="0" w:firstColumn="0" w:lastColumn="0" w:oddVBand="0" w:evenVBand="0" w:oddHBand="1" w:evenHBand="0" w:firstRowFirstColumn="0" w:firstRowLastColumn="0" w:lastRowFirstColumn="0" w:lastRowLastColumn="0"/>
          <w:jc w:val="center"/>
        </w:trPr>
        <w:tc>
          <w:tcPr>
            <w:tcW w:w="1431" w:type="dxa"/>
            <w:shd w:val="clear" w:color="auto" w:fill="FFFFFF" w:themeFill="background1"/>
          </w:tcPr>
          <w:p w14:paraId="2FF8FCD0" w14:textId="77777777" w:rsidR="0011613F" w:rsidRPr="008F6B0C" w:rsidRDefault="0011613F" w:rsidP="00FB1C07">
            <w:pPr>
              <w:pStyle w:val="TableText"/>
            </w:pPr>
            <w:r>
              <w:t>Grades 9-12</w:t>
            </w:r>
          </w:p>
        </w:tc>
        <w:tc>
          <w:tcPr>
            <w:tcW w:w="874" w:type="dxa"/>
            <w:shd w:val="clear" w:color="auto" w:fill="FFFFFF" w:themeFill="background1"/>
          </w:tcPr>
          <w:p w14:paraId="7E07736D" w14:textId="77777777" w:rsidR="0011613F" w:rsidRPr="00E359BF" w:rsidRDefault="0011613F" w:rsidP="00FB1C07">
            <w:pPr>
              <w:pStyle w:val="TableTextCentered"/>
              <w:rPr>
                <w:rFonts w:eastAsia="Times New Roman"/>
              </w:rPr>
            </w:pPr>
            <w:r>
              <w:rPr>
                <w:rFonts w:eastAsia="Times New Roman"/>
              </w:rPr>
              <w:t>0</w:t>
            </w:r>
          </w:p>
        </w:tc>
        <w:tc>
          <w:tcPr>
            <w:tcW w:w="874" w:type="dxa"/>
            <w:shd w:val="clear" w:color="auto" w:fill="FFFFFF" w:themeFill="background1"/>
          </w:tcPr>
          <w:p w14:paraId="7EE421D1" w14:textId="77777777" w:rsidR="0011613F" w:rsidRPr="00E359BF" w:rsidRDefault="0011613F" w:rsidP="00FB1C07">
            <w:pPr>
              <w:pStyle w:val="TableTextCentered"/>
              <w:rPr>
                <w:rFonts w:eastAsia="Times New Roman"/>
              </w:rPr>
            </w:pPr>
            <w:r>
              <w:rPr>
                <w:rFonts w:eastAsia="Times New Roman"/>
              </w:rPr>
              <w:t>0</w:t>
            </w:r>
          </w:p>
        </w:tc>
        <w:tc>
          <w:tcPr>
            <w:tcW w:w="874" w:type="dxa"/>
            <w:shd w:val="clear" w:color="auto" w:fill="FFFFFF" w:themeFill="background1"/>
          </w:tcPr>
          <w:p w14:paraId="10F24DA2" w14:textId="77777777" w:rsidR="0011613F" w:rsidRPr="00E359BF" w:rsidRDefault="0011613F" w:rsidP="00FB1C07">
            <w:pPr>
              <w:pStyle w:val="TableTextCentered"/>
              <w:rPr>
                <w:rFonts w:eastAsia="Times New Roman"/>
              </w:rPr>
            </w:pPr>
            <w:r>
              <w:rPr>
                <w:rFonts w:eastAsia="Times New Roman"/>
              </w:rPr>
              <w:t>7</w:t>
            </w:r>
          </w:p>
        </w:tc>
        <w:tc>
          <w:tcPr>
            <w:tcW w:w="875" w:type="dxa"/>
            <w:shd w:val="clear" w:color="auto" w:fill="FFFFFF" w:themeFill="background1"/>
          </w:tcPr>
          <w:p w14:paraId="3A98F952" w14:textId="77777777" w:rsidR="0011613F" w:rsidRPr="00E359BF" w:rsidRDefault="0011613F" w:rsidP="00FB1C07">
            <w:pPr>
              <w:pStyle w:val="TableTextCentered"/>
              <w:rPr>
                <w:rFonts w:eastAsia="Times New Roman"/>
              </w:rPr>
            </w:pPr>
            <w:r>
              <w:rPr>
                <w:rFonts w:eastAsia="Times New Roman"/>
              </w:rPr>
              <w:t>6</w:t>
            </w:r>
          </w:p>
        </w:tc>
        <w:tc>
          <w:tcPr>
            <w:tcW w:w="875" w:type="dxa"/>
            <w:shd w:val="clear" w:color="auto" w:fill="FFFFFF" w:themeFill="background1"/>
          </w:tcPr>
          <w:p w14:paraId="19A1A4D8" w14:textId="77777777" w:rsidR="0011613F" w:rsidRPr="00E359BF" w:rsidRDefault="0011613F" w:rsidP="00FB1C07">
            <w:pPr>
              <w:pStyle w:val="TableTextCentered"/>
              <w:rPr>
                <w:rFonts w:eastAsia="Times New Roman"/>
              </w:rPr>
            </w:pPr>
            <w:r>
              <w:rPr>
                <w:rFonts w:eastAsia="Times New Roman"/>
              </w:rPr>
              <w:t>4</w:t>
            </w:r>
          </w:p>
        </w:tc>
        <w:tc>
          <w:tcPr>
            <w:tcW w:w="874" w:type="dxa"/>
            <w:shd w:val="clear" w:color="auto" w:fill="FFFFFF" w:themeFill="background1"/>
          </w:tcPr>
          <w:p w14:paraId="693DB514" w14:textId="77777777" w:rsidR="0011613F" w:rsidRPr="00E359BF" w:rsidRDefault="0011613F" w:rsidP="00FB1C07">
            <w:pPr>
              <w:pStyle w:val="TableTextCentered"/>
              <w:rPr>
                <w:rFonts w:eastAsia="Times New Roman"/>
              </w:rPr>
            </w:pPr>
            <w:r>
              <w:rPr>
                <w:rFonts w:eastAsia="Times New Roman"/>
              </w:rPr>
              <w:t>2</w:t>
            </w:r>
          </w:p>
        </w:tc>
        <w:tc>
          <w:tcPr>
            <w:tcW w:w="875" w:type="dxa"/>
            <w:shd w:val="clear" w:color="auto" w:fill="FFFFFF" w:themeFill="background1"/>
          </w:tcPr>
          <w:p w14:paraId="7F58AC75" w14:textId="77777777" w:rsidR="0011613F" w:rsidRPr="00E359BF" w:rsidRDefault="0011613F" w:rsidP="00FB1C07">
            <w:pPr>
              <w:pStyle w:val="TableTextCentered"/>
              <w:rPr>
                <w:rFonts w:eastAsia="Times New Roman"/>
              </w:rPr>
            </w:pPr>
            <w:r>
              <w:rPr>
                <w:rFonts w:eastAsia="Times New Roman"/>
              </w:rPr>
              <w:t>1</w:t>
            </w:r>
          </w:p>
        </w:tc>
        <w:tc>
          <w:tcPr>
            <w:tcW w:w="900" w:type="dxa"/>
            <w:shd w:val="clear" w:color="auto" w:fill="FFFFFF" w:themeFill="background1"/>
          </w:tcPr>
          <w:p w14:paraId="07DD0FCD" w14:textId="77777777" w:rsidR="0011613F" w:rsidRPr="00E359BF" w:rsidRDefault="0011613F" w:rsidP="00FB1C07">
            <w:pPr>
              <w:pStyle w:val="TableTextCentered"/>
              <w:rPr>
                <w:rFonts w:eastAsia="Times New Roman"/>
              </w:rPr>
            </w:pPr>
            <w:r>
              <w:rPr>
                <w:rFonts w:eastAsia="Times New Roman"/>
              </w:rPr>
              <w:t>20</w:t>
            </w:r>
          </w:p>
        </w:tc>
        <w:tc>
          <w:tcPr>
            <w:tcW w:w="892" w:type="dxa"/>
            <w:shd w:val="clear" w:color="auto" w:fill="FFFFFF" w:themeFill="background1"/>
          </w:tcPr>
          <w:p w14:paraId="46B3D25C" w14:textId="77777777" w:rsidR="0011613F" w:rsidRPr="00E359BF" w:rsidRDefault="0011613F" w:rsidP="00FB1C07">
            <w:pPr>
              <w:pStyle w:val="TableTextCentered"/>
              <w:rPr>
                <w:rFonts w:eastAsia="Times New Roman"/>
              </w:rPr>
            </w:pPr>
            <w:r>
              <w:rPr>
                <w:rFonts w:eastAsia="Times New Roman"/>
              </w:rPr>
              <w:t>4.2</w:t>
            </w:r>
          </w:p>
        </w:tc>
      </w:tr>
      <w:tr w:rsidR="0011613F" w:rsidRPr="00E359BF" w14:paraId="6D980980" w14:textId="77777777" w:rsidTr="00FB1C07">
        <w:trPr>
          <w:jc w:val="center"/>
        </w:trPr>
        <w:tc>
          <w:tcPr>
            <w:tcW w:w="1431" w:type="dxa"/>
            <w:shd w:val="clear" w:color="auto" w:fill="DEEAF6" w:themeFill="accent1" w:themeFillTint="33"/>
          </w:tcPr>
          <w:p w14:paraId="5CBF8309" w14:textId="77777777" w:rsidR="0011613F" w:rsidRPr="00B30BCD" w:rsidRDefault="0011613F" w:rsidP="00FB1C07">
            <w:pPr>
              <w:pStyle w:val="TableText"/>
              <w:rPr>
                <w:b/>
                <w:bCs/>
              </w:rPr>
            </w:pPr>
            <w:r w:rsidRPr="00B30BCD">
              <w:rPr>
                <w:b/>
                <w:bCs/>
              </w:rPr>
              <w:t>Totals</w:t>
            </w:r>
          </w:p>
        </w:tc>
        <w:tc>
          <w:tcPr>
            <w:tcW w:w="874" w:type="dxa"/>
            <w:shd w:val="clear" w:color="auto" w:fill="DEEAF6" w:themeFill="accent1" w:themeFillTint="33"/>
          </w:tcPr>
          <w:p w14:paraId="3A12CC5B" w14:textId="77777777" w:rsidR="0011613F" w:rsidRPr="00B30BCD" w:rsidRDefault="0011613F" w:rsidP="00FB1C07">
            <w:pPr>
              <w:pStyle w:val="TableTextCentered"/>
              <w:rPr>
                <w:rFonts w:eastAsia="Times New Roman"/>
                <w:b/>
                <w:bCs/>
              </w:rPr>
            </w:pPr>
            <w:r>
              <w:rPr>
                <w:rFonts w:eastAsia="Times New Roman"/>
                <w:b/>
                <w:bCs/>
              </w:rPr>
              <w:t>0</w:t>
            </w:r>
          </w:p>
        </w:tc>
        <w:tc>
          <w:tcPr>
            <w:tcW w:w="874" w:type="dxa"/>
            <w:shd w:val="clear" w:color="auto" w:fill="DEEAF6" w:themeFill="accent1" w:themeFillTint="33"/>
          </w:tcPr>
          <w:p w14:paraId="7E36A1F6" w14:textId="77777777" w:rsidR="0011613F" w:rsidRPr="00B30BCD" w:rsidRDefault="0011613F" w:rsidP="00FB1C07">
            <w:pPr>
              <w:pStyle w:val="TableTextCentered"/>
              <w:rPr>
                <w:rFonts w:eastAsia="Times New Roman"/>
                <w:b/>
                <w:bCs/>
              </w:rPr>
            </w:pPr>
            <w:r>
              <w:rPr>
                <w:rFonts w:eastAsia="Times New Roman"/>
                <w:b/>
                <w:bCs/>
              </w:rPr>
              <w:t>0</w:t>
            </w:r>
          </w:p>
        </w:tc>
        <w:tc>
          <w:tcPr>
            <w:tcW w:w="874" w:type="dxa"/>
            <w:shd w:val="clear" w:color="auto" w:fill="DEEAF6" w:themeFill="accent1" w:themeFillTint="33"/>
          </w:tcPr>
          <w:p w14:paraId="10F05195" w14:textId="77777777" w:rsidR="0011613F" w:rsidRPr="00B30BCD" w:rsidRDefault="0011613F" w:rsidP="00FB1C07">
            <w:pPr>
              <w:pStyle w:val="TableTextCentered"/>
              <w:rPr>
                <w:rFonts w:eastAsia="Times New Roman"/>
                <w:b/>
                <w:bCs/>
              </w:rPr>
            </w:pPr>
            <w:r>
              <w:rPr>
                <w:rFonts w:eastAsia="Times New Roman"/>
                <w:b/>
                <w:bCs/>
              </w:rPr>
              <w:t>9</w:t>
            </w:r>
          </w:p>
        </w:tc>
        <w:tc>
          <w:tcPr>
            <w:tcW w:w="875" w:type="dxa"/>
            <w:shd w:val="clear" w:color="auto" w:fill="DEEAF6" w:themeFill="accent1" w:themeFillTint="33"/>
          </w:tcPr>
          <w:p w14:paraId="6E76744D" w14:textId="77777777" w:rsidR="0011613F" w:rsidRPr="00B30BCD" w:rsidRDefault="0011613F" w:rsidP="00FB1C07">
            <w:pPr>
              <w:pStyle w:val="TableTextCentered"/>
              <w:rPr>
                <w:rFonts w:eastAsia="Times New Roman"/>
                <w:b/>
                <w:bCs/>
              </w:rPr>
            </w:pPr>
            <w:r>
              <w:rPr>
                <w:rFonts w:eastAsia="Times New Roman"/>
                <w:b/>
                <w:bCs/>
              </w:rPr>
              <w:t>15</w:t>
            </w:r>
          </w:p>
        </w:tc>
        <w:tc>
          <w:tcPr>
            <w:tcW w:w="875" w:type="dxa"/>
            <w:shd w:val="clear" w:color="auto" w:fill="DEEAF6" w:themeFill="accent1" w:themeFillTint="33"/>
          </w:tcPr>
          <w:p w14:paraId="5158B07F" w14:textId="77777777" w:rsidR="0011613F" w:rsidRPr="00B30BCD" w:rsidRDefault="0011613F" w:rsidP="00FB1C07">
            <w:pPr>
              <w:pStyle w:val="TableTextCentered"/>
              <w:rPr>
                <w:rFonts w:eastAsia="Times New Roman"/>
                <w:b/>
                <w:bCs/>
              </w:rPr>
            </w:pPr>
            <w:r>
              <w:rPr>
                <w:rFonts w:eastAsia="Times New Roman"/>
                <w:b/>
                <w:bCs/>
              </w:rPr>
              <w:t>23</w:t>
            </w:r>
          </w:p>
        </w:tc>
        <w:tc>
          <w:tcPr>
            <w:tcW w:w="874" w:type="dxa"/>
            <w:shd w:val="clear" w:color="auto" w:fill="DEEAF6" w:themeFill="accent1" w:themeFillTint="33"/>
          </w:tcPr>
          <w:p w14:paraId="5277E229" w14:textId="77777777" w:rsidR="0011613F" w:rsidRPr="00B30BCD" w:rsidRDefault="0011613F" w:rsidP="00FB1C07">
            <w:pPr>
              <w:pStyle w:val="TableTextCentered"/>
              <w:rPr>
                <w:rFonts w:eastAsia="Times New Roman"/>
                <w:b/>
                <w:bCs/>
              </w:rPr>
            </w:pPr>
            <w:r>
              <w:rPr>
                <w:rFonts w:eastAsia="Times New Roman"/>
                <w:b/>
                <w:bCs/>
              </w:rPr>
              <w:t>21</w:t>
            </w:r>
          </w:p>
        </w:tc>
        <w:tc>
          <w:tcPr>
            <w:tcW w:w="875" w:type="dxa"/>
            <w:shd w:val="clear" w:color="auto" w:fill="DEEAF6" w:themeFill="accent1" w:themeFillTint="33"/>
          </w:tcPr>
          <w:p w14:paraId="5C2C198E" w14:textId="77777777" w:rsidR="0011613F" w:rsidRPr="00B30BCD" w:rsidRDefault="0011613F" w:rsidP="00FB1C07">
            <w:pPr>
              <w:pStyle w:val="TableTextCentered"/>
              <w:rPr>
                <w:rFonts w:eastAsia="Times New Roman"/>
                <w:b/>
                <w:bCs/>
              </w:rPr>
            </w:pPr>
            <w:r>
              <w:rPr>
                <w:rFonts w:eastAsia="Times New Roman"/>
                <w:b/>
                <w:bCs/>
              </w:rPr>
              <w:t>6</w:t>
            </w:r>
          </w:p>
        </w:tc>
        <w:tc>
          <w:tcPr>
            <w:tcW w:w="900" w:type="dxa"/>
            <w:shd w:val="clear" w:color="auto" w:fill="DEEAF6" w:themeFill="accent1" w:themeFillTint="33"/>
          </w:tcPr>
          <w:p w14:paraId="22DD548C" w14:textId="77777777" w:rsidR="0011613F" w:rsidRPr="00B30BCD" w:rsidRDefault="0011613F" w:rsidP="00FB1C07">
            <w:pPr>
              <w:pStyle w:val="TableTextCentered"/>
              <w:rPr>
                <w:rFonts w:eastAsia="Times New Roman"/>
                <w:b/>
                <w:bCs/>
              </w:rPr>
            </w:pPr>
            <w:r>
              <w:rPr>
                <w:rFonts w:eastAsia="Times New Roman"/>
                <w:b/>
                <w:bCs/>
              </w:rPr>
              <w:t>74</w:t>
            </w:r>
          </w:p>
        </w:tc>
        <w:tc>
          <w:tcPr>
            <w:tcW w:w="892" w:type="dxa"/>
            <w:shd w:val="clear" w:color="auto" w:fill="DEEAF6" w:themeFill="accent1" w:themeFillTint="33"/>
          </w:tcPr>
          <w:p w14:paraId="20015148" w14:textId="77777777" w:rsidR="0011613F" w:rsidRPr="00B30BCD" w:rsidRDefault="0011613F" w:rsidP="00FB1C07">
            <w:pPr>
              <w:pStyle w:val="TableTextCentered"/>
              <w:rPr>
                <w:rFonts w:eastAsia="Times New Roman"/>
                <w:b/>
                <w:bCs/>
              </w:rPr>
            </w:pPr>
            <w:r>
              <w:rPr>
                <w:rFonts w:eastAsia="Times New Roman"/>
                <w:b/>
                <w:bCs/>
              </w:rPr>
              <w:t>5.0</w:t>
            </w:r>
          </w:p>
        </w:tc>
      </w:tr>
    </w:tbl>
    <w:bookmarkEnd w:id="111"/>
    <w:p w14:paraId="7F5401A2" w14:textId="00A770E6" w:rsidR="007303EE" w:rsidRPr="00797379" w:rsidRDefault="007303EE" w:rsidP="00371E56">
      <w:pPr>
        <w:pStyle w:val="TableNote"/>
      </w:pPr>
      <w:r w:rsidRPr="00797379">
        <w:rPr>
          <w:szCs w:val="20"/>
        </w:rPr>
        <w:t>*</w:t>
      </w:r>
      <w:r w:rsidRPr="00797379">
        <w:t xml:space="preserve">The district average is an average of the observation scores. In Table 3, the district average is computed as: </w:t>
      </w:r>
      <w:bookmarkStart w:id="112" w:name="Dist_PC_Calc"/>
      <w:r w:rsidRPr="00797379">
        <w:t>([3 x 9] + [4 x 15] + [5 x 23] + [6 x 21] + [7 x 6]) ÷ 74 observations = 5.0</w:t>
      </w:r>
      <w:bookmarkEnd w:id="112"/>
    </w:p>
    <w:p w14:paraId="54CF9A2A" w14:textId="77777777" w:rsidR="007303EE" w:rsidRPr="00797379" w:rsidRDefault="007303EE" w:rsidP="000C5F4F">
      <w:pPr>
        <w:pStyle w:val="BodyText"/>
      </w:pPr>
      <w:r w:rsidRPr="00797379">
        <w:rPr>
          <w:rStyle w:val="BodyTextDemiChar"/>
        </w:rPr>
        <w:t>Ratings in the Low Range</w:t>
      </w:r>
      <w:r w:rsidRPr="00797379">
        <w:t>. All indicators are absent or only minimally present. Teachers and students do not appear to share a warm, supportive relationship. Interpersonal connections are not evident or only minimally evident. Affect in the classroom is flat, and there are rarely instances of teachers and students smiling, sharing humor, or laughing together. There are no, or very few, positive communications among the teacher and students; the teacher does not communicate encouragement. There is no evidence that students and the teacher respect one another or that the teacher encourages students to respect one another.</w:t>
      </w:r>
    </w:p>
    <w:p w14:paraId="3B5A0FE8" w14:textId="77777777" w:rsidR="007303EE" w:rsidRPr="00797379" w:rsidRDefault="007303EE" w:rsidP="00371E56">
      <w:pPr>
        <w:pStyle w:val="BodyTextposthead"/>
      </w:pPr>
      <w:r w:rsidRPr="00797379">
        <w:rPr>
          <w:rStyle w:val="BodyTextDemiChar"/>
        </w:rPr>
        <w:t>Ratings in the Middle Range.</w:t>
      </w:r>
      <w:r w:rsidRPr="00797379">
        <w:t xml:space="preserve"> There are some indications that the teacher and students share a warm and supportive relationship, but some students may be excluded from this relationship, either by the teacher or the students. Some relationships appear constrained—for example, the teacher expresses a perfunctory interest in students, or encouragement seems to be an automatic statement and is not sincere. Sometimes, teachers and students demonstrate respect for one another.</w:t>
      </w:r>
    </w:p>
    <w:p w14:paraId="50DD6F00" w14:textId="1F043D11" w:rsidR="007303EE" w:rsidRPr="00797379" w:rsidRDefault="007303EE" w:rsidP="00371E56">
      <w:pPr>
        <w:pStyle w:val="BodyTextposthead"/>
      </w:pPr>
      <w:r w:rsidRPr="00797379">
        <w:rPr>
          <w:rStyle w:val="BodyTextDemiChar"/>
        </w:rPr>
        <w:t xml:space="preserve">Ratings in the High Range. </w:t>
      </w:r>
      <w:r w:rsidRPr="00797379">
        <w:t>There are many indications that the relationship among students and the teacher is positive and warm. The teacher is typically in close proximity to students, and encouragement is sincere and personal. There are frequent displays of shared laughter, smiles, and enthusiasm. Teachers and students show respect for one another (e.g., listening, using calm voices, using polite language). Positive communication (both verbal and nonverbal) and mutual respect are evident throughout the session.</w:t>
      </w:r>
      <w:bookmarkEnd w:id="108"/>
      <w:r w:rsidRPr="00797379">
        <w:br w:type="page"/>
      </w:r>
    </w:p>
    <w:p w14:paraId="59F8239F" w14:textId="77777777" w:rsidR="007303EE" w:rsidRPr="00797379" w:rsidRDefault="007303EE" w:rsidP="00DB6F03">
      <w:pPr>
        <w:pStyle w:val="Heading2-SIOR"/>
        <w:outlineLvl w:val="2"/>
      </w:pPr>
      <w:bookmarkStart w:id="113" w:name="_Toc411329828"/>
      <w:bookmarkStart w:id="114" w:name="_Toc430114876"/>
      <w:bookmarkStart w:id="115" w:name="_Toc220931746"/>
      <w:r w:rsidRPr="00797379">
        <w:t>Teacher Sensitivity</w:t>
      </w:r>
      <w:bookmarkEnd w:id="113"/>
      <w:bookmarkEnd w:id="114"/>
      <w:bookmarkEnd w:id="115"/>
    </w:p>
    <w:p w14:paraId="1F7B75B0" w14:textId="77777777" w:rsidR="007303EE" w:rsidRPr="00797379" w:rsidRDefault="007303EE">
      <w:pPr>
        <w:pStyle w:val="BodyTextDomain"/>
      </w:pPr>
      <w:r w:rsidRPr="00797379">
        <w:t>Emotional Support domain, Grades PK−12</w:t>
      </w:r>
    </w:p>
    <w:p w14:paraId="5E5E9C21" w14:textId="0B5FC145" w:rsidR="007303EE" w:rsidRPr="00797379" w:rsidRDefault="007303EE" w:rsidP="00A83672">
      <w:pPr>
        <w:pStyle w:val="BodyTextposthead"/>
      </w:pPr>
      <w:r w:rsidRPr="00797379">
        <w:t>Teacher Sensitivity encompasses the teacher’s awareness of and responsiveness to students’ academic and emotional needs. High levels of sensitivity facilitate students’ abilities to actively explore and learn because the teacher consistently provides comfort, reassurance, and encouragement (</w:t>
      </w:r>
      <w:r w:rsidRPr="00797379">
        <w:rPr>
          <w:i/>
        </w:rPr>
        <w:t>CLASS PK–3 Manual,</w:t>
      </w:r>
      <w:r w:rsidRPr="00797379">
        <w:t xml:space="preserve"> p. 32, </w:t>
      </w:r>
      <w:r w:rsidRPr="00797379">
        <w:rPr>
          <w:i/>
        </w:rPr>
        <w:t xml:space="preserve">CLASS Upper Elementary Manual, </w:t>
      </w:r>
      <w:r w:rsidRPr="00797379">
        <w:t xml:space="preserve">p. 27, </w:t>
      </w:r>
      <w:r w:rsidRPr="00797379">
        <w:rPr>
          <w:i/>
        </w:rPr>
        <w:t>CLASS Secondary Manual,</w:t>
      </w:r>
      <w:r w:rsidRPr="00797379">
        <w:t xml:space="preserve"> p. 27).</w:t>
      </w:r>
    </w:p>
    <w:p w14:paraId="6E988ADB" w14:textId="77777777" w:rsidR="007303EE" w:rsidRPr="00797379" w:rsidRDefault="007303EE" w:rsidP="00A62012">
      <w:pPr>
        <w:pStyle w:val="TableTitle0"/>
      </w:pPr>
      <w:bookmarkStart w:id="116" w:name="_Toc220932419"/>
      <w:r w:rsidRPr="00797379">
        <w:t>Table 4. Teacher Sensitivity: Number of Classrooms for Each Rating and District Average</w:t>
      </w:r>
      <w:bookmarkEnd w:id="116"/>
    </w:p>
    <w:p w14:paraId="6D13F0D6" w14:textId="77777777" w:rsidR="007303EE" w:rsidRPr="00797379" w:rsidRDefault="007303EE">
      <w:pPr>
        <w:pStyle w:val="BodyTextDemi"/>
      </w:pPr>
      <w:r w:rsidRPr="00797379">
        <w:t xml:space="preserve">Teacher Sensitivity District Average*: </w:t>
      </w:r>
      <w:bookmarkStart w:id="117" w:name="Dist_TS_Avg"/>
      <w:r w:rsidRPr="00797379">
        <w:t>5.7</w:t>
      </w:r>
      <w:bookmarkEnd w:id="117"/>
    </w:p>
    <w:tbl>
      <w:tblPr>
        <w:tblStyle w:val="MSVTable1"/>
        <w:tblW w:w="5000" w:type="pct"/>
        <w:jc w:val="center"/>
        <w:tblLook w:val="04A0" w:firstRow="1" w:lastRow="0" w:firstColumn="1" w:lastColumn="0" w:noHBand="0" w:noVBand="1"/>
      </w:tblPr>
      <w:tblGrid>
        <w:gridCol w:w="1431"/>
        <w:gridCol w:w="874"/>
        <w:gridCol w:w="874"/>
        <w:gridCol w:w="874"/>
        <w:gridCol w:w="875"/>
        <w:gridCol w:w="875"/>
        <w:gridCol w:w="874"/>
        <w:gridCol w:w="875"/>
        <w:gridCol w:w="900"/>
        <w:gridCol w:w="892"/>
      </w:tblGrid>
      <w:tr w:rsidR="004437F0" w:rsidRPr="00E359BF" w14:paraId="2ECE8455" w14:textId="77777777" w:rsidTr="00FB1C07">
        <w:trPr>
          <w:cnfStyle w:val="100000000000" w:firstRow="1" w:lastRow="0" w:firstColumn="0" w:lastColumn="0" w:oddVBand="0" w:evenVBand="0" w:oddHBand="0" w:evenHBand="0" w:firstRowFirstColumn="0" w:firstRowLastColumn="0" w:lastRowFirstColumn="0" w:lastRowLastColumn="0"/>
          <w:jc w:val="center"/>
        </w:trPr>
        <w:tc>
          <w:tcPr>
            <w:tcW w:w="1431" w:type="dxa"/>
            <w:vAlign w:val="center"/>
          </w:tcPr>
          <w:p w14:paraId="39324503" w14:textId="77777777" w:rsidR="004437F0" w:rsidRPr="00E359BF" w:rsidRDefault="004437F0" w:rsidP="00FB1C07">
            <w:pPr>
              <w:pStyle w:val="TableColHeadingCenter"/>
              <w:rPr>
                <w:rFonts w:eastAsia="MS Mincho"/>
              </w:rPr>
            </w:pPr>
            <w:bookmarkStart w:id="118" w:name="Tbl_TS"/>
            <w:r>
              <w:rPr>
                <w:rFonts w:eastAsia="MS Mincho"/>
              </w:rPr>
              <w:t>Grade Band</w:t>
            </w:r>
          </w:p>
        </w:tc>
        <w:tc>
          <w:tcPr>
            <w:tcW w:w="874" w:type="dxa"/>
            <w:vAlign w:val="center"/>
          </w:tcPr>
          <w:p w14:paraId="588E45BA" w14:textId="77777777" w:rsidR="004437F0" w:rsidRPr="00E359BF" w:rsidRDefault="004437F0" w:rsidP="00FB1C07">
            <w:pPr>
              <w:pStyle w:val="TableColHeadingCenter"/>
              <w:rPr>
                <w:rFonts w:eastAsia="MS Mincho"/>
              </w:rPr>
            </w:pPr>
            <w:r w:rsidRPr="00E359BF">
              <w:rPr>
                <w:rFonts w:eastAsia="MS Mincho"/>
              </w:rPr>
              <w:t>Low Range</w:t>
            </w:r>
            <w:r>
              <w:rPr>
                <w:rFonts w:eastAsia="MS Mincho"/>
              </w:rPr>
              <w:t xml:space="preserve"> (1)</w:t>
            </w:r>
          </w:p>
        </w:tc>
        <w:tc>
          <w:tcPr>
            <w:tcW w:w="874" w:type="dxa"/>
            <w:vAlign w:val="center"/>
          </w:tcPr>
          <w:p w14:paraId="6515CEE7" w14:textId="77777777" w:rsidR="004437F0" w:rsidRPr="00E359BF" w:rsidRDefault="004437F0" w:rsidP="00FB1C07">
            <w:pPr>
              <w:pStyle w:val="TableColHeadingCenter"/>
              <w:rPr>
                <w:rFonts w:eastAsia="MS Mincho"/>
              </w:rPr>
            </w:pPr>
            <w:r w:rsidRPr="00E359BF">
              <w:rPr>
                <w:rFonts w:eastAsia="MS Mincho"/>
              </w:rPr>
              <w:t>Low Range</w:t>
            </w:r>
            <w:r>
              <w:rPr>
                <w:rFonts w:eastAsia="MS Mincho"/>
              </w:rPr>
              <w:t xml:space="preserve"> (2)</w:t>
            </w:r>
          </w:p>
        </w:tc>
        <w:tc>
          <w:tcPr>
            <w:tcW w:w="874" w:type="dxa"/>
            <w:vAlign w:val="center"/>
          </w:tcPr>
          <w:p w14:paraId="10AF680F" w14:textId="77777777" w:rsidR="004437F0" w:rsidRPr="00E359BF" w:rsidRDefault="004437F0" w:rsidP="00FB1C07">
            <w:pPr>
              <w:pStyle w:val="TableColHeadingCenter"/>
              <w:rPr>
                <w:rFonts w:eastAsia="MS Mincho"/>
              </w:rPr>
            </w:pPr>
            <w:r w:rsidRPr="00E359BF">
              <w:rPr>
                <w:rFonts w:eastAsia="MS Mincho"/>
              </w:rPr>
              <w:t>Middle Range</w:t>
            </w:r>
            <w:r>
              <w:rPr>
                <w:rFonts w:eastAsia="MS Mincho"/>
              </w:rPr>
              <w:t xml:space="preserve"> (3)</w:t>
            </w:r>
          </w:p>
        </w:tc>
        <w:tc>
          <w:tcPr>
            <w:tcW w:w="875" w:type="dxa"/>
            <w:vAlign w:val="center"/>
          </w:tcPr>
          <w:p w14:paraId="3437CFC2" w14:textId="77777777" w:rsidR="004437F0" w:rsidRPr="00E359BF" w:rsidRDefault="004437F0" w:rsidP="00FB1C07">
            <w:pPr>
              <w:pStyle w:val="TableColHeadingCenter"/>
              <w:rPr>
                <w:rFonts w:eastAsia="MS Mincho"/>
              </w:rPr>
            </w:pPr>
            <w:r w:rsidRPr="00E359BF">
              <w:rPr>
                <w:rFonts w:eastAsia="MS Mincho"/>
              </w:rPr>
              <w:t>Middle Range</w:t>
            </w:r>
            <w:r>
              <w:rPr>
                <w:rFonts w:eastAsia="MS Mincho"/>
              </w:rPr>
              <w:t xml:space="preserve"> (4)</w:t>
            </w:r>
          </w:p>
        </w:tc>
        <w:tc>
          <w:tcPr>
            <w:tcW w:w="875" w:type="dxa"/>
            <w:vAlign w:val="center"/>
          </w:tcPr>
          <w:p w14:paraId="5C2A03D1" w14:textId="77777777" w:rsidR="004437F0" w:rsidRPr="00E359BF" w:rsidRDefault="004437F0" w:rsidP="00FB1C07">
            <w:pPr>
              <w:pStyle w:val="TableColHeadingCenter"/>
              <w:rPr>
                <w:rFonts w:eastAsia="MS Mincho"/>
              </w:rPr>
            </w:pPr>
            <w:r w:rsidRPr="00E359BF">
              <w:rPr>
                <w:rFonts w:eastAsia="MS Mincho"/>
              </w:rPr>
              <w:t>Middle Range</w:t>
            </w:r>
            <w:r>
              <w:rPr>
                <w:rFonts w:eastAsia="MS Mincho"/>
              </w:rPr>
              <w:t xml:space="preserve"> (5)</w:t>
            </w:r>
          </w:p>
        </w:tc>
        <w:tc>
          <w:tcPr>
            <w:tcW w:w="874" w:type="dxa"/>
            <w:vAlign w:val="center"/>
          </w:tcPr>
          <w:p w14:paraId="52E1478F" w14:textId="77777777" w:rsidR="004437F0" w:rsidRPr="00E359BF" w:rsidRDefault="004437F0" w:rsidP="00FB1C07">
            <w:pPr>
              <w:pStyle w:val="TableColHeadingCenter"/>
              <w:rPr>
                <w:rFonts w:eastAsia="MS Mincho"/>
              </w:rPr>
            </w:pPr>
            <w:r w:rsidRPr="00E359BF">
              <w:rPr>
                <w:rFonts w:eastAsia="MS Mincho"/>
              </w:rPr>
              <w:t>High Range</w:t>
            </w:r>
            <w:r>
              <w:rPr>
                <w:rFonts w:eastAsia="MS Mincho"/>
              </w:rPr>
              <w:t xml:space="preserve"> (6)</w:t>
            </w:r>
          </w:p>
        </w:tc>
        <w:tc>
          <w:tcPr>
            <w:tcW w:w="875" w:type="dxa"/>
            <w:vAlign w:val="center"/>
          </w:tcPr>
          <w:p w14:paraId="2783229A" w14:textId="77777777" w:rsidR="004437F0" w:rsidRPr="00E359BF" w:rsidRDefault="004437F0" w:rsidP="00FB1C07">
            <w:pPr>
              <w:pStyle w:val="TableColHeadingCenter"/>
              <w:rPr>
                <w:rFonts w:eastAsia="MS Mincho"/>
              </w:rPr>
            </w:pPr>
            <w:r w:rsidRPr="00E359BF">
              <w:rPr>
                <w:rFonts w:eastAsia="MS Mincho"/>
              </w:rPr>
              <w:t>High Range</w:t>
            </w:r>
            <w:r>
              <w:rPr>
                <w:rFonts w:eastAsia="MS Mincho"/>
              </w:rPr>
              <w:t xml:space="preserve"> (7)</w:t>
            </w:r>
          </w:p>
        </w:tc>
        <w:tc>
          <w:tcPr>
            <w:tcW w:w="900" w:type="dxa"/>
            <w:vAlign w:val="center"/>
          </w:tcPr>
          <w:p w14:paraId="6CD325C4" w14:textId="77777777" w:rsidR="004437F0" w:rsidRPr="00E359BF" w:rsidRDefault="004437F0" w:rsidP="00FB1C07">
            <w:pPr>
              <w:pStyle w:val="TableColHeadingCenter"/>
              <w:rPr>
                <w:rFonts w:eastAsia="MS Mincho"/>
              </w:rPr>
            </w:pPr>
            <w:r>
              <w:rPr>
                <w:rFonts w:eastAsia="MS Mincho"/>
              </w:rPr>
              <w:t>n</w:t>
            </w:r>
          </w:p>
        </w:tc>
        <w:tc>
          <w:tcPr>
            <w:tcW w:w="892" w:type="dxa"/>
            <w:vAlign w:val="center"/>
          </w:tcPr>
          <w:p w14:paraId="7B5CB667" w14:textId="77777777" w:rsidR="004437F0" w:rsidRPr="00E359BF" w:rsidRDefault="004437F0" w:rsidP="00FB1C07">
            <w:pPr>
              <w:pStyle w:val="TableColHeadingCenter"/>
              <w:rPr>
                <w:rFonts w:eastAsia="MS Mincho"/>
              </w:rPr>
            </w:pPr>
            <w:r>
              <w:rPr>
                <w:rFonts w:eastAsia="MS Mincho"/>
              </w:rPr>
              <w:t>Average</w:t>
            </w:r>
          </w:p>
        </w:tc>
      </w:tr>
      <w:tr w:rsidR="004437F0" w:rsidRPr="00E359BF" w14:paraId="0269F27F" w14:textId="77777777" w:rsidTr="00FB1C07">
        <w:trPr>
          <w:cnfStyle w:val="000000100000" w:firstRow="0" w:lastRow="0" w:firstColumn="0" w:lastColumn="0" w:oddVBand="0" w:evenVBand="0" w:oddHBand="1" w:evenHBand="0" w:firstRowFirstColumn="0" w:firstRowLastColumn="0" w:lastRowFirstColumn="0" w:lastRowLastColumn="0"/>
          <w:jc w:val="center"/>
        </w:trPr>
        <w:tc>
          <w:tcPr>
            <w:tcW w:w="1431" w:type="dxa"/>
            <w:shd w:val="clear" w:color="auto" w:fill="FFFFFF" w:themeFill="background1"/>
          </w:tcPr>
          <w:p w14:paraId="43B76E8C" w14:textId="77777777" w:rsidR="004437F0" w:rsidRPr="00E359BF" w:rsidRDefault="004437F0" w:rsidP="00FB1C07">
            <w:pPr>
              <w:pStyle w:val="TableText"/>
            </w:pPr>
            <w:r>
              <w:t>Grades PK-5</w:t>
            </w:r>
          </w:p>
        </w:tc>
        <w:tc>
          <w:tcPr>
            <w:tcW w:w="874" w:type="dxa"/>
            <w:shd w:val="clear" w:color="auto" w:fill="FFFFFF" w:themeFill="background1"/>
          </w:tcPr>
          <w:p w14:paraId="6F18B724" w14:textId="77777777" w:rsidR="004437F0" w:rsidRPr="00E359BF" w:rsidRDefault="004437F0" w:rsidP="00FB1C07">
            <w:pPr>
              <w:pStyle w:val="TableTextCentered"/>
              <w:rPr>
                <w:rFonts w:eastAsia="Times New Roman"/>
              </w:rPr>
            </w:pPr>
            <w:r>
              <w:rPr>
                <w:rFonts w:eastAsia="Times New Roman"/>
              </w:rPr>
              <w:t>0</w:t>
            </w:r>
          </w:p>
        </w:tc>
        <w:tc>
          <w:tcPr>
            <w:tcW w:w="874" w:type="dxa"/>
            <w:shd w:val="clear" w:color="auto" w:fill="FFFFFF" w:themeFill="background1"/>
          </w:tcPr>
          <w:p w14:paraId="2236C875" w14:textId="77777777" w:rsidR="004437F0" w:rsidRPr="00E359BF" w:rsidRDefault="004437F0" w:rsidP="00FB1C07">
            <w:pPr>
              <w:pStyle w:val="TableTextCentered"/>
              <w:rPr>
                <w:rFonts w:eastAsia="Times New Roman"/>
              </w:rPr>
            </w:pPr>
            <w:r>
              <w:rPr>
                <w:rFonts w:eastAsia="Times New Roman"/>
              </w:rPr>
              <w:t>0</w:t>
            </w:r>
          </w:p>
        </w:tc>
        <w:tc>
          <w:tcPr>
            <w:tcW w:w="874" w:type="dxa"/>
            <w:shd w:val="clear" w:color="auto" w:fill="FFFFFF" w:themeFill="background1"/>
          </w:tcPr>
          <w:p w14:paraId="2AB4E508" w14:textId="77777777" w:rsidR="004437F0" w:rsidRPr="00E359BF" w:rsidRDefault="004437F0" w:rsidP="00FB1C07">
            <w:pPr>
              <w:pStyle w:val="TableTextCentered"/>
              <w:rPr>
                <w:rFonts w:eastAsia="Times New Roman"/>
              </w:rPr>
            </w:pPr>
            <w:r>
              <w:rPr>
                <w:rFonts w:eastAsia="Times New Roman"/>
              </w:rPr>
              <w:t>1</w:t>
            </w:r>
          </w:p>
        </w:tc>
        <w:tc>
          <w:tcPr>
            <w:tcW w:w="875" w:type="dxa"/>
            <w:shd w:val="clear" w:color="auto" w:fill="FFFFFF" w:themeFill="background1"/>
          </w:tcPr>
          <w:p w14:paraId="78C3240B" w14:textId="77777777" w:rsidR="004437F0" w:rsidRPr="00E359BF" w:rsidRDefault="004437F0" w:rsidP="00FB1C07">
            <w:pPr>
              <w:pStyle w:val="TableTextCentered"/>
              <w:rPr>
                <w:rFonts w:eastAsia="Times New Roman"/>
              </w:rPr>
            </w:pPr>
            <w:r>
              <w:rPr>
                <w:rFonts w:eastAsia="Times New Roman"/>
              </w:rPr>
              <w:t>5</w:t>
            </w:r>
          </w:p>
        </w:tc>
        <w:tc>
          <w:tcPr>
            <w:tcW w:w="875" w:type="dxa"/>
            <w:shd w:val="clear" w:color="auto" w:fill="FFFFFF" w:themeFill="background1"/>
          </w:tcPr>
          <w:p w14:paraId="714AA66A" w14:textId="77777777" w:rsidR="004437F0" w:rsidRPr="00E359BF" w:rsidRDefault="004437F0" w:rsidP="00FB1C07">
            <w:pPr>
              <w:pStyle w:val="TableTextCentered"/>
              <w:rPr>
                <w:rFonts w:eastAsia="Times New Roman"/>
              </w:rPr>
            </w:pPr>
            <w:r>
              <w:rPr>
                <w:rFonts w:eastAsia="Times New Roman"/>
              </w:rPr>
              <w:t>6</w:t>
            </w:r>
          </w:p>
        </w:tc>
        <w:tc>
          <w:tcPr>
            <w:tcW w:w="874" w:type="dxa"/>
            <w:shd w:val="clear" w:color="auto" w:fill="FFFFFF" w:themeFill="background1"/>
          </w:tcPr>
          <w:p w14:paraId="57DF2A6A" w14:textId="77777777" w:rsidR="004437F0" w:rsidRPr="00E359BF" w:rsidRDefault="004437F0" w:rsidP="00FB1C07">
            <w:pPr>
              <w:pStyle w:val="TableTextCentered"/>
              <w:rPr>
                <w:rFonts w:eastAsia="Times New Roman"/>
              </w:rPr>
            </w:pPr>
            <w:r>
              <w:rPr>
                <w:rFonts w:eastAsia="Times New Roman"/>
              </w:rPr>
              <w:t>14</w:t>
            </w:r>
          </w:p>
        </w:tc>
        <w:tc>
          <w:tcPr>
            <w:tcW w:w="875" w:type="dxa"/>
            <w:shd w:val="clear" w:color="auto" w:fill="FFFFFF" w:themeFill="background1"/>
          </w:tcPr>
          <w:p w14:paraId="276B12BB" w14:textId="77777777" w:rsidR="004437F0" w:rsidRPr="00E359BF" w:rsidRDefault="004437F0" w:rsidP="00FB1C07">
            <w:pPr>
              <w:pStyle w:val="TableTextCentered"/>
              <w:rPr>
                <w:rFonts w:eastAsia="Times New Roman"/>
              </w:rPr>
            </w:pPr>
            <w:r>
              <w:rPr>
                <w:rFonts w:eastAsia="Times New Roman"/>
              </w:rPr>
              <w:t>8</w:t>
            </w:r>
          </w:p>
        </w:tc>
        <w:tc>
          <w:tcPr>
            <w:tcW w:w="900" w:type="dxa"/>
            <w:shd w:val="clear" w:color="auto" w:fill="FFFFFF" w:themeFill="background1"/>
          </w:tcPr>
          <w:p w14:paraId="51BA4AD4" w14:textId="77777777" w:rsidR="004437F0" w:rsidRPr="00E359BF" w:rsidRDefault="004437F0" w:rsidP="00FB1C07">
            <w:pPr>
              <w:pStyle w:val="TableTextCentered"/>
              <w:rPr>
                <w:rFonts w:eastAsia="Times New Roman"/>
              </w:rPr>
            </w:pPr>
            <w:r>
              <w:rPr>
                <w:rFonts w:eastAsia="Times New Roman"/>
              </w:rPr>
              <w:t>34</w:t>
            </w:r>
          </w:p>
        </w:tc>
        <w:tc>
          <w:tcPr>
            <w:tcW w:w="892" w:type="dxa"/>
            <w:shd w:val="clear" w:color="auto" w:fill="FFFFFF" w:themeFill="background1"/>
          </w:tcPr>
          <w:p w14:paraId="72D57803" w14:textId="77777777" w:rsidR="004437F0" w:rsidRPr="00E359BF" w:rsidRDefault="004437F0" w:rsidP="00FB1C07">
            <w:pPr>
              <w:pStyle w:val="TableTextCentered"/>
              <w:rPr>
                <w:rFonts w:eastAsia="Times New Roman"/>
              </w:rPr>
            </w:pPr>
            <w:r>
              <w:rPr>
                <w:rFonts w:eastAsia="Times New Roman"/>
              </w:rPr>
              <w:t>5.7</w:t>
            </w:r>
          </w:p>
        </w:tc>
      </w:tr>
      <w:tr w:rsidR="004437F0" w:rsidRPr="00E359BF" w14:paraId="7803061B" w14:textId="77777777" w:rsidTr="00FB1C07">
        <w:trPr>
          <w:jc w:val="center"/>
        </w:trPr>
        <w:tc>
          <w:tcPr>
            <w:tcW w:w="1431" w:type="dxa"/>
            <w:shd w:val="clear" w:color="auto" w:fill="DEEAF6" w:themeFill="accent1" w:themeFillTint="33"/>
          </w:tcPr>
          <w:p w14:paraId="358898BA" w14:textId="77777777" w:rsidR="004437F0" w:rsidRPr="00E359BF" w:rsidRDefault="004437F0" w:rsidP="00FB1C07">
            <w:pPr>
              <w:pStyle w:val="TableText"/>
            </w:pPr>
            <w:r>
              <w:t>Grades 6-8</w:t>
            </w:r>
          </w:p>
        </w:tc>
        <w:tc>
          <w:tcPr>
            <w:tcW w:w="874" w:type="dxa"/>
            <w:shd w:val="clear" w:color="auto" w:fill="DEEAF6" w:themeFill="accent1" w:themeFillTint="33"/>
          </w:tcPr>
          <w:p w14:paraId="5457DFF4" w14:textId="77777777" w:rsidR="004437F0" w:rsidRPr="00E359BF" w:rsidRDefault="004437F0" w:rsidP="00FB1C07">
            <w:pPr>
              <w:pStyle w:val="TableTextCentered"/>
              <w:rPr>
                <w:rFonts w:eastAsia="Times New Roman"/>
              </w:rPr>
            </w:pPr>
            <w:r>
              <w:rPr>
                <w:rFonts w:eastAsia="Times New Roman"/>
              </w:rPr>
              <w:t>0</w:t>
            </w:r>
          </w:p>
        </w:tc>
        <w:tc>
          <w:tcPr>
            <w:tcW w:w="874" w:type="dxa"/>
            <w:shd w:val="clear" w:color="auto" w:fill="DEEAF6" w:themeFill="accent1" w:themeFillTint="33"/>
          </w:tcPr>
          <w:p w14:paraId="4A376FF4" w14:textId="77777777" w:rsidR="004437F0" w:rsidRPr="00E359BF" w:rsidRDefault="004437F0" w:rsidP="00FB1C07">
            <w:pPr>
              <w:pStyle w:val="TableTextCentered"/>
              <w:rPr>
                <w:rFonts w:eastAsia="Times New Roman"/>
              </w:rPr>
            </w:pPr>
            <w:r>
              <w:rPr>
                <w:rFonts w:eastAsia="Times New Roman"/>
              </w:rPr>
              <w:t>0</w:t>
            </w:r>
          </w:p>
        </w:tc>
        <w:tc>
          <w:tcPr>
            <w:tcW w:w="874" w:type="dxa"/>
            <w:shd w:val="clear" w:color="auto" w:fill="DEEAF6" w:themeFill="accent1" w:themeFillTint="33"/>
          </w:tcPr>
          <w:p w14:paraId="4BCEB516" w14:textId="77777777" w:rsidR="004437F0" w:rsidRPr="00E359BF" w:rsidRDefault="004437F0" w:rsidP="00FB1C07">
            <w:pPr>
              <w:pStyle w:val="TableTextCentered"/>
              <w:rPr>
                <w:rFonts w:eastAsia="Times New Roman"/>
              </w:rPr>
            </w:pPr>
            <w:r>
              <w:rPr>
                <w:rFonts w:eastAsia="Times New Roman"/>
              </w:rPr>
              <w:t>0</w:t>
            </w:r>
          </w:p>
        </w:tc>
        <w:tc>
          <w:tcPr>
            <w:tcW w:w="875" w:type="dxa"/>
            <w:shd w:val="clear" w:color="auto" w:fill="DEEAF6" w:themeFill="accent1" w:themeFillTint="33"/>
          </w:tcPr>
          <w:p w14:paraId="5405F7D7" w14:textId="77777777" w:rsidR="004437F0" w:rsidRPr="00E359BF" w:rsidRDefault="004437F0" w:rsidP="00FB1C07">
            <w:pPr>
              <w:pStyle w:val="TableTextCentered"/>
              <w:rPr>
                <w:rFonts w:eastAsia="Times New Roman"/>
              </w:rPr>
            </w:pPr>
            <w:r>
              <w:rPr>
                <w:rFonts w:eastAsia="Times New Roman"/>
              </w:rPr>
              <w:t>2</w:t>
            </w:r>
          </w:p>
        </w:tc>
        <w:tc>
          <w:tcPr>
            <w:tcW w:w="875" w:type="dxa"/>
            <w:shd w:val="clear" w:color="auto" w:fill="DEEAF6" w:themeFill="accent1" w:themeFillTint="33"/>
          </w:tcPr>
          <w:p w14:paraId="0401CDB3" w14:textId="77777777" w:rsidR="004437F0" w:rsidRPr="00E359BF" w:rsidRDefault="004437F0" w:rsidP="00FB1C07">
            <w:pPr>
              <w:pStyle w:val="TableTextCentered"/>
              <w:rPr>
                <w:rFonts w:eastAsia="Times New Roman"/>
              </w:rPr>
            </w:pPr>
            <w:r>
              <w:rPr>
                <w:rFonts w:eastAsia="Times New Roman"/>
              </w:rPr>
              <w:t>5</w:t>
            </w:r>
          </w:p>
        </w:tc>
        <w:tc>
          <w:tcPr>
            <w:tcW w:w="874" w:type="dxa"/>
            <w:shd w:val="clear" w:color="auto" w:fill="DEEAF6" w:themeFill="accent1" w:themeFillTint="33"/>
          </w:tcPr>
          <w:p w14:paraId="543CF04B" w14:textId="77777777" w:rsidR="004437F0" w:rsidRPr="00E359BF" w:rsidRDefault="004437F0" w:rsidP="00FB1C07">
            <w:pPr>
              <w:pStyle w:val="TableTextCentered"/>
              <w:rPr>
                <w:rFonts w:eastAsia="Times New Roman"/>
              </w:rPr>
            </w:pPr>
            <w:r>
              <w:rPr>
                <w:rFonts w:eastAsia="Times New Roman"/>
              </w:rPr>
              <w:t>4</w:t>
            </w:r>
          </w:p>
        </w:tc>
        <w:tc>
          <w:tcPr>
            <w:tcW w:w="875" w:type="dxa"/>
            <w:shd w:val="clear" w:color="auto" w:fill="DEEAF6" w:themeFill="accent1" w:themeFillTint="33"/>
          </w:tcPr>
          <w:p w14:paraId="40DB43CA" w14:textId="77777777" w:rsidR="004437F0" w:rsidRPr="00E359BF" w:rsidRDefault="004437F0" w:rsidP="00FB1C07">
            <w:pPr>
              <w:pStyle w:val="TableTextCentered"/>
              <w:rPr>
                <w:rFonts w:eastAsia="Times New Roman"/>
              </w:rPr>
            </w:pPr>
            <w:r>
              <w:rPr>
                <w:rFonts w:eastAsia="Times New Roman"/>
              </w:rPr>
              <w:t>9</w:t>
            </w:r>
          </w:p>
        </w:tc>
        <w:tc>
          <w:tcPr>
            <w:tcW w:w="900" w:type="dxa"/>
            <w:shd w:val="clear" w:color="auto" w:fill="DEEAF6" w:themeFill="accent1" w:themeFillTint="33"/>
          </w:tcPr>
          <w:p w14:paraId="36C46E5B" w14:textId="77777777" w:rsidR="004437F0" w:rsidRPr="00E359BF" w:rsidRDefault="004437F0" w:rsidP="00FB1C07">
            <w:pPr>
              <w:pStyle w:val="TableTextCentered"/>
              <w:rPr>
                <w:rFonts w:eastAsia="Times New Roman"/>
              </w:rPr>
            </w:pPr>
            <w:r>
              <w:rPr>
                <w:rFonts w:eastAsia="Times New Roman"/>
              </w:rPr>
              <w:t>20</w:t>
            </w:r>
          </w:p>
        </w:tc>
        <w:tc>
          <w:tcPr>
            <w:tcW w:w="892" w:type="dxa"/>
            <w:shd w:val="clear" w:color="auto" w:fill="DEEAF6" w:themeFill="accent1" w:themeFillTint="33"/>
          </w:tcPr>
          <w:p w14:paraId="28CA67F6" w14:textId="77777777" w:rsidR="004437F0" w:rsidRPr="00E359BF" w:rsidRDefault="004437F0" w:rsidP="00FB1C07">
            <w:pPr>
              <w:pStyle w:val="TableTextCentered"/>
              <w:rPr>
                <w:rFonts w:eastAsia="Times New Roman"/>
              </w:rPr>
            </w:pPr>
            <w:r>
              <w:rPr>
                <w:rFonts w:eastAsia="Times New Roman"/>
              </w:rPr>
              <w:t>6.0</w:t>
            </w:r>
          </w:p>
        </w:tc>
      </w:tr>
      <w:tr w:rsidR="004437F0" w:rsidRPr="00E359BF" w14:paraId="2D972CF1" w14:textId="77777777" w:rsidTr="00FB1C07">
        <w:trPr>
          <w:cnfStyle w:val="000000100000" w:firstRow="0" w:lastRow="0" w:firstColumn="0" w:lastColumn="0" w:oddVBand="0" w:evenVBand="0" w:oddHBand="1" w:evenHBand="0" w:firstRowFirstColumn="0" w:firstRowLastColumn="0" w:lastRowFirstColumn="0" w:lastRowLastColumn="0"/>
          <w:jc w:val="center"/>
        </w:trPr>
        <w:tc>
          <w:tcPr>
            <w:tcW w:w="1431" w:type="dxa"/>
            <w:shd w:val="clear" w:color="auto" w:fill="FFFFFF" w:themeFill="background1"/>
          </w:tcPr>
          <w:p w14:paraId="270E2D6D" w14:textId="77777777" w:rsidR="004437F0" w:rsidRPr="00E359BF" w:rsidRDefault="004437F0" w:rsidP="00FB1C07">
            <w:pPr>
              <w:pStyle w:val="TableText"/>
            </w:pPr>
            <w:r>
              <w:t>Grades 9-12</w:t>
            </w:r>
          </w:p>
        </w:tc>
        <w:tc>
          <w:tcPr>
            <w:tcW w:w="874" w:type="dxa"/>
            <w:shd w:val="clear" w:color="auto" w:fill="FFFFFF" w:themeFill="background1"/>
          </w:tcPr>
          <w:p w14:paraId="65F16C90" w14:textId="77777777" w:rsidR="004437F0" w:rsidRPr="00E359BF" w:rsidRDefault="004437F0" w:rsidP="00FB1C07">
            <w:pPr>
              <w:pStyle w:val="TableTextCentered"/>
              <w:rPr>
                <w:rFonts w:eastAsia="Times New Roman"/>
              </w:rPr>
            </w:pPr>
            <w:r>
              <w:rPr>
                <w:rFonts w:eastAsia="Times New Roman"/>
              </w:rPr>
              <w:t>0</w:t>
            </w:r>
          </w:p>
        </w:tc>
        <w:tc>
          <w:tcPr>
            <w:tcW w:w="874" w:type="dxa"/>
            <w:shd w:val="clear" w:color="auto" w:fill="FFFFFF" w:themeFill="background1"/>
          </w:tcPr>
          <w:p w14:paraId="79DEB277" w14:textId="77777777" w:rsidR="004437F0" w:rsidRPr="00E359BF" w:rsidRDefault="004437F0" w:rsidP="00FB1C07">
            <w:pPr>
              <w:pStyle w:val="TableTextCentered"/>
              <w:rPr>
                <w:rFonts w:eastAsia="Times New Roman"/>
              </w:rPr>
            </w:pPr>
            <w:r>
              <w:rPr>
                <w:rFonts w:eastAsia="Times New Roman"/>
              </w:rPr>
              <w:t>1</w:t>
            </w:r>
          </w:p>
        </w:tc>
        <w:tc>
          <w:tcPr>
            <w:tcW w:w="874" w:type="dxa"/>
            <w:shd w:val="clear" w:color="auto" w:fill="FFFFFF" w:themeFill="background1"/>
          </w:tcPr>
          <w:p w14:paraId="6F717D7B" w14:textId="77777777" w:rsidR="004437F0" w:rsidRPr="00E359BF" w:rsidRDefault="004437F0" w:rsidP="00FB1C07">
            <w:pPr>
              <w:pStyle w:val="TableTextCentered"/>
              <w:rPr>
                <w:rFonts w:eastAsia="Times New Roman"/>
              </w:rPr>
            </w:pPr>
            <w:r>
              <w:rPr>
                <w:rFonts w:eastAsia="Times New Roman"/>
              </w:rPr>
              <w:t>2</w:t>
            </w:r>
          </w:p>
        </w:tc>
        <w:tc>
          <w:tcPr>
            <w:tcW w:w="875" w:type="dxa"/>
            <w:shd w:val="clear" w:color="auto" w:fill="FFFFFF" w:themeFill="background1"/>
          </w:tcPr>
          <w:p w14:paraId="6FE7DA6E" w14:textId="77777777" w:rsidR="004437F0" w:rsidRPr="00E359BF" w:rsidRDefault="004437F0" w:rsidP="00FB1C07">
            <w:pPr>
              <w:pStyle w:val="TableTextCentered"/>
              <w:rPr>
                <w:rFonts w:eastAsia="Times New Roman"/>
              </w:rPr>
            </w:pPr>
            <w:r>
              <w:rPr>
                <w:rFonts w:eastAsia="Times New Roman"/>
              </w:rPr>
              <w:t>3</w:t>
            </w:r>
          </w:p>
        </w:tc>
        <w:tc>
          <w:tcPr>
            <w:tcW w:w="875" w:type="dxa"/>
            <w:shd w:val="clear" w:color="auto" w:fill="FFFFFF" w:themeFill="background1"/>
          </w:tcPr>
          <w:p w14:paraId="2CB3ACD1" w14:textId="77777777" w:rsidR="004437F0" w:rsidRPr="00E359BF" w:rsidRDefault="004437F0" w:rsidP="00FB1C07">
            <w:pPr>
              <w:pStyle w:val="TableTextCentered"/>
              <w:rPr>
                <w:rFonts w:eastAsia="Times New Roman"/>
              </w:rPr>
            </w:pPr>
            <w:r>
              <w:rPr>
                <w:rFonts w:eastAsia="Times New Roman"/>
              </w:rPr>
              <w:t>2</w:t>
            </w:r>
          </w:p>
        </w:tc>
        <w:tc>
          <w:tcPr>
            <w:tcW w:w="874" w:type="dxa"/>
            <w:shd w:val="clear" w:color="auto" w:fill="FFFFFF" w:themeFill="background1"/>
          </w:tcPr>
          <w:p w14:paraId="03F99556" w14:textId="77777777" w:rsidR="004437F0" w:rsidRPr="00E359BF" w:rsidRDefault="004437F0" w:rsidP="00FB1C07">
            <w:pPr>
              <w:pStyle w:val="TableTextCentered"/>
              <w:rPr>
                <w:rFonts w:eastAsia="Times New Roman"/>
              </w:rPr>
            </w:pPr>
            <w:r>
              <w:rPr>
                <w:rFonts w:eastAsia="Times New Roman"/>
              </w:rPr>
              <w:t>3</w:t>
            </w:r>
          </w:p>
        </w:tc>
        <w:tc>
          <w:tcPr>
            <w:tcW w:w="875" w:type="dxa"/>
            <w:shd w:val="clear" w:color="auto" w:fill="FFFFFF" w:themeFill="background1"/>
          </w:tcPr>
          <w:p w14:paraId="18E2BBB1" w14:textId="77777777" w:rsidR="004437F0" w:rsidRPr="00E359BF" w:rsidRDefault="004437F0" w:rsidP="00FB1C07">
            <w:pPr>
              <w:pStyle w:val="TableTextCentered"/>
              <w:rPr>
                <w:rFonts w:eastAsia="Times New Roman"/>
              </w:rPr>
            </w:pPr>
            <w:r>
              <w:rPr>
                <w:rFonts w:eastAsia="Times New Roman"/>
              </w:rPr>
              <w:t>9</w:t>
            </w:r>
          </w:p>
        </w:tc>
        <w:tc>
          <w:tcPr>
            <w:tcW w:w="900" w:type="dxa"/>
            <w:shd w:val="clear" w:color="auto" w:fill="FFFFFF" w:themeFill="background1"/>
          </w:tcPr>
          <w:p w14:paraId="4D4738A9" w14:textId="77777777" w:rsidR="004437F0" w:rsidRPr="00E359BF" w:rsidRDefault="004437F0" w:rsidP="00FB1C07">
            <w:pPr>
              <w:pStyle w:val="TableTextCentered"/>
              <w:rPr>
                <w:rFonts w:eastAsia="Times New Roman"/>
              </w:rPr>
            </w:pPr>
            <w:r>
              <w:rPr>
                <w:rFonts w:eastAsia="Times New Roman"/>
              </w:rPr>
              <w:t>20</w:t>
            </w:r>
          </w:p>
        </w:tc>
        <w:tc>
          <w:tcPr>
            <w:tcW w:w="892" w:type="dxa"/>
            <w:shd w:val="clear" w:color="auto" w:fill="FFFFFF" w:themeFill="background1"/>
          </w:tcPr>
          <w:p w14:paraId="4055908C" w14:textId="77777777" w:rsidR="004437F0" w:rsidRPr="00E359BF" w:rsidRDefault="004437F0" w:rsidP="00FB1C07">
            <w:pPr>
              <w:pStyle w:val="TableTextCentered"/>
              <w:rPr>
                <w:rFonts w:eastAsia="Times New Roman"/>
              </w:rPr>
            </w:pPr>
            <w:r>
              <w:rPr>
                <w:rFonts w:eastAsia="Times New Roman"/>
              </w:rPr>
              <w:t>5.6</w:t>
            </w:r>
          </w:p>
        </w:tc>
      </w:tr>
      <w:tr w:rsidR="004437F0" w:rsidRPr="00E359BF" w14:paraId="2F8B04F8" w14:textId="77777777" w:rsidTr="00FB1C07">
        <w:trPr>
          <w:jc w:val="center"/>
        </w:trPr>
        <w:tc>
          <w:tcPr>
            <w:tcW w:w="1431" w:type="dxa"/>
            <w:shd w:val="clear" w:color="auto" w:fill="DEEAF6" w:themeFill="accent1" w:themeFillTint="33"/>
          </w:tcPr>
          <w:p w14:paraId="1BA3EA7A" w14:textId="77777777" w:rsidR="004437F0" w:rsidRPr="00B30BCD" w:rsidRDefault="004437F0" w:rsidP="00FB1C07">
            <w:pPr>
              <w:pStyle w:val="TableText"/>
              <w:rPr>
                <w:b/>
                <w:bCs/>
              </w:rPr>
            </w:pPr>
            <w:r w:rsidRPr="00B30BCD">
              <w:rPr>
                <w:b/>
                <w:bCs/>
              </w:rPr>
              <w:t>Totals</w:t>
            </w:r>
          </w:p>
        </w:tc>
        <w:tc>
          <w:tcPr>
            <w:tcW w:w="874" w:type="dxa"/>
            <w:shd w:val="clear" w:color="auto" w:fill="DEEAF6" w:themeFill="accent1" w:themeFillTint="33"/>
          </w:tcPr>
          <w:p w14:paraId="7A670463" w14:textId="77777777" w:rsidR="004437F0" w:rsidRPr="00B30BCD" w:rsidRDefault="004437F0" w:rsidP="00FB1C07">
            <w:pPr>
              <w:pStyle w:val="TableTextCentered"/>
              <w:rPr>
                <w:rFonts w:eastAsia="Times New Roman"/>
                <w:b/>
                <w:bCs/>
              </w:rPr>
            </w:pPr>
            <w:r>
              <w:rPr>
                <w:rFonts w:eastAsia="Times New Roman"/>
                <w:b/>
                <w:bCs/>
              </w:rPr>
              <w:t>0</w:t>
            </w:r>
          </w:p>
        </w:tc>
        <w:tc>
          <w:tcPr>
            <w:tcW w:w="874" w:type="dxa"/>
            <w:shd w:val="clear" w:color="auto" w:fill="DEEAF6" w:themeFill="accent1" w:themeFillTint="33"/>
          </w:tcPr>
          <w:p w14:paraId="5D204166" w14:textId="77777777" w:rsidR="004437F0" w:rsidRPr="00B30BCD" w:rsidRDefault="004437F0" w:rsidP="00FB1C07">
            <w:pPr>
              <w:pStyle w:val="TableTextCentered"/>
              <w:rPr>
                <w:rFonts w:eastAsia="Times New Roman"/>
                <w:b/>
                <w:bCs/>
              </w:rPr>
            </w:pPr>
            <w:r>
              <w:rPr>
                <w:rFonts w:eastAsia="Times New Roman"/>
                <w:b/>
                <w:bCs/>
              </w:rPr>
              <w:t>1</w:t>
            </w:r>
          </w:p>
        </w:tc>
        <w:tc>
          <w:tcPr>
            <w:tcW w:w="874" w:type="dxa"/>
            <w:shd w:val="clear" w:color="auto" w:fill="DEEAF6" w:themeFill="accent1" w:themeFillTint="33"/>
          </w:tcPr>
          <w:p w14:paraId="3979D493" w14:textId="77777777" w:rsidR="004437F0" w:rsidRPr="00B30BCD" w:rsidRDefault="004437F0" w:rsidP="00FB1C07">
            <w:pPr>
              <w:pStyle w:val="TableTextCentered"/>
              <w:rPr>
                <w:rFonts w:eastAsia="Times New Roman"/>
                <w:b/>
                <w:bCs/>
              </w:rPr>
            </w:pPr>
            <w:r>
              <w:rPr>
                <w:rFonts w:eastAsia="Times New Roman"/>
                <w:b/>
                <w:bCs/>
              </w:rPr>
              <w:t>3</w:t>
            </w:r>
          </w:p>
        </w:tc>
        <w:tc>
          <w:tcPr>
            <w:tcW w:w="875" w:type="dxa"/>
            <w:shd w:val="clear" w:color="auto" w:fill="DEEAF6" w:themeFill="accent1" w:themeFillTint="33"/>
          </w:tcPr>
          <w:p w14:paraId="11DCE22C" w14:textId="77777777" w:rsidR="004437F0" w:rsidRPr="00B30BCD" w:rsidRDefault="004437F0" w:rsidP="00FB1C07">
            <w:pPr>
              <w:pStyle w:val="TableTextCentered"/>
              <w:rPr>
                <w:rFonts w:eastAsia="Times New Roman"/>
                <w:b/>
                <w:bCs/>
              </w:rPr>
            </w:pPr>
            <w:r>
              <w:rPr>
                <w:rFonts w:eastAsia="Times New Roman"/>
                <w:b/>
                <w:bCs/>
              </w:rPr>
              <w:t>10</w:t>
            </w:r>
          </w:p>
        </w:tc>
        <w:tc>
          <w:tcPr>
            <w:tcW w:w="875" w:type="dxa"/>
            <w:shd w:val="clear" w:color="auto" w:fill="DEEAF6" w:themeFill="accent1" w:themeFillTint="33"/>
          </w:tcPr>
          <w:p w14:paraId="61DD727F" w14:textId="77777777" w:rsidR="004437F0" w:rsidRPr="00B30BCD" w:rsidRDefault="004437F0" w:rsidP="00FB1C07">
            <w:pPr>
              <w:pStyle w:val="TableTextCentered"/>
              <w:rPr>
                <w:rFonts w:eastAsia="Times New Roman"/>
                <w:b/>
                <w:bCs/>
              </w:rPr>
            </w:pPr>
            <w:r>
              <w:rPr>
                <w:rFonts w:eastAsia="Times New Roman"/>
                <w:b/>
                <w:bCs/>
              </w:rPr>
              <w:t>13</w:t>
            </w:r>
          </w:p>
        </w:tc>
        <w:tc>
          <w:tcPr>
            <w:tcW w:w="874" w:type="dxa"/>
            <w:shd w:val="clear" w:color="auto" w:fill="DEEAF6" w:themeFill="accent1" w:themeFillTint="33"/>
          </w:tcPr>
          <w:p w14:paraId="077E5B0A" w14:textId="77777777" w:rsidR="004437F0" w:rsidRPr="00B30BCD" w:rsidRDefault="004437F0" w:rsidP="00FB1C07">
            <w:pPr>
              <w:pStyle w:val="TableTextCentered"/>
              <w:rPr>
                <w:rFonts w:eastAsia="Times New Roman"/>
                <w:b/>
                <w:bCs/>
              </w:rPr>
            </w:pPr>
            <w:r>
              <w:rPr>
                <w:rFonts w:eastAsia="Times New Roman"/>
                <w:b/>
                <w:bCs/>
              </w:rPr>
              <w:t>21</w:t>
            </w:r>
          </w:p>
        </w:tc>
        <w:tc>
          <w:tcPr>
            <w:tcW w:w="875" w:type="dxa"/>
            <w:shd w:val="clear" w:color="auto" w:fill="DEEAF6" w:themeFill="accent1" w:themeFillTint="33"/>
          </w:tcPr>
          <w:p w14:paraId="15774D80" w14:textId="77777777" w:rsidR="004437F0" w:rsidRPr="00B30BCD" w:rsidRDefault="004437F0" w:rsidP="00FB1C07">
            <w:pPr>
              <w:pStyle w:val="TableTextCentered"/>
              <w:rPr>
                <w:rFonts w:eastAsia="Times New Roman"/>
                <w:b/>
                <w:bCs/>
              </w:rPr>
            </w:pPr>
            <w:r>
              <w:rPr>
                <w:rFonts w:eastAsia="Times New Roman"/>
                <w:b/>
                <w:bCs/>
              </w:rPr>
              <w:t>26</w:t>
            </w:r>
          </w:p>
        </w:tc>
        <w:tc>
          <w:tcPr>
            <w:tcW w:w="900" w:type="dxa"/>
            <w:shd w:val="clear" w:color="auto" w:fill="DEEAF6" w:themeFill="accent1" w:themeFillTint="33"/>
          </w:tcPr>
          <w:p w14:paraId="1CE4EA30" w14:textId="77777777" w:rsidR="004437F0" w:rsidRPr="00B30BCD" w:rsidRDefault="004437F0" w:rsidP="00FB1C07">
            <w:pPr>
              <w:pStyle w:val="TableTextCentered"/>
              <w:rPr>
                <w:rFonts w:eastAsia="Times New Roman"/>
                <w:b/>
                <w:bCs/>
              </w:rPr>
            </w:pPr>
            <w:r>
              <w:rPr>
                <w:rFonts w:eastAsia="Times New Roman"/>
                <w:b/>
                <w:bCs/>
              </w:rPr>
              <w:t>74</w:t>
            </w:r>
          </w:p>
        </w:tc>
        <w:tc>
          <w:tcPr>
            <w:tcW w:w="892" w:type="dxa"/>
            <w:shd w:val="clear" w:color="auto" w:fill="DEEAF6" w:themeFill="accent1" w:themeFillTint="33"/>
          </w:tcPr>
          <w:p w14:paraId="14F9003E" w14:textId="77777777" w:rsidR="004437F0" w:rsidRPr="00B30BCD" w:rsidRDefault="004437F0" w:rsidP="00FB1C07">
            <w:pPr>
              <w:pStyle w:val="TableTextCentered"/>
              <w:rPr>
                <w:rFonts w:eastAsia="Times New Roman"/>
                <w:b/>
                <w:bCs/>
              </w:rPr>
            </w:pPr>
            <w:r>
              <w:rPr>
                <w:rFonts w:eastAsia="Times New Roman"/>
                <w:b/>
                <w:bCs/>
              </w:rPr>
              <w:t>5.7</w:t>
            </w:r>
          </w:p>
        </w:tc>
      </w:tr>
    </w:tbl>
    <w:bookmarkEnd w:id="118"/>
    <w:p w14:paraId="132B1C1D" w14:textId="02B8ECC4" w:rsidR="007303EE" w:rsidRPr="00797379" w:rsidRDefault="007303EE" w:rsidP="00A83672">
      <w:pPr>
        <w:pStyle w:val="TableNote"/>
      </w:pPr>
      <w:r w:rsidRPr="00797379">
        <w:t xml:space="preserve">*The district average is an average of the observation scores. In Table 4, the district average is computed as: </w:t>
      </w:r>
      <w:bookmarkStart w:id="119" w:name="Dist_TS_Calc"/>
      <w:r w:rsidRPr="00797379">
        <w:t>([2 x 1] + [3 x 3] + [4 x 10] + [5 x 13] + [6 x 21] + [7 x 26]) ÷ 74 observations = 5.7</w:t>
      </w:r>
      <w:bookmarkEnd w:id="119"/>
    </w:p>
    <w:p w14:paraId="77E23F5A" w14:textId="77777777" w:rsidR="007303EE" w:rsidRPr="00797379" w:rsidRDefault="007303EE" w:rsidP="00A83672">
      <w:pPr>
        <w:pStyle w:val="BodyText"/>
      </w:pPr>
      <w:r w:rsidRPr="00797379">
        <w:rPr>
          <w:rStyle w:val="BodyTextDemiChar"/>
        </w:rPr>
        <w:t>Ratings in the Low Range.</w:t>
      </w:r>
      <w:r w:rsidRPr="00797379">
        <w:t xml:space="preserve"> In these sessions, the teacher has not been aware of students who </w:t>
      </w:r>
      <w:r w:rsidRPr="00797379">
        <w:rPr>
          <w:spacing w:val="-4"/>
        </w:rPr>
        <w:t>need extra support and pays little attention to students’ needs. As a result, students are frustrated</w:t>
      </w:r>
      <w:r w:rsidRPr="00797379">
        <w:t xml:space="preserve">, confused, and disengaged. The teacher is unresponsive to and dismissive of students and may ignore students, squash their enthusiasm, and not allow them to share their moods or feelings. </w:t>
      </w:r>
      <w:r w:rsidRPr="00797379">
        <w:rPr>
          <w:spacing w:val="-4"/>
        </w:rPr>
        <w:t>The teacher is not effective in addressing students’ needs and does not appropriately acknowledge situations that may be upsetting to students. Students rarely seek support from the teacher</w:t>
      </w:r>
      <w:r w:rsidRPr="00797379">
        <w:t xml:space="preserve"> and minimize conversations with the teacher, not sharing ideas or responding to questions.</w:t>
      </w:r>
    </w:p>
    <w:p w14:paraId="3DA55017" w14:textId="4BF7F683" w:rsidR="007303EE" w:rsidRPr="00797379" w:rsidRDefault="007303EE" w:rsidP="00A83672">
      <w:pPr>
        <w:pStyle w:val="BodyTextposthead"/>
      </w:pPr>
      <w:r w:rsidRPr="00797379">
        <w:rPr>
          <w:rStyle w:val="BodyTextDemiChar"/>
        </w:rPr>
        <w:t>Ratings in the Middle Range.</w:t>
      </w:r>
      <w:r w:rsidRPr="00797379">
        <w:t xml:space="preserve"> The teacher is sometimes aware of student needs or aware of only a limited type of student needs, such as academic needs, not social-emotional needs. Or the teacher may be aware of some students and not of other students. The teacher does not always realize a student is confused and needs extra help or when a student already knows the material being taught. The teacher may be responsive at times to students but at other times may ignore or dismiss students. The teacher may respond only to students who are upbeat and positive and not support students who are upset. Sometimes, the teacher is effective in addressing students’ concerns or problems, but not always.</w:t>
      </w:r>
    </w:p>
    <w:p w14:paraId="7B0A5F87" w14:textId="290F5336" w:rsidR="007303EE" w:rsidRPr="00797379" w:rsidRDefault="007303EE" w:rsidP="00A83672">
      <w:pPr>
        <w:pStyle w:val="BodyTextposthead"/>
      </w:pPr>
      <w:r w:rsidRPr="00797379">
        <w:rPr>
          <w:rStyle w:val="BodyTextDemiChar"/>
        </w:rPr>
        <w:t>Ratings in the High Range.</w:t>
      </w:r>
      <w:r w:rsidRPr="00797379">
        <w:t xml:space="preserve"> The teacher’s awareness of students and their needs is consistent </w:t>
      </w:r>
      <w:r w:rsidRPr="00797379">
        <w:rPr>
          <w:spacing w:val="-4"/>
        </w:rPr>
        <w:t>and accurate. The teacher may predict how difficult a new task is for a student and acknowledge</w:t>
      </w:r>
      <w:r w:rsidRPr="00797379">
        <w:t xml:space="preserve"> this difficulty. The teacher is responsive to students’ comments and behaviors, whether positive or negative. The teacher consistently addresses students’ problems and concerns and is effective in doing so. Students are obviously comfortable with the teacher and share ideas, work comfortably together, and ask and respond to questions, even difficult questions.</w:t>
      </w:r>
      <w:r w:rsidRPr="00797379">
        <w:br w:type="page"/>
      </w:r>
    </w:p>
    <w:p w14:paraId="57FFB04F" w14:textId="77777777" w:rsidR="007303EE" w:rsidRPr="00797379" w:rsidRDefault="007303EE" w:rsidP="00DB6F03">
      <w:pPr>
        <w:pStyle w:val="Heading2-SIOR"/>
        <w:outlineLvl w:val="2"/>
      </w:pPr>
      <w:bookmarkStart w:id="120" w:name="_Toc411329829"/>
      <w:bookmarkStart w:id="121" w:name="_Toc430114877"/>
      <w:bookmarkStart w:id="122" w:name="_Toc220931747"/>
      <w:r w:rsidRPr="00797379">
        <w:t>Regard for Student Perspectives</w:t>
      </w:r>
      <w:bookmarkEnd w:id="120"/>
      <w:bookmarkEnd w:id="121"/>
      <w:bookmarkEnd w:id="122"/>
    </w:p>
    <w:p w14:paraId="071BA0B1" w14:textId="77777777" w:rsidR="007303EE" w:rsidRPr="00797379" w:rsidRDefault="007303EE">
      <w:pPr>
        <w:pStyle w:val="BodyTextDomain"/>
      </w:pPr>
      <w:r w:rsidRPr="00797379">
        <w:t>Emotional Support domain, Grades PK−12</w:t>
      </w:r>
    </w:p>
    <w:p w14:paraId="49F05F8C" w14:textId="7595035C" w:rsidR="007303EE" w:rsidRPr="00797379" w:rsidRDefault="007303EE" w:rsidP="00A62012">
      <w:pPr>
        <w:pStyle w:val="BodyTextposthead"/>
      </w:pPr>
      <w:r w:rsidRPr="00797379">
        <w:t>Regard for Student Perspectives captures the degree to which the teacher’s interactions with students and classroom activities place an emphasis on students’ interests, motivations, and points of view and encourage student responsibility and autonomy (</w:t>
      </w:r>
      <w:r w:rsidRPr="00797379">
        <w:rPr>
          <w:i/>
        </w:rPr>
        <w:t>CLASS PK–3 Manual,</w:t>
      </w:r>
      <w:r w:rsidRPr="00797379">
        <w:t xml:space="preserve"> p. 38, </w:t>
      </w:r>
      <w:r w:rsidRPr="00797379">
        <w:rPr>
          <w:i/>
        </w:rPr>
        <w:t xml:space="preserve">CLASS Upper Elementary Manual, </w:t>
      </w:r>
      <w:r w:rsidRPr="00797379">
        <w:t xml:space="preserve">p. 35, </w:t>
      </w:r>
      <w:r w:rsidRPr="00797379">
        <w:rPr>
          <w:i/>
          <w:spacing w:val="-4"/>
        </w:rPr>
        <w:t>CLASS Secondary Manual</w:t>
      </w:r>
      <w:r w:rsidRPr="00797379">
        <w:rPr>
          <w:spacing w:val="-4"/>
        </w:rPr>
        <w:t>, p. 35</w:t>
      </w:r>
      <w:r w:rsidRPr="00797379">
        <w:t>).</w:t>
      </w:r>
    </w:p>
    <w:p w14:paraId="258E4F02" w14:textId="77777777" w:rsidR="007303EE" w:rsidRPr="00797379" w:rsidRDefault="007303EE" w:rsidP="00A62012">
      <w:pPr>
        <w:pStyle w:val="TableTitle0"/>
      </w:pPr>
      <w:bookmarkStart w:id="123" w:name="_Toc220932420"/>
      <w:r w:rsidRPr="00797379">
        <w:t>Table 5. Regard for Student Perspectives: Number of Classrooms for Each Rating and District Average</w:t>
      </w:r>
      <w:bookmarkEnd w:id="123"/>
    </w:p>
    <w:p w14:paraId="5F79CEB3" w14:textId="77777777" w:rsidR="007303EE" w:rsidRPr="00797379" w:rsidRDefault="007303EE">
      <w:pPr>
        <w:pStyle w:val="BodyTextDemi"/>
      </w:pPr>
      <w:r w:rsidRPr="00797379">
        <w:t xml:space="preserve">Regard for Student Perspectives District Average*: </w:t>
      </w:r>
      <w:bookmarkStart w:id="124" w:name="Dist_RSP_Avg"/>
      <w:r w:rsidRPr="00797379">
        <w:t>3.6</w:t>
      </w:r>
      <w:bookmarkEnd w:id="124"/>
    </w:p>
    <w:tbl>
      <w:tblPr>
        <w:tblStyle w:val="MSVTable1"/>
        <w:tblW w:w="5000" w:type="pct"/>
        <w:jc w:val="center"/>
        <w:tblLook w:val="04A0" w:firstRow="1" w:lastRow="0" w:firstColumn="1" w:lastColumn="0" w:noHBand="0" w:noVBand="1"/>
      </w:tblPr>
      <w:tblGrid>
        <w:gridCol w:w="1431"/>
        <w:gridCol w:w="874"/>
        <w:gridCol w:w="874"/>
        <w:gridCol w:w="874"/>
        <w:gridCol w:w="875"/>
        <w:gridCol w:w="875"/>
        <w:gridCol w:w="874"/>
        <w:gridCol w:w="875"/>
        <w:gridCol w:w="900"/>
        <w:gridCol w:w="892"/>
      </w:tblGrid>
      <w:tr w:rsidR="00824454" w:rsidRPr="00E359BF" w14:paraId="5E0DDE4D" w14:textId="77777777" w:rsidTr="00FB1C07">
        <w:trPr>
          <w:cnfStyle w:val="100000000000" w:firstRow="1" w:lastRow="0" w:firstColumn="0" w:lastColumn="0" w:oddVBand="0" w:evenVBand="0" w:oddHBand="0" w:evenHBand="0" w:firstRowFirstColumn="0" w:firstRowLastColumn="0" w:lastRowFirstColumn="0" w:lastRowLastColumn="0"/>
          <w:jc w:val="center"/>
        </w:trPr>
        <w:tc>
          <w:tcPr>
            <w:tcW w:w="1431" w:type="dxa"/>
            <w:vAlign w:val="center"/>
          </w:tcPr>
          <w:p w14:paraId="00A82C02" w14:textId="77777777" w:rsidR="00824454" w:rsidRPr="00E359BF" w:rsidRDefault="00824454" w:rsidP="00FB1C07">
            <w:pPr>
              <w:pStyle w:val="TableColHeadingCenter"/>
              <w:rPr>
                <w:rFonts w:eastAsia="MS Mincho"/>
              </w:rPr>
            </w:pPr>
            <w:bookmarkStart w:id="125" w:name="Tbl_RSP"/>
            <w:r>
              <w:rPr>
                <w:rFonts w:eastAsia="MS Mincho"/>
              </w:rPr>
              <w:t>Grade Band</w:t>
            </w:r>
          </w:p>
        </w:tc>
        <w:tc>
          <w:tcPr>
            <w:tcW w:w="874" w:type="dxa"/>
            <w:vAlign w:val="center"/>
          </w:tcPr>
          <w:p w14:paraId="4EAD09EA" w14:textId="77777777" w:rsidR="00824454" w:rsidRPr="00E359BF" w:rsidRDefault="00824454" w:rsidP="00FB1C07">
            <w:pPr>
              <w:pStyle w:val="TableColHeadingCenter"/>
              <w:rPr>
                <w:rFonts w:eastAsia="MS Mincho"/>
              </w:rPr>
            </w:pPr>
            <w:r w:rsidRPr="00E359BF">
              <w:rPr>
                <w:rFonts w:eastAsia="MS Mincho"/>
              </w:rPr>
              <w:t>Low Range</w:t>
            </w:r>
            <w:r>
              <w:rPr>
                <w:rFonts w:eastAsia="MS Mincho"/>
              </w:rPr>
              <w:t xml:space="preserve"> (1)</w:t>
            </w:r>
          </w:p>
        </w:tc>
        <w:tc>
          <w:tcPr>
            <w:tcW w:w="874" w:type="dxa"/>
            <w:vAlign w:val="center"/>
          </w:tcPr>
          <w:p w14:paraId="5F6230E5" w14:textId="77777777" w:rsidR="00824454" w:rsidRPr="00E359BF" w:rsidRDefault="00824454" w:rsidP="00FB1C07">
            <w:pPr>
              <w:pStyle w:val="TableColHeadingCenter"/>
              <w:rPr>
                <w:rFonts w:eastAsia="MS Mincho"/>
              </w:rPr>
            </w:pPr>
            <w:r w:rsidRPr="00E359BF">
              <w:rPr>
                <w:rFonts w:eastAsia="MS Mincho"/>
              </w:rPr>
              <w:t>Low Range</w:t>
            </w:r>
            <w:r>
              <w:rPr>
                <w:rFonts w:eastAsia="MS Mincho"/>
              </w:rPr>
              <w:t xml:space="preserve"> (2)</w:t>
            </w:r>
          </w:p>
        </w:tc>
        <w:tc>
          <w:tcPr>
            <w:tcW w:w="874" w:type="dxa"/>
            <w:vAlign w:val="center"/>
          </w:tcPr>
          <w:p w14:paraId="54FAB328" w14:textId="77777777" w:rsidR="00824454" w:rsidRPr="00E359BF" w:rsidRDefault="00824454" w:rsidP="00FB1C07">
            <w:pPr>
              <w:pStyle w:val="TableColHeadingCenter"/>
              <w:rPr>
                <w:rFonts w:eastAsia="MS Mincho"/>
              </w:rPr>
            </w:pPr>
            <w:r w:rsidRPr="00E359BF">
              <w:rPr>
                <w:rFonts w:eastAsia="MS Mincho"/>
              </w:rPr>
              <w:t>Middle Range</w:t>
            </w:r>
            <w:r>
              <w:rPr>
                <w:rFonts w:eastAsia="MS Mincho"/>
              </w:rPr>
              <w:t xml:space="preserve"> (3)</w:t>
            </w:r>
          </w:p>
        </w:tc>
        <w:tc>
          <w:tcPr>
            <w:tcW w:w="875" w:type="dxa"/>
            <w:vAlign w:val="center"/>
          </w:tcPr>
          <w:p w14:paraId="30B7E9F0" w14:textId="77777777" w:rsidR="00824454" w:rsidRPr="00E359BF" w:rsidRDefault="00824454" w:rsidP="00FB1C07">
            <w:pPr>
              <w:pStyle w:val="TableColHeadingCenter"/>
              <w:rPr>
                <w:rFonts w:eastAsia="MS Mincho"/>
              </w:rPr>
            </w:pPr>
            <w:r w:rsidRPr="00E359BF">
              <w:rPr>
                <w:rFonts w:eastAsia="MS Mincho"/>
              </w:rPr>
              <w:t>Middle Range</w:t>
            </w:r>
            <w:r>
              <w:rPr>
                <w:rFonts w:eastAsia="MS Mincho"/>
              </w:rPr>
              <w:t xml:space="preserve"> (4)</w:t>
            </w:r>
          </w:p>
        </w:tc>
        <w:tc>
          <w:tcPr>
            <w:tcW w:w="875" w:type="dxa"/>
            <w:vAlign w:val="center"/>
          </w:tcPr>
          <w:p w14:paraId="1A965EF4" w14:textId="77777777" w:rsidR="00824454" w:rsidRPr="00E359BF" w:rsidRDefault="00824454" w:rsidP="00FB1C07">
            <w:pPr>
              <w:pStyle w:val="TableColHeadingCenter"/>
              <w:rPr>
                <w:rFonts w:eastAsia="MS Mincho"/>
              </w:rPr>
            </w:pPr>
            <w:r w:rsidRPr="00E359BF">
              <w:rPr>
                <w:rFonts w:eastAsia="MS Mincho"/>
              </w:rPr>
              <w:t>Middle Range</w:t>
            </w:r>
            <w:r>
              <w:rPr>
                <w:rFonts w:eastAsia="MS Mincho"/>
              </w:rPr>
              <w:t xml:space="preserve"> (5)</w:t>
            </w:r>
          </w:p>
        </w:tc>
        <w:tc>
          <w:tcPr>
            <w:tcW w:w="874" w:type="dxa"/>
            <w:vAlign w:val="center"/>
          </w:tcPr>
          <w:p w14:paraId="15C5640D" w14:textId="77777777" w:rsidR="00824454" w:rsidRPr="00E359BF" w:rsidRDefault="00824454" w:rsidP="00FB1C07">
            <w:pPr>
              <w:pStyle w:val="TableColHeadingCenter"/>
              <w:rPr>
                <w:rFonts w:eastAsia="MS Mincho"/>
              </w:rPr>
            </w:pPr>
            <w:r w:rsidRPr="00E359BF">
              <w:rPr>
                <w:rFonts w:eastAsia="MS Mincho"/>
              </w:rPr>
              <w:t>High Range</w:t>
            </w:r>
            <w:r>
              <w:rPr>
                <w:rFonts w:eastAsia="MS Mincho"/>
              </w:rPr>
              <w:t xml:space="preserve"> (6)</w:t>
            </w:r>
          </w:p>
        </w:tc>
        <w:tc>
          <w:tcPr>
            <w:tcW w:w="875" w:type="dxa"/>
            <w:vAlign w:val="center"/>
          </w:tcPr>
          <w:p w14:paraId="509BFD0C" w14:textId="77777777" w:rsidR="00824454" w:rsidRPr="00E359BF" w:rsidRDefault="00824454" w:rsidP="00FB1C07">
            <w:pPr>
              <w:pStyle w:val="TableColHeadingCenter"/>
              <w:rPr>
                <w:rFonts w:eastAsia="MS Mincho"/>
              </w:rPr>
            </w:pPr>
            <w:r w:rsidRPr="00E359BF">
              <w:rPr>
                <w:rFonts w:eastAsia="MS Mincho"/>
              </w:rPr>
              <w:t>High Range</w:t>
            </w:r>
            <w:r>
              <w:rPr>
                <w:rFonts w:eastAsia="MS Mincho"/>
              </w:rPr>
              <w:t xml:space="preserve"> (7)</w:t>
            </w:r>
          </w:p>
        </w:tc>
        <w:tc>
          <w:tcPr>
            <w:tcW w:w="900" w:type="dxa"/>
            <w:vAlign w:val="center"/>
          </w:tcPr>
          <w:p w14:paraId="0B47834A" w14:textId="77777777" w:rsidR="00824454" w:rsidRPr="00E359BF" w:rsidRDefault="00824454" w:rsidP="00FB1C07">
            <w:pPr>
              <w:pStyle w:val="TableColHeadingCenter"/>
              <w:rPr>
                <w:rFonts w:eastAsia="MS Mincho"/>
              </w:rPr>
            </w:pPr>
            <w:r>
              <w:rPr>
                <w:rFonts w:eastAsia="MS Mincho"/>
              </w:rPr>
              <w:t>n</w:t>
            </w:r>
          </w:p>
        </w:tc>
        <w:tc>
          <w:tcPr>
            <w:tcW w:w="892" w:type="dxa"/>
            <w:vAlign w:val="center"/>
          </w:tcPr>
          <w:p w14:paraId="51845DC3" w14:textId="77777777" w:rsidR="00824454" w:rsidRPr="00E359BF" w:rsidRDefault="00824454" w:rsidP="00FB1C07">
            <w:pPr>
              <w:pStyle w:val="TableColHeadingCenter"/>
              <w:rPr>
                <w:rFonts w:eastAsia="MS Mincho"/>
              </w:rPr>
            </w:pPr>
            <w:r>
              <w:rPr>
                <w:rFonts w:eastAsia="MS Mincho"/>
              </w:rPr>
              <w:t>Average</w:t>
            </w:r>
          </w:p>
        </w:tc>
      </w:tr>
      <w:tr w:rsidR="00824454" w:rsidRPr="00E359BF" w14:paraId="102F6564" w14:textId="77777777" w:rsidTr="00FB1C07">
        <w:trPr>
          <w:cnfStyle w:val="000000100000" w:firstRow="0" w:lastRow="0" w:firstColumn="0" w:lastColumn="0" w:oddVBand="0" w:evenVBand="0" w:oddHBand="1" w:evenHBand="0" w:firstRowFirstColumn="0" w:firstRowLastColumn="0" w:lastRowFirstColumn="0" w:lastRowLastColumn="0"/>
          <w:jc w:val="center"/>
        </w:trPr>
        <w:tc>
          <w:tcPr>
            <w:tcW w:w="1431" w:type="dxa"/>
            <w:shd w:val="clear" w:color="auto" w:fill="FFFFFF" w:themeFill="background1"/>
          </w:tcPr>
          <w:p w14:paraId="55160F5B" w14:textId="77777777" w:rsidR="00824454" w:rsidRPr="00E359BF" w:rsidRDefault="00824454" w:rsidP="00FB1C07">
            <w:pPr>
              <w:pStyle w:val="TableText"/>
            </w:pPr>
            <w:r>
              <w:t>Grades PK-5</w:t>
            </w:r>
          </w:p>
        </w:tc>
        <w:tc>
          <w:tcPr>
            <w:tcW w:w="874" w:type="dxa"/>
            <w:shd w:val="clear" w:color="auto" w:fill="FFFFFF" w:themeFill="background1"/>
          </w:tcPr>
          <w:p w14:paraId="4A57F8AA" w14:textId="77777777" w:rsidR="00824454" w:rsidRPr="00E359BF" w:rsidRDefault="00824454" w:rsidP="00FB1C07">
            <w:pPr>
              <w:pStyle w:val="TableTextCentered"/>
              <w:rPr>
                <w:rFonts w:eastAsia="Times New Roman"/>
              </w:rPr>
            </w:pPr>
            <w:r>
              <w:rPr>
                <w:rFonts w:eastAsia="Times New Roman"/>
              </w:rPr>
              <w:t>0</w:t>
            </w:r>
          </w:p>
        </w:tc>
        <w:tc>
          <w:tcPr>
            <w:tcW w:w="874" w:type="dxa"/>
            <w:shd w:val="clear" w:color="auto" w:fill="FFFFFF" w:themeFill="background1"/>
          </w:tcPr>
          <w:p w14:paraId="2BEB6D19" w14:textId="77777777" w:rsidR="00824454" w:rsidRPr="00E359BF" w:rsidRDefault="00824454" w:rsidP="00FB1C07">
            <w:pPr>
              <w:pStyle w:val="TableTextCentered"/>
              <w:rPr>
                <w:rFonts w:eastAsia="Times New Roman"/>
              </w:rPr>
            </w:pPr>
            <w:r>
              <w:rPr>
                <w:rFonts w:eastAsia="Times New Roman"/>
              </w:rPr>
              <w:t>5</w:t>
            </w:r>
          </w:p>
        </w:tc>
        <w:tc>
          <w:tcPr>
            <w:tcW w:w="874" w:type="dxa"/>
            <w:shd w:val="clear" w:color="auto" w:fill="FFFFFF" w:themeFill="background1"/>
          </w:tcPr>
          <w:p w14:paraId="01C51BAC" w14:textId="77777777" w:rsidR="00824454" w:rsidRPr="00E359BF" w:rsidRDefault="00824454" w:rsidP="00FB1C07">
            <w:pPr>
              <w:pStyle w:val="TableTextCentered"/>
              <w:rPr>
                <w:rFonts w:eastAsia="Times New Roman"/>
              </w:rPr>
            </w:pPr>
            <w:r>
              <w:rPr>
                <w:rFonts w:eastAsia="Times New Roman"/>
              </w:rPr>
              <w:t>8</w:t>
            </w:r>
          </w:p>
        </w:tc>
        <w:tc>
          <w:tcPr>
            <w:tcW w:w="875" w:type="dxa"/>
            <w:shd w:val="clear" w:color="auto" w:fill="FFFFFF" w:themeFill="background1"/>
          </w:tcPr>
          <w:p w14:paraId="01C342D2" w14:textId="77777777" w:rsidR="00824454" w:rsidRPr="00E359BF" w:rsidRDefault="00824454" w:rsidP="00FB1C07">
            <w:pPr>
              <w:pStyle w:val="TableTextCentered"/>
              <w:rPr>
                <w:rFonts w:eastAsia="Times New Roman"/>
              </w:rPr>
            </w:pPr>
            <w:r>
              <w:rPr>
                <w:rFonts w:eastAsia="Times New Roman"/>
              </w:rPr>
              <w:t>9</w:t>
            </w:r>
          </w:p>
        </w:tc>
        <w:tc>
          <w:tcPr>
            <w:tcW w:w="875" w:type="dxa"/>
            <w:shd w:val="clear" w:color="auto" w:fill="FFFFFF" w:themeFill="background1"/>
          </w:tcPr>
          <w:p w14:paraId="3AE721A6" w14:textId="77777777" w:rsidR="00824454" w:rsidRPr="00E359BF" w:rsidRDefault="00824454" w:rsidP="00FB1C07">
            <w:pPr>
              <w:pStyle w:val="TableTextCentered"/>
              <w:rPr>
                <w:rFonts w:eastAsia="Times New Roman"/>
              </w:rPr>
            </w:pPr>
            <w:r>
              <w:rPr>
                <w:rFonts w:eastAsia="Times New Roman"/>
              </w:rPr>
              <w:t>9</w:t>
            </w:r>
          </w:p>
        </w:tc>
        <w:tc>
          <w:tcPr>
            <w:tcW w:w="874" w:type="dxa"/>
            <w:shd w:val="clear" w:color="auto" w:fill="FFFFFF" w:themeFill="background1"/>
          </w:tcPr>
          <w:p w14:paraId="50029FFC" w14:textId="77777777" w:rsidR="00824454" w:rsidRPr="00E359BF" w:rsidRDefault="00824454" w:rsidP="00FB1C07">
            <w:pPr>
              <w:pStyle w:val="TableTextCentered"/>
              <w:rPr>
                <w:rFonts w:eastAsia="Times New Roman"/>
              </w:rPr>
            </w:pPr>
            <w:r>
              <w:rPr>
                <w:rFonts w:eastAsia="Times New Roman"/>
              </w:rPr>
              <w:t>3</w:t>
            </w:r>
          </w:p>
        </w:tc>
        <w:tc>
          <w:tcPr>
            <w:tcW w:w="875" w:type="dxa"/>
            <w:shd w:val="clear" w:color="auto" w:fill="FFFFFF" w:themeFill="background1"/>
          </w:tcPr>
          <w:p w14:paraId="0FC07212" w14:textId="77777777" w:rsidR="00824454" w:rsidRPr="00E359BF" w:rsidRDefault="00824454" w:rsidP="00FB1C07">
            <w:pPr>
              <w:pStyle w:val="TableTextCentered"/>
              <w:rPr>
                <w:rFonts w:eastAsia="Times New Roman"/>
              </w:rPr>
            </w:pPr>
            <w:r>
              <w:rPr>
                <w:rFonts w:eastAsia="Times New Roman"/>
              </w:rPr>
              <w:t>0</w:t>
            </w:r>
          </w:p>
        </w:tc>
        <w:tc>
          <w:tcPr>
            <w:tcW w:w="900" w:type="dxa"/>
            <w:shd w:val="clear" w:color="auto" w:fill="FFFFFF" w:themeFill="background1"/>
          </w:tcPr>
          <w:p w14:paraId="64E4E91D" w14:textId="77777777" w:rsidR="00824454" w:rsidRPr="00E359BF" w:rsidRDefault="00824454" w:rsidP="00FB1C07">
            <w:pPr>
              <w:pStyle w:val="TableTextCentered"/>
              <w:rPr>
                <w:rFonts w:eastAsia="Times New Roman"/>
              </w:rPr>
            </w:pPr>
            <w:r>
              <w:rPr>
                <w:rFonts w:eastAsia="Times New Roman"/>
              </w:rPr>
              <w:t>34</w:t>
            </w:r>
          </w:p>
        </w:tc>
        <w:tc>
          <w:tcPr>
            <w:tcW w:w="892" w:type="dxa"/>
            <w:shd w:val="clear" w:color="auto" w:fill="FFFFFF" w:themeFill="background1"/>
          </w:tcPr>
          <w:p w14:paraId="3CCFEFCD" w14:textId="77777777" w:rsidR="00824454" w:rsidRPr="00E359BF" w:rsidRDefault="00824454" w:rsidP="00FB1C07">
            <w:pPr>
              <w:pStyle w:val="TableTextCentered"/>
              <w:rPr>
                <w:rFonts w:eastAsia="Times New Roman"/>
              </w:rPr>
            </w:pPr>
            <w:r>
              <w:rPr>
                <w:rFonts w:eastAsia="Times New Roman"/>
              </w:rPr>
              <w:t>3.9</w:t>
            </w:r>
          </w:p>
        </w:tc>
      </w:tr>
      <w:tr w:rsidR="00824454" w:rsidRPr="00E359BF" w14:paraId="1301F93C" w14:textId="77777777" w:rsidTr="00FB1C07">
        <w:trPr>
          <w:jc w:val="center"/>
        </w:trPr>
        <w:tc>
          <w:tcPr>
            <w:tcW w:w="1431" w:type="dxa"/>
            <w:shd w:val="clear" w:color="auto" w:fill="DEEAF6" w:themeFill="accent1" w:themeFillTint="33"/>
          </w:tcPr>
          <w:p w14:paraId="05515F9C" w14:textId="77777777" w:rsidR="00824454" w:rsidRPr="00E359BF" w:rsidRDefault="00824454" w:rsidP="00FB1C07">
            <w:pPr>
              <w:pStyle w:val="TableText"/>
            </w:pPr>
            <w:r>
              <w:t>Grades 6-8</w:t>
            </w:r>
          </w:p>
        </w:tc>
        <w:tc>
          <w:tcPr>
            <w:tcW w:w="874" w:type="dxa"/>
            <w:shd w:val="clear" w:color="auto" w:fill="DEEAF6" w:themeFill="accent1" w:themeFillTint="33"/>
          </w:tcPr>
          <w:p w14:paraId="1DCD9294" w14:textId="77777777" w:rsidR="00824454" w:rsidRPr="00E359BF" w:rsidRDefault="00824454" w:rsidP="00FB1C07">
            <w:pPr>
              <w:pStyle w:val="TableTextCentered"/>
              <w:rPr>
                <w:rFonts w:eastAsia="Times New Roman"/>
              </w:rPr>
            </w:pPr>
            <w:r>
              <w:rPr>
                <w:rFonts w:eastAsia="Times New Roman"/>
              </w:rPr>
              <w:t>0</w:t>
            </w:r>
          </w:p>
        </w:tc>
        <w:tc>
          <w:tcPr>
            <w:tcW w:w="874" w:type="dxa"/>
            <w:shd w:val="clear" w:color="auto" w:fill="DEEAF6" w:themeFill="accent1" w:themeFillTint="33"/>
          </w:tcPr>
          <w:p w14:paraId="727D065D" w14:textId="77777777" w:rsidR="00824454" w:rsidRPr="00E359BF" w:rsidRDefault="00824454" w:rsidP="00FB1C07">
            <w:pPr>
              <w:pStyle w:val="TableTextCentered"/>
              <w:rPr>
                <w:rFonts w:eastAsia="Times New Roman"/>
              </w:rPr>
            </w:pPr>
            <w:r>
              <w:rPr>
                <w:rFonts w:eastAsia="Times New Roman"/>
              </w:rPr>
              <w:t>3</w:t>
            </w:r>
          </w:p>
        </w:tc>
        <w:tc>
          <w:tcPr>
            <w:tcW w:w="874" w:type="dxa"/>
            <w:shd w:val="clear" w:color="auto" w:fill="DEEAF6" w:themeFill="accent1" w:themeFillTint="33"/>
          </w:tcPr>
          <w:p w14:paraId="416A0C61" w14:textId="77777777" w:rsidR="00824454" w:rsidRPr="00E359BF" w:rsidRDefault="00824454" w:rsidP="00FB1C07">
            <w:pPr>
              <w:pStyle w:val="TableTextCentered"/>
              <w:rPr>
                <w:rFonts w:eastAsia="Times New Roman"/>
              </w:rPr>
            </w:pPr>
            <w:r>
              <w:rPr>
                <w:rFonts w:eastAsia="Times New Roman"/>
              </w:rPr>
              <w:t>4</w:t>
            </w:r>
          </w:p>
        </w:tc>
        <w:tc>
          <w:tcPr>
            <w:tcW w:w="875" w:type="dxa"/>
            <w:shd w:val="clear" w:color="auto" w:fill="DEEAF6" w:themeFill="accent1" w:themeFillTint="33"/>
          </w:tcPr>
          <w:p w14:paraId="1C69C2FA" w14:textId="77777777" w:rsidR="00824454" w:rsidRPr="00E359BF" w:rsidRDefault="00824454" w:rsidP="00FB1C07">
            <w:pPr>
              <w:pStyle w:val="TableTextCentered"/>
              <w:rPr>
                <w:rFonts w:eastAsia="Times New Roman"/>
              </w:rPr>
            </w:pPr>
            <w:r>
              <w:rPr>
                <w:rFonts w:eastAsia="Times New Roman"/>
              </w:rPr>
              <w:t>5</w:t>
            </w:r>
          </w:p>
        </w:tc>
        <w:tc>
          <w:tcPr>
            <w:tcW w:w="875" w:type="dxa"/>
            <w:shd w:val="clear" w:color="auto" w:fill="DEEAF6" w:themeFill="accent1" w:themeFillTint="33"/>
          </w:tcPr>
          <w:p w14:paraId="2069AD37" w14:textId="77777777" w:rsidR="00824454" w:rsidRPr="00E359BF" w:rsidRDefault="00824454" w:rsidP="00FB1C07">
            <w:pPr>
              <w:pStyle w:val="TableTextCentered"/>
              <w:rPr>
                <w:rFonts w:eastAsia="Times New Roman"/>
              </w:rPr>
            </w:pPr>
            <w:r>
              <w:rPr>
                <w:rFonts w:eastAsia="Times New Roman"/>
              </w:rPr>
              <w:t>5</w:t>
            </w:r>
          </w:p>
        </w:tc>
        <w:tc>
          <w:tcPr>
            <w:tcW w:w="874" w:type="dxa"/>
            <w:shd w:val="clear" w:color="auto" w:fill="DEEAF6" w:themeFill="accent1" w:themeFillTint="33"/>
          </w:tcPr>
          <w:p w14:paraId="1126D9E5" w14:textId="77777777" w:rsidR="00824454" w:rsidRPr="00E359BF" w:rsidRDefault="00824454" w:rsidP="00FB1C07">
            <w:pPr>
              <w:pStyle w:val="TableTextCentered"/>
              <w:rPr>
                <w:rFonts w:eastAsia="Times New Roman"/>
              </w:rPr>
            </w:pPr>
            <w:r>
              <w:rPr>
                <w:rFonts w:eastAsia="Times New Roman"/>
              </w:rPr>
              <w:t>3</w:t>
            </w:r>
          </w:p>
        </w:tc>
        <w:tc>
          <w:tcPr>
            <w:tcW w:w="875" w:type="dxa"/>
            <w:shd w:val="clear" w:color="auto" w:fill="DEEAF6" w:themeFill="accent1" w:themeFillTint="33"/>
          </w:tcPr>
          <w:p w14:paraId="1A81E18A" w14:textId="77777777" w:rsidR="00824454" w:rsidRPr="00E359BF" w:rsidRDefault="00824454" w:rsidP="00FB1C07">
            <w:pPr>
              <w:pStyle w:val="TableTextCentered"/>
              <w:rPr>
                <w:rFonts w:eastAsia="Times New Roman"/>
              </w:rPr>
            </w:pPr>
            <w:r>
              <w:rPr>
                <w:rFonts w:eastAsia="Times New Roman"/>
              </w:rPr>
              <w:t>0</w:t>
            </w:r>
          </w:p>
        </w:tc>
        <w:tc>
          <w:tcPr>
            <w:tcW w:w="900" w:type="dxa"/>
            <w:shd w:val="clear" w:color="auto" w:fill="DEEAF6" w:themeFill="accent1" w:themeFillTint="33"/>
          </w:tcPr>
          <w:p w14:paraId="03B61938" w14:textId="77777777" w:rsidR="00824454" w:rsidRPr="00E359BF" w:rsidRDefault="00824454" w:rsidP="00FB1C07">
            <w:pPr>
              <w:pStyle w:val="TableTextCentered"/>
              <w:rPr>
                <w:rFonts w:eastAsia="Times New Roman"/>
              </w:rPr>
            </w:pPr>
            <w:r>
              <w:rPr>
                <w:rFonts w:eastAsia="Times New Roman"/>
              </w:rPr>
              <w:t>20</w:t>
            </w:r>
          </w:p>
        </w:tc>
        <w:tc>
          <w:tcPr>
            <w:tcW w:w="892" w:type="dxa"/>
            <w:shd w:val="clear" w:color="auto" w:fill="DEEAF6" w:themeFill="accent1" w:themeFillTint="33"/>
          </w:tcPr>
          <w:p w14:paraId="7BF221A7" w14:textId="77777777" w:rsidR="00824454" w:rsidRPr="00E359BF" w:rsidRDefault="00824454" w:rsidP="00FB1C07">
            <w:pPr>
              <w:pStyle w:val="TableTextCentered"/>
              <w:rPr>
                <w:rFonts w:eastAsia="Times New Roman"/>
              </w:rPr>
            </w:pPr>
            <w:r>
              <w:rPr>
                <w:rFonts w:eastAsia="Times New Roman"/>
              </w:rPr>
              <w:t>4.1</w:t>
            </w:r>
          </w:p>
        </w:tc>
      </w:tr>
      <w:tr w:rsidR="00824454" w:rsidRPr="00E359BF" w14:paraId="742BBD88" w14:textId="77777777" w:rsidTr="00FB1C07">
        <w:trPr>
          <w:cnfStyle w:val="000000100000" w:firstRow="0" w:lastRow="0" w:firstColumn="0" w:lastColumn="0" w:oddVBand="0" w:evenVBand="0" w:oddHBand="1" w:evenHBand="0" w:firstRowFirstColumn="0" w:firstRowLastColumn="0" w:lastRowFirstColumn="0" w:lastRowLastColumn="0"/>
          <w:jc w:val="center"/>
        </w:trPr>
        <w:tc>
          <w:tcPr>
            <w:tcW w:w="1431" w:type="dxa"/>
            <w:shd w:val="clear" w:color="auto" w:fill="FFFFFF" w:themeFill="background1"/>
          </w:tcPr>
          <w:p w14:paraId="4DC3261F" w14:textId="77777777" w:rsidR="00824454" w:rsidRPr="00E359BF" w:rsidRDefault="00824454" w:rsidP="00FB1C07">
            <w:pPr>
              <w:pStyle w:val="TableText"/>
            </w:pPr>
            <w:r>
              <w:t>Grades 9-12</w:t>
            </w:r>
          </w:p>
        </w:tc>
        <w:tc>
          <w:tcPr>
            <w:tcW w:w="874" w:type="dxa"/>
            <w:shd w:val="clear" w:color="auto" w:fill="FFFFFF" w:themeFill="background1"/>
          </w:tcPr>
          <w:p w14:paraId="529A5D5C" w14:textId="77777777" w:rsidR="00824454" w:rsidRPr="00E359BF" w:rsidRDefault="00824454" w:rsidP="00FB1C07">
            <w:pPr>
              <w:pStyle w:val="TableTextCentered"/>
              <w:rPr>
                <w:rFonts w:eastAsia="Times New Roman"/>
              </w:rPr>
            </w:pPr>
            <w:r>
              <w:rPr>
                <w:rFonts w:eastAsia="Times New Roman"/>
              </w:rPr>
              <w:t>1</w:t>
            </w:r>
          </w:p>
        </w:tc>
        <w:tc>
          <w:tcPr>
            <w:tcW w:w="874" w:type="dxa"/>
            <w:shd w:val="clear" w:color="auto" w:fill="FFFFFF" w:themeFill="background1"/>
          </w:tcPr>
          <w:p w14:paraId="06FC740F" w14:textId="77777777" w:rsidR="00824454" w:rsidRPr="00E359BF" w:rsidRDefault="00824454" w:rsidP="00FB1C07">
            <w:pPr>
              <w:pStyle w:val="TableTextCentered"/>
              <w:rPr>
                <w:rFonts w:eastAsia="Times New Roman"/>
              </w:rPr>
            </w:pPr>
            <w:r>
              <w:rPr>
                <w:rFonts w:eastAsia="Times New Roman"/>
              </w:rPr>
              <w:t>8</w:t>
            </w:r>
          </w:p>
        </w:tc>
        <w:tc>
          <w:tcPr>
            <w:tcW w:w="874" w:type="dxa"/>
            <w:shd w:val="clear" w:color="auto" w:fill="FFFFFF" w:themeFill="background1"/>
          </w:tcPr>
          <w:p w14:paraId="1DFD0A90" w14:textId="77777777" w:rsidR="00824454" w:rsidRPr="00E359BF" w:rsidRDefault="00824454" w:rsidP="00FB1C07">
            <w:pPr>
              <w:pStyle w:val="TableTextCentered"/>
              <w:rPr>
                <w:rFonts w:eastAsia="Times New Roman"/>
              </w:rPr>
            </w:pPr>
            <w:r>
              <w:rPr>
                <w:rFonts w:eastAsia="Times New Roman"/>
              </w:rPr>
              <w:t>9</w:t>
            </w:r>
          </w:p>
        </w:tc>
        <w:tc>
          <w:tcPr>
            <w:tcW w:w="875" w:type="dxa"/>
            <w:shd w:val="clear" w:color="auto" w:fill="FFFFFF" w:themeFill="background1"/>
          </w:tcPr>
          <w:p w14:paraId="0F8B091D" w14:textId="77777777" w:rsidR="00824454" w:rsidRPr="00E359BF" w:rsidRDefault="00824454" w:rsidP="00FB1C07">
            <w:pPr>
              <w:pStyle w:val="TableTextCentered"/>
              <w:rPr>
                <w:rFonts w:eastAsia="Times New Roman"/>
              </w:rPr>
            </w:pPr>
            <w:r>
              <w:rPr>
                <w:rFonts w:eastAsia="Times New Roman"/>
              </w:rPr>
              <w:t>1</w:t>
            </w:r>
          </w:p>
        </w:tc>
        <w:tc>
          <w:tcPr>
            <w:tcW w:w="875" w:type="dxa"/>
            <w:shd w:val="clear" w:color="auto" w:fill="FFFFFF" w:themeFill="background1"/>
          </w:tcPr>
          <w:p w14:paraId="63E945FF" w14:textId="77777777" w:rsidR="00824454" w:rsidRPr="00E359BF" w:rsidRDefault="00824454" w:rsidP="00FB1C07">
            <w:pPr>
              <w:pStyle w:val="TableTextCentered"/>
              <w:rPr>
                <w:rFonts w:eastAsia="Times New Roman"/>
              </w:rPr>
            </w:pPr>
            <w:r>
              <w:rPr>
                <w:rFonts w:eastAsia="Times New Roman"/>
              </w:rPr>
              <w:t>1</w:t>
            </w:r>
          </w:p>
        </w:tc>
        <w:tc>
          <w:tcPr>
            <w:tcW w:w="874" w:type="dxa"/>
            <w:shd w:val="clear" w:color="auto" w:fill="FFFFFF" w:themeFill="background1"/>
          </w:tcPr>
          <w:p w14:paraId="072F24C7" w14:textId="77777777" w:rsidR="00824454" w:rsidRPr="00E359BF" w:rsidRDefault="00824454" w:rsidP="00FB1C07">
            <w:pPr>
              <w:pStyle w:val="TableTextCentered"/>
              <w:rPr>
                <w:rFonts w:eastAsia="Times New Roman"/>
              </w:rPr>
            </w:pPr>
            <w:r>
              <w:rPr>
                <w:rFonts w:eastAsia="Times New Roman"/>
              </w:rPr>
              <w:t>0</w:t>
            </w:r>
          </w:p>
        </w:tc>
        <w:tc>
          <w:tcPr>
            <w:tcW w:w="875" w:type="dxa"/>
            <w:shd w:val="clear" w:color="auto" w:fill="FFFFFF" w:themeFill="background1"/>
          </w:tcPr>
          <w:p w14:paraId="36A2914D" w14:textId="77777777" w:rsidR="00824454" w:rsidRPr="00E359BF" w:rsidRDefault="00824454" w:rsidP="00FB1C07">
            <w:pPr>
              <w:pStyle w:val="TableTextCentered"/>
              <w:rPr>
                <w:rFonts w:eastAsia="Times New Roman"/>
              </w:rPr>
            </w:pPr>
            <w:r>
              <w:rPr>
                <w:rFonts w:eastAsia="Times New Roman"/>
              </w:rPr>
              <w:t>0</w:t>
            </w:r>
          </w:p>
        </w:tc>
        <w:tc>
          <w:tcPr>
            <w:tcW w:w="900" w:type="dxa"/>
            <w:shd w:val="clear" w:color="auto" w:fill="FFFFFF" w:themeFill="background1"/>
          </w:tcPr>
          <w:p w14:paraId="15AD1ADB" w14:textId="77777777" w:rsidR="00824454" w:rsidRPr="00E359BF" w:rsidRDefault="00824454" w:rsidP="00FB1C07">
            <w:pPr>
              <w:pStyle w:val="TableTextCentered"/>
              <w:rPr>
                <w:rFonts w:eastAsia="Times New Roman"/>
              </w:rPr>
            </w:pPr>
            <w:r>
              <w:rPr>
                <w:rFonts w:eastAsia="Times New Roman"/>
              </w:rPr>
              <w:t>20</w:t>
            </w:r>
          </w:p>
        </w:tc>
        <w:tc>
          <w:tcPr>
            <w:tcW w:w="892" w:type="dxa"/>
            <w:shd w:val="clear" w:color="auto" w:fill="FFFFFF" w:themeFill="background1"/>
          </w:tcPr>
          <w:p w14:paraId="2CEBFBE8" w14:textId="77777777" w:rsidR="00824454" w:rsidRPr="00E359BF" w:rsidRDefault="00824454" w:rsidP="00FB1C07">
            <w:pPr>
              <w:pStyle w:val="TableTextCentered"/>
              <w:rPr>
                <w:rFonts w:eastAsia="Times New Roman"/>
              </w:rPr>
            </w:pPr>
            <w:r>
              <w:rPr>
                <w:rFonts w:eastAsia="Times New Roman"/>
              </w:rPr>
              <w:t>2.7</w:t>
            </w:r>
          </w:p>
        </w:tc>
      </w:tr>
      <w:tr w:rsidR="00824454" w:rsidRPr="00E359BF" w14:paraId="3095B6B6" w14:textId="77777777" w:rsidTr="00FB1C07">
        <w:trPr>
          <w:jc w:val="center"/>
        </w:trPr>
        <w:tc>
          <w:tcPr>
            <w:tcW w:w="1431" w:type="dxa"/>
            <w:shd w:val="clear" w:color="auto" w:fill="DEEAF6" w:themeFill="accent1" w:themeFillTint="33"/>
          </w:tcPr>
          <w:p w14:paraId="4D130AD5" w14:textId="77777777" w:rsidR="00824454" w:rsidRPr="00B30BCD" w:rsidRDefault="00824454" w:rsidP="00FB1C07">
            <w:pPr>
              <w:pStyle w:val="TableText"/>
              <w:rPr>
                <w:b/>
                <w:bCs/>
              </w:rPr>
            </w:pPr>
            <w:r w:rsidRPr="00B30BCD">
              <w:rPr>
                <w:b/>
                <w:bCs/>
              </w:rPr>
              <w:t>Totals</w:t>
            </w:r>
          </w:p>
        </w:tc>
        <w:tc>
          <w:tcPr>
            <w:tcW w:w="874" w:type="dxa"/>
            <w:shd w:val="clear" w:color="auto" w:fill="DEEAF6" w:themeFill="accent1" w:themeFillTint="33"/>
          </w:tcPr>
          <w:p w14:paraId="6E93741A" w14:textId="77777777" w:rsidR="00824454" w:rsidRPr="00B30BCD" w:rsidRDefault="00824454" w:rsidP="00FB1C07">
            <w:pPr>
              <w:pStyle w:val="TableTextCentered"/>
              <w:rPr>
                <w:rFonts w:eastAsia="Times New Roman"/>
                <w:b/>
                <w:bCs/>
              </w:rPr>
            </w:pPr>
            <w:r>
              <w:rPr>
                <w:rFonts w:eastAsia="Times New Roman"/>
                <w:b/>
                <w:bCs/>
              </w:rPr>
              <w:t>1</w:t>
            </w:r>
          </w:p>
        </w:tc>
        <w:tc>
          <w:tcPr>
            <w:tcW w:w="874" w:type="dxa"/>
            <w:shd w:val="clear" w:color="auto" w:fill="DEEAF6" w:themeFill="accent1" w:themeFillTint="33"/>
          </w:tcPr>
          <w:p w14:paraId="29DA0AC6" w14:textId="77777777" w:rsidR="00824454" w:rsidRPr="00B30BCD" w:rsidRDefault="00824454" w:rsidP="00FB1C07">
            <w:pPr>
              <w:pStyle w:val="TableTextCentered"/>
              <w:rPr>
                <w:rFonts w:eastAsia="Times New Roman"/>
                <w:b/>
                <w:bCs/>
              </w:rPr>
            </w:pPr>
            <w:r>
              <w:rPr>
                <w:rFonts w:eastAsia="Times New Roman"/>
                <w:b/>
                <w:bCs/>
              </w:rPr>
              <w:t>16</w:t>
            </w:r>
          </w:p>
        </w:tc>
        <w:tc>
          <w:tcPr>
            <w:tcW w:w="874" w:type="dxa"/>
            <w:shd w:val="clear" w:color="auto" w:fill="DEEAF6" w:themeFill="accent1" w:themeFillTint="33"/>
          </w:tcPr>
          <w:p w14:paraId="2CDC1530" w14:textId="77777777" w:rsidR="00824454" w:rsidRPr="00B30BCD" w:rsidRDefault="00824454" w:rsidP="00FB1C07">
            <w:pPr>
              <w:pStyle w:val="TableTextCentered"/>
              <w:rPr>
                <w:rFonts w:eastAsia="Times New Roman"/>
                <w:b/>
                <w:bCs/>
              </w:rPr>
            </w:pPr>
            <w:r>
              <w:rPr>
                <w:rFonts w:eastAsia="Times New Roman"/>
                <w:b/>
                <w:bCs/>
              </w:rPr>
              <w:t>21</w:t>
            </w:r>
          </w:p>
        </w:tc>
        <w:tc>
          <w:tcPr>
            <w:tcW w:w="875" w:type="dxa"/>
            <w:shd w:val="clear" w:color="auto" w:fill="DEEAF6" w:themeFill="accent1" w:themeFillTint="33"/>
          </w:tcPr>
          <w:p w14:paraId="1225A250" w14:textId="77777777" w:rsidR="00824454" w:rsidRPr="00B30BCD" w:rsidRDefault="00824454" w:rsidP="00FB1C07">
            <w:pPr>
              <w:pStyle w:val="TableTextCentered"/>
              <w:rPr>
                <w:rFonts w:eastAsia="Times New Roman"/>
                <w:b/>
                <w:bCs/>
              </w:rPr>
            </w:pPr>
            <w:r>
              <w:rPr>
                <w:rFonts w:eastAsia="Times New Roman"/>
                <w:b/>
                <w:bCs/>
              </w:rPr>
              <w:t>15</w:t>
            </w:r>
          </w:p>
        </w:tc>
        <w:tc>
          <w:tcPr>
            <w:tcW w:w="875" w:type="dxa"/>
            <w:shd w:val="clear" w:color="auto" w:fill="DEEAF6" w:themeFill="accent1" w:themeFillTint="33"/>
          </w:tcPr>
          <w:p w14:paraId="48D0A2AA" w14:textId="77777777" w:rsidR="00824454" w:rsidRPr="00B30BCD" w:rsidRDefault="00824454" w:rsidP="00FB1C07">
            <w:pPr>
              <w:pStyle w:val="TableTextCentered"/>
              <w:rPr>
                <w:rFonts w:eastAsia="Times New Roman"/>
                <w:b/>
                <w:bCs/>
              </w:rPr>
            </w:pPr>
            <w:r>
              <w:rPr>
                <w:rFonts w:eastAsia="Times New Roman"/>
                <w:b/>
                <w:bCs/>
              </w:rPr>
              <w:t>15</w:t>
            </w:r>
          </w:p>
        </w:tc>
        <w:tc>
          <w:tcPr>
            <w:tcW w:w="874" w:type="dxa"/>
            <w:shd w:val="clear" w:color="auto" w:fill="DEEAF6" w:themeFill="accent1" w:themeFillTint="33"/>
          </w:tcPr>
          <w:p w14:paraId="06FD382A" w14:textId="77777777" w:rsidR="00824454" w:rsidRPr="00B30BCD" w:rsidRDefault="00824454" w:rsidP="00FB1C07">
            <w:pPr>
              <w:pStyle w:val="TableTextCentered"/>
              <w:rPr>
                <w:rFonts w:eastAsia="Times New Roman"/>
                <w:b/>
                <w:bCs/>
              </w:rPr>
            </w:pPr>
            <w:r>
              <w:rPr>
                <w:rFonts w:eastAsia="Times New Roman"/>
                <w:b/>
                <w:bCs/>
              </w:rPr>
              <w:t>6</w:t>
            </w:r>
          </w:p>
        </w:tc>
        <w:tc>
          <w:tcPr>
            <w:tcW w:w="875" w:type="dxa"/>
            <w:shd w:val="clear" w:color="auto" w:fill="DEEAF6" w:themeFill="accent1" w:themeFillTint="33"/>
          </w:tcPr>
          <w:p w14:paraId="3B606605" w14:textId="77777777" w:rsidR="00824454" w:rsidRPr="00B30BCD" w:rsidRDefault="00824454" w:rsidP="00FB1C07">
            <w:pPr>
              <w:pStyle w:val="TableTextCentered"/>
              <w:rPr>
                <w:rFonts w:eastAsia="Times New Roman"/>
                <w:b/>
                <w:bCs/>
              </w:rPr>
            </w:pPr>
            <w:r>
              <w:rPr>
                <w:rFonts w:eastAsia="Times New Roman"/>
                <w:b/>
                <w:bCs/>
              </w:rPr>
              <w:t>0</w:t>
            </w:r>
          </w:p>
        </w:tc>
        <w:tc>
          <w:tcPr>
            <w:tcW w:w="900" w:type="dxa"/>
            <w:shd w:val="clear" w:color="auto" w:fill="DEEAF6" w:themeFill="accent1" w:themeFillTint="33"/>
          </w:tcPr>
          <w:p w14:paraId="7C36A195" w14:textId="77777777" w:rsidR="00824454" w:rsidRPr="00B30BCD" w:rsidRDefault="00824454" w:rsidP="00FB1C07">
            <w:pPr>
              <w:pStyle w:val="TableTextCentered"/>
              <w:rPr>
                <w:rFonts w:eastAsia="Times New Roman"/>
                <w:b/>
                <w:bCs/>
              </w:rPr>
            </w:pPr>
            <w:r>
              <w:rPr>
                <w:rFonts w:eastAsia="Times New Roman"/>
                <w:b/>
                <w:bCs/>
              </w:rPr>
              <w:t>74</w:t>
            </w:r>
          </w:p>
        </w:tc>
        <w:tc>
          <w:tcPr>
            <w:tcW w:w="892" w:type="dxa"/>
            <w:shd w:val="clear" w:color="auto" w:fill="DEEAF6" w:themeFill="accent1" w:themeFillTint="33"/>
          </w:tcPr>
          <w:p w14:paraId="56E1D42D" w14:textId="77777777" w:rsidR="00824454" w:rsidRPr="00B30BCD" w:rsidRDefault="00824454" w:rsidP="00FB1C07">
            <w:pPr>
              <w:pStyle w:val="TableTextCentered"/>
              <w:rPr>
                <w:rFonts w:eastAsia="Times New Roman"/>
                <w:b/>
                <w:bCs/>
              </w:rPr>
            </w:pPr>
            <w:r>
              <w:rPr>
                <w:rFonts w:eastAsia="Times New Roman"/>
                <w:b/>
                <w:bCs/>
              </w:rPr>
              <w:t>3.6</w:t>
            </w:r>
          </w:p>
        </w:tc>
      </w:tr>
    </w:tbl>
    <w:bookmarkEnd w:id="125"/>
    <w:p w14:paraId="04ACB871" w14:textId="189DB77D" w:rsidR="007303EE" w:rsidRPr="00797379" w:rsidRDefault="007303EE" w:rsidP="00A226A6">
      <w:pPr>
        <w:pStyle w:val="TableNote"/>
      </w:pPr>
      <w:r w:rsidRPr="00797379">
        <w:t xml:space="preserve">*The district average is an average of the observation scores. In Table 5, the district average is computed as: </w:t>
      </w:r>
      <w:bookmarkStart w:id="126" w:name="Dist_RSP_Calc"/>
      <w:r w:rsidRPr="00797379">
        <w:t>([1 x 1] + [2 x 16] + [3 x 21] + [4 x 15] + [5 x 15] + [6 x 6]) ÷ 74 observations = 3.6</w:t>
      </w:r>
      <w:bookmarkEnd w:id="126"/>
    </w:p>
    <w:p w14:paraId="712C80AB" w14:textId="6E3C4130" w:rsidR="007303EE" w:rsidRPr="00797379" w:rsidRDefault="007303EE" w:rsidP="00A226A6">
      <w:pPr>
        <w:pStyle w:val="BodyText"/>
      </w:pPr>
      <w:r w:rsidRPr="00797379">
        <w:rPr>
          <w:rStyle w:val="BodyTextDemiChar"/>
        </w:rPr>
        <w:t>Ratings in the Low Range.</w:t>
      </w:r>
      <w:r w:rsidRPr="00797379">
        <w:t xml:space="preserve"> At the low range, the teacher exhibits an inflexible, rigid adherence to his or her plan, without considering student ideas or allowing students to make contributions. The teacher inhibits student enthusiasm by imposing guidelines or making remarks that inhibit student expression. The teacher may rigidly adhere to a lesson plan and not respond to student interests. The teacher does not allow students any autonomy on how they conduct an activity, may control materials tightly, and may offer few opportunities for students to help out with classroom responsibilities. There are few opportunities for students to talk and express themselves.</w:t>
      </w:r>
    </w:p>
    <w:p w14:paraId="5351141C" w14:textId="13EC606F" w:rsidR="007303EE" w:rsidRPr="00797379" w:rsidRDefault="007303EE" w:rsidP="00A226A6">
      <w:pPr>
        <w:pStyle w:val="BodyTextposthead"/>
      </w:pPr>
      <w:r w:rsidRPr="00797379">
        <w:rPr>
          <w:rStyle w:val="BodyTextDemiChar"/>
        </w:rPr>
        <w:t>Ratings in the Middle Range.</w:t>
      </w:r>
      <w:r w:rsidRPr="00797379">
        <w:t xml:space="preserve"> The teacher exhibits control at times and at other times follows the students’ lead and gives them some choices and opportunities to follow their interests. There are some opportunities for students to exercise autonomy, but student choice is limited. The teacher may assign students responsibility in the classroom, but in a limited way. At times, the teacher dominates the discussion, but at other times the teacher allows students to share ideas, although only at a minimal level or for a short period of time.</w:t>
      </w:r>
    </w:p>
    <w:p w14:paraId="2B7BC8DE" w14:textId="7841EB4A" w:rsidR="007303EE" w:rsidRPr="00797379" w:rsidRDefault="007303EE" w:rsidP="00A226A6">
      <w:pPr>
        <w:pStyle w:val="BodyTextposthead"/>
        <w:rPr>
          <w:rFonts w:eastAsiaTheme="majorEastAsia"/>
        </w:rPr>
      </w:pPr>
      <w:r w:rsidRPr="00797379">
        <w:rPr>
          <w:rStyle w:val="BodyTextDemiChar"/>
        </w:rPr>
        <w:t xml:space="preserve">Ratings in the High Range. </w:t>
      </w:r>
      <w:r w:rsidRPr="00797379">
        <w:t>The teacher is flexible in following student leads, interests, and ideas and looks for ways to meaningfully engage students. Although the teacher has a lesson plan, students’ ideas are incorporated into the lesson plan. The teacher consistently supports student autonomy and provides meaningful leadership opportunities. Students have frequent opportunities to talk, share ideas, and work together. Students have appropriate freedom of movement during activities.</w:t>
      </w:r>
      <w:r w:rsidRPr="00797379">
        <w:rPr>
          <w:rFonts w:eastAsiaTheme="majorEastAsia"/>
        </w:rPr>
        <w:br w:type="page"/>
      </w:r>
    </w:p>
    <w:p w14:paraId="46D5A42C" w14:textId="77777777" w:rsidR="007303EE" w:rsidRPr="00797379" w:rsidRDefault="007303EE" w:rsidP="00DB6F03">
      <w:pPr>
        <w:pStyle w:val="Heading2-SIOR"/>
        <w:outlineLvl w:val="2"/>
      </w:pPr>
      <w:bookmarkStart w:id="127" w:name="_Toc430114878"/>
      <w:bookmarkStart w:id="128" w:name="_Toc220931748"/>
      <w:r w:rsidRPr="00797379">
        <w:t>Negative Climate</w:t>
      </w:r>
      <w:bookmarkEnd w:id="127"/>
      <w:bookmarkEnd w:id="128"/>
    </w:p>
    <w:p w14:paraId="0D07F651" w14:textId="7C6CB937" w:rsidR="007303EE" w:rsidRPr="00797379" w:rsidRDefault="007303EE">
      <w:pPr>
        <w:pStyle w:val="BodyTextDomain"/>
      </w:pPr>
      <w:r w:rsidRPr="00797379">
        <w:t>Emotional Support domain, Grades PK</w:t>
      </w:r>
      <w:r w:rsidRPr="00797379">
        <w:rPr>
          <w:rFonts w:ascii="Vijaya" w:hAnsi="Vijaya" w:cs="Vijaya"/>
        </w:rPr>
        <w:t>−</w:t>
      </w:r>
      <w:r w:rsidRPr="00797379">
        <w:t>3</w:t>
      </w:r>
      <w:r w:rsidRPr="00797379">
        <w:br/>
        <w:t>Classroom Organization domain, Grades 4</w:t>
      </w:r>
      <w:r w:rsidRPr="00797379">
        <w:rPr>
          <w:rFonts w:ascii="Vijaya" w:hAnsi="Vijaya" w:cs="Vijaya"/>
        </w:rPr>
        <w:t>−</w:t>
      </w:r>
      <w:r w:rsidRPr="00797379">
        <w:t>12</w:t>
      </w:r>
    </w:p>
    <w:p w14:paraId="05813C19" w14:textId="5C9A6499" w:rsidR="007303EE" w:rsidRPr="00797379" w:rsidRDefault="007303EE" w:rsidP="00A226A6">
      <w:pPr>
        <w:pStyle w:val="BodyTextposthead"/>
      </w:pPr>
      <w:r w:rsidRPr="00797379">
        <w:t>Negative Climate reflects the overall level of expressed negativity in the classroom. The frequency, quality, and intensity of teacher and student negativity are key to this dimension (</w:t>
      </w:r>
      <w:r w:rsidRPr="00797379">
        <w:rPr>
          <w:i/>
        </w:rPr>
        <w:t>CLASS PK–3 Manual</w:t>
      </w:r>
      <w:r w:rsidRPr="00797379">
        <w:t xml:space="preserve">, p. 28, </w:t>
      </w:r>
      <w:r w:rsidRPr="00797379">
        <w:rPr>
          <w:i/>
        </w:rPr>
        <w:t xml:space="preserve">CLASS Upper Elementary Manual, </w:t>
      </w:r>
      <w:r w:rsidRPr="00797379">
        <w:t xml:space="preserve">p. 55, </w:t>
      </w:r>
      <w:r w:rsidRPr="00797379">
        <w:rPr>
          <w:i/>
        </w:rPr>
        <w:t>CLASS Secondary Manual,</w:t>
      </w:r>
      <w:r w:rsidRPr="00797379">
        <w:t xml:space="preserve"> p. 55). For the purposes of this report, we have inversed the observers scores, to be consistent with the range scores across all dimensions. Therefore, a high range score in this dimension indicates an absence of negative climate, and a low range score indicates the presence of negative climate.</w:t>
      </w:r>
      <w:r w:rsidRPr="00797379">
        <w:rPr>
          <w:rStyle w:val="FootnoteReference"/>
        </w:rPr>
        <w:footnoteReference w:id="6"/>
      </w:r>
    </w:p>
    <w:p w14:paraId="49EB472D" w14:textId="77777777" w:rsidR="007303EE" w:rsidRPr="00797379" w:rsidRDefault="007303EE" w:rsidP="00A226A6">
      <w:pPr>
        <w:pStyle w:val="TableTitle0"/>
      </w:pPr>
      <w:bookmarkStart w:id="129" w:name="_Toc220932421"/>
      <w:r w:rsidRPr="00797379">
        <w:t>Table 6. Negative Climate: Number of Classrooms for Each Rating and District Average</w:t>
      </w:r>
      <w:bookmarkEnd w:id="129"/>
    </w:p>
    <w:p w14:paraId="621656BF" w14:textId="77777777" w:rsidR="007303EE" w:rsidRPr="00797379" w:rsidRDefault="007303EE">
      <w:pPr>
        <w:pStyle w:val="BodyTextDemi"/>
      </w:pPr>
      <w:r w:rsidRPr="00797379">
        <w:t xml:space="preserve">Negative Climate District Average*: </w:t>
      </w:r>
      <w:bookmarkStart w:id="130" w:name="Dist_NC_Avg"/>
      <w:r w:rsidRPr="00797379">
        <w:t>6.9</w:t>
      </w:r>
      <w:bookmarkEnd w:id="130"/>
    </w:p>
    <w:tbl>
      <w:tblPr>
        <w:tblStyle w:val="MSVTable1"/>
        <w:tblW w:w="5000" w:type="pct"/>
        <w:jc w:val="center"/>
        <w:tblLook w:val="04A0" w:firstRow="1" w:lastRow="0" w:firstColumn="1" w:lastColumn="0" w:noHBand="0" w:noVBand="1"/>
      </w:tblPr>
      <w:tblGrid>
        <w:gridCol w:w="1431"/>
        <w:gridCol w:w="874"/>
        <w:gridCol w:w="874"/>
        <w:gridCol w:w="874"/>
        <w:gridCol w:w="875"/>
        <w:gridCol w:w="875"/>
        <w:gridCol w:w="874"/>
        <w:gridCol w:w="875"/>
        <w:gridCol w:w="900"/>
        <w:gridCol w:w="892"/>
      </w:tblGrid>
      <w:tr w:rsidR="00820A90" w:rsidRPr="00E359BF" w14:paraId="23EF26CA" w14:textId="77777777" w:rsidTr="00FB1C07">
        <w:trPr>
          <w:cnfStyle w:val="100000000000" w:firstRow="1" w:lastRow="0" w:firstColumn="0" w:lastColumn="0" w:oddVBand="0" w:evenVBand="0" w:oddHBand="0" w:evenHBand="0" w:firstRowFirstColumn="0" w:firstRowLastColumn="0" w:lastRowFirstColumn="0" w:lastRowLastColumn="0"/>
          <w:jc w:val="center"/>
        </w:trPr>
        <w:tc>
          <w:tcPr>
            <w:tcW w:w="1431" w:type="dxa"/>
            <w:vAlign w:val="center"/>
          </w:tcPr>
          <w:p w14:paraId="2A869355" w14:textId="77777777" w:rsidR="00820A90" w:rsidRPr="00E359BF" w:rsidRDefault="00820A90" w:rsidP="00FB1C07">
            <w:pPr>
              <w:pStyle w:val="TableColHeadingCenter"/>
              <w:rPr>
                <w:rFonts w:eastAsia="MS Mincho"/>
              </w:rPr>
            </w:pPr>
            <w:bookmarkStart w:id="131" w:name="Tbl_NC"/>
            <w:r>
              <w:rPr>
                <w:rFonts w:eastAsia="MS Mincho"/>
              </w:rPr>
              <w:t>Grade Band</w:t>
            </w:r>
          </w:p>
        </w:tc>
        <w:tc>
          <w:tcPr>
            <w:tcW w:w="874" w:type="dxa"/>
            <w:vAlign w:val="center"/>
          </w:tcPr>
          <w:p w14:paraId="07CEF987" w14:textId="77777777" w:rsidR="00820A90" w:rsidRPr="00E359BF" w:rsidRDefault="00820A90" w:rsidP="00FB1C07">
            <w:pPr>
              <w:pStyle w:val="TableColHeadingCenter"/>
              <w:rPr>
                <w:rFonts w:eastAsia="MS Mincho"/>
              </w:rPr>
            </w:pPr>
            <w:r w:rsidRPr="00E359BF">
              <w:rPr>
                <w:rFonts w:eastAsia="MS Mincho"/>
              </w:rPr>
              <w:t>Low Range</w:t>
            </w:r>
            <w:r>
              <w:rPr>
                <w:rFonts w:eastAsia="MS Mincho"/>
              </w:rPr>
              <w:t xml:space="preserve"> (1)</w:t>
            </w:r>
          </w:p>
        </w:tc>
        <w:tc>
          <w:tcPr>
            <w:tcW w:w="874" w:type="dxa"/>
            <w:vAlign w:val="center"/>
          </w:tcPr>
          <w:p w14:paraId="2A4754C2" w14:textId="77777777" w:rsidR="00820A90" w:rsidRPr="00E359BF" w:rsidRDefault="00820A90" w:rsidP="00FB1C07">
            <w:pPr>
              <w:pStyle w:val="TableColHeadingCenter"/>
              <w:rPr>
                <w:rFonts w:eastAsia="MS Mincho"/>
              </w:rPr>
            </w:pPr>
            <w:r w:rsidRPr="00E359BF">
              <w:rPr>
                <w:rFonts w:eastAsia="MS Mincho"/>
              </w:rPr>
              <w:t>Low Range</w:t>
            </w:r>
            <w:r>
              <w:rPr>
                <w:rFonts w:eastAsia="MS Mincho"/>
              </w:rPr>
              <w:t xml:space="preserve"> (2)</w:t>
            </w:r>
          </w:p>
        </w:tc>
        <w:tc>
          <w:tcPr>
            <w:tcW w:w="874" w:type="dxa"/>
            <w:vAlign w:val="center"/>
          </w:tcPr>
          <w:p w14:paraId="0D8B7078" w14:textId="77777777" w:rsidR="00820A90" w:rsidRPr="00E359BF" w:rsidRDefault="00820A90" w:rsidP="00FB1C07">
            <w:pPr>
              <w:pStyle w:val="TableColHeadingCenter"/>
              <w:rPr>
                <w:rFonts w:eastAsia="MS Mincho"/>
              </w:rPr>
            </w:pPr>
            <w:r w:rsidRPr="00E359BF">
              <w:rPr>
                <w:rFonts w:eastAsia="MS Mincho"/>
              </w:rPr>
              <w:t>Middle Range</w:t>
            </w:r>
            <w:r>
              <w:rPr>
                <w:rFonts w:eastAsia="MS Mincho"/>
              </w:rPr>
              <w:t xml:space="preserve"> (3)</w:t>
            </w:r>
          </w:p>
        </w:tc>
        <w:tc>
          <w:tcPr>
            <w:tcW w:w="875" w:type="dxa"/>
            <w:vAlign w:val="center"/>
          </w:tcPr>
          <w:p w14:paraId="396664D7" w14:textId="77777777" w:rsidR="00820A90" w:rsidRPr="00E359BF" w:rsidRDefault="00820A90" w:rsidP="00FB1C07">
            <w:pPr>
              <w:pStyle w:val="TableColHeadingCenter"/>
              <w:rPr>
                <w:rFonts w:eastAsia="MS Mincho"/>
              </w:rPr>
            </w:pPr>
            <w:r w:rsidRPr="00E359BF">
              <w:rPr>
                <w:rFonts w:eastAsia="MS Mincho"/>
              </w:rPr>
              <w:t>Middle Range</w:t>
            </w:r>
            <w:r>
              <w:rPr>
                <w:rFonts w:eastAsia="MS Mincho"/>
              </w:rPr>
              <w:t xml:space="preserve"> (4)</w:t>
            </w:r>
          </w:p>
        </w:tc>
        <w:tc>
          <w:tcPr>
            <w:tcW w:w="875" w:type="dxa"/>
            <w:vAlign w:val="center"/>
          </w:tcPr>
          <w:p w14:paraId="28375D41" w14:textId="77777777" w:rsidR="00820A90" w:rsidRPr="00E359BF" w:rsidRDefault="00820A90" w:rsidP="00FB1C07">
            <w:pPr>
              <w:pStyle w:val="TableColHeadingCenter"/>
              <w:rPr>
                <w:rFonts w:eastAsia="MS Mincho"/>
              </w:rPr>
            </w:pPr>
            <w:r w:rsidRPr="00E359BF">
              <w:rPr>
                <w:rFonts w:eastAsia="MS Mincho"/>
              </w:rPr>
              <w:t>Middle Range</w:t>
            </w:r>
            <w:r>
              <w:rPr>
                <w:rFonts w:eastAsia="MS Mincho"/>
              </w:rPr>
              <w:t xml:space="preserve"> (5)</w:t>
            </w:r>
          </w:p>
        </w:tc>
        <w:tc>
          <w:tcPr>
            <w:tcW w:w="874" w:type="dxa"/>
            <w:vAlign w:val="center"/>
          </w:tcPr>
          <w:p w14:paraId="6F015596" w14:textId="77777777" w:rsidR="00820A90" w:rsidRPr="00E359BF" w:rsidRDefault="00820A90" w:rsidP="00FB1C07">
            <w:pPr>
              <w:pStyle w:val="TableColHeadingCenter"/>
              <w:rPr>
                <w:rFonts w:eastAsia="MS Mincho"/>
              </w:rPr>
            </w:pPr>
            <w:r w:rsidRPr="00E359BF">
              <w:rPr>
                <w:rFonts w:eastAsia="MS Mincho"/>
              </w:rPr>
              <w:t>High Range</w:t>
            </w:r>
            <w:r>
              <w:rPr>
                <w:rFonts w:eastAsia="MS Mincho"/>
              </w:rPr>
              <w:t xml:space="preserve"> (6)</w:t>
            </w:r>
          </w:p>
        </w:tc>
        <w:tc>
          <w:tcPr>
            <w:tcW w:w="875" w:type="dxa"/>
            <w:vAlign w:val="center"/>
          </w:tcPr>
          <w:p w14:paraId="213D4691" w14:textId="77777777" w:rsidR="00820A90" w:rsidRPr="00E359BF" w:rsidRDefault="00820A90" w:rsidP="00FB1C07">
            <w:pPr>
              <w:pStyle w:val="TableColHeadingCenter"/>
              <w:rPr>
                <w:rFonts w:eastAsia="MS Mincho"/>
              </w:rPr>
            </w:pPr>
            <w:r w:rsidRPr="00E359BF">
              <w:rPr>
                <w:rFonts w:eastAsia="MS Mincho"/>
              </w:rPr>
              <w:t>High Range</w:t>
            </w:r>
            <w:r>
              <w:rPr>
                <w:rFonts w:eastAsia="MS Mincho"/>
              </w:rPr>
              <w:t xml:space="preserve"> (7)</w:t>
            </w:r>
          </w:p>
        </w:tc>
        <w:tc>
          <w:tcPr>
            <w:tcW w:w="900" w:type="dxa"/>
            <w:vAlign w:val="center"/>
          </w:tcPr>
          <w:p w14:paraId="46C8F1E1" w14:textId="77777777" w:rsidR="00820A90" w:rsidRPr="00E359BF" w:rsidRDefault="00820A90" w:rsidP="00FB1C07">
            <w:pPr>
              <w:pStyle w:val="TableColHeadingCenter"/>
              <w:rPr>
                <w:rFonts w:eastAsia="MS Mincho"/>
              </w:rPr>
            </w:pPr>
            <w:r>
              <w:rPr>
                <w:rFonts w:eastAsia="MS Mincho"/>
              </w:rPr>
              <w:t>n</w:t>
            </w:r>
          </w:p>
        </w:tc>
        <w:tc>
          <w:tcPr>
            <w:tcW w:w="892" w:type="dxa"/>
            <w:vAlign w:val="center"/>
          </w:tcPr>
          <w:p w14:paraId="25F43056" w14:textId="77777777" w:rsidR="00820A90" w:rsidRPr="00E359BF" w:rsidRDefault="00820A90" w:rsidP="00FB1C07">
            <w:pPr>
              <w:pStyle w:val="TableColHeadingCenter"/>
              <w:rPr>
                <w:rFonts w:eastAsia="MS Mincho"/>
              </w:rPr>
            </w:pPr>
            <w:r>
              <w:rPr>
                <w:rFonts w:eastAsia="MS Mincho"/>
              </w:rPr>
              <w:t>Average</w:t>
            </w:r>
          </w:p>
        </w:tc>
      </w:tr>
      <w:tr w:rsidR="00820A90" w:rsidRPr="00E359BF" w14:paraId="44D056A1" w14:textId="77777777" w:rsidTr="00FB1C07">
        <w:trPr>
          <w:cnfStyle w:val="000000100000" w:firstRow="0" w:lastRow="0" w:firstColumn="0" w:lastColumn="0" w:oddVBand="0" w:evenVBand="0" w:oddHBand="1" w:evenHBand="0" w:firstRowFirstColumn="0" w:firstRowLastColumn="0" w:lastRowFirstColumn="0" w:lastRowLastColumn="0"/>
          <w:jc w:val="center"/>
        </w:trPr>
        <w:tc>
          <w:tcPr>
            <w:tcW w:w="1431" w:type="dxa"/>
            <w:shd w:val="clear" w:color="auto" w:fill="FFFFFF" w:themeFill="background1"/>
          </w:tcPr>
          <w:p w14:paraId="28AFDB2A" w14:textId="77777777" w:rsidR="00820A90" w:rsidRPr="00E359BF" w:rsidRDefault="00820A90" w:rsidP="00FB1C07">
            <w:pPr>
              <w:pStyle w:val="TableText"/>
            </w:pPr>
            <w:r>
              <w:t>Grades PK-5</w:t>
            </w:r>
          </w:p>
        </w:tc>
        <w:tc>
          <w:tcPr>
            <w:tcW w:w="874" w:type="dxa"/>
            <w:shd w:val="clear" w:color="auto" w:fill="FFFFFF" w:themeFill="background1"/>
          </w:tcPr>
          <w:p w14:paraId="7D77B48B" w14:textId="77777777" w:rsidR="00820A90" w:rsidRPr="00E359BF" w:rsidRDefault="00820A90" w:rsidP="00FB1C07">
            <w:pPr>
              <w:pStyle w:val="TableTextCentered"/>
              <w:rPr>
                <w:rFonts w:eastAsia="Times New Roman"/>
              </w:rPr>
            </w:pPr>
            <w:r>
              <w:rPr>
                <w:rFonts w:eastAsia="Times New Roman"/>
              </w:rPr>
              <w:t>0</w:t>
            </w:r>
          </w:p>
        </w:tc>
        <w:tc>
          <w:tcPr>
            <w:tcW w:w="874" w:type="dxa"/>
            <w:shd w:val="clear" w:color="auto" w:fill="FFFFFF" w:themeFill="background1"/>
          </w:tcPr>
          <w:p w14:paraId="745633FA" w14:textId="77777777" w:rsidR="00820A90" w:rsidRPr="00E359BF" w:rsidRDefault="00820A90" w:rsidP="00FB1C07">
            <w:pPr>
              <w:pStyle w:val="TableTextCentered"/>
              <w:rPr>
                <w:rFonts w:eastAsia="Times New Roman"/>
              </w:rPr>
            </w:pPr>
            <w:r>
              <w:rPr>
                <w:rFonts w:eastAsia="Times New Roman"/>
              </w:rPr>
              <w:t>0</w:t>
            </w:r>
          </w:p>
        </w:tc>
        <w:tc>
          <w:tcPr>
            <w:tcW w:w="874" w:type="dxa"/>
            <w:shd w:val="clear" w:color="auto" w:fill="FFFFFF" w:themeFill="background1"/>
          </w:tcPr>
          <w:p w14:paraId="2A14E4D9" w14:textId="77777777" w:rsidR="00820A90" w:rsidRPr="00E359BF" w:rsidRDefault="00820A90" w:rsidP="00FB1C07">
            <w:pPr>
              <w:pStyle w:val="TableTextCentered"/>
              <w:rPr>
                <w:rFonts w:eastAsia="Times New Roman"/>
              </w:rPr>
            </w:pPr>
            <w:r>
              <w:rPr>
                <w:rFonts w:eastAsia="Times New Roman"/>
              </w:rPr>
              <w:t>0</w:t>
            </w:r>
          </w:p>
        </w:tc>
        <w:tc>
          <w:tcPr>
            <w:tcW w:w="875" w:type="dxa"/>
            <w:shd w:val="clear" w:color="auto" w:fill="FFFFFF" w:themeFill="background1"/>
          </w:tcPr>
          <w:p w14:paraId="7E9C2960" w14:textId="77777777" w:rsidR="00820A90" w:rsidRPr="00E359BF" w:rsidRDefault="00820A90" w:rsidP="00FB1C07">
            <w:pPr>
              <w:pStyle w:val="TableTextCentered"/>
              <w:rPr>
                <w:rFonts w:eastAsia="Times New Roman"/>
              </w:rPr>
            </w:pPr>
            <w:r>
              <w:rPr>
                <w:rFonts w:eastAsia="Times New Roman"/>
              </w:rPr>
              <w:t>0</w:t>
            </w:r>
          </w:p>
        </w:tc>
        <w:tc>
          <w:tcPr>
            <w:tcW w:w="875" w:type="dxa"/>
            <w:shd w:val="clear" w:color="auto" w:fill="FFFFFF" w:themeFill="background1"/>
          </w:tcPr>
          <w:p w14:paraId="47EC5231" w14:textId="77777777" w:rsidR="00820A90" w:rsidRPr="00E359BF" w:rsidRDefault="00820A90" w:rsidP="00FB1C07">
            <w:pPr>
              <w:pStyle w:val="TableTextCentered"/>
              <w:rPr>
                <w:rFonts w:eastAsia="Times New Roman"/>
              </w:rPr>
            </w:pPr>
            <w:r>
              <w:rPr>
                <w:rFonts w:eastAsia="Times New Roman"/>
              </w:rPr>
              <w:t>0</w:t>
            </w:r>
          </w:p>
        </w:tc>
        <w:tc>
          <w:tcPr>
            <w:tcW w:w="874" w:type="dxa"/>
            <w:shd w:val="clear" w:color="auto" w:fill="FFFFFF" w:themeFill="background1"/>
          </w:tcPr>
          <w:p w14:paraId="501A07A1" w14:textId="77777777" w:rsidR="00820A90" w:rsidRPr="00E359BF" w:rsidRDefault="00820A90" w:rsidP="00FB1C07">
            <w:pPr>
              <w:pStyle w:val="TableTextCentered"/>
              <w:rPr>
                <w:rFonts w:eastAsia="Times New Roman"/>
              </w:rPr>
            </w:pPr>
            <w:r>
              <w:rPr>
                <w:rFonts w:eastAsia="Times New Roman"/>
              </w:rPr>
              <w:t>1</w:t>
            </w:r>
          </w:p>
        </w:tc>
        <w:tc>
          <w:tcPr>
            <w:tcW w:w="875" w:type="dxa"/>
            <w:shd w:val="clear" w:color="auto" w:fill="FFFFFF" w:themeFill="background1"/>
          </w:tcPr>
          <w:p w14:paraId="11A37F90" w14:textId="77777777" w:rsidR="00820A90" w:rsidRPr="00E359BF" w:rsidRDefault="00820A90" w:rsidP="00FB1C07">
            <w:pPr>
              <w:pStyle w:val="TableTextCentered"/>
              <w:rPr>
                <w:rFonts w:eastAsia="Times New Roman"/>
              </w:rPr>
            </w:pPr>
            <w:r>
              <w:rPr>
                <w:rFonts w:eastAsia="Times New Roman"/>
              </w:rPr>
              <w:t>33</w:t>
            </w:r>
          </w:p>
        </w:tc>
        <w:tc>
          <w:tcPr>
            <w:tcW w:w="900" w:type="dxa"/>
            <w:shd w:val="clear" w:color="auto" w:fill="FFFFFF" w:themeFill="background1"/>
          </w:tcPr>
          <w:p w14:paraId="48616325" w14:textId="77777777" w:rsidR="00820A90" w:rsidRPr="00E359BF" w:rsidRDefault="00820A90" w:rsidP="00FB1C07">
            <w:pPr>
              <w:pStyle w:val="TableTextCentered"/>
              <w:rPr>
                <w:rFonts w:eastAsia="Times New Roman"/>
              </w:rPr>
            </w:pPr>
            <w:r>
              <w:rPr>
                <w:rFonts w:eastAsia="Times New Roman"/>
              </w:rPr>
              <w:t>34</w:t>
            </w:r>
          </w:p>
        </w:tc>
        <w:tc>
          <w:tcPr>
            <w:tcW w:w="892" w:type="dxa"/>
            <w:shd w:val="clear" w:color="auto" w:fill="FFFFFF" w:themeFill="background1"/>
          </w:tcPr>
          <w:p w14:paraId="5B25663F" w14:textId="77777777" w:rsidR="00820A90" w:rsidRPr="00E359BF" w:rsidRDefault="00820A90" w:rsidP="00FB1C07">
            <w:pPr>
              <w:pStyle w:val="TableTextCentered"/>
              <w:rPr>
                <w:rFonts w:eastAsia="Times New Roman"/>
              </w:rPr>
            </w:pPr>
            <w:r>
              <w:rPr>
                <w:rFonts w:eastAsia="Times New Roman"/>
              </w:rPr>
              <w:t>7.0</w:t>
            </w:r>
          </w:p>
        </w:tc>
      </w:tr>
      <w:tr w:rsidR="00820A90" w:rsidRPr="00E359BF" w14:paraId="02CEAF82" w14:textId="77777777" w:rsidTr="00FB1C07">
        <w:trPr>
          <w:jc w:val="center"/>
        </w:trPr>
        <w:tc>
          <w:tcPr>
            <w:tcW w:w="1431" w:type="dxa"/>
            <w:shd w:val="clear" w:color="auto" w:fill="DEEAF6" w:themeFill="accent1" w:themeFillTint="33"/>
          </w:tcPr>
          <w:p w14:paraId="07982CDE" w14:textId="77777777" w:rsidR="00820A90" w:rsidRPr="00E359BF" w:rsidRDefault="00820A90" w:rsidP="00FB1C07">
            <w:pPr>
              <w:pStyle w:val="TableText"/>
            </w:pPr>
            <w:r>
              <w:t>Grades 6-8</w:t>
            </w:r>
          </w:p>
        </w:tc>
        <w:tc>
          <w:tcPr>
            <w:tcW w:w="874" w:type="dxa"/>
            <w:shd w:val="clear" w:color="auto" w:fill="DEEAF6" w:themeFill="accent1" w:themeFillTint="33"/>
          </w:tcPr>
          <w:p w14:paraId="73FDF3F9" w14:textId="77777777" w:rsidR="00820A90" w:rsidRPr="00E359BF" w:rsidRDefault="00820A90" w:rsidP="00FB1C07">
            <w:pPr>
              <w:pStyle w:val="TableTextCentered"/>
              <w:rPr>
                <w:rFonts w:eastAsia="Times New Roman"/>
              </w:rPr>
            </w:pPr>
            <w:r>
              <w:rPr>
                <w:rFonts w:eastAsia="Times New Roman"/>
              </w:rPr>
              <w:t>0</w:t>
            </w:r>
          </w:p>
        </w:tc>
        <w:tc>
          <w:tcPr>
            <w:tcW w:w="874" w:type="dxa"/>
            <w:shd w:val="clear" w:color="auto" w:fill="DEEAF6" w:themeFill="accent1" w:themeFillTint="33"/>
          </w:tcPr>
          <w:p w14:paraId="7085818E" w14:textId="77777777" w:rsidR="00820A90" w:rsidRPr="00E359BF" w:rsidRDefault="00820A90" w:rsidP="00FB1C07">
            <w:pPr>
              <w:pStyle w:val="TableTextCentered"/>
              <w:rPr>
                <w:rFonts w:eastAsia="Times New Roman"/>
              </w:rPr>
            </w:pPr>
            <w:r>
              <w:rPr>
                <w:rFonts w:eastAsia="Times New Roman"/>
              </w:rPr>
              <w:t>0</w:t>
            </w:r>
          </w:p>
        </w:tc>
        <w:tc>
          <w:tcPr>
            <w:tcW w:w="874" w:type="dxa"/>
            <w:shd w:val="clear" w:color="auto" w:fill="DEEAF6" w:themeFill="accent1" w:themeFillTint="33"/>
          </w:tcPr>
          <w:p w14:paraId="4CC80638" w14:textId="77777777" w:rsidR="00820A90" w:rsidRPr="00E359BF" w:rsidRDefault="00820A90" w:rsidP="00FB1C07">
            <w:pPr>
              <w:pStyle w:val="TableTextCentered"/>
              <w:rPr>
                <w:rFonts w:eastAsia="Times New Roman"/>
              </w:rPr>
            </w:pPr>
            <w:r>
              <w:rPr>
                <w:rFonts w:eastAsia="Times New Roman"/>
              </w:rPr>
              <w:t>0</w:t>
            </w:r>
          </w:p>
        </w:tc>
        <w:tc>
          <w:tcPr>
            <w:tcW w:w="875" w:type="dxa"/>
            <w:shd w:val="clear" w:color="auto" w:fill="DEEAF6" w:themeFill="accent1" w:themeFillTint="33"/>
          </w:tcPr>
          <w:p w14:paraId="30A35FE5" w14:textId="77777777" w:rsidR="00820A90" w:rsidRPr="00E359BF" w:rsidRDefault="00820A90" w:rsidP="00FB1C07">
            <w:pPr>
              <w:pStyle w:val="TableTextCentered"/>
              <w:rPr>
                <w:rFonts w:eastAsia="Times New Roman"/>
              </w:rPr>
            </w:pPr>
            <w:r>
              <w:rPr>
                <w:rFonts w:eastAsia="Times New Roman"/>
              </w:rPr>
              <w:t>0</w:t>
            </w:r>
          </w:p>
        </w:tc>
        <w:tc>
          <w:tcPr>
            <w:tcW w:w="875" w:type="dxa"/>
            <w:shd w:val="clear" w:color="auto" w:fill="DEEAF6" w:themeFill="accent1" w:themeFillTint="33"/>
          </w:tcPr>
          <w:p w14:paraId="06A2ADF6" w14:textId="77777777" w:rsidR="00820A90" w:rsidRPr="00E359BF" w:rsidRDefault="00820A90" w:rsidP="00FB1C07">
            <w:pPr>
              <w:pStyle w:val="TableTextCentered"/>
              <w:rPr>
                <w:rFonts w:eastAsia="Times New Roman"/>
              </w:rPr>
            </w:pPr>
            <w:r>
              <w:rPr>
                <w:rFonts w:eastAsia="Times New Roman"/>
              </w:rPr>
              <w:t>0</w:t>
            </w:r>
          </w:p>
        </w:tc>
        <w:tc>
          <w:tcPr>
            <w:tcW w:w="874" w:type="dxa"/>
            <w:shd w:val="clear" w:color="auto" w:fill="DEEAF6" w:themeFill="accent1" w:themeFillTint="33"/>
          </w:tcPr>
          <w:p w14:paraId="29F85AB6" w14:textId="77777777" w:rsidR="00820A90" w:rsidRPr="00E359BF" w:rsidRDefault="00820A90" w:rsidP="00FB1C07">
            <w:pPr>
              <w:pStyle w:val="TableTextCentered"/>
              <w:rPr>
                <w:rFonts w:eastAsia="Times New Roman"/>
              </w:rPr>
            </w:pPr>
            <w:r>
              <w:rPr>
                <w:rFonts w:eastAsia="Times New Roman"/>
              </w:rPr>
              <w:t>1</w:t>
            </w:r>
          </w:p>
        </w:tc>
        <w:tc>
          <w:tcPr>
            <w:tcW w:w="875" w:type="dxa"/>
            <w:shd w:val="clear" w:color="auto" w:fill="DEEAF6" w:themeFill="accent1" w:themeFillTint="33"/>
          </w:tcPr>
          <w:p w14:paraId="37BCAF44" w14:textId="77777777" w:rsidR="00820A90" w:rsidRPr="00E359BF" w:rsidRDefault="00820A90" w:rsidP="00FB1C07">
            <w:pPr>
              <w:pStyle w:val="TableTextCentered"/>
              <w:rPr>
                <w:rFonts w:eastAsia="Times New Roman"/>
              </w:rPr>
            </w:pPr>
            <w:r>
              <w:rPr>
                <w:rFonts w:eastAsia="Times New Roman"/>
              </w:rPr>
              <w:t>19</w:t>
            </w:r>
          </w:p>
        </w:tc>
        <w:tc>
          <w:tcPr>
            <w:tcW w:w="900" w:type="dxa"/>
            <w:shd w:val="clear" w:color="auto" w:fill="DEEAF6" w:themeFill="accent1" w:themeFillTint="33"/>
          </w:tcPr>
          <w:p w14:paraId="5C9C918D" w14:textId="77777777" w:rsidR="00820A90" w:rsidRPr="00E359BF" w:rsidRDefault="00820A90" w:rsidP="00FB1C07">
            <w:pPr>
              <w:pStyle w:val="TableTextCentered"/>
              <w:rPr>
                <w:rFonts w:eastAsia="Times New Roman"/>
              </w:rPr>
            </w:pPr>
            <w:r>
              <w:rPr>
                <w:rFonts w:eastAsia="Times New Roman"/>
              </w:rPr>
              <w:t>20</w:t>
            </w:r>
          </w:p>
        </w:tc>
        <w:tc>
          <w:tcPr>
            <w:tcW w:w="892" w:type="dxa"/>
            <w:shd w:val="clear" w:color="auto" w:fill="DEEAF6" w:themeFill="accent1" w:themeFillTint="33"/>
          </w:tcPr>
          <w:p w14:paraId="7D88C3DB" w14:textId="77777777" w:rsidR="00820A90" w:rsidRPr="00E359BF" w:rsidRDefault="00820A90" w:rsidP="00FB1C07">
            <w:pPr>
              <w:pStyle w:val="TableTextCentered"/>
              <w:rPr>
                <w:rFonts w:eastAsia="Times New Roman"/>
              </w:rPr>
            </w:pPr>
            <w:r>
              <w:rPr>
                <w:rFonts w:eastAsia="Times New Roman"/>
              </w:rPr>
              <w:t>7.0</w:t>
            </w:r>
          </w:p>
        </w:tc>
      </w:tr>
      <w:tr w:rsidR="00820A90" w:rsidRPr="00E359BF" w14:paraId="6802246E" w14:textId="77777777" w:rsidTr="00FB1C07">
        <w:trPr>
          <w:cnfStyle w:val="000000100000" w:firstRow="0" w:lastRow="0" w:firstColumn="0" w:lastColumn="0" w:oddVBand="0" w:evenVBand="0" w:oddHBand="1" w:evenHBand="0" w:firstRowFirstColumn="0" w:firstRowLastColumn="0" w:lastRowFirstColumn="0" w:lastRowLastColumn="0"/>
          <w:jc w:val="center"/>
        </w:trPr>
        <w:tc>
          <w:tcPr>
            <w:tcW w:w="1431" w:type="dxa"/>
            <w:shd w:val="clear" w:color="auto" w:fill="FFFFFF" w:themeFill="background1"/>
          </w:tcPr>
          <w:p w14:paraId="4E2FC6F2" w14:textId="77777777" w:rsidR="00820A90" w:rsidRPr="00E359BF" w:rsidRDefault="00820A90" w:rsidP="00FB1C07">
            <w:pPr>
              <w:pStyle w:val="TableText"/>
            </w:pPr>
            <w:r>
              <w:t>Grades 9-12</w:t>
            </w:r>
          </w:p>
        </w:tc>
        <w:tc>
          <w:tcPr>
            <w:tcW w:w="874" w:type="dxa"/>
            <w:shd w:val="clear" w:color="auto" w:fill="FFFFFF" w:themeFill="background1"/>
          </w:tcPr>
          <w:p w14:paraId="19F01F04" w14:textId="77777777" w:rsidR="00820A90" w:rsidRPr="00E359BF" w:rsidRDefault="00820A90" w:rsidP="00FB1C07">
            <w:pPr>
              <w:pStyle w:val="TableTextCentered"/>
              <w:rPr>
                <w:rFonts w:eastAsia="Times New Roman"/>
              </w:rPr>
            </w:pPr>
            <w:r>
              <w:rPr>
                <w:rFonts w:eastAsia="Times New Roman"/>
              </w:rPr>
              <w:t>0</w:t>
            </w:r>
          </w:p>
        </w:tc>
        <w:tc>
          <w:tcPr>
            <w:tcW w:w="874" w:type="dxa"/>
            <w:shd w:val="clear" w:color="auto" w:fill="FFFFFF" w:themeFill="background1"/>
          </w:tcPr>
          <w:p w14:paraId="2BE2928E" w14:textId="77777777" w:rsidR="00820A90" w:rsidRPr="00E359BF" w:rsidRDefault="00820A90" w:rsidP="00FB1C07">
            <w:pPr>
              <w:pStyle w:val="TableTextCentered"/>
              <w:rPr>
                <w:rFonts w:eastAsia="Times New Roman"/>
              </w:rPr>
            </w:pPr>
            <w:r>
              <w:rPr>
                <w:rFonts w:eastAsia="Times New Roman"/>
              </w:rPr>
              <w:t>0</w:t>
            </w:r>
          </w:p>
        </w:tc>
        <w:tc>
          <w:tcPr>
            <w:tcW w:w="874" w:type="dxa"/>
            <w:shd w:val="clear" w:color="auto" w:fill="FFFFFF" w:themeFill="background1"/>
          </w:tcPr>
          <w:p w14:paraId="2E1D0A9C" w14:textId="77777777" w:rsidR="00820A90" w:rsidRPr="00E359BF" w:rsidRDefault="00820A90" w:rsidP="00FB1C07">
            <w:pPr>
              <w:pStyle w:val="TableTextCentered"/>
              <w:rPr>
                <w:rFonts w:eastAsia="Times New Roman"/>
              </w:rPr>
            </w:pPr>
            <w:r>
              <w:rPr>
                <w:rFonts w:eastAsia="Times New Roman"/>
              </w:rPr>
              <w:t>0</w:t>
            </w:r>
          </w:p>
        </w:tc>
        <w:tc>
          <w:tcPr>
            <w:tcW w:w="875" w:type="dxa"/>
            <w:shd w:val="clear" w:color="auto" w:fill="FFFFFF" w:themeFill="background1"/>
          </w:tcPr>
          <w:p w14:paraId="2B2CBEEA" w14:textId="77777777" w:rsidR="00820A90" w:rsidRPr="00E359BF" w:rsidRDefault="00820A90" w:rsidP="00FB1C07">
            <w:pPr>
              <w:pStyle w:val="TableTextCentered"/>
              <w:rPr>
                <w:rFonts w:eastAsia="Times New Roman"/>
              </w:rPr>
            </w:pPr>
            <w:r>
              <w:rPr>
                <w:rFonts w:eastAsia="Times New Roman"/>
              </w:rPr>
              <w:t>0</w:t>
            </w:r>
          </w:p>
        </w:tc>
        <w:tc>
          <w:tcPr>
            <w:tcW w:w="875" w:type="dxa"/>
            <w:shd w:val="clear" w:color="auto" w:fill="FFFFFF" w:themeFill="background1"/>
          </w:tcPr>
          <w:p w14:paraId="6EA4F258" w14:textId="77777777" w:rsidR="00820A90" w:rsidRPr="00E359BF" w:rsidRDefault="00820A90" w:rsidP="00FB1C07">
            <w:pPr>
              <w:pStyle w:val="TableTextCentered"/>
              <w:rPr>
                <w:rFonts w:eastAsia="Times New Roman"/>
              </w:rPr>
            </w:pPr>
            <w:r>
              <w:rPr>
                <w:rFonts w:eastAsia="Times New Roman"/>
              </w:rPr>
              <w:t>1</w:t>
            </w:r>
          </w:p>
        </w:tc>
        <w:tc>
          <w:tcPr>
            <w:tcW w:w="874" w:type="dxa"/>
            <w:shd w:val="clear" w:color="auto" w:fill="FFFFFF" w:themeFill="background1"/>
          </w:tcPr>
          <w:p w14:paraId="48F203EB" w14:textId="77777777" w:rsidR="00820A90" w:rsidRPr="00E359BF" w:rsidRDefault="00820A90" w:rsidP="00FB1C07">
            <w:pPr>
              <w:pStyle w:val="TableTextCentered"/>
              <w:rPr>
                <w:rFonts w:eastAsia="Times New Roman"/>
              </w:rPr>
            </w:pPr>
            <w:r>
              <w:rPr>
                <w:rFonts w:eastAsia="Times New Roman"/>
              </w:rPr>
              <w:t>0</w:t>
            </w:r>
          </w:p>
        </w:tc>
        <w:tc>
          <w:tcPr>
            <w:tcW w:w="875" w:type="dxa"/>
            <w:shd w:val="clear" w:color="auto" w:fill="FFFFFF" w:themeFill="background1"/>
          </w:tcPr>
          <w:p w14:paraId="078D2238" w14:textId="77777777" w:rsidR="00820A90" w:rsidRPr="00E359BF" w:rsidRDefault="00820A90" w:rsidP="00FB1C07">
            <w:pPr>
              <w:pStyle w:val="TableTextCentered"/>
              <w:rPr>
                <w:rFonts w:eastAsia="Times New Roman"/>
              </w:rPr>
            </w:pPr>
            <w:r>
              <w:rPr>
                <w:rFonts w:eastAsia="Times New Roman"/>
              </w:rPr>
              <w:t>19</w:t>
            </w:r>
          </w:p>
        </w:tc>
        <w:tc>
          <w:tcPr>
            <w:tcW w:w="900" w:type="dxa"/>
            <w:shd w:val="clear" w:color="auto" w:fill="FFFFFF" w:themeFill="background1"/>
          </w:tcPr>
          <w:p w14:paraId="4C667BA2" w14:textId="77777777" w:rsidR="00820A90" w:rsidRPr="00E359BF" w:rsidRDefault="00820A90" w:rsidP="00FB1C07">
            <w:pPr>
              <w:pStyle w:val="TableTextCentered"/>
              <w:rPr>
                <w:rFonts w:eastAsia="Times New Roman"/>
              </w:rPr>
            </w:pPr>
            <w:r>
              <w:rPr>
                <w:rFonts w:eastAsia="Times New Roman"/>
              </w:rPr>
              <w:t>20</w:t>
            </w:r>
          </w:p>
        </w:tc>
        <w:tc>
          <w:tcPr>
            <w:tcW w:w="892" w:type="dxa"/>
            <w:shd w:val="clear" w:color="auto" w:fill="FFFFFF" w:themeFill="background1"/>
          </w:tcPr>
          <w:p w14:paraId="12A1E606" w14:textId="77777777" w:rsidR="00820A90" w:rsidRPr="00E359BF" w:rsidRDefault="00820A90" w:rsidP="00FB1C07">
            <w:pPr>
              <w:pStyle w:val="TableTextCentered"/>
              <w:rPr>
                <w:rFonts w:eastAsia="Times New Roman"/>
              </w:rPr>
            </w:pPr>
            <w:r>
              <w:rPr>
                <w:rFonts w:eastAsia="Times New Roman"/>
              </w:rPr>
              <w:t>6.9</w:t>
            </w:r>
          </w:p>
        </w:tc>
      </w:tr>
      <w:tr w:rsidR="00820A90" w:rsidRPr="00E359BF" w14:paraId="42E9CAEA" w14:textId="77777777" w:rsidTr="00FB1C07">
        <w:trPr>
          <w:jc w:val="center"/>
        </w:trPr>
        <w:tc>
          <w:tcPr>
            <w:tcW w:w="1431" w:type="dxa"/>
            <w:shd w:val="clear" w:color="auto" w:fill="DEEAF6" w:themeFill="accent1" w:themeFillTint="33"/>
          </w:tcPr>
          <w:p w14:paraId="353C8F44" w14:textId="77777777" w:rsidR="00820A90" w:rsidRPr="00B30BCD" w:rsidRDefault="00820A90" w:rsidP="00FB1C07">
            <w:pPr>
              <w:pStyle w:val="TableText"/>
              <w:rPr>
                <w:b/>
                <w:bCs/>
              </w:rPr>
            </w:pPr>
            <w:r w:rsidRPr="00B30BCD">
              <w:rPr>
                <w:b/>
                <w:bCs/>
              </w:rPr>
              <w:t>Totals</w:t>
            </w:r>
          </w:p>
        </w:tc>
        <w:tc>
          <w:tcPr>
            <w:tcW w:w="874" w:type="dxa"/>
            <w:shd w:val="clear" w:color="auto" w:fill="DEEAF6" w:themeFill="accent1" w:themeFillTint="33"/>
          </w:tcPr>
          <w:p w14:paraId="6F50EE7B" w14:textId="77777777" w:rsidR="00820A90" w:rsidRPr="00B30BCD" w:rsidRDefault="00820A90" w:rsidP="00FB1C07">
            <w:pPr>
              <w:pStyle w:val="TableTextCentered"/>
              <w:rPr>
                <w:rFonts w:eastAsia="Times New Roman"/>
                <w:b/>
                <w:bCs/>
              </w:rPr>
            </w:pPr>
            <w:r>
              <w:rPr>
                <w:rFonts w:eastAsia="Times New Roman"/>
                <w:b/>
                <w:bCs/>
              </w:rPr>
              <w:t>0</w:t>
            </w:r>
          </w:p>
        </w:tc>
        <w:tc>
          <w:tcPr>
            <w:tcW w:w="874" w:type="dxa"/>
            <w:shd w:val="clear" w:color="auto" w:fill="DEEAF6" w:themeFill="accent1" w:themeFillTint="33"/>
          </w:tcPr>
          <w:p w14:paraId="0ED9C92A" w14:textId="77777777" w:rsidR="00820A90" w:rsidRPr="00B30BCD" w:rsidRDefault="00820A90" w:rsidP="00FB1C07">
            <w:pPr>
              <w:pStyle w:val="TableTextCentered"/>
              <w:rPr>
                <w:rFonts w:eastAsia="Times New Roman"/>
                <w:b/>
                <w:bCs/>
              </w:rPr>
            </w:pPr>
            <w:r>
              <w:rPr>
                <w:rFonts w:eastAsia="Times New Roman"/>
                <w:b/>
                <w:bCs/>
              </w:rPr>
              <w:t>0</w:t>
            </w:r>
          </w:p>
        </w:tc>
        <w:tc>
          <w:tcPr>
            <w:tcW w:w="874" w:type="dxa"/>
            <w:shd w:val="clear" w:color="auto" w:fill="DEEAF6" w:themeFill="accent1" w:themeFillTint="33"/>
          </w:tcPr>
          <w:p w14:paraId="54071A10" w14:textId="77777777" w:rsidR="00820A90" w:rsidRPr="00B30BCD" w:rsidRDefault="00820A90" w:rsidP="00FB1C07">
            <w:pPr>
              <w:pStyle w:val="TableTextCentered"/>
              <w:rPr>
                <w:rFonts w:eastAsia="Times New Roman"/>
                <w:b/>
                <w:bCs/>
              </w:rPr>
            </w:pPr>
            <w:r>
              <w:rPr>
                <w:rFonts w:eastAsia="Times New Roman"/>
                <w:b/>
                <w:bCs/>
              </w:rPr>
              <w:t>0</w:t>
            </w:r>
          </w:p>
        </w:tc>
        <w:tc>
          <w:tcPr>
            <w:tcW w:w="875" w:type="dxa"/>
            <w:shd w:val="clear" w:color="auto" w:fill="DEEAF6" w:themeFill="accent1" w:themeFillTint="33"/>
          </w:tcPr>
          <w:p w14:paraId="2F7FAE6E" w14:textId="77777777" w:rsidR="00820A90" w:rsidRPr="00B30BCD" w:rsidRDefault="00820A90" w:rsidP="00FB1C07">
            <w:pPr>
              <w:pStyle w:val="TableTextCentered"/>
              <w:rPr>
                <w:rFonts w:eastAsia="Times New Roman"/>
                <w:b/>
                <w:bCs/>
              </w:rPr>
            </w:pPr>
            <w:r>
              <w:rPr>
                <w:rFonts w:eastAsia="Times New Roman"/>
                <w:b/>
                <w:bCs/>
              </w:rPr>
              <w:t>0</w:t>
            </w:r>
          </w:p>
        </w:tc>
        <w:tc>
          <w:tcPr>
            <w:tcW w:w="875" w:type="dxa"/>
            <w:shd w:val="clear" w:color="auto" w:fill="DEEAF6" w:themeFill="accent1" w:themeFillTint="33"/>
          </w:tcPr>
          <w:p w14:paraId="50538AE6" w14:textId="77777777" w:rsidR="00820A90" w:rsidRPr="00B30BCD" w:rsidRDefault="00820A90" w:rsidP="00FB1C07">
            <w:pPr>
              <w:pStyle w:val="TableTextCentered"/>
              <w:rPr>
                <w:rFonts w:eastAsia="Times New Roman"/>
                <w:b/>
                <w:bCs/>
              </w:rPr>
            </w:pPr>
            <w:r>
              <w:rPr>
                <w:rFonts w:eastAsia="Times New Roman"/>
                <w:b/>
                <w:bCs/>
              </w:rPr>
              <w:t>1</w:t>
            </w:r>
          </w:p>
        </w:tc>
        <w:tc>
          <w:tcPr>
            <w:tcW w:w="874" w:type="dxa"/>
            <w:shd w:val="clear" w:color="auto" w:fill="DEEAF6" w:themeFill="accent1" w:themeFillTint="33"/>
          </w:tcPr>
          <w:p w14:paraId="30048AB3" w14:textId="77777777" w:rsidR="00820A90" w:rsidRPr="00B30BCD" w:rsidRDefault="00820A90" w:rsidP="00FB1C07">
            <w:pPr>
              <w:pStyle w:val="TableTextCentered"/>
              <w:rPr>
                <w:rFonts w:eastAsia="Times New Roman"/>
                <w:b/>
                <w:bCs/>
              </w:rPr>
            </w:pPr>
            <w:r>
              <w:rPr>
                <w:rFonts w:eastAsia="Times New Roman"/>
                <w:b/>
                <w:bCs/>
              </w:rPr>
              <w:t>2</w:t>
            </w:r>
          </w:p>
        </w:tc>
        <w:tc>
          <w:tcPr>
            <w:tcW w:w="875" w:type="dxa"/>
            <w:shd w:val="clear" w:color="auto" w:fill="DEEAF6" w:themeFill="accent1" w:themeFillTint="33"/>
          </w:tcPr>
          <w:p w14:paraId="3949B325" w14:textId="77777777" w:rsidR="00820A90" w:rsidRPr="00B30BCD" w:rsidRDefault="00820A90" w:rsidP="00FB1C07">
            <w:pPr>
              <w:pStyle w:val="TableTextCentered"/>
              <w:rPr>
                <w:rFonts w:eastAsia="Times New Roman"/>
                <w:b/>
                <w:bCs/>
              </w:rPr>
            </w:pPr>
            <w:r>
              <w:rPr>
                <w:rFonts w:eastAsia="Times New Roman"/>
                <w:b/>
                <w:bCs/>
              </w:rPr>
              <w:t>71</w:t>
            </w:r>
          </w:p>
        </w:tc>
        <w:tc>
          <w:tcPr>
            <w:tcW w:w="900" w:type="dxa"/>
            <w:shd w:val="clear" w:color="auto" w:fill="DEEAF6" w:themeFill="accent1" w:themeFillTint="33"/>
          </w:tcPr>
          <w:p w14:paraId="5B6A5C2B" w14:textId="77777777" w:rsidR="00820A90" w:rsidRPr="00B30BCD" w:rsidRDefault="00820A90" w:rsidP="00FB1C07">
            <w:pPr>
              <w:pStyle w:val="TableTextCentered"/>
              <w:rPr>
                <w:rFonts w:eastAsia="Times New Roman"/>
                <w:b/>
                <w:bCs/>
              </w:rPr>
            </w:pPr>
            <w:r>
              <w:rPr>
                <w:rFonts w:eastAsia="Times New Roman"/>
                <w:b/>
                <w:bCs/>
              </w:rPr>
              <w:t>74</w:t>
            </w:r>
          </w:p>
        </w:tc>
        <w:tc>
          <w:tcPr>
            <w:tcW w:w="892" w:type="dxa"/>
            <w:shd w:val="clear" w:color="auto" w:fill="DEEAF6" w:themeFill="accent1" w:themeFillTint="33"/>
          </w:tcPr>
          <w:p w14:paraId="1A5ED3A3" w14:textId="77777777" w:rsidR="00820A90" w:rsidRPr="00B30BCD" w:rsidRDefault="00820A90" w:rsidP="00FB1C07">
            <w:pPr>
              <w:pStyle w:val="TableTextCentered"/>
              <w:rPr>
                <w:rFonts w:eastAsia="Times New Roman"/>
                <w:b/>
                <w:bCs/>
              </w:rPr>
            </w:pPr>
            <w:r>
              <w:rPr>
                <w:rFonts w:eastAsia="Times New Roman"/>
                <w:b/>
                <w:bCs/>
              </w:rPr>
              <w:t>6.9</w:t>
            </w:r>
          </w:p>
        </w:tc>
      </w:tr>
    </w:tbl>
    <w:bookmarkEnd w:id="131"/>
    <w:p w14:paraId="4EC785E2" w14:textId="407F1D3E" w:rsidR="007303EE" w:rsidRPr="00797379" w:rsidRDefault="007303EE" w:rsidP="00A226A6">
      <w:pPr>
        <w:pStyle w:val="TableNote"/>
      </w:pPr>
      <w:r w:rsidRPr="00797379">
        <w:t xml:space="preserve">*The district average is an average of the observation scores. In Table 6, the district average is computed as: </w:t>
      </w:r>
      <w:bookmarkStart w:id="132" w:name="Dist_NC_Calc"/>
      <w:r w:rsidRPr="00797379">
        <w:t>([5 x 1] + [6 x 2] + [7 x 71]) ÷ 74 observations = 6.9</w:t>
      </w:r>
      <w:bookmarkEnd w:id="132"/>
    </w:p>
    <w:p w14:paraId="57680678" w14:textId="4C9D1017" w:rsidR="007303EE" w:rsidRPr="00797379" w:rsidRDefault="007303EE" w:rsidP="00A226A6">
      <w:pPr>
        <w:pStyle w:val="BodyText"/>
      </w:pPr>
      <w:r w:rsidRPr="00797379">
        <w:rPr>
          <w:rStyle w:val="BodyTextDemiChar"/>
        </w:rPr>
        <w:t>Ratings in the Low Range.</w:t>
      </w:r>
      <w:r w:rsidRPr="00797379">
        <w:rPr>
          <w:b/>
        </w:rPr>
        <w:t xml:space="preserve"> </w:t>
      </w:r>
      <w:r w:rsidRPr="00797379">
        <w:t>Negativity is pervasive. The teacher may express constant irritation, annoyance, or anger; unduly criticize students; or consistently use a harsh tone and/or take a harsh stance as he or she interacts with students. Threats or yelling are frequently used to establish control. Language is disrespectful and sarcastic. Severe negativity, such as the following actions, would lead to a high rating on negative climate, even if the action is not extended: students bullying one another, a teacher hitting a student, or students physically fighting with one another.</w:t>
      </w:r>
    </w:p>
    <w:p w14:paraId="4CCCFB7D" w14:textId="413FEE12" w:rsidR="007303EE" w:rsidRPr="00797379" w:rsidRDefault="007303EE" w:rsidP="00A226A6">
      <w:pPr>
        <w:pStyle w:val="BodyTextposthead"/>
      </w:pPr>
      <w:r w:rsidRPr="00797379">
        <w:rPr>
          <w:rStyle w:val="BodyTextDemiChar"/>
        </w:rPr>
        <w:t>Ratings in the Middle Range.</w:t>
      </w:r>
      <w:r w:rsidRPr="00797379">
        <w:t xml:space="preserve"> There are some expressions of mild negativity by the teacher or students. The teacher may express irritability, use a harsh tone, and/or express annoyance—usually during difficult moments in the classroom. Threats or yelling may be used to establish control over the classroom, but not constantly; they are used more as a response to situations. At times, the teacher and students may be sarcastic or disrespectful toward one another.</w:t>
      </w:r>
    </w:p>
    <w:p w14:paraId="0FFE599F" w14:textId="2C0B1C0D" w:rsidR="007303EE" w:rsidRPr="00797379" w:rsidRDefault="007303EE" w:rsidP="00A226A6">
      <w:pPr>
        <w:pStyle w:val="BodyTextposthead"/>
      </w:pPr>
      <w:r w:rsidRPr="00797379">
        <w:rPr>
          <w:rStyle w:val="BodyTextDemiChar"/>
        </w:rPr>
        <w:t>Ratings in the High Range.</w:t>
      </w:r>
      <w:r w:rsidRPr="00797379">
        <w:t xml:space="preserve"> There is no display of negativity: No strong expressions of anger or aggression are exhibited, either by the teacher or students; if there is such a display, it is contained and does not escalate. The teacher does not issue threats or yell to establish control. The teacher and students are respectful and do not express sarcasm.</w:t>
      </w:r>
      <w:r w:rsidRPr="00797379">
        <w:br w:type="page"/>
      </w:r>
    </w:p>
    <w:p w14:paraId="2BC0CF5A" w14:textId="77777777" w:rsidR="007303EE" w:rsidRPr="00797379" w:rsidRDefault="007303EE" w:rsidP="00DB6F03">
      <w:pPr>
        <w:pStyle w:val="Heading2-SIOR"/>
        <w:outlineLvl w:val="2"/>
      </w:pPr>
      <w:bookmarkStart w:id="133" w:name="_Toc430114879"/>
      <w:bookmarkStart w:id="134" w:name="_Toc220931749"/>
      <w:r w:rsidRPr="00797379">
        <w:t>Behavior Management</w:t>
      </w:r>
      <w:bookmarkEnd w:id="133"/>
      <w:bookmarkEnd w:id="134"/>
    </w:p>
    <w:p w14:paraId="1EDF7814" w14:textId="77777777" w:rsidR="007303EE" w:rsidRPr="00797379" w:rsidRDefault="007303EE">
      <w:pPr>
        <w:pStyle w:val="BodyTextDomain"/>
      </w:pPr>
      <w:r w:rsidRPr="00797379">
        <w:t>Classroom Organization domain, Grades PK−12</w:t>
      </w:r>
    </w:p>
    <w:p w14:paraId="7E0E5C92" w14:textId="77777777" w:rsidR="007303EE" w:rsidRPr="00797379" w:rsidRDefault="007303EE" w:rsidP="00A226A6">
      <w:pPr>
        <w:pStyle w:val="BodyTextposthead"/>
      </w:pPr>
      <w:r w:rsidRPr="00797379">
        <w:t>Behavior Management refers to the teacher’s ability to provide clear behavioral expectations and use effective methods to prevent and redirect misbehavior (</w:t>
      </w:r>
      <w:r w:rsidRPr="00797379">
        <w:rPr>
          <w:i/>
        </w:rPr>
        <w:t>CLASS PK–3 Manual</w:t>
      </w:r>
      <w:r w:rsidRPr="00797379">
        <w:t xml:space="preserve">, p. 45, </w:t>
      </w:r>
      <w:r w:rsidRPr="00797379">
        <w:rPr>
          <w:i/>
        </w:rPr>
        <w:t xml:space="preserve">CLASS Upper Elementary Manual, </w:t>
      </w:r>
      <w:r w:rsidRPr="00797379">
        <w:t xml:space="preserve">p. 41, </w:t>
      </w:r>
      <w:r w:rsidRPr="00797379">
        <w:rPr>
          <w:i/>
        </w:rPr>
        <w:t>CLASS Secondary Manual</w:t>
      </w:r>
      <w:r w:rsidRPr="00797379">
        <w:t>, p. 41).</w:t>
      </w:r>
    </w:p>
    <w:p w14:paraId="08024DEB" w14:textId="77777777" w:rsidR="007303EE" w:rsidRPr="00797379" w:rsidRDefault="007303EE" w:rsidP="00A226A6">
      <w:pPr>
        <w:pStyle w:val="TableTitle0"/>
      </w:pPr>
      <w:bookmarkStart w:id="135" w:name="_Toc220932422"/>
      <w:r w:rsidRPr="00797379">
        <w:t>Table 7. Behavior Management: Number of Classrooms for Each Rating and District Average</w:t>
      </w:r>
      <w:bookmarkEnd w:id="135"/>
    </w:p>
    <w:p w14:paraId="5B73F408" w14:textId="77777777" w:rsidR="007303EE" w:rsidRPr="00797379" w:rsidRDefault="007303EE">
      <w:pPr>
        <w:pStyle w:val="BodyTextDemi"/>
      </w:pPr>
      <w:r w:rsidRPr="00797379">
        <w:t xml:space="preserve">Behavior Management District Average*: </w:t>
      </w:r>
      <w:bookmarkStart w:id="136" w:name="Dist_BM_Avg"/>
      <w:r w:rsidRPr="00797379">
        <w:t>6.4</w:t>
      </w:r>
      <w:bookmarkEnd w:id="136"/>
    </w:p>
    <w:tbl>
      <w:tblPr>
        <w:tblStyle w:val="MSVTable1"/>
        <w:tblW w:w="5000" w:type="pct"/>
        <w:jc w:val="center"/>
        <w:tblLook w:val="04A0" w:firstRow="1" w:lastRow="0" w:firstColumn="1" w:lastColumn="0" w:noHBand="0" w:noVBand="1"/>
      </w:tblPr>
      <w:tblGrid>
        <w:gridCol w:w="1431"/>
        <w:gridCol w:w="874"/>
        <w:gridCol w:w="874"/>
        <w:gridCol w:w="874"/>
        <w:gridCol w:w="875"/>
        <w:gridCol w:w="875"/>
        <w:gridCol w:w="874"/>
        <w:gridCol w:w="875"/>
        <w:gridCol w:w="900"/>
        <w:gridCol w:w="892"/>
      </w:tblGrid>
      <w:tr w:rsidR="007B3B69" w:rsidRPr="00E359BF" w14:paraId="21EB688F" w14:textId="77777777" w:rsidTr="00FB1C07">
        <w:trPr>
          <w:cnfStyle w:val="100000000000" w:firstRow="1" w:lastRow="0" w:firstColumn="0" w:lastColumn="0" w:oddVBand="0" w:evenVBand="0" w:oddHBand="0" w:evenHBand="0" w:firstRowFirstColumn="0" w:firstRowLastColumn="0" w:lastRowFirstColumn="0" w:lastRowLastColumn="0"/>
          <w:jc w:val="center"/>
        </w:trPr>
        <w:tc>
          <w:tcPr>
            <w:tcW w:w="1431" w:type="dxa"/>
            <w:vAlign w:val="center"/>
          </w:tcPr>
          <w:p w14:paraId="74605C0A" w14:textId="77777777" w:rsidR="007B3B69" w:rsidRPr="00E359BF" w:rsidRDefault="007B3B69" w:rsidP="00FB1C07">
            <w:pPr>
              <w:pStyle w:val="TableColHeadingCenter"/>
              <w:rPr>
                <w:rFonts w:eastAsia="MS Mincho"/>
              </w:rPr>
            </w:pPr>
            <w:bookmarkStart w:id="137" w:name="Tbl_BM"/>
            <w:r>
              <w:rPr>
                <w:rFonts w:eastAsia="MS Mincho"/>
              </w:rPr>
              <w:t>Grade Band</w:t>
            </w:r>
          </w:p>
        </w:tc>
        <w:tc>
          <w:tcPr>
            <w:tcW w:w="874" w:type="dxa"/>
            <w:vAlign w:val="center"/>
          </w:tcPr>
          <w:p w14:paraId="2FB7E697" w14:textId="77777777" w:rsidR="007B3B69" w:rsidRPr="00E359BF" w:rsidRDefault="007B3B69" w:rsidP="00FB1C07">
            <w:pPr>
              <w:pStyle w:val="TableColHeadingCenter"/>
              <w:rPr>
                <w:rFonts w:eastAsia="MS Mincho"/>
              </w:rPr>
            </w:pPr>
            <w:r w:rsidRPr="00E359BF">
              <w:rPr>
                <w:rFonts w:eastAsia="MS Mincho"/>
              </w:rPr>
              <w:t>Low Range</w:t>
            </w:r>
            <w:r>
              <w:rPr>
                <w:rFonts w:eastAsia="MS Mincho"/>
              </w:rPr>
              <w:t xml:space="preserve"> (1)</w:t>
            </w:r>
          </w:p>
        </w:tc>
        <w:tc>
          <w:tcPr>
            <w:tcW w:w="874" w:type="dxa"/>
            <w:vAlign w:val="center"/>
          </w:tcPr>
          <w:p w14:paraId="3D160B8B" w14:textId="77777777" w:rsidR="007B3B69" w:rsidRPr="00E359BF" w:rsidRDefault="007B3B69" w:rsidP="00FB1C07">
            <w:pPr>
              <w:pStyle w:val="TableColHeadingCenter"/>
              <w:rPr>
                <w:rFonts w:eastAsia="MS Mincho"/>
              </w:rPr>
            </w:pPr>
            <w:r w:rsidRPr="00E359BF">
              <w:rPr>
                <w:rFonts w:eastAsia="MS Mincho"/>
              </w:rPr>
              <w:t>Low Range</w:t>
            </w:r>
            <w:r>
              <w:rPr>
                <w:rFonts w:eastAsia="MS Mincho"/>
              </w:rPr>
              <w:t xml:space="preserve"> (2)</w:t>
            </w:r>
          </w:p>
        </w:tc>
        <w:tc>
          <w:tcPr>
            <w:tcW w:w="874" w:type="dxa"/>
            <w:vAlign w:val="center"/>
          </w:tcPr>
          <w:p w14:paraId="11C5A16D" w14:textId="77777777" w:rsidR="007B3B69" w:rsidRPr="00E359BF" w:rsidRDefault="007B3B69" w:rsidP="00FB1C07">
            <w:pPr>
              <w:pStyle w:val="TableColHeadingCenter"/>
              <w:rPr>
                <w:rFonts w:eastAsia="MS Mincho"/>
              </w:rPr>
            </w:pPr>
            <w:r w:rsidRPr="00E359BF">
              <w:rPr>
                <w:rFonts w:eastAsia="MS Mincho"/>
              </w:rPr>
              <w:t>Middle Range</w:t>
            </w:r>
            <w:r>
              <w:rPr>
                <w:rFonts w:eastAsia="MS Mincho"/>
              </w:rPr>
              <w:t xml:space="preserve"> (3)</w:t>
            </w:r>
          </w:p>
        </w:tc>
        <w:tc>
          <w:tcPr>
            <w:tcW w:w="875" w:type="dxa"/>
            <w:vAlign w:val="center"/>
          </w:tcPr>
          <w:p w14:paraId="65CE827A" w14:textId="77777777" w:rsidR="007B3B69" w:rsidRPr="00E359BF" w:rsidRDefault="007B3B69" w:rsidP="00FB1C07">
            <w:pPr>
              <w:pStyle w:val="TableColHeadingCenter"/>
              <w:rPr>
                <w:rFonts w:eastAsia="MS Mincho"/>
              </w:rPr>
            </w:pPr>
            <w:r w:rsidRPr="00E359BF">
              <w:rPr>
                <w:rFonts w:eastAsia="MS Mincho"/>
              </w:rPr>
              <w:t>Middle Range</w:t>
            </w:r>
            <w:r>
              <w:rPr>
                <w:rFonts w:eastAsia="MS Mincho"/>
              </w:rPr>
              <w:t xml:space="preserve"> (4)</w:t>
            </w:r>
          </w:p>
        </w:tc>
        <w:tc>
          <w:tcPr>
            <w:tcW w:w="875" w:type="dxa"/>
            <w:vAlign w:val="center"/>
          </w:tcPr>
          <w:p w14:paraId="3E705EC8" w14:textId="77777777" w:rsidR="007B3B69" w:rsidRPr="00E359BF" w:rsidRDefault="007B3B69" w:rsidP="00FB1C07">
            <w:pPr>
              <w:pStyle w:val="TableColHeadingCenter"/>
              <w:rPr>
                <w:rFonts w:eastAsia="MS Mincho"/>
              </w:rPr>
            </w:pPr>
            <w:r w:rsidRPr="00E359BF">
              <w:rPr>
                <w:rFonts w:eastAsia="MS Mincho"/>
              </w:rPr>
              <w:t>Middle Range</w:t>
            </w:r>
            <w:r>
              <w:rPr>
                <w:rFonts w:eastAsia="MS Mincho"/>
              </w:rPr>
              <w:t xml:space="preserve"> (5)</w:t>
            </w:r>
          </w:p>
        </w:tc>
        <w:tc>
          <w:tcPr>
            <w:tcW w:w="874" w:type="dxa"/>
            <w:vAlign w:val="center"/>
          </w:tcPr>
          <w:p w14:paraId="77F0FE09" w14:textId="77777777" w:rsidR="007B3B69" w:rsidRPr="00E359BF" w:rsidRDefault="007B3B69" w:rsidP="00FB1C07">
            <w:pPr>
              <w:pStyle w:val="TableColHeadingCenter"/>
              <w:rPr>
                <w:rFonts w:eastAsia="MS Mincho"/>
              </w:rPr>
            </w:pPr>
            <w:r w:rsidRPr="00E359BF">
              <w:rPr>
                <w:rFonts w:eastAsia="MS Mincho"/>
              </w:rPr>
              <w:t>High Range</w:t>
            </w:r>
            <w:r>
              <w:rPr>
                <w:rFonts w:eastAsia="MS Mincho"/>
              </w:rPr>
              <w:t xml:space="preserve"> (6)</w:t>
            </w:r>
          </w:p>
        </w:tc>
        <w:tc>
          <w:tcPr>
            <w:tcW w:w="875" w:type="dxa"/>
            <w:vAlign w:val="center"/>
          </w:tcPr>
          <w:p w14:paraId="734EA83C" w14:textId="77777777" w:rsidR="007B3B69" w:rsidRPr="00E359BF" w:rsidRDefault="007B3B69" w:rsidP="00FB1C07">
            <w:pPr>
              <w:pStyle w:val="TableColHeadingCenter"/>
              <w:rPr>
                <w:rFonts w:eastAsia="MS Mincho"/>
              </w:rPr>
            </w:pPr>
            <w:r w:rsidRPr="00E359BF">
              <w:rPr>
                <w:rFonts w:eastAsia="MS Mincho"/>
              </w:rPr>
              <w:t>High Range</w:t>
            </w:r>
            <w:r>
              <w:rPr>
                <w:rFonts w:eastAsia="MS Mincho"/>
              </w:rPr>
              <w:t xml:space="preserve"> (7)</w:t>
            </w:r>
          </w:p>
        </w:tc>
        <w:tc>
          <w:tcPr>
            <w:tcW w:w="900" w:type="dxa"/>
            <w:vAlign w:val="center"/>
          </w:tcPr>
          <w:p w14:paraId="2B990780" w14:textId="77777777" w:rsidR="007B3B69" w:rsidRPr="00E359BF" w:rsidRDefault="007B3B69" w:rsidP="00FB1C07">
            <w:pPr>
              <w:pStyle w:val="TableColHeadingCenter"/>
              <w:rPr>
                <w:rFonts w:eastAsia="MS Mincho"/>
              </w:rPr>
            </w:pPr>
            <w:r>
              <w:rPr>
                <w:rFonts w:eastAsia="MS Mincho"/>
              </w:rPr>
              <w:t>n</w:t>
            </w:r>
          </w:p>
        </w:tc>
        <w:tc>
          <w:tcPr>
            <w:tcW w:w="892" w:type="dxa"/>
            <w:vAlign w:val="center"/>
          </w:tcPr>
          <w:p w14:paraId="28C17D29" w14:textId="77777777" w:rsidR="007B3B69" w:rsidRPr="00E359BF" w:rsidRDefault="007B3B69" w:rsidP="00FB1C07">
            <w:pPr>
              <w:pStyle w:val="TableColHeadingCenter"/>
              <w:rPr>
                <w:rFonts w:eastAsia="MS Mincho"/>
              </w:rPr>
            </w:pPr>
            <w:r>
              <w:rPr>
                <w:rFonts w:eastAsia="MS Mincho"/>
              </w:rPr>
              <w:t>Average</w:t>
            </w:r>
          </w:p>
        </w:tc>
      </w:tr>
      <w:tr w:rsidR="007B3B69" w:rsidRPr="00E359BF" w14:paraId="0B8217CC" w14:textId="77777777" w:rsidTr="00FB1C07">
        <w:trPr>
          <w:cnfStyle w:val="000000100000" w:firstRow="0" w:lastRow="0" w:firstColumn="0" w:lastColumn="0" w:oddVBand="0" w:evenVBand="0" w:oddHBand="1" w:evenHBand="0" w:firstRowFirstColumn="0" w:firstRowLastColumn="0" w:lastRowFirstColumn="0" w:lastRowLastColumn="0"/>
          <w:jc w:val="center"/>
        </w:trPr>
        <w:tc>
          <w:tcPr>
            <w:tcW w:w="1431" w:type="dxa"/>
            <w:shd w:val="clear" w:color="auto" w:fill="FFFFFF" w:themeFill="background1"/>
          </w:tcPr>
          <w:p w14:paraId="5F17078B" w14:textId="77777777" w:rsidR="007B3B69" w:rsidRPr="00E359BF" w:rsidRDefault="007B3B69" w:rsidP="00FB1C07">
            <w:pPr>
              <w:pStyle w:val="TableText"/>
            </w:pPr>
            <w:r>
              <w:t>Grades PK-5</w:t>
            </w:r>
          </w:p>
        </w:tc>
        <w:tc>
          <w:tcPr>
            <w:tcW w:w="874" w:type="dxa"/>
            <w:shd w:val="clear" w:color="auto" w:fill="FFFFFF" w:themeFill="background1"/>
          </w:tcPr>
          <w:p w14:paraId="11895849" w14:textId="77777777" w:rsidR="007B3B69" w:rsidRPr="00E359BF" w:rsidRDefault="007B3B69" w:rsidP="00FB1C07">
            <w:pPr>
              <w:pStyle w:val="TableTextCentered"/>
              <w:rPr>
                <w:rFonts w:eastAsia="Times New Roman"/>
              </w:rPr>
            </w:pPr>
            <w:r>
              <w:rPr>
                <w:rFonts w:eastAsia="Times New Roman"/>
              </w:rPr>
              <w:t>0</w:t>
            </w:r>
          </w:p>
        </w:tc>
        <w:tc>
          <w:tcPr>
            <w:tcW w:w="874" w:type="dxa"/>
            <w:shd w:val="clear" w:color="auto" w:fill="FFFFFF" w:themeFill="background1"/>
          </w:tcPr>
          <w:p w14:paraId="5D0C9480" w14:textId="77777777" w:rsidR="007B3B69" w:rsidRPr="00E359BF" w:rsidRDefault="007B3B69" w:rsidP="00FB1C07">
            <w:pPr>
              <w:pStyle w:val="TableTextCentered"/>
              <w:rPr>
                <w:rFonts w:eastAsia="Times New Roman"/>
              </w:rPr>
            </w:pPr>
            <w:r>
              <w:rPr>
                <w:rFonts w:eastAsia="Times New Roman"/>
              </w:rPr>
              <w:t>0</w:t>
            </w:r>
          </w:p>
        </w:tc>
        <w:tc>
          <w:tcPr>
            <w:tcW w:w="874" w:type="dxa"/>
            <w:shd w:val="clear" w:color="auto" w:fill="FFFFFF" w:themeFill="background1"/>
          </w:tcPr>
          <w:p w14:paraId="46A9E43E" w14:textId="77777777" w:rsidR="007B3B69" w:rsidRPr="00E359BF" w:rsidRDefault="007B3B69" w:rsidP="00FB1C07">
            <w:pPr>
              <w:pStyle w:val="TableTextCentered"/>
              <w:rPr>
                <w:rFonts w:eastAsia="Times New Roman"/>
              </w:rPr>
            </w:pPr>
            <w:r>
              <w:rPr>
                <w:rFonts w:eastAsia="Times New Roman"/>
              </w:rPr>
              <w:t>0</w:t>
            </w:r>
          </w:p>
        </w:tc>
        <w:tc>
          <w:tcPr>
            <w:tcW w:w="875" w:type="dxa"/>
            <w:shd w:val="clear" w:color="auto" w:fill="FFFFFF" w:themeFill="background1"/>
          </w:tcPr>
          <w:p w14:paraId="7EA5EE05" w14:textId="77777777" w:rsidR="007B3B69" w:rsidRPr="00E359BF" w:rsidRDefault="007B3B69" w:rsidP="00FB1C07">
            <w:pPr>
              <w:pStyle w:val="TableTextCentered"/>
              <w:rPr>
                <w:rFonts w:eastAsia="Times New Roman"/>
              </w:rPr>
            </w:pPr>
            <w:r>
              <w:rPr>
                <w:rFonts w:eastAsia="Times New Roman"/>
              </w:rPr>
              <w:t>1</w:t>
            </w:r>
          </w:p>
        </w:tc>
        <w:tc>
          <w:tcPr>
            <w:tcW w:w="875" w:type="dxa"/>
            <w:shd w:val="clear" w:color="auto" w:fill="FFFFFF" w:themeFill="background1"/>
          </w:tcPr>
          <w:p w14:paraId="3EA92B4E" w14:textId="77777777" w:rsidR="007B3B69" w:rsidRPr="00E359BF" w:rsidRDefault="007B3B69" w:rsidP="00FB1C07">
            <w:pPr>
              <w:pStyle w:val="TableTextCentered"/>
              <w:rPr>
                <w:rFonts w:eastAsia="Times New Roman"/>
              </w:rPr>
            </w:pPr>
            <w:r>
              <w:rPr>
                <w:rFonts w:eastAsia="Times New Roman"/>
              </w:rPr>
              <w:t>5</w:t>
            </w:r>
          </w:p>
        </w:tc>
        <w:tc>
          <w:tcPr>
            <w:tcW w:w="874" w:type="dxa"/>
            <w:shd w:val="clear" w:color="auto" w:fill="FFFFFF" w:themeFill="background1"/>
          </w:tcPr>
          <w:p w14:paraId="7AEF21FB" w14:textId="77777777" w:rsidR="007B3B69" w:rsidRPr="00E359BF" w:rsidRDefault="007B3B69" w:rsidP="00FB1C07">
            <w:pPr>
              <w:pStyle w:val="TableTextCentered"/>
              <w:rPr>
                <w:rFonts w:eastAsia="Times New Roman"/>
              </w:rPr>
            </w:pPr>
            <w:r>
              <w:rPr>
                <w:rFonts w:eastAsia="Times New Roman"/>
              </w:rPr>
              <w:t>8</w:t>
            </w:r>
          </w:p>
        </w:tc>
        <w:tc>
          <w:tcPr>
            <w:tcW w:w="875" w:type="dxa"/>
            <w:shd w:val="clear" w:color="auto" w:fill="FFFFFF" w:themeFill="background1"/>
          </w:tcPr>
          <w:p w14:paraId="42F7816F" w14:textId="77777777" w:rsidR="007B3B69" w:rsidRPr="00E359BF" w:rsidRDefault="007B3B69" w:rsidP="00FB1C07">
            <w:pPr>
              <w:pStyle w:val="TableTextCentered"/>
              <w:rPr>
                <w:rFonts w:eastAsia="Times New Roman"/>
              </w:rPr>
            </w:pPr>
            <w:r>
              <w:rPr>
                <w:rFonts w:eastAsia="Times New Roman"/>
              </w:rPr>
              <w:t>20</w:t>
            </w:r>
          </w:p>
        </w:tc>
        <w:tc>
          <w:tcPr>
            <w:tcW w:w="900" w:type="dxa"/>
            <w:shd w:val="clear" w:color="auto" w:fill="FFFFFF" w:themeFill="background1"/>
          </w:tcPr>
          <w:p w14:paraId="2C2D64DB" w14:textId="77777777" w:rsidR="007B3B69" w:rsidRPr="00E359BF" w:rsidRDefault="007B3B69" w:rsidP="00FB1C07">
            <w:pPr>
              <w:pStyle w:val="TableTextCentered"/>
              <w:rPr>
                <w:rFonts w:eastAsia="Times New Roman"/>
              </w:rPr>
            </w:pPr>
            <w:r>
              <w:rPr>
                <w:rFonts w:eastAsia="Times New Roman"/>
              </w:rPr>
              <w:t>34</w:t>
            </w:r>
          </w:p>
        </w:tc>
        <w:tc>
          <w:tcPr>
            <w:tcW w:w="892" w:type="dxa"/>
            <w:shd w:val="clear" w:color="auto" w:fill="FFFFFF" w:themeFill="background1"/>
          </w:tcPr>
          <w:p w14:paraId="6482DDC1" w14:textId="77777777" w:rsidR="007B3B69" w:rsidRPr="00E359BF" w:rsidRDefault="007B3B69" w:rsidP="00FB1C07">
            <w:pPr>
              <w:pStyle w:val="TableTextCentered"/>
              <w:rPr>
                <w:rFonts w:eastAsia="Times New Roman"/>
              </w:rPr>
            </w:pPr>
            <w:r>
              <w:rPr>
                <w:rFonts w:eastAsia="Times New Roman"/>
              </w:rPr>
              <w:t>6.4</w:t>
            </w:r>
          </w:p>
        </w:tc>
      </w:tr>
      <w:tr w:rsidR="007B3B69" w:rsidRPr="00E359BF" w14:paraId="16519436" w14:textId="77777777" w:rsidTr="00FB1C07">
        <w:trPr>
          <w:jc w:val="center"/>
        </w:trPr>
        <w:tc>
          <w:tcPr>
            <w:tcW w:w="1431" w:type="dxa"/>
            <w:shd w:val="clear" w:color="auto" w:fill="DEEAF6" w:themeFill="accent1" w:themeFillTint="33"/>
          </w:tcPr>
          <w:p w14:paraId="18D7A90E" w14:textId="77777777" w:rsidR="007B3B69" w:rsidRPr="00E359BF" w:rsidRDefault="007B3B69" w:rsidP="00FB1C07">
            <w:pPr>
              <w:pStyle w:val="TableText"/>
            </w:pPr>
            <w:r>
              <w:t>Grades 6-8</w:t>
            </w:r>
          </w:p>
        </w:tc>
        <w:tc>
          <w:tcPr>
            <w:tcW w:w="874" w:type="dxa"/>
            <w:shd w:val="clear" w:color="auto" w:fill="DEEAF6" w:themeFill="accent1" w:themeFillTint="33"/>
          </w:tcPr>
          <w:p w14:paraId="247D3D8D" w14:textId="77777777" w:rsidR="007B3B69" w:rsidRPr="00E359BF" w:rsidRDefault="007B3B69" w:rsidP="00FB1C07">
            <w:pPr>
              <w:pStyle w:val="TableTextCentered"/>
              <w:rPr>
                <w:rFonts w:eastAsia="Times New Roman"/>
              </w:rPr>
            </w:pPr>
            <w:r>
              <w:rPr>
                <w:rFonts w:eastAsia="Times New Roman"/>
              </w:rPr>
              <w:t>0</w:t>
            </w:r>
          </w:p>
        </w:tc>
        <w:tc>
          <w:tcPr>
            <w:tcW w:w="874" w:type="dxa"/>
            <w:shd w:val="clear" w:color="auto" w:fill="DEEAF6" w:themeFill="accent1" w:themeFillTint="33"/>
          </w:tcPr>
          <w:p w14:paraId="73AF1E4A" w14:textId="77777777" w:rsidR="007B3B69" w:rsidRPr="00E359BF" w:rsidRDefault="007B3B69" w:rsidP="00FB1C07">
            <w:pPr>
              <w:pStyle w:val="TableTextCentered"/>
              <w:rPr>
                <w:rFonts w:eastAsia="Times New Roman"/>
              </w:rPr>
            </w:pPr>
            <w:r>
              <w:rPr>
                <w:rFonts w:eastAsia="Times New Roman"/>
              </w:rPr>
              <w:t>0</w:t>
            </w:r>
          </w:p>
        </w:tc>
        <w:tc>
          <w:tcPr>
            <w:tcW w:w="874" w:type="dxa"/>
            <w:shd w:val="clear" w:color="auto" w:fill="DEEAF6" w:themeFill="accent1" w:themeFillTint="33"/>
          </w:tcPr>
          <w:p w14:paraId="2029F572" w14:textId="77777777" w:rsidR="007B3B69" w:rsidRPr="00E359BF" w:rsidRDefault="007B3B69" w:rsidP="00FB1C07">
            <w:pPr>
              <w:pStyle w:val="TableTextCentered"/>
              <w:rPr>
                <w:rFonts w:eastAsia="Times New Roman"/>
              </w:rPr>
            </w:pPr>
            <w:r>
              <w:rPr>
                <w:rFonts w:eastAsia="Times New Roman"/>
              </w:rPr>
              <w:t>0</w:t>
            </w:r>
          </w:p>
        </w:tc>
        <w:tc>
          <w:tcPr>
            <w:tcW w:w="875" w:type="dxa"/>
            <w:shd w:val="clear" w:color="auto" w:fill="DEEAF6" w:themeFill="accent1" w:themeFillTint="33"/>
          </w:tcPr>
          <w:p w14:paraId="04B9D3EF" w14:textId="77777777" w:rsidR="007B3B69" w:rsidRPr="00E359BF" w:rsidRDefault="007B3B69" w:rsidP="00FB1C07">
            <w:pPr>
              <w:pStyle w:val="TableTextCentered"/>
              <w:rPr>
                <w:rFonts w:eastAsia="Times New Roman"/>
              </w:rPr>
            </w:pPr>
            <w:r>
              <w:rPr>
                <w:rFonts w:eastAsia="Times New Roman"/>
              </w:rPr>
              <w:t>2</w:t>
            </w:r>
          </w:p>
        </w:tc>
        <w:tc>
          <w:tcPr>
            <w:tcW w:w="875" w:type="dxa"/>
            <w:shd w:val="clear" w:color="auto" w:fill="DEEAF6" w:themeFill="accent1" w:themeFillTint="33"/>
          </w:tcPr>
          <w:p w14:paraId="6804302B" w14:textId="77777777" w:rsidR="007B3B69" w:rsidRPr="00E359BF" w:rsidRDefault="007B3B69" w:rsidP="00FB1C07">
            <w:pPr>
              <w:pStyle w:val="TableTextCentered"/>
              <w:rPr>
                <w:rFonts w:eastAsia="Times New Roman"/>
              </w:rPr>
            </w:pPr>
            <w:r>
              <w:rPr>
                <w:rFonts w:eastAsia="Times New Roman"/>
              </w:rPr>
              <w:t>5</w:t>
            </w:r>
          </w:p>
        </w:tc>
        <w:tc>
          <w:tcPr>
            <w:tcW w:w="874" w:type="dxa"/>
            <w:shd w:val="clear" w:color="auto" w:fill="DEEAF6" w:themeFill="accent1" w:themeFillTint="33"/>
          </w:tcPr>
          <w:p w14:paraId="03B8D23E" w14:textId="77777777" w:rsidR="007B3B69" w:rsidRPr="00E359BF" w:rsidRDefault="007B3B69" w:rsidP="00FB1C07">
            <w:pPr>
              <w:pStyle w:val="TableTextCentered"/>
              <w:rPr>
                <w:rFonts w:eastAsia="Times New Roman"/>
              </w:rPr>
            </w:pPr>
            <w:r>
              <w:rPr>
                <w:rFonts w:eastAsia="Times New Roman"/>
              </w:rPr>
              <w:t>3</w:t>
            </w:r>
          </w:p>
        </w:tc>
        <w:tc>
          <w:tcPr>
            <w:tcW w:w="875" w:type="dxa"/>
            <w:shd w:val="clear" w:color="auto" w:fill="DEEAF6" w:themeFill="accent1" w:themeFillTint="33"/>
          </w:tcPr>
          <w:p w14:paraId="64664839" w14:textId="77777777" w:rsidR="007B3B69" w:rsidRPr="00E359BF" w:rsidRDefault="007B3B69" w:rsidP="00FB1C07">
            <w:pPr>
              <w:pStyle w:val="TableTextCentered"/>
              <w:rPr>
                <w:rFonts w:eastAsia="Times New Roman"/>
              </w:rPr>
            </w:pPr>
            <w:r>
              <w:rPr>
                <w:rFonts w:eastAsia="Times New Roman"/>
              </w:rPr>
              <w:t>10</w:t>
            </w:r>
          </w:p>
        </w:tc>
        <w:tc>
          <w:tcPr>
            <w:tcW w:w="900" w:type="dxa"/>
            <w:shd w:val="clear" w:color="auto" w:fill="DEEAF6" w:themeFill="accent1" w:themeFillTint="33"/>
          </w:tcPr>
          <w:p w14:paraId="42ED9949" w14:textId="77777777" w:rsidR="007B3B69" w:rsidRPr="00E359BF" w:rsidRDefault="007B3B69" w:rsidP="00FB1C07">
            <w:pPr>
              <w:pStyle w:val="TableTextCentered"/>
              <w:rPr>
                <w:rFonts w:eastAsia="Times New Roman"/>
              </w:rPr>
            </w:pPr>
            <w:r>
              <w:rPr>
                <w:rFonts w:eastAsia="Times New Roman"/>
              </w:rPr>
              <w:t>20</w:t>
            </w:r>
          </w:p>
        </w:tc>
        <w:tc>
          <w:tcPr>
            <w:tcW w:w="892" w:type="dxa"/>
            <w:shd w:val="clear" w:color="auto" w:fill="DEEAF6" w:themeFill="accent1" w:themeFillTint="33"/>
          </w:tcPr>
          <w:p w14:paraId="301E528C" w14:textId="77777777" w:rsidR="007B3B69" w:rsidRPr="00E359BF" w:rsidRDefault="007B3B69" w:rsidP="00FB1C07">
            <w:pPr>
              <w:pStyle w:val="TableTextCentered"/>
              <w:rPr>
                <w:rFonts w:eastAsia="Times New Roman"/>
              </w:rPr>
            </w:pPr>
            <w:r>
              <w:rPr>
                <w:rFonts w:eastAsia="Times New Roman"/>
              </w:rPr>
              <w:t>6.1</w:t>
            </w:r>
          </w:p>
        </w:tc>
      </w:tr>
      <w:tr w:rsidR="007B3B69" w:rsidRPr="00E359BF" w14:paraId="0DCE742A" w14:textId="77777777" w:rsidTr="00FB1C07">
        <w:trPr>
          <w:cnfStyle w:val="000000100000" w:firstRow="0" w:lastRow="0" w:firstColumn="0" w:lastColumn="0" w:oddVBand="0" w:evenVBand="0" w:oddHBand="1" w:evenHBand="0" w:firstRowFirstColumn="0" w:firstRowLastColumn="0" w:lastRowFirstColumn="0" w:lastRowLastColumn="0"/>
          <w:jc w:val="center"/>
        </w:trPr>
        <w:tc>
          <w:tcPr>
            <w:tcW w:w="1431" w:type="dxa"/>
            <w:shd w:val="clear" w:color="auto" w:fill="FFFFFF" w:themeFill="background1"/>
          </w:tcPr>
          <w:p w14:paraId="52AF9CCE" w14:textId="77777777" w:rsidR="007B3B69" w:rsidRPr="00E359BF" w:rsidRDefault="007B3B69" w:rsidP="00FB1C07">
            <w:pPr>
              <w:pStyle w:val="TableText"/>
            </w:pPr>
            <w:r>
              <w:t>Grades 9-12</w:t>
            </w:r>
          </w:p>
        </w:tc>
        <w:tc>
          <w:tcPr>
            <w:tcW w:w="874" w:type="dxa"/>
            <w:shd w:val="clear" w:color="auto" w:fill="FFFFFF" w:themeFill="background1"/>
          </w:tcPr>
          <w:p w14:paraId="361F65BA" w14:textId="77777777" w:rsidR="007B3B69" w:rsidRPr="00E359BF" w:rsidRDefault="007B3B69" w:rsidP="00FB1C07">
            <w:pPr>
              <w:pStyle w:val="TableTextCentered"/>
              <w:rPr>
                <w:rFonts w:eastAsia="Times New Roman"/>
              </w:rPr>
            </w:pPr>
            <w:r>
              <w:rPr>
                <w:rFonts w:eastAsia="Times New Roman"/>
              </w:rPr>
              <w:t>0</w:t>
            </w:r>
          </w:p>
        </w:tc>
        <w:tc>
          <w:tcPr>
            <w:tcW w:w="874" w:type="dxa"/>
            <w:shd w:val="clear" w:color="auto" w:fill="FFFFFF" w:themeFill="background1"/>
          </w:tcPr>
          <w:p w14:paraId="6D8E50B5" w14:textId="77777777" w:rsidR="007B3B69" w:rsidRPr="00E359BF" w:rsidRDefault="007B3B69" w:rsidP="00FB1C07">
            <w:pPr>
              <w:pStyle w:val="TableTextCentered"/>
              <w:rPr>
                <w:rFonts w:eastAsia="Times New Roman"/>
              </w:rPr>
            </w:pPr>
            <w:r>
              <w:rPr>
                <w:rFonts w:eastAsia="Times New Roman"/>
              </w:rPr>
              <w:t>0</w:t>
            </w:r>
          </w:p>
        </w:tc>
        <w:tc>
          <w:tcPr>
            <w:tcW w:w="874" w:type="dxa"/>
            <w:shd w:val="clear" w:color="auto" w:fill="FFFFFF" w:themeFill="background1"/>
          </w:tcPr>
          <w:p w14:paraId="07BB1C2E" w14:textId="77777777" w:rsidR="007B3B69" w:rsidRPr="00E359BF" w:rsidRDefault="007B3B69" w:rsidP="00FB1C07">
            <w:pPr>
              <w:pStyle w:val="TableTextCentered"/>
              <w:rPr>
                <w:rFonts w:eastAsia="Times New Roman"/>
              </w:rPr>
            </w:pPr>
            <w:r>
              <w:rPr>
                <w:rFonts w:eastAsia="Times New Roman"/>
              </w:rPr>
              <w:t>0</w:t>
            </w:r>
          </w:p>
        </w:tc>
        <w:tc>
          <w:tcPr>
            <w:tcW w:w="875" w:type="dxa"/>
            <w:shd w:val="clear" w:color="auto" w:fill="FFFFFF" w:themeFill="background1"/>
          </w:tcPr>
          <w:p w14:paraId="3034BDE5" w14:textId="77777777" w:rsidR="007B3B69" w:rsidRPr="00E359BF" w:rsidRDefault="007B3B69" w:rsidP="00FB1C07">
            <w:pPr>
              <w:pStyle w:val="TableTextCentered"/>
              <w:rPr>
                <w:rFonts w:eastAsia="Times New Roman"/>
              </w:rPr>
            </w:pPr>
            <w:r>
              <w:rPr>
                <w:rFonts w:eastAsia="Times New Roman"/>
              </w:rPr>
              <w:t>0</w:t>
            </w:r>
          </w:p>
        </w:tc>
        <w:tc>
          <w:tcPr>
            <w:tcW w:w="875" w:type="dxa"/>
            <w:shd w:val="clear" w:color="auto" w:fill="FFFFFF" w:themeFill="background1"/>
          </w:tcPr>
          <w:p w14:paraId="7265C1F8" w14:textId="77777777" w:rsidR="007B3B69" w:rsidRPr="00E359BF" w:rsidRDefault="007B3B69" w:rsidP="00FB1C07">
            <w:pPr>
              <w:pStyle w:val="TableTextCentered"/>
              <w:rPr>
                <w:rFonts w:eastAsia="Times New Roman"/>
              </w:rPr>
            </w:pPr>
            <w:r>
              <w:rPr>
                <w:rFonts w:eastAsia="Times New Roman"/>
              </w:rPr>
              <w:t>0</w:t>
            </w:r>
          </w:p>
        </w:tc>
        <w:tc>
          <w:tcPr>
            <w:tcW w:w="874" w:type="dxa"/>
            <w:shd w:val="clear" w:color="auto" w:fill="FFFFFF" w:themeFill="background1"/>
          </w:tcPr>
          <w:p w14:paraId="44CF47BF" w14:textId="77777777" w:rsidR="007B3B69" w:rsidRPr="00E359BF" w:rsidRDefault="007B3B69" w:rsidP="00FB1C07">
            <w:pPr>
              <w:pStyle w:val="TableTextCentered"/>
              <w:rPr>
                <w:rFonts w:eastAsia="Times New Roman"/>
              </w:rPr>
            </w:pPr>
            <w:r>
              <w:rPr>
                <w:rFonts w:eastAsia="Times New Roman"/>
              </w:rPr>
              <w:t>1</w:t>
            </w:r>
          </w:p>
        </w:tc>
        <w:tc>
          <w:tcPr>
            <w:tcW w:w="875" w:type="dxa"/>
            <w:shd w:val="clear" w:color="auto" w:fill="FFFFFF" w:themeFill="background1"/>
          </w:tcPr>
          <w:p w14:paraId="5F003F94" w14:textId="77777777" w:rsidR="007B3B69" w:rsidRPr="00E359BF" w:rsidRDefault="007B3B69" w:rsidP="00FB1C07">
            <w:pPr>
              <w:pStyle w:val="TableTextCentered"/>
              <w:rPr>
                <w:rFonts w:eastAsia="Times New Roman"/>
              </w:rPr>
            </w:pPr>
            <w:r>
              <w:rPr>
                <w:rFonts w:eastAsia="Times New Roman"/>
              </w:rPr>
              <w:t>19</w:t>
            </w:r>
          </w:p>
        </w:tc>
        <w:tc>
          <w:tcPr>
            <w:tcW w:w="900" w:type="dxa"/>
            <w:shd w:val="clear" w:color="auto" w:fill="FFFFFF" w:themeFill="background1"/>
          </w:tcPr>
          <w:p w14:paraId="2793FEC3" w14:textId="77777777" w:rsidR="007B3B69" w:rsidRPr="00E359BF" w:rsidRDefault="007B3B69" w:rsidP="00FB1C07">
            <w:pPr>
              <w:pStyle w:val="TableTextCentered"/>
              <w:rPr>
                <w:rFonts w:eastAsia="Times New Roman"/>
              </w:rPr>
            </w:pPr>
            <w:r>
              <w:rPr>
                <w:rFonts w:eastAsia="Times New Roman"/>
              </w:rPr>
              <w:t>20</w:t>
            </w:r>
          </w:p>
        </w:tc>
        <w:tc>
          <w:tcPr>
            <w:tcW w:w="892" w:type="dxa"/>
            <w:shd w:val="clear" w:color="auto" w:fill="FFFFFF" w:themeFill="background1"/>
          </w:tcPr>
          <w:p w14:paraId="73A14B30" w14:textId="77777777" w:rsidR="007B3B69" w:rsidRPr="00E359BF" w:rsidRDefault="007B3B69" w:rsidP="00FB1C07">
            <w:pPr>
              <w:pStyle w:val="TableTextCentered"/>
              <w:rPr>
                <w:rFonts w:eastAsia="Times New Roman"/>
              </w:rPr>
            </w:pPr>
            <w:r>
              <w:rPr>
                <w:rFonts w:eastAsia="Times New Roman"/>
              </w:rPr>
              <w:t>7.0</w:t>
            </w:r>
          </w:p>
        </w:tc>
      </w:tr>
      <w:tr w:rsidR="007B3B69" w:rsidRPr="00E359BF" w14:paraId="3725A9E3" w14:textId="77777777" w:rsidTr="00FB1C07">
        <w:trPr>
          <w:jc w:val="center"/>
        </w:trPr>
        <w:tc>
          <w:tcPr>
            <w:tcW w:w="1431" w:type="dxa"/>
            <w:shd w:val="clear" w:color="auto" w:fill="DEEAF6" w:themeFill="accent1" w:themeFillTint="33"/>
          </w:tcPr>
          <w:p w14:paraId="444B2F52" w14:textId="77777777" w:rsidR="007B3B69" w:rsidRPr="00B30BCD" w:rsidRDefault="007B3B69" w:rsidP="00FB1C07">
            <w:pPr>
              <w:pStyle w:val="TableText"/>
              <w:rPr>
                <w:b/>
                <w:bCs/>
              </w:rPr>
            </w:pPr>
            <w:r w:rsidRPr="00B30BCD">
              <w:rPr>
                <w:b/>
                <w:bCs/>
              </w:rPr>
              <w:t>Totals</w:t>
            </w:r>
          </w:p>
        </w:tc>
        <w:tc>
          <w:tcPr>
            <w:tcW w:w="874" w:type="dxa"/>
            <w:shd w:val="clear" w:color="auto" w:fill="DEEAF6" w:themeFill="accent1" w:themeFillTint="33"/>
          </w:tcPr>
          <w:p w14:paraId="1363423F" w14:textId="77777777" w:rsidR="007B3B69" w:rsidRPr="00B30BCD" w:rsidRDefault="007B3B69" w:rsidP="00FB1C07">
            <w:pPr>
              <w:pStyle w:val="TableTextCentered"/>
              <w:rPr>
                <w:rFonts w:eastAsia="Times New Roman"/>
                <w:b/>
                <w:bCs/>
              </w:rPr>
            </w:pPr>
            <w:r>
              <w:rPr>
                <w:rFonts w:eastAsia="Times New Roman"/>
                <w:b/>
                <w:bCs/>
              </w:rPr>
              <w:t>0</w:t>
            </w:r>
          </w:p>
        </w:tc>
        <w:tc>
          <w:tcPr>
            <w:tcW w:w="874" w:type="dxa"/>
            <w:shd w:val="clear" w:color="auto" w:fill="DEEAF6" w:themeFill="accent1" w:themeFillTint="33"/>
          </w:tcPr>
          <w:p w14:paraId="61F11C1D" w14:textId="77777777" w:rsidR="007B3B69" w:rsidRPr="00B30BCD" w:rsidRDefault="007B3B69" w:rsidP="00FB1C07">
            <w:pPr>
              <w:pStyle w:val="TableTextCentered"/>
              <w:rPr>
                <w:rFonts w:eastAsia="Times New Roman"/>
                <w:b/>
                <w:bCs/>
              </w:rPr>
            </w:pPr>
            <w:r>
              <w:rPr>
                <w:rFonts w:eastAsia="Times New Roman"/>
                <w:b/>
                <w:bCs/>
              </w:rPr>
              <w:t>0</w:t>
            </w:r>
          </w:p>
        </w:tc>
        <w:tc>
          <w:tcPr>
            <w:tcW w:w="874" w:type="dxa"/>
            <w:shd w:val="clear" w:color="auto" w:fill="DEEAF6" w:themeFill="accent1" w:themeFillTint="33"/>
          </w:tcPr>
          <w:p w14:paraId="79D06B55" w14:textId="77777777" w:rsidR="007B3B69" w:rsidRPr="00B30BCD" w:rsidRDefault="007B3B69" w:rsidP="00FB1C07">
            <w:pPr>
              <w:pStyle w:val="TableTextCentered"/>
              <w:rPr>
                <w:rFonts w:eastAsia="Times New Roman"/>
                <w:b/>
                <w:bCs/>
              </w:rPr>
            </w:pPr>
            <w:r>
              <w:rPr>
                <w:rFonts w:eastAsia="Times New Roman"/>
                <w:b/>
                <w:bCs/>
              </w:rPr>
              <w:t>0</w:t>
            </w:r>
          </w:p>
        </w:tc>
        <w:tc>
          <w:tcPr>
            <w:tcW w:w="875" w:type="dxa"/>
            <w:shd w:val="clear" w:color="auto" w:fill="DEEAF6" w:themeFill="accent1" w:themeFillTint="33"/>
          </w:tcPr>
          <w:p w14:paraId="4BB2A42C" w14:textId="77777777" w:rsidR="007B3B69" w:rsidRPr="00B30BCD" w:rsidRDefault="007B3B69" w:rsidP="00FB1C07">
            <w:pPr>
              <w:pStyle w:val="TableTextCentered"/>
              <w:rPr>
                <w:rFonts w:eastAsia="Times New Roman"/>
                <w:b/>
                <w:bCs/>
              </w:rPr>
            </w:pPr>
            <w:r>
              <w:rPr>
                <w:rFonts w:eastAsia="Times New Roman"/>
                <w:b/>
                <w:bCs/>
              </w:rPr>
              <w:t>3</w:t>
            </w:r>
          </w:p>
        </w:tc>
        <w:tc>
          <w:tcPr>
            <w:tcW w:w="875" w:type="dxa"/>
            <w:shd w:val="clear" w:color="auto" w:fill="DEEAF6" w:themeFill="accent1" w:themeFillTint="33"/>
          </w:tcPr>
          <w:p w14:paraId="1F511569" w14:textId="77777777" w:rsidR="007B3B69" w:rsidRPr="00B30BCD" w:rsidRDefault="007B3B69" w:rsidP="00FB1C07">
            <w:pPr>
              <w:pStyle w:val="TableTextCentered"/>
              <w:rPr>
                <w:rFonts w:eastAsia="Times New Roman"/>
                <w:b/>
                <w:bCs/>
              </w:rPr>
            </w:pPr>
            <w:r>
              <w:rPr>
                <w:rFonts w:eastAsia="Times New Roman"/>
                <w:b/>
                <w:bCs/>
              </w:rPr>
              <w:t>10</w:t>
            </w:r>
          </w:p>
        </w:tc>
        <w:tc>
          <w:tcPr>
            <w:tcW w:w="874" w:type="dxa"/>
            <w:shd w:val="clear" w:color="auto" w:fill="DEEAF6" w:themeFill="accent1" w:themeFillTint="33"/>
          </w:tcPr>
          <w:p w14:paraId="04AF266E" w14:textId="77777777" w:rsidR="007B3B69" w:rsidRPr="00B30BCD" w:rsidRDefault="007B3B69" w:rsidP="00FB1C07">
            <w:pPr>
              <w:pStyle w:val="TableTextCentered"/>
              <w:rPr>
                <w:rFonts w:eastAsia="Times New Roman"/>
                <w:b/>
                <w:bCs/>
              </w:rPr>
            </w:pPr>
            <w:r>
              <w:rPr>
                <w:rFonts w:eastAsia="Times New Roman"/>
                <w:b/>
                <w:bCs/>
              </w:rPr>
              <w:t>12</w:t>
            </w:r>
          </w:p>
        </w:tc>
        <w:tc>
          <w:tcPr>
            <w:tcW w:w="875" w:type="dxa"/>
            <w:shd w:val="clear" w:color="auto" w:fill="DEEAF6" w:themeFill="accent1" w:themeFillTint="33"/>
          </w:tcPr>
          <w:p w14:paraId="4E61EFCD" w14:textId="77777777" w:rsidR="007B3B69" w:rsidRPr="00B30BCD" w:rsidRDefault="007B3B69" w:rsidP="00FB1C07">
            <w:pPr>
              <w:pStyle w:val="TableTextCentered"/>
              <w:rPr>
                <w:rFonts w:eastAsia="Times New Roman"/>
                <w:b/>
                <w:bCs/>
              </w:rPr>
            </w:pPr>
            <w:r>
              <w:rPr>
                <w:rFonts w:eastAsia="Times New Roman"/>
                <w:b/>
                <w:bCs/>
              </w:rPr>
              <w:t>49</w:t>
            </w:r>
          </w:p>
        </w:tc>
        <w:tc>
          <w:tcPr>
            <w:tcW w:w="900" w:type="dxa"/>
            <w:shd w:val="clear" w:color="auto" w:fill="DEEAF6" w:themeFill="accent1" w:themeFillTint="33"/>
          </w:tcPr>
          <w:p w14:paraId="1E395AE6" w14:textId="77777777" w:rsidR="007B3B69" w:rsidRPr="00B30BCD" w:rsidRDefault="007B3B69" w:rsidP="00FB1C07">
            <w:pPr>
              <w:pStyle w:val="TableTextCentered"/>
              <w:rPr>
                <w:rFonts w:eastAsia="Times New Roman"/>
                <w:b/>
                <w:bCs/>
              </w:rPr>
            </w:pPr>
            <w:r>
              <w:rPr>
                <w:rFonts w:eastAsia="Times New Roman"/>
                <w:b/>
                <w:bCs/>
              </w:rPr>
              <w:t>74</w:t>
            </w:r>
          </w:p>
        </w:tc>
        <w:tc>
          <w:tcPr>
            <w:tcW w:w="892" w:type="dxa"/>
            <w:shd w:val="clear" w:color="auto" w:fill="DEEAF6" w:themeFill="accent1" w:themeFillTint="33"/>
          </w:tcPr>
          <w:p w14:paraId="1960F1B7" w14:textId="77777777" w:rsidR="007B3B69" w:rsidRPr="00B30BCD" w:rsidRDefault="007B3B69" w:rsidP="00FB1C07">
            <w:pPr>
              <w:pStyle w:val="TableTextCentered"/>
              <w:rPr>
                <w:rFonts w:eastAsia="Times New Roman"/>
                <w:b/>
                <w:bCs/>
              </w:rPr>
            </w:pPr>
            <w:r>
              <w:rPr>
                <w:rFonts w:eastAsia="Times New Roman"/>
                <w:b/>
                <w:bCs/>
              </w:rPr>
              <w:t>6.4</w:t>
            </w:r>
          </w:p>
        </w:tc>
      </w:tr>
    </w:tbl>
    <w:bookmarkEnd w:id="137"/>
    <w:p w14:paraId="0237525A" w14:textId="1481B0C6" w:rsidR="007303EE" w:rsidRPr="00797379" w:rsidRDefault="007303EE" w:rsidP="00A226A6">
      <w:pPr>
        <w:pStyle w:val="TableNote"/>
      </w:pPr>
      <w:r w:rsidRPr="00797379">
        <w:t xml:space="preserve">*The district average is an average of the observation scores. In Table 7, the district average is computed as: </w:t>
      </w:r>
      <w:bookmarkStart w:id="138" w:name="Dist_BM_Calc"/>
      <w:r w:rsidRPr="00797379">
        <w:t>([4 x 3] + [5 x 10] + [6 x 12] + [7 x 49]) ÷ 74 observations = 6.4</w:t>
      </w:r>
      <w:bookmarkEnd w:id="138"/>
    </w:p>
    <w:p w14:paraId="1F5F0018" w14:textId="109A8F8C" w:rsidR="007303EE" w:rsidRPr="00797379" w:rsidRDefault="007303EE" w:rsidP="00A226A6">
      <w:pPr>
        <w:pStyle w:val="BodyText"/>
      </w:pPr>
      <w:r w:rsidRPr="00797379">
        <w:rPr>
          <w:rStyle w:val="BodyTextDemiChar"/>
        </w:rPr>
        <w:t>Ratings in the Low Range.</w:t>
      </w:r>
      <w:r w:rsidRPr="00797379">
        <w:t xml:space="preserve"> At the low range, the classroom is chaotic. There are no rules and expectations, or they are not enforced consistently. The teacher does not monitor the classroom effectively and only reacts to student disruption, which is frequent. There are frequent instances of misbehavior in the classroom, and the teacher’s attempts to redirect misbehavior are ineffective. The teacher does not use cues, such as eye contact, slight touches, gestures, or physical proximity, to respond to and redirect negative behavior.</w:t>
      </w:r>
    </w:p>
    <w:p w14:paraId="1A935172" w14:textId="77777777" w:rsidR="007303EE" w:rsidRPr="00797379" w:rsidRDefault="007303EE" w:rsidP="00A226A6">
      <w:pPr>
        <w:pStyle w:val="BodyTextposthead"/>
      </w:pPr>
      <w:r w:rsidRPr="00797379">
        <w:rPr>
          <w:rStyle w:val="BodyTextDemiChar"/>
        </w:rPr>
        <w:t>Ratings in the Middle Range.</w:t>
      </w:r>
      <w:r w:rsidRPr="00797379">
        <w:t xml:space="preserve"> Although rules and expectations may be stated, they are not consistently enforced, or the rules may be unclear. Sometimes, the teacher proactively anticipates and prevents misbehavior, but at other times the teacher ignores behavior problems until it is too late. Misbehavior may escalate because redirection is not always effective. Episodes of misbehavior are periodic.</w:t>
      </w:r>
    </w:p>
    <w:p w14:paraId="70BDB6C6" w14:textId="2A4ABF53" w:rsidR="007303EE" w:rsidRPr="00797379" w:rsidRDefault="007303EE" w:rsidP="00A226A6">
      <w:pPr>
        <w:pStyle w:val="BodyTextposthead"/>
      </w:pPr>
      <w:r w:rsidRPr="00797379">
        <w:rPr>
          <w:rStyle w:val="BodyTextDemiChar"/>
        </w:rPr>
        <w:t>Ratings in the High Range.</w:t>
      </w:r>
      <w:r w:rsidRPr="00797379">
        <w:t xml:space="preserve"> At the high range, the rules and guidelines for behavior are clear, and they are consistently reinforced by the teacher. The teacher monitors the classroom and prevents problems from developing, using subtle cues to redirect behavior and address situations before they escalate. The teacher focuses on positive behavior and consistently affirms students’ desirable behaviors. The teacher effectively uses cues to redirect behavior. There are no, or very few, instances of student misbehavior or disruptions.</w:t>
      </w:r>
      <w:r w:rsidRPr="00797379">
        <w:br w:type="page"/>
      </w:r>
    </w:p>
    <w:p w14:paraId="3919B334" w14:textId="77777777" w:rsidR="007303EE" w:rsidRPr="00797379" w:rsidRDefault="007303EE" w:rsidP="00DB6F03">
      <w:pPr>
        <w:pStyle w:val="Heading2-SIOR"/>
        <w:outlineLvl w:val="2"/>
      </w:pPr>
      <w:bookmarkStart w:id="139" w:name="_Toc411329831"/>
      <w:bookmarkStart w:id="140" w:name="_Toc430114880"/>
      <w:bookmarkStart w:id="141" w:name="_Toc220931750"/>
      <w:r w:rsidRPr="00797379">
        <w:t>Productivity</w:t>
      </w:r>
      <w:bookmarkEnd w:id="139"/>
      <w:bookmarkEnd w:id="140"/>
      <w:bookmarkEnd w:id="141"/>
    </w:p>
    <w:p w14:paraId="29FCB3AC" w14:textId="77777777" w:rsidR="007303EE" w:rsidRPr="00797379" w:rsidRDefault="007303EE">
      <w:pPr>
        <w:pStyle w:val="BodyTextDomain"/>
      </w:pPr>
      <w:r w:rsidRPr="00797379">
        <w:t>Classroom Organization domain, Grades PK−12</w:t>
      </w:r>
    </w:p>
    <w:p w14:paraId="5E85A8E5" w14:textId="59FDAEEC" w:rsidR="007303EE" w:rsidRPr="00797379" w:rsidRDefault="007303EE" w:rsidP="00D2476F">
      <w:pPr>
        <w:pStyle w:val="BodyTextposthead"/>
      </w:pPr>
      <w:r w:rsidRPr="00797379">
        <w:t>Productivity considers how well the teacher manages instructional time and routines and provides activities for students so that they have the opportunity to be involved in learning activities (</w:t>
      </w:r>
      <w:r w:rsidRPr="00797379">
        <w:rPr>
          <w:i/>
        </w:rPr>
        <w:t>CLASS PK–3 Manual,</w:t>
      </w:r>
      <w:r w:rsidRPr="00797379">
        <w:t xml:space="preserve"> p. 51, </w:t>
      </w:r>
      <w:r w:rsidRPr="00797379">
        <w:rPr>
          <w:i/>
        </w:rPr>
        <w:t xml:space="preserve">CLASS Upper Elementary Manual, </w:t>
      </w:r>
      <w:r w:rsidRPr="00797379">
        <w:t xml:space="preserve">p. 49, </w:t>
      </w:r>
      <w:r w:rsidRPr="00797379">
        <w:rPr>
          <w:i/>
        </w:rPr>
        <w:t>CLASS Secondary Manual</w:t>
      </w:r>
      <w:r w:rsidRPr="00797379">
        <w:t>, p. 49).</w:t>
      </w:r>
    </w:p>
    <w:p w14:paraId="48AD4A1C" w14:textId="77777777" w:rsidR="007303EE" w:rsidRPr="00797379" w:rsidRDefault="007303EE" w:rsidP="00D2476F">
      <w:pPr>
        <w:pStyle w:val="TableTitle0"/>
      </w:pPr>
      <w:bookmarkStart w:id="142" w:name="_Toc220932423"/>
      <w:r w:rsidRPr="00797379">
        <w:t>Table 8. Productivity: Number of Classrooms for Each Rating and District Average</w:t>
      </w:r>
      <w:bookmarkEnd w:id="142"/>
    </w:p>
    <w:p w14:paraId="3B00E3BF" w14:textId="77777777" w:rsidR="007303EE" w:rsidRPr="00797379" w:rsidRDefault="007303EE">
      <w:pPr>
        <w:pStyle w:val="BodyTextDemi"/>
      </w:pPr>
      <w:r w:rsidRPr="00797379">
        <w:t xml:space="preserve">Productivity District Average*: </w:t>
      </w:r>
      <w:bookmarkStart w:id="143" w:name="Dist_PD_Avg"/>
      <w:r w:rsidRPr="00797379">
        <w:t>6.6</w:t>
      </w:r>
      <w:bookmarkEnd w:id="143"/>
    </w:p>
    <w:tbl>
      <w:tblPr>
        <w:tblStyle w:val="MSVTable1"/>
        <w:tblW w:w="5000" w:type="pct"/>
        <w:jc w:val="center"/>
        <w:tblLook w:val="04A0" w:firstRow="1" w:lastRow="0" w:firstColumn="1" w:lastColumn="0" w:noHBand="0" w:noVBand="1"/>
      </w:tblPr>
      <w:tblGrid>
        <w:gridCol w:w="1431"/>
        <w:gridCol w:w="874"/>
        <w:gridCol w:w="874"/>
        <w:gridCol w:w="874"/>
        <w:gridCol w:w="875"/>
        <w:gridCol w:w="875"/>
        <w:gridCol w:w="874"/>
        <w:gridCol w:w="875"/>
        <w:gridCol w:w="900"/>
        <w:gridCol w:w="892"/>
      </w:tblGrid>
      <w:tr w:rsidR="00F259A8" w:rsidRPr="00E359BF" w14:paraId="5B3B02C2" w14:textId="77777777" w:rsidTr="00FB1C07">
        <w:trPr>
          <w:cnfStyle w:val="100000000000" w:firstRow="1" w:lastRow="0" w:firstColumn="0" w:lastColumn="0" w:oddVBand="0" w:evenVBand="0" w:oddHBand="0" w:evenHBand="0" w:firstRowFirstColumn="0" w:firstRowLastColumn="0" w:lastRowFirstColumn="0" w:lastRowLastColumn="0"/>
          <w:jc w:val="center"/>
        </w:trPr>
        <w:tc>
          <w:tcPr>
            <w:tcW w:w="1431" w:type="dxa"/>
            <w:vAlign w:val="center"/>
          </w:tcPr>
          <w:p w14:paraId="38A15547" w14:textId="77777777" w:rsidR="00F259A8" w:rsidRPr="00E359BF" w:rsidRDefault="00F259A8" w:rsidP="00FB1C07">
            <w:pPr>
              <w:pStyle w:val="TableColHeadingCenter"/>
              <w:rPr>
                <w:rFonts w:eastAsia="MS Mincho"/>
              </w:rPr>
            </w:pPr>
            <w:bookmarkStart w:id="144" w:name="Tbl_PD"/>
            <w:r>
              <w:rPr>
                <w:rFonts w:eastAsia="MS Mincho"/>
              </w:rPr>
              <w:t>Grade Band</w:t>
            </w:r>
          </w:p>
        </w:tc>
        <w:tc>
          <w:tcPr>
            <w:tcW w:w="874" w:type="dxa"/>
            <w:vAlign w:val="center"/>
          </w:tcPr>
          <w:p w14:paraId="205148AE" w14:textId="77777777" w:rsidR="00F259A8" w:rsidRPr="00E359BF" w:rsidRDefault="00F259A8" w:rsidP="00FB1C07">
            <w:pPr>
              <w:pStyle w:val="TableColHeadingCenter"/>
              <w:rPr>
                <w:rFonts w:eastAsia="MS Mincho"/>
              </w:rPr>
            </w:pPr>
            <w:r w:rsidRPr="00E359BF">
              <w:rPr>
                <w:rFonts w:eastAsia="MS Mincho"/>
              </w:rPr>
              <w:t>Low Range</w:t>
            </w:r>
            <w:r>
              <w:rPr>
                <w:rFonts w:eastAsia="MS Mincho"/>
              </w:rPr>
              <w:t xml:space="preserve"> (1)</w:t>
            </w:r>
          </w:p>
        </w:tc>
        <w:tc>
          <w:tcPr>
            <w:tcW w:w="874" w:type="dxa"/>
            <w:vAlign w:val="center"/>
          </w:tcPr>
          <w:p w14:paraId="695E046A" w14:textId="77777777" w:rsidR="00F259A8" w:rsidRPr="00E359BF" w:rsidRDefault="00F259A8" w:rsidP="00FB1C07">
            <w:pPr>
              <w:pStyle w:val="TableColHeadingCenter"/>
              <w:rPr>
                <w:rFonts w:eastAsia="MS Mincho"/>
              </w:rPr>
            </w:pPr>
            <w:r w:rsidRPr="00E359BF">
              <w:rPr>
                <w:rFonts w:eastAsia="MS Mincho"/>
              </w:rPr>
              <w:t>Low Range</w:t>
            </w:r>
            <w:r>
              <w:rPr>
                <w:rFonts w:eastAsia="MS Mincho"/>
              </w:rPr>
              <w:t xml:space="preserve"> (2)</w:t>
            </w:r>
          </w:p>
        </w:tc>
        <w:tc>
          <w:tcPr>
            <w:tcW w:w="874" w:type="dxa"/>
            <w:vAlign w:val="center"/>
          </w:tcPr>
          <w:p w14:paraId="56DC421B" w14:textId="77777777" w:rsidR="00F259A8" w:rsidRPr="00E359BF" w:rsidRDefault="00F259A8" w:rsidP="00FB1C07">
            <w:pPr>
              <w:pStyle w:val="TableColHeadingCenter"/>
              <w:rPr>
                <w:rFonts w:eastAsia="MS Mincho"/>
              </w:rPr>
            </w:pPr>
            <w:r w:rsidRPr="00E359BF">
              <w:rPr>
                <w:rFonts w:eastAsia="MS Mincho"/>
              </w:rPr>
              <w:t>Middle Range</w:t>
            </w:r>
            <w:r>
              <w:rPr>
                <w:rFonts w:eastAsia="MS Mincho"/>
              </w:rPr>
              <w:t xml:space="preserve"> (3)</w:t>
            </w:r>
          </w:p>
        </w:tc>
        <w:tc>
          <w:tcPr>
            <w:tcW w:w="875" w:type="dxa"/>
            <w:vAlign w:val="center"/>
          </w:tcPr>
          <w:p w14:paraId="5AE0D95A" w14:textId="77777777" w:rsidR="00F259A8" w:rsidRPr="00E359BF" w:rsidRDefault="00F259A8" w:rsidP="00FB1C07">
            <w:pPr>
              <w:pStyle w:val="TableColHeadingCenter"/>
              <w:rPr>
                <w:rFonts w:eastAsia="MS Mincho"/>
              </w:rPr>
            </w:pPr>
            <w:r w:rsidRPr="00E359BF">
              <w:rPr>
                <w:rFonts w:eastAsia="MS Mincho"/>
              </w:rPr>
              <w:t>Middle Range</w:t>
            </w:r>
            <w:r>
              <w:rPr>
                <w:rFonts w:eastAsia="MS Mincho"/>
              </w:rPr>
              <w:t xml:space="preserve"> (4)</w:t>
            </w:r>
          </w:p>
        </w:tc>
        <w:tc>
          <w:tcPr>
            <w:tcW w:w="875" w:type="dxa"/>
            <w:vAlign w:val="center"/>
          </w:tcPr>
          <w:p w14:paraId="7EFF3FD6" w14:textId="77777777" w:rsidR="00F259A8" w:rsidRPr="00E359BF" w:rsidRDefault="00F259A8" w:rsidP="00FB1C07">
            <w:pPr>
              <w:pStyle w:val="TableColHeadingCenter"/>
              <w:rPr>
                <w:rFonts w:eastAsia="MS Mincho"/>
              </w:rPr>
            </w:pPr>
            <w:r w:rsidRPr="00E359BF">
              <w:rPr>
                <w:rFonts w:eastAsia="MS Mincho"/>
              </w:rPr>
              <w:t>Middle Range</w:t>
            </w:r>
            <w:r>
              <w:rPr>
                <w:rFonts w:eastAsia="MS Mincho"/>
              </w:rPr>
              <w:t xml:space="preserve"> (5)</w:t>
            </w:r>
          </w:p>
        </w:tc>
        <w:tc>
          <w:tcPr>
            <w:tcW w:w="874" w:type="dxa"/>
            <w:vAlign w:val="center"/>
          </w:tcPr>
          <w:p w14:paraId="2140F565" w14:textId="77777777" w:rsidR="00F259A8" w:rsidRPr="00E359BF" w:rsidRDefault="00F259A8" w:rsidP="00FB1C07">
            <w:pPr>
              <w:pStyle w:val="TableColHeadingCenter"/>
              <w:rPr>
                <w:rFonts w:eastAsia="MS Mincho"/>
              </w:rPr>
            </w:pPr>
            <w:r w:rsidRPr="00E359BF">
              <w:rPr>
                <w:rFonts w:eastAsia="MS Mincho"/>
              </w:rPr>
              <w:t>High Range</w:t>
            </w:r>
            <w:r>
              <w:rPr>
                <w:rFonts w:eastAsia="MS Mincho"/>
              </w:rPr>
              <w:t xml:space="preserve"> (6)</w:t>
            </w:r>
          </w:p>
        </w:tc>
        <w:tc>
          <w:tcPr>
            <w:tcW w:w="875" w:type="dxa"/>
            <w:vAlign w:val="center"/>
          </w:tcPr>
          <w:p w14:paraId="5412F8E2" w14:textId="77777777" w:rsidR="00F259A8" w:rsidRPr="00E359BF" w:rsidRDefault="00F259A8" w:rsidP="00FB1C07">
            <w:pPr>
              <w:pStyle w:val="TableColHeadingCenter"/>
              <w:rPr>
                <w:rFonts w:eastAsia="MS Mincho"/>
              </w:rPr>
            </w:pPr>
            <w:r w:rsidRPr="00E359BF">
              <w:rPr>
                <w:rFonts w:eastAsia="MS Mincho"/>
              </w:rPr>
              <w:t>High Range</w:t>
            </w:r>
            <w:r>
              <w:rPr>
                <w:rFonts w:eastAsia="MS Mincho"/>
              </w:rPr>
              <w:t xml:space="preserve"> (7)</w:t>
            </w:r>
          </w:p>
        </w:tc>
        <w:tc>
          <w:tcPr>
            <w:tcW w:w="900" w:type="dxa"/>
            <w:vAlign w:val="center"/>
          </w:tcPr>
          <w:p w14:paraId="76E2E418" w14:textId="77777777" w:rsidR="00F259A8" w:rsidRPr="00E359BF" w:rsidRDefault="00F259A8" w:rsidP="00FB1C07">
            <w:pPr>
              <w:pStyle w:val="TableColHeadingCenter"/>
              <w:rPr>
                <w:rFonts w:eastAsia="MS Mincho"/>
              </w:rPr>
            </w:pPr>
            <w:r>
              <w:rPr>
                <w:rFonts w:eastAsia="MS Mincho"/>
              </w:rPr>
              <w:t>n</w:t>
            </w:r>
          </w:p>
        </w:tc>
        <w:tc>
          <w:tcPr>
            <w:tcW w:w="892" w:type="dxa"/>
            <w:vAlign w:val="center"/>
          </w:tcPr>
          <w:p w14:paraId="79555F6E" w14:textId="77777777" w:rsidR="00F259A8" w:rsidRPr="00E359BF" w:rsidRDefault="00F259A8" w:rsidP="00FB1C07">
            <w:pPr>
              <w:pStyle w:val="TableColHeadingCenter"/>
              <w:rPr>
                <w:rFonts w:eastAsia="MS Mincho"/>
              </w:rPr>
            </w:pPr>
            <w:r>
              <w:rPr>
                <w:rFonts w:eastAsia="MS Mincho"/>
              </w:rPr>
              <w:t>Average</w:t>
            </w:r>
          </w:p>
        </w:tc>
      </w:tr>
      <w:tr w:rsidR="00F259A8" w:rsidRPr="00E359BF" w14:paraId="1BBE2A0D" w14:textId="77777777" w:rsidTr="00FB1C07">
        <w:trPr>
          <w:cnfStyle w:val="000000100000" w:firstRow="0" w:lastRow="0" w:firstColumn="0" w:lastColumn="0" w:oddVBand="0" w:evenVBand="0" w:oddHBand="1" w:evenHBand="0" w:firstRowFirstColumn="0" w:firstRowLastColumn="0" w:lastRowFirstColumn="0" w:lastRowLastColumn="0"/>
          <w:jc w:val="center"/>
        </w:trPr>
        <w:tc>
          <w:tcPr>
            <w:tcW w:w="1431" w:type="dxa"/>
            <w:shd w:val="clear" w:color="auto" w:fill="FFFFFF" w:themeFill="background1"/>
          </w:tcPr>
          <w:p w14:paraId="01E5B9CD" w14:textId="77777777" w:rsidR="00F259A8" w:rsidRPr="00E359BF" w:rsidRDefault="00F259A8" w:rsidP="00FB1C07">
            <w:pPr>
              <w:pStyle w:val="TableText"/>
            </w:pPr>
            <w:r>
              <w:t>Grades PK-5</w:t>
            </w:r>
          </w:p>
        </w:tc>
        <w:tc>
          <w:tcPr>
            <w:tcW w:w="874" w:type="dxa"/>
            <w:shd w:val="clear" w:color="auto" w:fill="FFFFFF" w:themeFill="background1"/>
          </w:tcPr>
          <w:p w14:paraId="6515A179" w14:textId="77777777" w:rsidR="00F259A8" w:rsidRPr="00E359BF" w:rsidRDefault="00F259A8" w:rsidP="00FB1C07">
            <w:pPr>
              <w:pStyle w:val="TableTextCentered"/>
              <w:rPr>
                <w:rFonts w:eastAsia="Times New Roman"/>
              </w:rPr>
            </w:pPr>
            <w:r>
              <w:rPr>
                <w:rFonts w:eastAsia="Times New Roman"/>
              </w:rPr>
              <w:t>0</w:t>
            </w:r>
          </w:p>
        </w:tc>
        <w:tc>
          <w:tcPr>
            <w:tcW w:w="874" w:type="dxa"/>
            <w:shd w:val="clear" w:color="auto" w:fill="FFFFFF" w:themeFill="background1"/>
          </w:tcPr>
          <w:p w14:paraId="09E07B0D" w14:textId="77777777" w:rsidR="00F259A8" w:rsidRPr="00E359BF" w:rsidRDefault="00F259A8" w:rsidP="00FB1C07">
            <w:pPr>
              <w:pStyle w:val="TableTextCentered"/>
              <w:rPr>
                <w:rFonts w:eastAsia="Times New Roman"/>
              </w:rPr>
            </w:pPr>
            <w:r>
              <w:rPr>
                <w:rFonts w:eastAsia="Times New Roman"/>
              </w:rPr>
              <w:t>0</w:t>
            </w:r>
          </w:p>
        </w:tc>
        <w:tc>
          <w:tcPr>
            <w:tcW w:w="874" w:type="dxa"/>
            <w:shd w:val="clear" w:color="auto" w:fill="FFFFFF" w:themeFill="background1"/>
          </w:tcPr>
          <w:p w14:paraId="03DD4EE9" w14:textId="77777777" w:rsidR="00F259A8" w:rsidRPr="00E359BF" w:rsidRDefault="00F259A8" w:rsidP="00FB1C07">
            <w:pPr>
              <w:pStyle w:val="TableTextCentered"/>
              <w:rPr>
                <w:rFonts w:eastAsia="Times New Roman"/>
              </w:rPr>
            </w:pPr>
            <w:r>
              <w:rPr>
                <w:rFonts w:eastAsia="Times New Roman"/>
              </w:rPr>
              <w:t>0</w:t>
            </w:r>
          </w:p>
        </w:tc>
        <w:tc>
          <w:tcPr>
            <w:tcW w:w="875" w:type="dxa"/>
            <w:shd w:val="clear" w:color="auto" w:fill="FFFFFF" w:themeFill="background1"/>
          </w:tcPr>
          <w:p w14:paraId="5C28E210" w14:textId="77777777" w:rsidR="00F259A8" w:rsidRPr="00E359BF" w:rsidRDefault="00F259A8" w:rsidP="00FB1C07">
            <w:pPr>
              <w:pStyle w:val="TableTextCentered"/>
              <w:rPr>
                <w:rFonts w:eastAsia="Times New Roman"/>
              </w:rPr>
            </w:pPr>
            <w:r>
              <w:rPr>
                <w:rFonts w:eastAsia="Times New Roman"/>
              </w:rPr>
              <w:t>0</w:t>
            </w:r>
          </w:p>
        </w:tc>
        <w:tc>
          <w:tcPr>
            <w:tcW w:w="875" w:type="dxa"/>
            <w:shd w:val="clear" w:color="auto" w:fill="FFFFFF" w:themeFill="background1"/>
          </w:tcPr>
          <w:p w14:paraId="27755A1A" w14:textId="77777777" w:rsidR="00F259A8" w:rsidRPr="00E359BF" w:rsidRDefault="00F259A8" w:rsidP="00FB1C07">
            <w:pPr>
              <w:pStyle w:val="TableTextCentered"/>
              <w:rPr>
                <w:rFonts w:eastAsia="Times New Roman"/>
              </w:rPr>
            </w:pPr>
            <w:r>
              <w:rPr>
                <w:rFonts w:eastAsia="Times New Roman"/>
              </w:rPr>
              <w:t>1</w:t>
            </w:r>
          </w:p>
        </w:tc>
        <w:tc>
          <w:tcPr>
            <w:tcW w:w="874" w:type="dxa"/>
            <w:shd w:val="clear" w:color="auto" w:fill="FFFFFF" w:themeFill="background1"/>
          </w:tcPr>
          <w:p w14:paraId="5C0E6C90" w14:textId="77777777" w:rsidR="00F259A8" w:rsidRPr="00E359BF" w:rsidRDefault="00F259A8" w:rsidP="00FB1C07">
            <w:pPr>
              <w:pStyle w:val="TableTextCentered"/>
              <w:rPr>
                <w:rFonts w:eastAsia="Times New Roman"/>
              </w:rPr>
            </w:pPr>
            <w:r>
              <w:rPr>
                <w:rFonts w:eastAsia="Times New Roman"/>
              </w:rPr>
              <w:t>10</w:t>
            </w:r>
          </w:p>
        </w:tc>
        <w:tc>
          <w:tcPr>
            <w:tcW w:w="875" w:type="dxa"/>
            <w:shd w:val="clear" w:color="auto" w:fill="FFFFFF" w:themeFill="background1"/>
          </w:tcPr>
          <w:p w14:paraId="3067B757" w14:textId="77777777" w:rsidR="00F259A8" w:rsidRPr="00E359BF" w:rsidRDefault="00F259A8" w:rsidP="00FB1C07">
            <w:pPr>
              <w:pStyle w:val="TableTextCentered"/>
              <w:rPr>
                <w:rFonts w:eastAsia="Times New Roman"/>
              </w:rPr>
            </w:pPr>
            <w:r>
              <w:rPr>
                <w:rFonts w:eastAsia="Times New Roman"/>
              </w:rPr>
              <w:t>23</w:t>
            </w:r>
          </w:p>
        </w:tc>
        <w:tc>
          <w:tcPr>
            <w:tcW w:w="900" w:type="dxa"/>
            <w:shd w:val="clear" w:color="auto" w:fill="FFFFFF" w:themeFill="background1"/>
          </w:tcPr>
          <w:p w14:paraId="15F15515" w14:textId="77777777" w:rsidR="00F259A8" w:rsidRPr="00E359BF" w:rsidRDefault="00F259A8" w:rsidP="00FB1C07">
            <w:pPr>
              <w:pStyle w:val="TableTextCentered"/>
              <w:rPr>
                <w:rFonts w:eastAsia="Times New Roman"/>
              </w:rPr>
            </w:pPr>
            <w:r>
              <w:rPr>
                <w:rFonts w:eastAsia="Times New Roman"/>
              </w:rPr>
              <w:t>34</w:t>
            </w:r>
          </w:p>
        </w:tc>
        <w:tc>
          <w:tcPr>
            <w:tcW w:w="892" w:type="dxa"/>
            <w:shd w:val="clear" w:color="auto" w:fill="FFFFFF" w:themeFill="background1"/>
          </w:tcPr>
          <w:p w14:paraId="6659BD40" w14:textId="77777777" w:rsidR="00F259A8" w:rsidRPr="00E359BF" w:rsidRDefault="00F259A8" w:rsidP="00FB1C07">
            <w:pPr>
              <w:pStyle w:val="TableTextCentered"/>
              <w:rPr>
                <w:rFonts w:eastAsia="Times New Roman"/>
              </w:rPr>
            </w:pPr>
            <w:r>
              <w:rPr>
                <w:rFonts w:eastAsia="Times New Roman"/>
              </w:rPr>
              <w:t>6.6</w:t>
            </w:r>
          </w:p>
        </w:tc>
      </w:tr>
      <w:tr w:rsidR="00F259A8" w:rsidRPr="00E359BF" w14:paraId="386948C6" w14:textId="77777777" w:rsidTr="00FB1C07">
        <w:trPr>
          <w:jc w:val="center"/>
        </w:trPr>
        <w:tc>
          <w:tcPr>
            <w:tcW w:w="1431" w:type="dxa"/>
            <w:shd w:val="clear" w:color="auto" w:fill="DEEAF6" w:themeFill="accent1" w:themeFillTint="33"/>
          </w:tcPr>
          <w:p w14:paraId="695FFA7B" w14:textId="77777777" w:rsidR="00F259A8" w:rsidRPr="00E359BF" w:rsidRDefault="00F259A8" w:rsidP="00FB1C07">
            <w:pPr>
              <w:pStyle w:val="TableText"/>
            </w:pPr>
            <w:r>
              <w:t>Grades 6-8</w:t>
            </w:r>
          </w:p>
        </w:tc>
        <w:tc>
          <w:tcPr>
            <w:tcW w:w="874" w:type="dxa"/>
            <w:shd w:val="clear" w:color="auto" w:fill="DEEAF6" w:themeFill="accent1" w:themeFillTint="33"/>
          </w:tcPr>
          <w:p w14:paraId="22191EA5" w14:textId="77777777" w:rsidR="00F259A8" w:rsidRPr="00E359BF" w:rsidRDefault="00F259A8" w:rsidP="00FB1C07">
            <w:pPr>
              <w:pStyle w:val="TableTextCentered"/>
              <w:rPr>
                <w:rFonts w:eastAsia="Times New Roman"/>
              </w:rPr>
            </w:pPr>
            <w:r>
              <w:rPr>
                <w:rFonts w:eastAsia="Times New Roman"/>
              </w:rPr>
              <w:t>0</w:t>
            </w:r>
          </w:p>
        </w:tc>
        <w:tc>
          <w:tcPr>
            <w:tcW w:w="874" w:type="dxa"/>
            <w:shd w:val="clear" w:color="auto" w:fill="DEEAF6" w:themeFill="accent1" w:themeFillTint="33"/>
          </w:tcPr>
          <w:p w14:paraId="38B9713D" w14:textId="77777777" w:rsidR="00F259A8" w:rsidRPr="00E359BF" w:rsidRDefault="00F259A8" w:rsidP="00FB1C07">
            <w:pPr>
              <w:pStyle w:val="TableTextCentered"/>
              <w:rPr>
                <w:rFonts w:eastAsia="Times New Roman"/>
              </w:rPr>
            </w:pPr>
            <w:r>
              <w:rPr>
                <w:rFonts w:eastAsia="Times New Roman"/>
              </w:rPr>
              <w:t>0</w:t>
            </w:r>
          </w:p>
        </w:tc>
        <w:tc>
          <w:tcPr>
            <w:tcW w:w="874" w:type="dxa"/>
            <w:shd w:val="clear" w:color="auto" w:fill="DEEAF6" w:themeFill="accent1" w:themeFillTint="33"/>
          </w:tcPr>
          <w:p w14:paraId="3D3A0E12" w14:textId="77777777" w:rsidR="00F259A8" w:rsidRPr="00E359BF" w:rsidRDefault="00F259A8" w:rsidP="00FB1C07">
            <w:pPr>
              <w:pStyle w:val="TableTextCentered"/>
              <w:rPr>
                <w:rFonts w:eastAsia="Times New Roman"/>
              </w:rPr>
            </w:pPr>
            <w:r>
              <w:rPr>
                <w:rFonts w:eastAsia="Times New Roman"/>
              </w:rPr>
              <w:t>0</w:t>
            </w:r>
          </w:p>
        </w:tc>
        <w:tc>
          <w:tcPr>
            <w:tcW w:w="875" w:type="dxa"/>
            <w:shd w:val="clear" w:color="auto" w:fill="DEEAF6" w:themeFill="accent1" w:themeFillTint="33"/>
          </w:tcPr>
          <w:p w14:paraId="773AAB5E" w14:textId="77777777" w:rsidR="00F259A8" w:rsidRPr="00E359BF" w:rsidRDefault="00F259A8" w:rsidP="00FB1C07">
            <w:pPr>
              <w:pStyle w:val="TableTextCentered"/>
              <w:rPr>
                <w:rFonts w:eastAsia="Times New Roman"/>
              </w:rPr>
            </w:pPr>
            <w:r>
              <w:rPr>
                <w:rFonts w:eastAsia="Times New Roman"/>
              </w:rPr>
              <w:t>0</w:t>
            </w:r>
          </w:p>
        </w:tc>
        <w:tc>
          <w:tcPr>
            <w:tcW w:w="875" w:type="dxa"/>
            <w:shd w:val="clear" w:color="auto" w:fill="DEEAF6" w:themeFill="accent1" w:themeFillTint="33"/>
          </w:tcPr>
          <w:p w14:paraId="20CD2565" w14:textId="77777777" w:rsidR="00F259A8" w:rsidRPr="00E359BF" w:rsidRDefault="00F259A8" w:rsidP="00FB1C07">
            <w:pPr>
              <w:pStyle w:val="TableTextCentered"/>
              <w:rPr>
                <w:rFonts w:eastAsia="Times New Roman"/>
              </w:rPr>
            </w:pPr>
            <w:r>
              <w:rPr>
                <w:rFonts w:eastAsia="Times New Roman"/>
              </w:rPr>
              <w:t>2</w:t>
            </w:r>
          </w:p>
        </w:tc>
        <w:tc>
          <w:tcPr>
            <w:tcW w:w="874" w:type="dxa"/>
            <w:shd w:val="clear" w:color="auto" w:fill="DEEAF6" w:themeFill="accent1" w:themeFillTint="33"/>
          </w:tcPr>
          <w:p w14:paraId="79204B0F" w14:textId="77777777" w:rsidR="00F259A8" w:rsidRPr="00E359BF" w:rsidRDefault="00F259A8" w:rsidP="00FB1C07">
            <w:pPr>
              <w:pStyle w:val="TableTextCentered"/>
              <w:rPr>
                <w:rFonts w:eastAsia="Times New Roman"/>
              </w:rPr>
            </w:pPr>
            <w:r>
              <w:rPr>
                <w:rFonts w:eastAsia="Times New Roman"/>
              </w:rPr>
              <w:t>10</w:t>
            </w:r>
          </w:p>
        </w:tc>
        <w:tc>
          <w:tcPr>
            <w:tcW w:w="875" w:type="dxa"/>
            <w:shd w:val="clear" w:color="auto" w:fill="DEEAF6" w:themeFill="accent1" w:themeFillTint="33"/>
          </w:tcPr>
          <w:p w14:paraId="66EC8791" w14:textId="77777777" w:rsidR="00F259A8" w:rsidRPr="00E359BF" w:rsidRDefault="00F259A8" w:rsidP="00FB1C07">
            <w:pPr>
              <w:pStyle w:val="TableTextCentered"/>
              <w:rPr>
                <w:rFonts w:eastAsia="Times New Roman"/>
              </w:rPr>
            </w:pPr>
            <w:r>
              <w:rPr>
                <w:rFonts w:eastAsia="Times New Roman"/>
              </w:rPr>
              <w:t>8</w:t>
            </w:r>
          </w:p>
        </w:tc>
        <w:tc>
          <w:tcPr>
            <w:tcW w:w="900" w:type="dxa"/>
            <w:shd w:val="clear" w:color="auto" w:fill="DEEAF6" w:themeFill="accent1" w:themeFillTint="33"/>
          </w:tcPr>
          <w:p w14:paraId="1B19AF1A" w14:textId="77777777" w:rsidR="00F259A8" w:rsidRPr="00E359BF" w:rsidRDefault="00F259A8" w:rsidP="00FB1C07">
            <w:pPr>
              <w:pStyle w:val="TableTextCentered"/>
              <w:rPr>
                <w:rFonts w:eastAsia="Times New Roman"/>
              </w:rPr>
            </w:pPr>
            <w:r>
              <w:rPr>
                <w:rFonts w:eastAsia="Times New Roman"/>
              </w:rPr>
              <w:t>20</w:t>
            </w:r>
          </w:p>
        </w:tc>
        <w:tc>
          <w:tcPr>
            <w:tcW w:w="892" w:type="dxa"/>
            <w:shd w:val="clear" w:color="auto" w:fill="DEEAF6" w:themeFill="accent1" w:themeFillTint="33"/>
          </w:tcPr>
          <w:p w14:paraId="435F41BA" w14:textId="77777777" w:rsidR="00F259A8" w:rsidRPr="00E359BF" w:rsidRDefault="00F259A8" w:rsidP="00FB1C07">
            <w:pPr>
              <w:pStyle w:val="TableTextCentered"/>
              <w:rPr>
                <w:rFonts w:eastAsia="Times New Roman"/>
              </w:rPr>
            </w:pPr>
            <w:r>
              <w:rPr>
                <w:rFonts w:eastAsia="Times New Roman"/>
              </w:rPr>
              <w:t>6.3</w:t>
            </w:r>
          </w:p>
        </w:tc>
      </w:tr>
      <w:tr w:rsidR="00F259A8" w:rsidRPr="00E359BF" w14:paraId="48343BC9" w14:textId="77777777" w:rsidTr="00FB1C07">
        <w:trPr>
          <w:cnfStyle w:val="000000100000" w:firstRow="0" w:lastRow="0" w:firstColumn="0" w:lastColumn="0" w:oddVBand="0" w:evenVBand="0" w:oddHBand="1" w:evenHBand="0" w:firstRowFirstColumn="0" w:firstRowLastColumn="0" w:lastRowFirstColumn="0" w:lastRowLastColumn="0"/>
          <w:jc w:val="center"/>
        </w:trPr>
        <w:tc>
          <w:tcPr>
            <w:tcW w:w="1431" w:type="dxa"/>
            <w:shd w:val="clear" w:color="auto" w:fill="FFFFFF" w:themeFill="background1"/>
          </w:tcPr>
          <w:p w14:paraId="3A19A35B" w14:textId="77777777" w:rsidR="00F259A8" w:rsidRPr="00E359BF" w:rsidRDefault="00F259A8" w:rsidP="00FB1C07">
            <w:pPr>
              <w:pStyle w:val="TableText"/>
            </w:pPr>
            <w:r>
              <w:t>Grades 9-12</w:t>
            </w:r>
          </w:p>
        </w:tc>
        <w:tc>
          <w:tcPr>
            <w:tcW w:w="874" w:type="dxa"/>
            <w:shd w:val="clear" w:color="auto" w:fill="FFFFFF" w:themeFill="background1"/>
          </w:tcPr>
          <w:p w14:paraId="049CA238" w14:textId="77777777" w:rsidR="00F259A8" w:rsidRPr="00E359BF" w:rsidRDefault="00F259A8" w:rsidP="00FB1C07">
            <w:pPr>
              <w:pStyle w:val="TableTextCentered"/>
              <w:rPr>
                <w:rFonts w:eastAsia="Times New Roman"/>
              </w:rPr>
            </w:pPr>
            <w:r>
              <w:rPr>
                <w:rFonts w:eastAsia="Times New Roman"/>
              </w:rPr>
              <w:t>0</w:t>
            </w:r>
          </w:p>
        </w:tc>
        <w:tc>
          <w:tcPr>
            <w:tcW w:w="874" w:type="dxa"/>
            <w:shd w:val="clear" w:color="auto" w:fill="FFFFFF" w:themeFill="background1"/>
          </w:tcPr>
          <w:p w14:paraId="0807EEC0" w14:textId="77777777" w:rsidR="00F259A8" w:rsidRPr="00E359BF" w:rsidRDefault="00F259A8" w:rsidP="00FB1C07">
            <w:pPr>
              <w:pStyle w:val="TableTextCentered"/>
              <w:rPr>
                <w:rFonts w:eastAsia="Times New Roman"/>
              </w:rPr>
            </w:pPr>
            <w:r>
              <w:rPr>
                <w:rFonts w:eastAsia="Times New Roman"/>
              </w:rPr>
              <w:t>0</w:t>
            </w:r>
          </w:p>
        </w:tc>
        <w:tc>
          <w:tcPr>
            <w:tcW w:w="874" w:type="dxa"/>
            <w:shd w:val="clear" w:color="auto" w:fill="FFFFFF" w:themeFill="background1"/>
          </w:tcPr>
          <w:p w14:paraId="335EFC44" w14:textId="77777777" w:rsidR="00F259A8" w:rsidRPr="00E359BF" w:rsidRDefault="00F259A8" w:rsidP="00FB1C07">
            <w:pPr>
              <w:pStyle w:val="TableTextCentered"/>
              <w:rPr>
                <w:rFonts w:eastAsia="Times New Roman"/>
              </w:rPr>
            </w:pPr>
            <w:r>
              <w:rPr>
                <w:rFonts w:eastAsia="Times New Roman"/>
              </w:rPr>
              <w:t>0</w:t>
            </w:r>
          </w:p>
        </w:tc>
        <w:tc>
          <w:tcPr>
            <w:tcW w:w="875" w:type="dxa"/>
            <w:shd w:val="clear" w:color="auto" w:fill="FFFFFF" w:themeFill="background1"/>
          </w:tcPr>
          <w:p w14:paraId="5E007F3D" w14:textId="77777777" w:rsidR="00F259A8" w:rsidRPr="00E359BF" w:rsidRDefault="00F259A8" w:rsidP="00FB1C07">
            <w:pPr>
              <w:pStyle w:val="TableTextCentered"/>
              <w:rPr>
                <w:rFonts w:eastAsia="Times New Roman"/>
              </w:rPr>
            </w:pPr>
            <w:r>
              <w:rPr>
                <w:rFonts w:eastAsia="Times New Roman"/>
              </w:rPr>
              <w:t>0</w:t>
            </w:r>
          </w:p>
        </w:tc>
        <w:tc>
          <w:tcPr>
            <w:tcW w:w="875" w:type="dxa"/>
            <w:shd w:val="clear" w:color="auto" w:fill="FFFFFF" w:themeFill="background1"/>
          </w:tcPr>
          <w:p w14:paraId="541E2C63" w14:textId="77777777" w:rsidR="00F259A8" w:rsidRPr="00E359BF" w:rsidRDefault="00F259A8" w:rsidP="00FB1C07">
            <w:pPr>
              <w:pStyle w:val="TableTextCentered"/>
              <w:rPr>
                <w:rFonts w:eastAsia="Times New Roman"/>
              </w:rPr>
            </w:pPr>
            <w:r>
              <w:rPr>
                <w:rFonts w:eastAsia="Times New Roman"/>
              </w:rPr>
              <w:t>0</w:t>
            </w:r>
          </w:p>
        </w:tc>
        <w:tc>
          <w:tcPr>
            <w:tcW w:w="874" w:type="dxa"/>
            <w:shd w:val="clear" w:color="auto" w:fill="FFFFFF" w:themeFill="background1"/>
          </w:tcPr>
          <w:p w14:paraId="2499BB04" w14:textId="77777777" w:rsidR="00F259A8" w:rsidRPr="00E359BF" w:rsidRDefault="00F259A8" w:rsidP="00FB1C07">
            <w:pPr>
              <w:pStyle w:val="TableTextCentered"/>
              <w:rPr>
                <w:rFonts w:eastAsia="Times New Roman"/>
              </w:rPr>
            </w:pPr>
            <w:r>
              <w:rPr>
                <w:rFonts w:eastAsia="Times New Roman"/>
              </w:rPr>
              <w:t>0</w:t>
            </w:r>
          </w:p>
        </w:tc>
        <w:tc>
          <w:tcPr>
            <w:tcW w:w="875" w:type="dxa"/>
            <w:shd w:val="clear" w:color="auto" w:fill="FFFFFF" w:themeFill="background1"/>
          </w:tcPr>
          <w:p w14:paraId="38A85541" w14:textId="77777777" w:rsidR="00F259A8" w:rsidRPr="00E359BF" w:rsidRDefault="00F259A8" w:rsidP="00FB1C07">
            <w:pPr>
              <w:pStyle w:val="TableTextCentered"/>
              <w:rPr>
                <w:rFonts w:eastAsia="Times New Roman"/>
              </w:rPr>
            </w:pPr>
            <w:r>
              <w:rPr>
                <w:rFonts w:eastAsia="Times New Roman"/>
              </w:rPr>
              <w:t>20</w:t>
            </w:r>
          </w:p>
        </w:tc>
        <w:tc>
          <w:tcPr>
            <w:tcW w:w="900" w:type="dxa"/>
            <w:shd w:val="clear" w:color="auto" w:fill="FFFFFF" w:themeFill="background1"/>
          </w:tcPr>
          <w:p w14:paraId="2CDB7F6C" w14:textId="77777777" w:rsidR="00F259A8" w:rsidRPr="00E359BF" w:rsidRDefault="00F259A8" w:rsidP="00FB1C07">
            <w:pPr>
              <w:pStyle w:val="TableTextCentered"/>
              <w:rPr>
                <w:rFonts w:eastAsia="Times New Roman"/>
              </w:rPr>
            </w:pPr>
            <w:r>
              <w:rPr>
                <w:rFonts w:eastAsia="Times New Roman"/>
              </w:rPr>
              <w:t>20</w:t>
            </w:r>
          </w:p>
        </w:tc>
        <w:tc>
          <w:tcPr>
            <w:tcW w:w="892" w:type="dxa"/>
            <w:shd w:val="clear" w:color="auto" w:fill="FFFFFF" w:themeFill="background1"/>
          </w:tcPr>
          <w:p w14:paraId="7BB41FC8" w14:textId="77777777" w:rsidR="00F259A8" w:rsidRPr="00E359BF" w:rsidRDefault="00F259A8" w:rsidP="00FB1C07">
            <w:pPr>
              <w:pStyle w:val="TableTextCentered"/>
              <w:rPr>
                <w:rFonts w:eastAsia="Times New Roman"/>
              </w:rPr>
            </w:pPr>
            <w:r>
              <w:rPr>
                <w:rFonts w:eastAsia="Times New Roman"/>
              </w:rPr>
              <w:t>7.0</w:t>
            </w:r>
          </w:p>
        </w:tc>
      </w:tr>
      <w:tr w:rsidR="00F259A8" w:rsidRPr="00E359BF" w14:paraId="443C2EFE" w14:textId="77777777" w:rsidTr="00FB1C07">
        <w:trPr>
          <w:jc w:val="center"/>
        </w:trPr>
        <w:tc>
          <w:tcPr>
            <w:tcW w:w="1431" w:type="dxa"/>
            <w:shd w:val="clear" w:color="auto" w:fill="DEEAF6" w:themeFill="accent1" w:themeFillTint="33"/>
          </w:tcPr>
          <w:p w14:paraId="16E658E0" w14:textId="77777777" w:rsidR="00F259A8" w:rsidRPr="00B30BCD" w:rsidRDefault="00F259A8" w:rsidP="00FB1C07">
            <w:pPr>
              <w:pStyle w:val="TableText"/>
              <w:rPr>
                <w:b/>
                <w:bCs/>
              </w:rPr>
            </w:pPr>
            <w:r w:rsidRPr="00B30BCD">
              <w:rPr>
                <w:b/>
                <w:bCs/>
              </w:rPr>
              <w:t>Totals</w:t>
            </w:r>
          </w:p>
        </w:tc>
        <w:tc>
          <w:tcPr>
            <w:tcW w:w="874" w:type="dxa"/>
            <w:shd w:val="clear" w:color="auto" w:fill="DEEAF6" w:themeFill="accent1" w:themeFillTint="33"/>
          </w:tcPr>
          <w:p w14:paraId="1DEC4E76" w14:textId="77777777" w:rsidR="00F259A8" w:rsidRPr="00B30BCD" w:rsidRDefault="00F259A8" w:rsidP="00FB1C07">
            <w:pPr>
              <w:pStyle w:val="TableTextCentered"/>
              <w:rPr>
                <w:rFonts w:eastAsia="Times New Roman"/>
                <w:b/>
                <w:bCs/>
              </w:rPr>
            </w:pPr>
            <w:r>
              <w:rPr>
                <w:rFonts w:eastAsia="Times New Roman"/>
                <w:b/>
                <w:bCs/>
              </w:rPr>
              <w:t>0</w:t>
            </w:r>
          </w:p>
        </w:tc>
        <w:tc>
          <w:tcPr>
            <w:tcW w:w="874" w:type="dxa"/>
            <w:shd w:val="clear" w:color="auto" w:fill="DEEAF6" w:themeFill="accent1" w:themeFillTint="33"/>
          </w:tcPr>
          <w:p w14:paraId="0D8ACA7B" w14:textId="77777777" w:rsidR="00F259A8" w:rsidRPr="00B30BCD" w:rsidRDefault="00F259A8" w:rsidP="00FB1C07">
            <w:pPr>
              <w:pStyle w:val="TableTextCentered"/>
              <w:rPr>
                <w:rFonts w:eastAsia="Times New Roman"/>
                <w:b/>
                <w:bCs/>
              </w:rPr>
            </w:pPr>
            <w:r>
              <w:rPr>
                <w:rFonts w:eastAsia="Times New Roman"/>
                <w:b/>
                <w:bCs/>
              </w:rPr>
              <w:t>0</w:t>
            </w:r>
          </w:p>
        </w:tc>
        <w:tc>
          <w:tcPr>
            <w:tcW w:w="874" w:type="dxa"/>
            <w:shd w:val="clear" w:color="auto" w:fill="DEEAF6" w:themeFill="accent1" w:themeFillTint="33"/>
          </w:tcPr>
          <w:p w14:paraId="20867A59" w14:textId="77777777" w:rsidR="00F259A8" w:rsidRPr="00B30BCD" w:rsidRDefault="00F259A8" w:rsidP="00FB1C07">
            <w:pPr>
              <w:pStyle w:val="TableTextCentered"/>
              <w:rPr>
                <w:rFonts w:eastAsia="Times New Roman"/>
                <w:b/>
                <w:bCs/>
              </w:rPr>
            </w:pPr>
            <w:r>
              <w:rPr>
                <w:rFonts w:eastAsia="Times New Roman"/>
                <w:b/>
                <w:bCs/>
              </w:rPr>
              <w:t>0</w:t>
            </w:r>
          </w:p>
        </w:tc>
        <w:tc>
          <w:tcPr>
            <w:tcW w:w="875" w:type="dxa"/>
            <w:shd w:val="clear" w:color="auto" w:fill="DEEAF6" w:themeFill="accent1" w:themeFillTint="33"/>
          </w:tcPr>
          <w:p w14:paraId="62105B82" w14:textId="77777777" w:rsidR="00F259A8" w:rsidRPr="00B30BCD" w:rsidRDefault="00F259A8" w:rsidP="00FB1C07">
            <w:pPr>
              <w:pStyle w:val="TableTextCentered"/>
              <w:rPr>
                <w:rFonts w:eastAsia="Times New Roman"/>
                <w:b/>
                <w:bCs/>
              </w:rPr>
            </w:pPr>
            <w:r>
              <w:rPr>
                <w:rFonts w:eastAsia="Times New Roman"/>
                <w:b/>
                <w:bCs/>
              </w:rPr>
              <w:t>0</w:t>
            </w:r>
          </w:p>
        </w:tc>
        <w:tc>
          <w:tcPr>
            <w:tcW w:w="875" w:type="dxa"/>
            <w:shd w:val="clear" w:color="auto" w:fill="DEEAF6" w:themeFill="accent1" w:themeFillTint="33"/>
          </w:tcPr>
          <w:p w14:paraId="28936664" w14:textId="77777777" w:rsidR="00F259A8" w:rsidRPr="00B30BCD" w:rsidRDefault="00F259A8" w:rsidP="00FB1C07">
            <w:pPr>
              <w:pStyle w:val="TableTextCentered"/>
              <w:rPr>
                <w:rFonts w:eastAsia="Times New Roman"/>
                <w:b/>
                <w:bCs/>
              </w:rPr>
            </w:pPr>
            <w:r>
              <w:rPr>
                <w:rFonts w:eastAsia="Times New Roman"/>
                <w:b/>
                <w:bCs/>
              </w:rPr>
              <w:t>3</w:t>
            </w:r>
          </w:p>
        </w:tc>
        <w:tc>
          <w:tcPr>
            <w:tcW w:w="874" w:type="dxa"/>
            <w:shd w:val="clear" w:color="auto" w:fill="DEEAF6" w:themeFill="accent1" w:themeFillTint="33"/>
          </w:tcPr>
          <w:p w14:paraId="39CBCDD7" w14:textId="77777777" w:rsidR="00F259A8" w:rsidRPr="00B30BCD" w:rsidRDefault="00F259A8" w:rsidP="00FB1C07">
            <w:pPr>
              <w:pStyle w:val="TableTextCentered"/>
              <w:rPr>
                <w:rFonts w:eastAsia="Times New Roman"/>
                <w:b/>
                <w:bCs/>
              </w:rPr>
            </w:pPr>
            <w:r>
              <w:rPr>
                <w:rFonts w:eastAsia="Times New Roman"/>
                <w:b/>
                <w:bCs/>
              </w:rPr>
              <w:t>20</w:t>
            </w:r>
          </w:p>
        </w:tc>
        <w:tc>
          <w:tcPr>
            <w:tcW w:w="875" w:type="dxa"/>
            <w:shd w:val="clear" w:color="auto" w:fill="DEEAF6" w:themeFill="accent1" w:themeFillTint="33"/>
          </w:tcPr>
          <w:p w14:paraId="5AA47DD5" w14:textId="77777777" w:rsidR="00F259A8" w:rsidRPr="00B30BCD" w:rsidRDefault="00F259A8" w:rsidP="00FB1C07">
            <w:pPr>
              <w:pStyle w:val="TableTextCentered"/>
              <w:rPr>
                <w:rFonts w:eastAsia="Times New Roman"/>
                <w:b/>
                <w:bCs/>
              </w:rPr>
            </w:pPr>
            <w:r>
              <w:rPr>
                <w:rFonts w:eastAsia="Times New Roman"/>
                <w:b/>
                <w:bCs/>
              </w:rPr>
              <w:t>51</w:t>
            </w:r>
          </w:p>
        </w:tc>
        <w:tc>
          <w:tcPr>
            <w:tcW w:w="900" w:type="dxa"/>
            <w:shd w:val="clear" w:color="auto" w:fill="DEEAF6" w:themeFill="accent1" w:themeFillTint="33"/>
          </w:tcPr>
          <w:p w14:paraId="737C2E37" w14:textId="77777777" w:rsidR="00F259A8" w:rsidRPr="00B30BCD" w:rsidRDefault="00F259A8" w:rsidP="00FB1C07">
            <w:pPr>
              <w:pStyle w:val="TableTextCentered"/>
              <w:rPr>
                <w:rFonts w:eastAsia="Times New Roman"/>
                <w:b/>
                <w:bCs/>
              </w:rPr>
            </w:pPr>
            <w:r>
              <w:rPr>
                <w:rFonts w:eastAsia="Times New Roman"/>
                <w:b/>
                <w:bCs/>
              </w:rPr>
              <w:t>74</w:t>
            </w:r>
          </w:p>
        </w:tc>
        <w:tc>
          <w:tcPr>
            <w:tcW w:w="892" w:type="dxa"/>
            <w:shd w:val="clear" w:color="auto" w:fill="DEEAF6" w:themeFill="accent1" w:themeFillTint="33"/>
          </w:tcPr>
          <w:p w14:paraId="7E05EC03" w14:textId="77777777" w:rsidR="00F259A8" w:rsidRPr="00B30BCD" w:rsidRDefault="00F259A8" w:rsidP="00FB1C07">
            <w:pPr>
              <w:pStyle w:val="TableTextCentered"/>
              <w:rPr>
                <w:rFonts w:eastAsia="Times New Roman"/>
                <w:b/>
                <w:bCs/>
              </w:rPr>
            </w:pPr>
            <w:r>
              <w:rPr>
                <w:rFonts w:eastAsia="Times New Roman"/>
                <w:b/>
                <w:bCs/>
              </w:rPr>
              <w:t>6.6</w:t>
            </w:r>
          </w:p>
        </w:tc>
      </w:tr>
    </w:tbl>
    <w:bookmarkEnd w:id="144"/>
    <w:p w14:paraId="3CF74A50" w14:textId="2F6893DF" w:rsidR="007303EE" w:rsidRPr="00797379" w:rsidRDefault="007303EE" w:rsidP="00D2476F">
      <w:pPr>
        <w:pStyle w:val="TableNote"/>
      </w:pPr>
      <w:r w:rsidRPr="00797379">
        <w:t xml:space="preserve">*The district average is an average of the observation scores. In Table 8, the district average is computed as: </w:t>
      </w:r>
      <w:bookmarkStart w:id="145" w:name="Dist_PD_Calc"/>
      <w:r w:rsidRPr="00797379">
        <w:t>([5 x 3] + [6 x 20] + [7 x 51]) ÷ 74 observations = 6.6</w:t>
      </w:r>
      <w:bookmarkEnd w:id="145"/>
    </w:p>
    <w:p w14:paraId="75EAB920" w14:textId="77777777" w:rsidR="007303EE" w:rsidRPr="00797379" w:rsidRDefault="007303EE" w:rsidP="00D2476F">
      <w:pPr>
        <w:pStyle w:val="BodyText"/>
      </w:pPr>
      <w:r w:rsidRPr="00797379">
        <w:rPr>
          <w:rStyle w:val="BodyTextDemiChar"/>
        </w:rPr>
        <w:t xml:space="preserve">Ratings in the Low Range. </w:t>
      </w:r>
      <w:r w:rsidRPr="00797379">
        <w:t>At the low level, the teacher provides few activities for students. Much time is spent on managerial tasks (such as distributing papers) and/or on behavior management. Frequently during the observation, students have little to do and spend time waiting. The routines of the classroom are not clear and, as a result, students waste time, are not engaged, and are confused. Transitions take a long time and/or are too frequent. The teacher does not have activities organized and ready and seems to be caught up in last-minute preparations.</w:t>
      </w:r>
    </w:p>
    <w:p w14:paraId="48CCE734" w14:textId="77777777" w:rsidR="007303EE" w:rsidRPr="00797379" w:rsidRDefault="007303EE" w:rsidP="00D2476F">
      <w:pPr>
        <w:pStyle w:val="BodyTextposthead"/>
      </w:pPr>
      <w:r w:rsidRPr="00797379">
        <w:rPr>
          <w:rStyle w:val="BodyTextDemiChar"/>
        </w:rPr>
        <w:t xml:space="preserve">Ratings in the Middle Range. </w:t>
      </w:r>
      <w:r w:rsidRPr="00797379">
        <w:t>At the middle range, the teacher does provide activities for students but loses learning time to disruptions or management tasks. There are certain times when the teacher provides clear activities to students, but there are other times when students wait and lose focus. Some students (or all students, at some point) do not know what is expected of them. Some of the transitions may take too long, or classrooms may be productive during certain periods but then not productive during transitions. Although the teacher is mostly prepared for the class, last-minute preparations may still infringe on learning time.</w:t>
      </w:r>
    </w:p>
    <w:p w14:paraId="48842097" w14:textId="5EFD1DAE" w:rsidR="007303EE" w:rsidRPr="00797379" w:rsidRDefault="007303EE" w:rsidP="00D2476F">
      <w:pPr>
        <w:pStyle w:val="BodyTextposthead"/>
      </w:pPr>
      <w:r w:rsidRPr="00797379">
        <w:rPr>
          <w:rStyle w:val="BodyTextDemiChar"/>
        </w:rPr>
        <w:t xml:space="preserve">Ratings in the High Range. </w:t>
      </w:r>
      <w:r w:rsidRPr="00797379">
        <w:t>The classroom runs very smoothly. The teacher provides a steady flow of activities for students, so students do not have downtime and are not confused about what to do next. The routines of the classroom are efficient, and all students know how to move from one activity to another and where materials are. Students understand the teacher’s instructions and directions. Transitions are quick, and there are not too many of them. The teacher is fully prepared for the lesson.</w:t>
      </w:r>
      <w:r w:rsidRPr="00797379">
        <w:br w:type="page"/>
      </w:r>
    </w:p>
    <w:p w14:paraId="0FE3244A" w14:textId="77777777" w:rsidR="007303EE" w:rsidRPr="00797379" w:rsidRDefault="007303EE" w:rsidP="00DB6F03">
      <w:pPr>
        <w:pStyle w:val="Heading2-SIOR"/>
        <w:outlineLvl w:val="2"/>
      </w:pPr>
      <w:bookmarkStart w:id="146" w:name="_Toc411329832"/>
      <w:bookmarkStart w:id="147" w:name="_Toc430114881"/>
      <w:bookmarkStart w:id="148" w:name="_Toc220931751"/>
      <w:r w:rsidRPr="00797379">
        <w:t>Instructional Learning Formats</w:t>
      </w:r>
      <w:bookmarkEnd w:id="146"/>
      <w:bookmarkEnd w:id="147"/>
      <w:bookmarkEnd w:id="148"/>
    </w:p>
    <w:p w14:paraId="17F3DFC9" w14:textId="5316DFFC" w:rsidR="007303EE" w:rsidRPr="00797379" w:rsidRDefault="007303EE">
      <w:pPr>
        <w:pStyle w:val="BodyTextDomain"/>
        <w:spacing w:after="0"/>
      </w:pPr>
      <w:r w:rsidRPr="00797379">
        <w:t>Classroom Organization domain, Grades PK</w:t>
      </w:r>
      <w:r w:rsidRPr="00797379">
        <w:rPr>
          <w:rFonts w:ascii="Vijaya" w:hAnsi="Vijaya" w:cs="Vijaya"/>
        </w:rPr>
        <w:t>−</w:t>
      </w:r>
      <w:r w:rsidRPr="00797379">
        <w:t>3</w:t>
      </w:r>
    </w:p>
    <w:p w14:paraId="01DCDEA4" w14:textId="77777777" w:rsidR="007303EE" w:rsidRPr="00797379" w:rsidRDefault="007303EE">
      <w:pPr>
        <w:pStyle w:val="BodyTextDomain"/>
        <w:spacing w:after="0"/>
      </w:pPr>
      <w:r w:rsidRPr="00797379">
        <w:t>Instructional Support domain, Grades 4</w:t>
      </w:r>
      <w:r w:rsidRPr="00797379">
        <w:rPr>
          <w:rFonts w:ascii="Vijaya" w:hAnsi="Vijaya" w:cs="Vijaya"/>
        </w:rPr>
        <w:t>−</w:t>
      </w:r>
      <w:r w:rsidRPr="00797379">
        <w:t>12</w:t>
      </w:r>
    </w:p>
    <w:p w14:paraId="1155EB09" w14:textId="77777777" w:rsidR="007303EE" w:rsidRPr="00797379" w:rsidRDefault="007303EE" w:rsidP="00D2476F">
      <w:pPr>
        <w:pStyle w:val="BodyTextposthead"/>
      </w:pPr>
      <w:r w:rsidRPr="00797379">
        <w:t>Instructional Learning Formats refer to the ways in which the teacher maximizes students’ interest, engagement, and abilities to learn from the lesson and activities (</w:t>
      </w:r>
      <w:r w:rsidRPr="00797379">
        <w:rPr>
          <w:i/>
        </w:rPr>
        <w:t>CLASS PK–3 Manual</w:t>
      </w:r>
      <w:r w:rsidRPr="00797379">
        <w:t xml:space="preserve">, p. 57; </w:t>
      </w:r>
      <w:r w:rsidRPr="00797379">
        <w:rPr>
          <w:i/>
        </w:rPr>
        <w:t>CLASS Upper Elementary Manual</w:t>
      </w:r>
      <w:r w:rsidRPr="00797379">
        <w:t xml:space="preserve">, p. 63, </w:t>
      </w:r>
      <w:r w:rsidRPr="00797379">
        <w:rPr>
          <w:i/>
        </w:rPr>
        <w:t>CLASS Secondary Manual,</w:t>
      </w:r>
      <w:r w:rsidRPr="00797379">
        <w:t xml:space="preserve"> p. 61). </w:t>
      </w:r>
    </w:p>
    <w:p w14:paraId="28266741" w14:textId="77777777" w:rsidR="007303EE" w:rsidRPr="00797379" w:rsidRDefault="007303EE" w:rsidP="00D2476F">
      <w:pPr>
        <w:pStyle w:val="TableTitle0"/>
      </w:pPr>
      <w:bookmarkStart w:id="149" w:name="_Toc220932424"/>
      <w:r w:rsidRPr="00797379">
        <w:t>Table 9. Instructional Learning Formats: Number of Classrooms for Each Rating and District Average</w:t>
      </w:r>
      <w:bookmarkEnd w:id="149"/>
    </w:p>
    <w:p w14:paraId="6453EED2" w14:textId="77777777" w:rsidR="007303EE" w:rsidRPr="00797379" w:rsidRDefault="007303EE" w:rsidP="00FB086D">
      <w:pPr>
        <w:pStyle w:val="BodyTextDemi"/>
        <w:spacing w:before="120" w:after="0"/>
      </w:pPr>
      <w:r w:rsidRPr="00797379">
        <w:t xml:space="preserve">Instructional Learning Formats District Average*: </w:t>
      </w:r>
      <w:bookmarkStart w:id="150" w:name="Dist_ILF_Avg"/>
      <w:r w:rsidRPr="00797379">
        <w:t>4.8</w:t>
      </w:r>
      <w:bookmarkEnd w:id="150"/>
    </w:p>
    <w:tbl>
      <w:tblPr>
        <w:tblStyle w:val="MSVTable1"/>
        <w:tblW w:w="5000" w:type="pct"/>
        <w:jc w:val="center"/>
        <w:tblLook w:val="04A0" w:firstRow="1" w:lastRow="0" w:firstColumn="1" w:lastColumn="0" w:noHBand="0" w:noVBand="1"/>
      </w:tblPr>
      <w:tblGrid>
        <w:gridCol w:w="1431"/>
        <w:gridCol w:w="874"/>
        <w:gridCol w:w="874"/>
        <w:gridCol w:w="874"/>
        <w:gridCol w:w="875"/>
        <w:gridCol w:w="875"/>
        <w:gridCol w:w="874"/>
        <w:gridCol w:w="875"/>
        <w:gridCol w:w="900"/>
        <w:gridCol w:w="892"/>
      </w:tblGrid>
      <w:tr w:rsidR="00D30589" w:rsidRPr="00E359BF" w14:paraId="52854F37" w14:textId="77777777" w:rsidTr="00FB1C07">
        <w:trPr>
          <w:cnfStyle w:val="100000000000" w:firstRow="1" w:lastRow="0" w:firstColumn="0" w:lastColumn="0" w:oddVBand="0" w:evenVBand="0" w:oddHBand="0" w:evenHBand="0" w:firstRowFirstColumn="0" w:firstRowLastColumn="0" w:lastRowFirstColumn="0" w:lastRowLastColumn="0"/>
          <w:jc w:val="center"/>
        </w:trPr>
        <w:tc>
          <w:tcPr>
            <w:tcW w:w="1431" w:type="dxa"/>
            <w:vAlign w:val="center"/>
          </w:tcPr>
          <w:p w14:paraId="7B511540" w14:textId="77777777" w:rsidR="00D30589" w:rsidRPr="00E359BF" w:rsidRDefault="00D30589" w:rsidP="00FB1C07">
            <w:pPr>
              <w:pStyle w:val="TableColHeadingCenter"/>
              <w:rPr>
                <w:rFonts w:eastAsia="MS Mincho"/>
              </w:rPr>
            </w:pPr>
            <w:bookmarkStart w:id="151" w:name="Tbl_ILF"/>
            <w:r>
              <w:rPr>
                <w:rFonts w:eastAsia="MS Mincho"/>
              </w:rPr>
              <w:t>Grade Band</w:t>
            </w:r>
          </w:p>
        </w:tc>
        <w:tc>
          <w:tcPr>
            <w:tcW w:w="874" w:type="dxa"/>
            <w:vAlign w:val="center"/>
          </w:tcPr>
          <w:p w14:paraId="70A928DD" w14:textId="77777777" w:rsidR="00D30589" w:rsidRPr="00E359BF" w:rsidRDefault="00D30589" w:rsidP="00FB1C07">
            <w:pPr>
              <w:pStyle w:val="TableColHeadingCenter"/>
              <w:rPr>
                <w:rFonts w:eastAsia="MS Mincho"/>
              </w:rPr>
            </w:pPr>
            <w:r w:rsidRPr="00E359BF">
              <w:rPr>
                <w:rFonts w:eastAsia="MS Mincho"/>
              </w:rPr>
              <w:t>Low Range</w:t>
            </w:r>
            <w:r>
              <w:rPr>
                <w:rFonts w:eastAsia="MS Mincho"/>
              </w:rPr>
              <w:t xml:space="preserve"> (1)</w:t>
            </w:r>
          </w:p>
        </w:tc>
        <w:tc>
          <w:tcPr>
            <w:tcW w:w="874" w:type="dxa"/>
            <w:vAlign w:val="center"/>
          </w:tcPr>
          <w:p w14:paraId="2491A6CA" w14:textId="77777777" w:rsidR="00D30589" w:rsidRPr="00E359BF" w:rsidRDefault="00D30589" w:rsidP="00FB1C07">
            <w:pPr>
              <w:pStyle w:val="TableColHeadingCenter"/>
              <w:rPr>
                <w:rFonts w:eastAsia="MS Mincho"/>
              </w:rPr>
            </w:pPr>
            <w:r w:rsidRPr="00E359BF">
              <w:rPr>
                <w:rFonts w:eastAsia="MS Mincho"/>
              </w:rPr>
              <w:t>Low Range</w:t>
            </w:r>
            <w:r>
              <w:rPr>
                <w:rFonts w:eastAsia="MS Mincho"/>
              </w:rPr>
              <w:t xml:space="preserve"> (2)</w:t>
            </w:r>
          </w:p>
        </w:tc>
        <w:tc>
          <w:tcPr>
            <w:tcW w:w="874" w:type="dxa"/>
            <w:vAlign w:val="center"/>
          </w:tcPr>
          <w:p w14:paraId="02B85AA5" w14:textId="77777777" w:rsidR="00D30589" w:rsidRPr="00E359BF" w:rsidRDefault="00D30589" w:rsidP="00FB1C07">
            <w:pPr>
              <w:pStyle w:val="TableColHeadingCenter"/>
              <w:rPr>
                <w:rFonts w:eastAsia="MS Mincho"/>
              </w:rPr>
            </w:pPr>
            <w:r w:rsidRPr="00E359BF">
              <w:rPr>
                <w:rFonts w:eastAsia="MS Mincho"/>
              </w:rPr>
              <w:t>Middle Range</w:t>
            </w:r>
            <w:r>
              <w:rPr>
                <w:rFonts w:eastAsia="MS Mincho"/>
              </w:rPr>
              <w:t xml:space="preserve"> (3)</w:t>
            </w:r>
          </w:p>
        </w:tc>
        <w:tc>
          <w:tcPr>
            <w:tcW w:w="875" w:type="dxa"/>
            <w:vAlign w:val="center"/>
          </w:tcPr>
          <w:p w14:paraId="757A1573" w14:textId="77777777" w:rsidR="00D30589" w:rsidRPr="00E359BF" w:rsidRDefault="00D30589" w:rsidP="00FB1C07">
            <w:pPr>
              <w:pStyle w:val="TableColHeadingCenter"/>
              <w:rPr>
                <w:rFonts w:eastAsia="MS Mincho"/>
              </w:rPr>
            </w:pPr>
            <w:r w:rsidRPr="00E359BF">
              <w:rPr>
                <w:rFonts w:eastAsia="MS Mincho"/>
              </w:rPr>
              <w:t>Middle Range</w:t>
            </w:r>
            <w:r>
              <w:rPr>
                <w:rFonts w:eastAsia="MS Mincho"/>
              </w:rPr>
              <w:t xml:space="preserve"> (4)</w:t>
            </w:r>
          </w:p>
        </w:tc>
        <w:tc>
          <w:tcPr>
            <w:tcW w:w="875" w:type="dxa"/>
            <w:vAlign w:val="center"/>
          </w:tcPr>
          <w:p w14:paraId="6795CEBE" w14:textId="77777777" w:rsidR="00D30589" w:rsidRPr="00E359BF" w:rsidRDefault="00D30589" w:rsidP="00FB1C07">
            <w:pPr>
              <w:pStyle w:val="TableColHeadingCenter"/>
              <w:rPr>
                <w:rFonts w:eastAsia="MS Mincho"/>
              </w:rPr>
            </w:pPr>
            <w:r w:rsidRPr="00E359BF">
              <w:rPr>
                <w:rFonts w:eastAsia="MS Mincho"/>
              </w:rPr>
              <w:t>Middle Range</w:t>
            </w:r>
            <w:r>
              <w:rPr>
                <w:rFonts w:eastAsia="MS Mincho"/>
              </w:rPr>
              <w:t xml:space="preserve"> (5)</w:t>
            </w:r>
          </w:p>
        </w:tc>
        <w:tc>
          <w:tcPr>
            <w:tcW w:w="874" w:type="dxa"/>
            <w:vAlign w:val="center"/>
          </w:tcPr>
          <w:p w14:paraId="79294A6D" w14:textId="77777777" w:rsidR="00D30589" w:rsidRPr="00E359BF" w:rsidRDefault="00D30589" w:rsidP="00FB1C07">
            <w:pPr>
              <w:pStyle w:val="TableColHeadingCenter"/>
              <w:rPr>
                <w:rFonts w:eastAsia="MS Mincho"/>
              </w:rPr>
            </w:pPr>
            <w:r w:rsidRPr="00E359BF">
              <w:rPr>
                <w:rFonts w:eastAsia="MS Mincho"/>
              </w:rPr>
              <w:t>High Range</w:t>
            </w:r>
            <w:r>
              <w:rPr>
                <w:rFonts w:eastAsia="MS Mincho"/>
              </w:rPr>
              <w:t xml:space="preserve"> (6)</w:t>
            </w:r>
          </w:p>
        </w:tc>
        <w:tc>
          <w:tcPr>
            <w:tcW w:w="875" w:type="dxa"/>
            <w:vAlign w:val="center"/>
          </w:tcPr>
          <w:p w14:paraId="40193E05" w14:textId="77777777" w:rsidR="00D30589" w:rsidRPr="00E359BF" w:rsidRDefault="00D30589" w:rsidP="00FB1C07">
            <w:pPr>
              <w:pStyle w:val="TableColHeadingCenter"/>
              <w:rPr>
                <w:rFonts w:eastAsia="MS Mincho"/>
              </w:rPr>
            </w:pPr>
            <w:r w:rsidRPr="00E359BF">
              <w:rPr>
                <w:rFonts w:eastAsia="MS Mincho"/>
              </w:rPr>
              <w:t>High Range</w:t>
            </w:r>
            <w:r>
              <w:rPr>
                <w:rFonts w:eastAsia="MS Mincho"/>
              </w:rPr>
              <w:t xml:space="preserve"> (7)</w:t>
            </w:r>
          </w:p>
        </w:tc>
        <w:tc>
          <w:tcPr>
            <w:tcW w:w="900" w:type="dxa"/>
            <w:vAlign w:val="center"/>
          </w:tcPr>
          <w:p w14:paraId="236D1A90" w14:textId="77777777" w:rsidR="00D30589" w:rsidRPr="00E359BF" w:rsidRDefault="00D30589" w:rsidP="00FB1C07">
            <w:pPr>
              <w:pStyle w:val="TableColHeadingCenter"/>
              <w:rPr>
                <w:rFonts w:eastAsia="MS Mincho"/>
              </w:rPr>
            </w:pPr>
            <w:r>
              <w:rPr>
                <w:rFonts w:eastAsia="MS Mincho"/>
              </w:rPr>
              <w:t>n</w:t>
            </w:r>
          </w:p>
        </w:tc>
        <w:tc>
          <w:tcPr>
            <w:tcW w:w="892" w:type="dxa"/>
            <w:vAlign w:val="center"/>
          </w:tcPr>
          <w:p w14:paraId="2BA0CA80" w14:textId="77777777" w:rsidR="00D30589" w:rsidRPr="00E359BF" w:rsidRDefault="00D30589" w:rsidP="00FB1C07">
            <w:pPr>
              <w:pStyle w:val="TableColHeadingCenter"/>
              <w:rPr>
                <w:rFonts w:eastAsia="MS Mincho"/>
              </w:rPr>
            </w:pPr>
            <w:r>
              <w:rPr>
                <w:rFonts w:eastAsia="MS Mincho"/>
              </w:rPr>
              <w:t>Average</w:t>
            </w:r>
          </w:p>
        </w:tc>
      </w:tr>
      <w:tr w:rsidR="00D30589" w:rsidRPr="00E359BF" w14:paraId="4630BA13" w14:textId="77777777" w:rsidTr="00FB1C07">
        <w:trPr>
          <w:cnfStyle w:val="000000100000" w:firstRow="0" w:lastRow="0" w:firstColumn="0" w:lastColumn="0" w:oddVBand="0" w:evenVBand="0" w:oddHBand="1" w:evenHBand="0" w:firstRowFirstColumn="0" w:firstRowLastColumn="0" w:lastRowFirstColumn="0" w:lastRowLastColumn="0"/>
          <w:jc w:val="center"/>
        </w:trPr>
        <w:tc>
          <w:tcPr>
            <w:tcW w:w="1431" w:type="dxa"/>
            <w:shd w:val="clear" w:color="auto" w:fill="FFFFFF" w:themeFill="background1"/>
          </w:tcPr>
          <w:p w14:paraId="5F3CCC17" w14:textId="77777777" w:rsidR="00D30589" w:rsidRPr="00E359BF" w:rsidRDefault="00D30589" w:rsidP="00FB1C07">
            <w:pPr>
              <w:pStyle w:val="TableText"/>
            </w:pPr>
            <w:r>
              <w:t>Grades PK-5</w:t>
            </w:r>
          </w:p>
        </w:tc>
        <w:tc>
          <w:tcPr>
            <w:tcW w:w="874" w:type="dxa"/>
            <w:shd w:val="clear" w:color="auto" w:fill="FFFFFF" w:themeFill="background1"/>
          </w:tcPr>
          <w:p w14:paraId="3A6E89C3" w14:textId="77777777" w:rsidR="00D30589" w:rsidRPr="00E359BF" w:rsidRDefault="00D30589" w:rsidP="00FB1C07">
            <w:pPr>
              <w:pStyle w:val="TableTextCentered"/>
              <w:rPr>
                <w:rFonts w:eastAsia="Times New Roman"/>
              </w:rPr>
            </w:pPr>
            <w:r>
              <w:rPr>
                <w:rFonts w:eastAsia="Times New Roman"/>
              </w:rPr>
              <w:t>0</w:t>
            </w:r>
          </w:p>
        </w:tc>
        <w:tc>
          <w:tcPr>
            <w:tcW w:w="874" w:type="dxa"/>
            <w:shd w:val="clear" w:color="auto" w:fill="FFFFFF" w:themeFill="background1"/>
          </w:tcPr>
          <w:p w14:paraId="3DA7DDE6" w14:textId="77777777" w:rsidR="00D30589" w:rsidRPr="00E359BF" w:rsidRDefault="00D30589" w:rsidP="00FB1C07">
            <w:pPr>
              <w:pStyle w:val="TableTextCentered"/>
              <w:rPr>
                <w:rFonts w:eastAsia="Times New Roman"/>
              </w:rPr>
            </w:pPr>
            <w:r>
              <w:rPr>
                <w:rFonts w:eastAsia="Times New Roman"/>
              </w:rPr>
              <w:t>0</w:t>
            </w:r>
          </w:p>
        </w:tc>
        <w:tc>
          <w:tcPr>
            <w:tcW w:w="874" w:type="dxa"/>
            <w:shd w:val="clear" w:color="auto" w:fill="FFFFFF" w:themeFill="background1"/>
          </w:tcPr>
          <w:p w14:paraId="6BF89525" w14:textId="77777777" w:rsidR="00D30589" w:rsidRPr="00E359BF" w:rsidRDefault="00D30589" w:rsidP="00FB1C07">
            <w:pPr>
              <w:pStyle w:val="TableTextCentered"/>
              <w:rPr>
                <w:rFonts w:eastAsia="Times New Roman"/>
              </w:rPr>
            </w:pPr>
            <w:r>
              <w:rPr>
                <w:rFonts w:eastAsia="Times New Roman"/>
              </w:rPr>
              <w:t>1</w:t>
            </w:r>
          </w:p>
        </w:tc>
        <w:tc>
          <w:tcPr>
            <w:tcW w:w="875" w:type="dxa"/>
            <w:shd w:val="clear" w:color="auto" w:fill="FFFFFF" w:themeFill="background1"/>
          </w:tcPr>
          <w:p w14:paraId="3A7EAF6B" w14:textId="77777777" w:rsidR="00D30589" w:rsidRPr="00E359BF" w:rsidRDefault="00D30589" w:rsidP="00FB1C07">
            <w:pPr>
              <w:pStyle w:val="TableTextCentered"/>
              <w:rPr>
                <w:rFonts w:eastAsia="Times New Roman"/>
              </w:rPr>
            </w:pPr>
            <w:r>
              <w:rPr>
                <w:rFonts w:eastAsia="Times New Roman"/>
              </w:rPr>
              <w:t>4</w:t>
            </w:r>
          </w:p>
        </w:tc>
        <w:tc>
          <w:tcPr>
            <w:tcW w:w="875" w:type="dxa"/>
            <w:shd w:val="clear" w:color="auto" w:fill="FFFFFF" w:themeFill="background1"/>
          </w:tcPr>
          <w:p w14:paraId="291C62D4" w14:textId="77777777" w:rsidR="00D30589" w:rsidRPr="00E359BF" w:rsidRDefault="00D30589" w:rsidP="00FB1C07">
            <w:pPr>
              <w:pStyle w:val="TableTextCentered"/>
              <w:rPr>
                <w:rFonts w:eastAsia="Times New Roman"/>
              </w:rPr>
            </w:pPr>
            <w:r>
              <w:rPr>
                <w:rFonts w:eastAsia="Times New Roman"/>
              </w:rPr>
              <w:t>11</w:t>
            </w:r>
          </w:p>
        </w:tc>
        <w:tc>
          <w:tcPr>
            <w:tcW w:w="874" w:type="dxa"/>
            <w:shd w:val="clear" w:color="auto" w:fill="FFFFFF" w:themeFill="background1"/>
          </w:tcPr>
          <w:p w14:paraId="41083961" w14:textId="77777777" w:rsidR="00D30589" w:rsidRPr="00E359BF" w:rsidRDefault="00D30589" w:rsidP="00FB1C07">
            <w:pPr>
              <w:pStyle w:val="TableTextCentered"/>
              <w:rPr>
                <w:rFonts w:eastAsia="Times New Roman"/>
              </w:rPr>
            </w:pPr>
            <w:r>
              <w:rPr>
                <w:rFonts w:eastAsia="Times New Roman"/>
              </w:rPr>
              <w:t>16</w:t>
            </w:r>
          </w:p>
        </w:tc>
        <w:tc>
          <w:tcPr>
            <w:tcW w:w="875" w:type="dxa"/>
            <w:shd w:val="clear" w:color="auto" w:fill="FFFFFF" w:themeFill="background1"/>
          </w:tcPr>
          <w:p w14:paraId="738E1A53" w14:textId="77777777" w:rsidR="00D30589" w:rsidRPr="00E359BF" w:rsidRDefault="00D30589" w:rsidP="00FB1C07">
            <w:pPr>
              <w:pStyle w:val="TableTextCentered"/>
              <w:rPr>
                <w:rFonts w:eastAsia="Times New Roman"/>
              </w:rPr>
            </w:pPr>
            <w:r>
              <w:rPr>
                <w:rFonts w:eastAsia="Times New Roman"/>
              </w:rPr>
              <w:t>2</w:t>
            </w:r>
          </w:p>
        </w:tc>
        <w:tc>
          <w:tcPr>
            <w:tcW w:w="900" w:type="dxa"/>
            <w:shd w:val="clear" w:color="auto" w:fill="FFFFFF" w:themeFill="background1"/>
          </w:tcPr>
          <w:p w14:paraId="2D94C50F" w14:textId="77777777" w:rsidR="00D30589" w:rsidRPr="00E359BF" w:rsidRDefault="00D30589" w:rsidP="00FB1C07">
            <w:pPr>
              <w:pStyle w:val="TableTextCentered"/>
              <w:rPr>
                <w:rFonts w:eastAsia="Times New Roman"/>
              </w:rPr>
            </w:pPr>
            <w:r>
              <w:rPr>
                <w:rFonts w:eastAsia="Times New Roman"/>
              </w:rPr>
              <w:t>34</w:t>
            </w:r>
          </w:p>
        </w:tc>
        <w:tc>
          <w:tcPr>
            <w:tcW w:w="892" w:type="dxa"/>
            <w:shd w:val="clear" w:color="auto" w:fill="FFFFFF" w:themeFill="background1"/>
          </w:tcPr>
          <w:p w14:paraId="3F58A14C" w14:textId="77777777" w:rsidR="00D30589" w:rsidRPr="00E359BF" w:rsidRDefault="00D30589" w:rsidP="00FB1C07">
            <w:pPr>
              <w:pStyle w:val="TableTextCentered"/>
              <w:rPr>
                <w:rFonts w:eastAsia="Times New Roman"/>
              </w:rPr>
            </w:pPr>
            <w:r>
              <w:rPr>
                <w:rFonts w:eastAsia="Times New Roman"/>
              </w:rPr>
              <w:t>5.4</w:t>
            </w:r>
          </w:p>
        </w:tc>
      </w:tr>
      <w:tr w:rsidR="00D30589" w:rsidRPr="00E359BF" w14:paraId="5C5A2841" w14:textId="77777777" w:rsidTr="00FB1C07">
        <w:trPr>
          <w:jc w:val="center"/>
        </w:trPr>
        <w:tc>
          <w:tcPr>
            <w:tcW w:w="1431" w:type="dxa"/>
            <w:shd w:val="clear" w:color="auto" w:fill="DEEAF6" w:themeFill="accent1" w:themeFillTint="33"/>
          </w:tcPr>
          <w:p w14:paraId="565F4018" w14:textId="77777777" w:rsidR="00D30589" w:rsidRPr="00E359BF" w:rsidRDefault="00D30589" w:rsidP="00FB1C07">
            <w:pPr>
              <w:pStyle w:val="TableText"/>
            </w:pPr>
            <w:r>
              <w:t>Grades 6-8</w:t>
            </w:r>
          </w:p>
        </w:tc>
        <w:tc>
          <w:tcPr>
            <w:tcW w:w="874" w:type="dxa"/>
            <w:shd w:val="clear" w:color="auto" w:fill="DEEAF6" w:themeFill="accent1" w:themeFillTint="33"/>
          </w:tcPr>
          <w:p w14:paraId="1F2AC6B7" w14:textId="77777777" w:rsidR="00D30589" w:rsidRPr="00E359BF" w:rsidRDefault="00D30589" w:rsidP="00FB1C07">
            <w:pPr>
              <w:pStyle w:val="TableTextCentered"/>
              <w:rPr>
                <w:rFonts w:eastAsia="Times New Roman"/>
              </w:rPr>
            </w:pPr>
            <w:r>
              <w:rPr>
                <w:rFonts w:eastAsia="Times New Roman"/>
              </w:rPr>
              <w:t>0</w:t>
            </w:r>
          </w:p>
        </w:tc>
        <w:tc>
          <w:tcPr>
            <w:tcW w:w="874" w:type="dxa"/>
            <w:shd w:val="clear" w:color="auto" w:fill="DEEAF6" w:themeFill="accent1" w:themeFillTint="33"/>
          </w:tcPr>
          <w:p w14:paraId="471626D5" w14:textId="77777777" w:rsidR="00D30589" w:rsidRPr="00E359BF" w:rsidRDefault="00D30589" w:rsidP="00FB1C07">
            <w:pPr>
              <w:pStyle w:val="TableTextCentered"/>
              <w:rPr>
                <w:rFonts w:eastAsia="Times New Roman"/>
              </w:rPr>
            </w:pPr>
            <w:r>
              <w:rPr>
                <w:rFonts w:eastAsia="Times New Roman"/>
              </w:rPr>
              <w:t>1</w:t>
            </w:r>
          </w:p>
        </w:tc>
        <w:tc>
          <w:tcPr>
            <w:tcW w:w="874" w:type="dxa"/>
            <w:shd w:val="clear" w:color="auto" w:fill="DEEAF6" w:themeFill="accent1" w:themeFillTint="33"/>
          </w:tcPr>
          <w:p w14:paraId="37DC96BE" w14:textId="77777777" w:rsidR="00D30589" w:rsidRPr="00E359BF" w:rsidRDefault="00D30589" w:rsidP="00FB1C07">
            <w:pPr>
              <w:pStyle w:val="TableTextCentered"/>
              <w:rPr>
                <w:rFonts w:eastAsia="Times New Roman"/>
              </w:rPr>
            </w:pPr>
            <w:r>
              <w:rPr>
                <w:rFonts w:eastAsia="Times New Roman"/>
              </w:rPr>
              <w:t>2</w:t>
            </w:r>
          </w:p>
        </w:tc>
        <w:tc>
          <w:tcPr>
            <w:tcW w:w="875" w:type="dxa"/>
            <w:shd w:val="clear" w:color="auto" w:fill="DEEAF6" w:themeFill="accent1" w:themeFillTint="33"/>
          </w:tcPr>
          <w:p w14:paraId="248FB6F0" w14:textId="77777777" w:rsidR="00D30589" w:rsidRPr="00E359BF" w:rsidRDefault="00D30589" w:rsidP="00FB1C07">
            <w:pPr>
              <w:pStyle w:val="TableTextCentered"/>
              <w:rPr>
                <w:rFonts w:eastAsia="Times New Roman"/>
              </w:rPr>
            </w:pPr>
            <w:r>
              <w:rPr>
                <w:rFonts w:eastAsia="Times New Roman"/>
              </w:rPr>
              <w:t>9</w:t>
            </w:r>
          </w:p>
        </w:tc>
        <w:tc>
          <w:tcPr>
            <w:tcW w:w="875" w:type="dxa"/>
            <w:shd w:val="clear" w:color="auto" w:fill="DEEAF6" w:themeFill="accent1" w:themeFillTint="33"/>
          </w:tcPr>
          <w:p w14:paraId="3869ECB4" w14:textId="77777777" w:rsidR="00D30589" w:rsidRPr="00E359BF" w:rsidRDefault="00D30589" w:rsidP="00FB1C07">
            <w:pPr>
              <w:pStyle w:val="TableTextCentered"/>
              <w:rPr>
                <w:rFonts w:eastAsia="Times New Roman"/>
              </w:rPr>
            </w:pPr>
            <w:r>
              <w:rPr>
                <w:rFonts w:eastAsia="Times New Roman"/>
              </w:rPr>
              <w:t>6</w:t>
            </w:r>
          </w:p>
        </w:tc>
        <w:tc>
          <w:tcPr>
            <w:tcW w:w="874" w:type="dxa"/>
            <w:shd w:val="clear" w:color="auto" w:fill="DEEAF6" w:themeFill="accent1" w:themeFillTint="33"/>
          </w:tcPr>
          <w:p w14:paraId="52AA9539" w14:textId="77777777" w:rsidR="00D30589" w:rsidRPr="00E359BF" w:rsidRDefault="00D30589" w:rsidP="00FB1C07">
            <w:pPr>
              <w:pStyle w:val="TableTextCentered"/>
              <w:rPr>
                <w:rFonts w:eastAsia="Times New Roman"/>
              </w:rPr>
            </w:pPr>
            <w:r>
              <w:rPr>
                <w:rFonts w:eastAsia="Times New Roman"/>
              </w:rPr>
              <w:t>2</w:t>
            </w:r>
          </w:p>
        </w:tc>
        <w:tc>
          <w:tcPr>
            <w:tcW w:w="875" w:type="dxa"/>
            <w:shd w:val="clear" w:color="auto" w:fill="DEEAF6" w:themeFill="accent1" w:themeFillTint="33"/>
          </w:tcPr>
          <w:p w14:paraId="752B91C2" w14:textId="77777777" w:rsidR="00D30589" w:rsidRPr="00E359BF" w:rsidRDefault="00D30589" w:rsidP="00FB1C07">
            <w:pPr>
              <w:pStyle w:val="TableTextCentered"/>
              <w:rPr>
                <w:rFonts w:eastAsia="Times New Roman"/>
              </w:rPr>
            </w:pPr>
            <w:r>
              <w:rPr>
                <w:rFonts w:eastAsia="Times New Roman"/>
              </w:rPr>
              <w:t>0</w:t>
            </w:r>
          </w:p>
        </w:tc>
        <w:tc>
          <w:tcPr>
            <w:tcW w:w="900" w:type="dxa"/>
            <w:shd w:val="clear" w:color="auto" w:fill="DEEAF6" w:themeFill="accent1" w:themeFillTint="33"/>
          </w:tcPr>
          <w:p w14:paraId="2383A874" w14:textId="77777777" w:rsidR="00D30589" w:rsidRPr="00E359BF" w:rsidRDefault="00D30589" w:rsidP="00FB1C07">
            <w:pPr>
              <w:pStyle w:val="TableTextCentered"/>
              <w:rPr>
                <w:rFonts w:eastAsia="Times New Roman"/>
              </w:rPr>
            </w:pPr>
            <w:r>
              <w:rPr>
                <w:rFonts w:eastAsia="Times New Roman"/>
              </w:rPr>
              <w:t>20</w:t>
            </w:r>
          </w:p>
        </w:tc>
        <w:tc>
          <w:tcPr>
            <w:tcW w:w="892" w:type="dxa"/>
            <w:shd w:val="clear" w:color="auto" w:fill="DEEAF6" w:themeFill="accent1" w:themeFillTint="33"/>
          </w:tcPr>
          <w:p w14:paraId="0CE2300D" w14:textId="77777777" w:rsidR="00D30589" w:rsidRPr="00E359BF" w:rsidRDefault="00D30589" w:rsidP="00FB1C07">
            <w:pPr>
              <w:pStyle w:val="TableTextCentered"/>
              <w:rPr>
                <w:rFonts w:eastAsia="Times New Roman"/>
              </w:rPr>
            </w:pPr>
            <w:r>
              <w:rPr>
                <w:rFonts w:eastAsia="Times New Roman"/>
              </w:rPr>
              <w:t>4.3</w:t>
            </w:r>
          </w:p>
        </w:tc>
      </w:tr>
      <w:tr w:rsidR="00D30589" w:rsidRPr="00E359BF" w14:paraId="181ABF77" w14:textId="77777777" w:rsidTr="00FB1C07">
        <w:trPr>
          <w:cnfStyle w:val="000000100000" w:firstRow="0" w:lastRow="0" w:firstColumn="0" w:lastColumn="0" w:oddVBand="0" w:evenVBand="0" w:oddHBand="1" w:evenHBand="0" w:firstRowFirstColumn="0" w:firstRowLastColumn="0" w:lastRowFirstColumn="0" w:lastRowLastColumn="0"/>
          <w:jc w:val="center"/>
        </w:trPr>
        <w:tc>
          <w:tcPr>
            <w:tcW w:w="1431" w:type="dxa"/>
            <w:shd w:val="clear" w:color="auto" w:fill="FFFFFF" w:themeFill="background1"/>
          </w:tcPr>
          <w:p w14:paraId="09C73509" w14:textId="77777777" w:rsidR="00D30589" w:rsidRPr="00E359BF" w:rsidRDefault="00D30589" w:rsidP="00FB1C07">
            <w:pPr>
              <w:pStyle w:val="TableText"/>
            </w:pPr>
            <w:r>
              <w:t>Grades 9-12</w:t>
            </w:r>
          </w:p>
        </w:tc>
        <w:tc>
          <w:tcPr>
            <w:tcW w:w="874" w:type="dxa"/>
            <w:shd w:val="clear" w:color="auto" w:fill="FFFFFF" w:themeFill="background1"/>
          </w:tcPr>
          <w:p w14:paraId="3A4A5191" w14:textId="77777777" w:rsidR="00D30589" w:rsidRPr="00E359BF" w:rsidRDefault="00D30589" w:rsidP="00FB1C07">
            <w:pPr>
              <w:pStyle w:val="TableTextCentered"/>
              <w:rPr>
                <w:rFonts w:eastAsia="Times New Roman"/>
              </w:rPr>
            </w:pPr>
            <w:r>
              <w:rPr>
                <w:rFonts w:eastAsia="Times New Roman"/>
              </w:rPr>
              <w:t>0</w:t>
            </w:r>
          </w:p>
        </w:tc>
        <w:tc>
          <w:tcPr>
            <w:tcW w:w="874" w:type="dxa"/>
            <w:shd w:val="clear" w:color="auto" w:fill="FFFFFF" w:themeFill="background1"/>
          </w:tcPr>
          <w:p w14:paraId="50280376" w14:textId="77777777" w:rsidR="00D30589" w:rsidRPr="00E359BF" w:rsidRDefault="00D30589" w:rsidP="00FB1C07">
            <w:pPr>
              <w:pStyle w:val="TableTextCentered"/>
              <w:rPr>
                <w:rFonts w:eastAsia="Times New Roman"/>
              </w:rPr>
            </w:pPr>
            <w:r>
              <w:rPr>
                <w:rFonts w:eastAsia="Times New Roman"/>
              </w:rPr>
              <w:t>1</w:t>
            </w:r>
          </w:p>
        </w:tc>
        <w:tc>
          <w:tcPr>
            <w:tcW w:w="874" w:type="dxa"/>
            <w:shd w:val="clear" w:color="auto" w:fill="FFFFFF" w:themeFill="background1"/>
          </w:tcPr>
          <w:p w14:paraId="2A19B344" w14:textId="77777777" w:rsidR="00D30589" w:rsidRPr="00E359BF" w:rsidRDefault="00D30589" w:rsidP="00FB1C07">
            <w:pPr>
              <w:pStyle w:val="TableTextCentered"/>
              <w:rPr>
                <w:rFonts w:eastAsia="Times New Roman"/>
              </w:rPr>
            </w:pPr>
            <w:r>
              <w:rPr>
                <w:rFonts w:eastAsia="Times New Roman"/>
              </w:rPr>
              <w:t>4</w:t>
            </w:r>
          </w:p>
        </w:tc>
        <w:tc>
          <w:tcPr>
            <w:tcW w:w="875" w:type="dxa"/>
            <w:shd w:val="clear" w:color="auto" w:fill="FFFFFF" w:themeFill="background1"/>
          </w:tcPr>
          <w:p w14:paraId="36FEF2AC" w14:textId="77777777" w:rsidR="00D30589" w:rsidRPr="00E359BF" w:rsidRDefault="00D30589" w:rsidP="00FB1C07">
            <w:pPr>
              <w:pStyle w:val="TableTextCentered"/>
              <w:rPr>
                <w:rFonts w:eastAsia="Times New Roman"/>
              </w:rPr>
            </w:pPr>
            <w:r>
              <w:rPr>
                <w:rFonts w:eastAsia="Times New Roman"/>
              </w:rPr>
              <w:t>7</w:t>
            </w:r>
          </w:p>
        </w:tc>
        <w:tc>
          <w:tcPr>
            <w:tcW w:w="875" w:type="dxa"/>
            <w:shd w:val="clear" w:color="auto" w:fill="FFFFFF" w:themeFill="background1"/>
          </w:tcPr>
          <w:p w14:paraId="6DB08873" w14:textId="77777777" w:rsidR="00D30589" w:rsidRPr="00E359BF" w:rsidRDefault="00D30589" w:rsidP="00FB1C07">
            <w:pPr>
              <w:pStyle w:val="TableTextCentered"/>
              <w:rPr>
                <w:rFonts w:eastAsia="Times New Roman"/>
              </w:rPr>
            </w:pPr>
            <w:r>
              <w:rPr>
                <w:rFonts w:eastAsia="Times New Roman"/>
              </w:rPr>
              <w:t>5</w:t>
            </w:r>
          </w:p>
        </w:tc>
        <w:tc>
          <w:tcPr>
            <w:tcW w:w="874" w:type="dxa"/>
            <w:shd w:val="clear" w:color="auto" w:fill="FFFFFF" w:themeFill="background1"/>
          </w:tcPr>
          <w:p w14:paraId="286F870F" w14:textId="77777777" w:rsidR="00D30589" w:rsidRPr="00E359BF" w:rsidRDefault="00D30589" w:rsidP="00FB1C07">
            <w:pPr>
              <w:pStyle w:val="TableTextCentered"/>
              <w:rPr>
                <w:rFonts w:eastAsia="Times New Roman"/>
              </w:rPr>
            </w:pPr>
            <w:r>
              <w:rPr>
                <w:rFonts w:eastAsia="Times New Roman"/>
              </w:rPr>
              <w:t>3</w:t>
            </w:r>
          </w:p>
        </w:tc>
        <w:tc>
          <w:tcPr>
            <w:tcW w:w="875" w:type="dxa"/>
            <w:shd w:val="clear" w:color="auto" w:fill="FFFFFF" w:themeFill="background1"/>
          </w:tcPr>
          <w:p w14:paraId="599D17D9" w14:textId="77777777" w:rsidR="00D30589" w:rsidRPr="00E359BF" w:rsidRDefault="00D30589" w:rsidP="00FB1C07">
            <w:pPr>
              <w:pStyle w:val="TableTextCentered"/>
              <w:rPr>
                <w:rFonts w:eastAsia="Times New Roman"/>
              </w:rPr>
            </w:pPr>
            <w:r>
              <w:rPr>
                <w:rFonts w:eastAsia="Times New Roman"/>
              </w:rPr>
              <w:t>0</w:t>
            </w:r>
          </w:p>
        </w:tc>
        <w:tc>
          <w:tcPr>
            <w:tcW w:w="900" w:type="dxa"/>
            <w:shd w:val="clear" w:color="auto" w:fill="FFFFFF" w:themeFill="background1"/>
          </w:tcPr>
          <w:p w14:paraId="7AA8D205" w14:textId="77777777" w:rsidR="00D30589" w:rsidRPr="00E359BF" w:rsidRDefault="00D30589" w:rsidP="00FB1C07">
            <w:pPr>
              <w:pStyle w:val="TableTextCentered"/>
              <w:rPr>
                <w:rFonts w:eastAsia="Times New Roman"/>
              </w:rPr>
            </w:pPr>
            <w:r>
              <w:rPr>
                <w:rFonts w:eastAsia="Times New Roman"/>
              </w:rPr>
              <w:t>20</w:t>
            </w:r>
          </w:p>
        </w:tc>
        <w:tc>
          <w:tcPr>
            <w:tcW w:w="892" w:type="dxa"/>
            <w:shd w:val="clear" w:color="auto" w:fill="FFFFFF" w:themeFill="background1"/>
          </w:tcPr>
          <w:p w14:paraId="398E0320" w14:textId="77777777" w:rsidR="00D30589" w:rsidRPr="00E359BF" w:rsidRDefault="00D30589" w:rsidP="00FB1C07">
            <w:pPr>
              <w:pStyle w:val="TableTextCentered"/>
              <w:rPr>
                <w:rFonts w:eastAsia="Times New Roman"/>
              </w:rPr>
            </w:pPr>
            <w:r>
              <w:rPr>
                <w:rFonts w:eastAsia="Times New Roman"/>
              </w:rPr>
              <w:t>4.3</w:t>
            </w:r>
          </w:p>
        </w:tc>
      </w:tr>
      <w:tr w:rsidR="00D30589" w:rsidRPr="00E359BF" w14:paraId="498B019C" w14:textId="77777777" w:rsidTr="00FB1C07">
        <w:trPr>
          <w:jc w:val="center"/>
        </w:trPr>
        <w:tc>
          <w:tcPr>
            <w:tcW w:w="1431" w:type="dxa"/>
            <w:shd w:val="clear" w:color="auto" w:fill="DEEAF6" w:themeFill="accent1" w:themeFillTint="33"/>
          </w:tcPr>
          <w:p w14:paraId="552FEDBA" w14:textId="77777777" w:rsidR="00D30589" w:rsidRPr="00B30BCD" w:rsidRDefault="00D30589" w:rsidP="00FB1C07">
            <w:pPr>
              <w:pStyle w:val="TableText"/>
              <w:rPr>
                <w:b/>
                <w:bCs/>
              </w:rPr>
            </w:pPr>
            <w:r w:rsidRPr="00B30BCD">
              <w:rPr>
                <w:b/>
                <w:bCs/>
              </w:rPr>
              <w:t>Totals</w:t>
            </w:r>
          </w:p>
        </w:tc>
        <w:tc>
          <w:tcPr>
            <w:tcW w:w="874" w:type="dxa"/>
            <w:shd w:val="clear" w:color="auto" w:fill="DEEAF6" w:themeFill="accent1" w:themeFillTint="33"/>
          </w:tcPr>
          <w:p w14:paraId="2ABFECF0" w14:textId="77777777" w:rsidR="00D30589" w:rsidRPr="00B30BCD" w:rsidRDefault="00D30589" w:rsidP="00FB1C07">
            <w:pPr>
              <w:pStyle w:val="TableTextCentered"/>
              <w:rPr>
                <w:rFonts w:eastAsia="Times New Roman"/>
                <w:b/>
                <w:bCs/>
              </w:rPr>
            </w:pPr>
            <w:r>
              <w:rPr>
                <w:rFonts w:eastAsia="Times New Roman"/>
                <w:b/>
                <w:bCs/>
              </w:rPr>
              <w:t>0</w:t>
            </w:r>
          </w:p>
        </w:tc>
        <w:tc>
          <w:tcPr>
            <w:tcW w:w="874" w:type="dxa"/>
            <w:shd w:val="clear" w:color="auto" w:fill="DEEAF6" w:themeFill="accent1" w:themeFillTint="33"/>
          </w:tcPr>
          <w:p w14:paraId="1FF16A0A" w14:textId="77777777" w:rsidR="00D30589" w:rsidRPr="00B30BCD" w:rsidRDefault="00D30589" w:rsidP="00FB1C07">
            <w:pPr>
              <w:pStyle w:val="TableTextCentered"/>
              <w:rPr>
                <w:rFonts w:eastAsia="Times New Roman"/>
                <w:b/>
                <w:bCs/>
              </w:rPr>
            </w:pPr>
            <w:r>
              <w:rPr>
                <w:rFonts w:eastAsia="Times New Roman"/>
                <w:b/>
                <w:bCs/>
              </w:rPr>
              <w:t>2</w:t>
            </w:r>
          </w:p>
        </w:tc>
        <w:tc>
          <w:tcPr>
            <w:tcW w:w="874" w:type="dxa"/>
            <w:shd w:val="clear" w:color="auto" w:fill="DEEAF6" w:themeFill="accent1" w:themeFillTint="33"/>
          </w:tcPr>
          <w:p w14:paraId="0B7DB39D" w14:textId="77777777" w:rsidR="00D30589" w:rsidRPr="00B30BCD" w:rsidRDefault="00D30589" w:rsidP="00FB1C07">
            <w:pPr>
              <w:pStyle w:val="TableTextCentered"/>
              <w:rPr>
                <w:rFonts w:eastAsia="Times New Roman"/>
                <w:b/>
                <w:bCs/>
              </w:rPr>
            </w:pPr>
            <w:r>
              <w:rPr>
                <w:rFonts w:eastAsia="Times New Roman"/>
                <w:b/>
                <w:bCs/>
              </w:rPr>
              <w:t>7</w:t>
            </w:r>
          </w:p>
        </w:tc>
        <w:tc>
          <w:tcPr>
            <w:tcW w:w="875" w:type="dxa"/>
            <w:shd w:val="clear" w:color="auto" w:fill="DEEAF6" w:themeFill="accent1" w:themeFillTint="33"/>
          </w:tcPr>
          <w:p w14:paraId="7060476D" w14:textId="77777777" w:rsidR="00D30589" w:rsidRPr="00B30BCD" w:rsidRDefault="00D30589" w:rsidP="00FB1C07">
            <w:pPr>
              <w:pStyle w:val="TableTextCentered"/>
              <w:rPr>
                <w:rFonts w:eastAsia="Times New Roman"/>
                <w:b/>
                <w:bCs/>
              </w:rPr>
            </w:pPr>
            <w:r>
              <w:rPr>
                <w:rFonts w:eastAsia="Times New Roman"/>
                <w:b/>
                <w:bCs/>
              </w:rPr>
              <w:t>20</w:t>
            </w:r>
          </w:p>
        </w:tc>
        <w:tc>
          <w:tcPr>
            <w:tcW w:w="875" w:type="dxa"/>
            <w:shd w:val="clear" w:color="auto" w:fill="DEEAF6" w:themeFill="accent1" w:themeFillTint="33"/>
          </w:tcPr>
          <w:p w14:paraId="38A1260C" w14:textId="77777777" w:rsidR="00D30589" w:rsidRPr="00B30BCD" w:rsidRDefault="00D30589" w:rsidP="00FB1C07">
            <w:pPr>
              <w:pStyle w:val="TableTextCentered"/>
              <w:rPr>
                <w:rFonts w:eastAsia="Times New Roman"/>
                <w:b/>
                <w:bCs/>
              </w:rPr>
            </w:pPr>
            <w:r>
              <w:rPr>
                <w:rFonts w:eastAsia="Times New Roman"/>
                <w:b/>
                <w:bCs/>
              </w:rPr>
              <w:t>22</w:t>
            </w:r>
          </w:p>
        </w:tc>
        <w:tc>
          <w:tcPr>
            <w:tcW w:w="874" w:type="dxa"/>
            <w:shd w:val="clear" w:color="auto" w:fill="DEEAF6" w:themeFill="accent1" w:themeFillTint="33"/>
          </w:tcPr>
          <w:p w14:paraId="193D612B" w14:textId="77777777" w:rsidR="00D30589" w:rsidRPr="00B30BCD" w:rsidRDefault="00D30589" w:rsidP="00FB1C07">
            <w:pPr>
              <w:pStyle w:val="TableTextCentered"/>
              <w:rPr>
                <w:rFonts w:eastAsia="Times New Roman"/>
                <w:b/>
                <w:bCs/>
              </w:rPr>
            </w:pPr>
            <w:r>
              <w:rPr>
                <w:rFonts w:eastAsia="Times New Roman"/>
                <w:b/>
                <w:bCs/>
              </w:rPr>
              <w:t>21</w:t>
            </w:r>
          </w:p>
        </w:tc>
        <w:tc>
          <w:tcPr>
            <w:tcW w:w="875" w:type="dxa"/>
            <w:shd w:val="clear" w:color="auto" w:fill="DEEAF6" w:themeFill="accent1" w:themeFillTint="33"/>
          </w:tcPr>
          <w:p w14:paraId="62C57B0C" w14:textId="77777777" w:rsidR="00D30589" w:rsidRPr="00B30BCD" w:rsidRDefault="00D30589" w:rsidP="00FB1C07">
            <w:pPr>
              <w:pStyle w:val="TableTextCentered"/>
              <w:rPr>
                <w:rFonts w:eastAsia="Times New Roman"/>
                <w:b/>
                <w:bCs/>
              </w:rPr>
            </w:pPr>
            <w:r>
              <w:rPr>
                <w:rFonts w:eastAsia="Times New Roman"/>
                <w:b/>
                <w:bCs/>
              </w:rPr>
              <w:t>2</w:t>
            </w:r>
          </w:p>
        </w:tc>
        <w:tc>
          <w:tcPr>
            <w:tcW w:w="900" w:type="dxa"/>
            <w:shd w:val="clear" w:color="auto" w:fill="DEEAF6" w:themeFill="accent1" w:themeFillTint="33"/>
          </w:tcPr>
          <w:p w14:paraId="4D0E5FB0" w14:textId="77777777" w:rsidR="00D30589" w:rsidRPr="00B30BCD" w:rsidRDefault="00D30589" w:rsidP="00FB1C07">
            <w:pPr>
              <w:pStyle w:val="TableTextCentered"/>
              <w:rPr>
                <w:rFonts w:eastAsia="Times New Roman"/>
                <w:b/>
                <w:bCs/>
              </w:rPr>
            </w:pPr>
            <w:r>
              <w:rPr>
                <w:rFonts w:eastAsia="Times New Roman"/>
                <w:b/>
                <w:bCs/>
              </w:rPr>
              <w:t>74</w:t>
            </w:r>
          </w:p>
        </w:tc>
        <w:tc>
          <w:tcPr>
            <w:tcW w:w="892" w:type="dxa"/>
            <w:shd w:val="clear" w:color="auto" w:fill="DEEAF6" w:themeFill="accent1" w:themeFillTint="33"/>
          </w:tcPr>
          <w:p w14:paraId="3B79C518" w14:textId="77777777" w:rsidR="00D30589" w:rsidRPr="00B30BCD" w:rsidRDefault="00D30589" w:rsidP="00FB1C07">
            <w:pPr>
              <w:pStyle w:val="TableTextCentered"/>
              <w:rPr>
                <w:rFonts w:eastAsia="Times New Roman"/>
                <w:b/>
                <w:bCs/>
              </w:rPr>
            </w:pPr>
            <w:r>
              <w:rPr>
                <w:rFonts w:eastAsia="Times New Roman"/>
                <w:b/>
                <w:bCs/>
              </w:rPr>
              <w:t>4.8</w:t>
            </w:r>
          </w:p>
        </w:tc>
      </w:tr>
    </w:tbl>
    <w:bookmarkEnd w:id="151"/>
    <w:p w14:paraId="3E3A782E" w14:textId="11BAA043" w:rsidR="007303EE" w:rsidRPr="00797379" w:rsidRDefault="007303EE" w:rsidP="00D2476F">
      <w:pPr>
        <w:pStyle w:val="TableNote"/>
      </w:pPr>
      <w:r w:rsidRPr="00797379">
        <w:t xml:space="preserve">*The district average is an average of the observation scores. In Table 9, the district average is computed as: </w:t>
      </w:r>
      <w:bookmarkStart w:id="152" w:name="Dist_ILF_Calc"/>
      <w:r w:rsidRPr="00797379">
        <w:t>([2 x 2] + [3 x 7] + [4 x 20] + [5 x 22] + [6 x 21] + [7 x 2]) ÷ 74 observations = 4.8</w:t>
      </w:r>
      <w:bookmarkEnd w:id="152"/>
    </w:p>
    <w:p w14:paraId="64214CA8" w14:textId="77777777" w:rsidR="007303EE" w:rsidRPr="00797379" w:rsidRDefault="007303EE" w:rsidP="00D2476F">
      <w:pPr>
        <w:pStyle w:val="BodyText"/>
      </w:pPr>
      <w:r w:rsidRPr="00797379">
        <w:rPr>
          <w:rStyle w:val="BodyTextDemiChar"/>
        </w:rPr>
        <w:t>Ratings in the Low Range.</w:t>
      </w:r>
      <w:r w:rsidRPr="00797379">
        <w:t xml:space="preserve"> The teacher exerts little effort in facilitating engagement in the lesson. Learning activities may be limited and seem to be at the rote level, with little teacher involvement. The teacher relies on one learning modality (e.g., listening) and does not use other modalities (e.g., movement, visual displays) to convey information and enhance learning. Or the teacher may be ineffective in using other modalities, not choosing the right props for the students or the classroom conditions. Students are uninterested and uninvolved in the lesson. The teacher does not attempt to guide students toward learning objectives and does not help them focus on the lesson by providing appropriate tools and asking effective questions.</w:t>
      </w:r>
    </w:p>
    <w:p w14:paraId="6C86C1F7" w14:textId="77777777" w:rsidR="007303EE" w:rsidRPr="00797379" w:rsidRDefault="007303EE" w:rsidP="00D2476F">
      <w:pPr>
        <w:pStyle w:val="BodyTextposthead"/>
      </w:pPr>
      <w:r w:rsidRPr="00797379">
        <w:rPr>
          <w:rStyle w:val="BodyTextDemiChar"/>
        </w:rPr>
        <w:t>Ratings in the Middle Range.</w:t>
      </w:r>
      <w:r w:rsidRPr="00797379">
        <w:rPr>
          <w:spacing w:val="-4"/>
        </w:rPr>
        <w:t xml:space="preserve"> At the middle range, the teacher sometimes facilitates engagement</w:t>
      </w:r>
      <w:r w:rsidRPr="00797379">
        <w:t xml:space="preserve"> in the lesson but at other times does not, or the teacher facilitates engagement for some students and not for other students. The teacher may not allow students enough time to explore or answer questions. Sometimes, the teacher uses a variety of modalities to help students reach a learning objective, but at other times the teacher does not. Student engagement is inconsistent, or some students are engaged and other students are not. At times, students are aware of the learning objective and at other times they are not. The teacher may sometimes use strategies to help students organize information but at other times does not.</w:t>
      </w:r>
    </w:p>
    <w:p w14:paraId="08CC0104" w14:textId="69C057A6" w:rsidR="00D2476F" w:rsidRPr="00797379" w:rsidRDefault="007303EE" w:rsidP="00D2476F">
      <w:pPr>
        <w:pStyle w:val="BodyTextposthead"/>
      </w:pPr>
      <w:r w:rsidRPr="00797379">
        <w:rPr>
          <w:rStyle w:val="BodyTextDemiChar"/>
        </w:rPr>
        <w:t>Ratings in the High Range.</w:t>
      </w:r>
      <w:r w:rsidRPr="00797379">
        <w:rPr>
          <w:b/>
        </w:rPr>
        <w:t xml:space="preserve"> </w:t>
      </w:r>
      <w:r w:rsidRPr="00797379">
        <w:t>The teacher has multiple strategies and tools to facilitate engagement and learning and encourage participation. The teacher may move around, talk and play with students, ask open-ended questions of students, and allow students to explore. A variety of tools and props are used, including movement and visual/auditory resources. Students are consistently interested and engaged in the activities and lessons. The teacher focuses students on the learning objectives, which students understand. The teacher uses advanced organizers to prepare students for an activity, as well as reorientation strategies that help students regain focus.</w:t>
      </w:r>
      <w:r w:rsidR="00D2476F" w:rsidRPr="00797379">
        <w:br w:type="page"/>
      </w:r>
    </w:p>
    <w:p w14:paraId="154FB9AB" w14:textId="77777777" w:rsidR="007303EE" w:rsidRPr="00797379" w:rsidRDefault="007303EE" w:rsidP="00DB6F03">
      <w:pPr>
        <w:pStyle w:val="Heading2-SIOR"/>
        <w:outlineLvl w:val="2"/>
      </w:pPr>
      <w:bookmarkStart w:id="153" w:name="_Toc411329833"/>
      <w:bookmarkStart w:id="154" w:name="_Toc430114882"/>
      <w:bookmarkStart w:id="155" w:name="_Toc220931752"/>
      <w:r w:rsidRPr="00797379">
        <w:t>Concept Development</w:t>
      </w:r>
      <w:bookmarkEnd w:id="153"/>
      <w:bookmarkEnd w:id="154"/>
      <w:bookmarkEnd w:id="155"/>
    </w:p>
    <w:p w14:paraId="2E9285FA" w14:textId="77777777" w:rsidR="007303EE" w:rsidRPr="00797379" w:rsidRDefault="007303EE">
      <w:pPr>
        <w:pStyle w:val="BodyTextDomain"/>
      </w:pPr>
      <w:r w:rsidRPr="00797379">
        <w:t>Instructional Support domain, Grades PK</w:t>
      </w:r>
      <w:r w:rsidRPr="00797379">
        <w:rPr>
          <w:rFonts w:ascii="Vijaya" w:hAnsi="Vijaya" w:cs="Vijaya"/>
        </w:rPr>
        <w:t>−</w:t>
      </w:r>
      <w:r w:rsidRPr="00797379">
        <w:t xml:space="preserve">3 </w:t>
      </w:r>
    </w:p>
    <w:p w14:paraId="462A8BC8" w14:textId="77777777" w:rsidR="007303EE" w:rsidRPr="00797379" w:rsidRDefault="007303EE" w:rsidP="00D2476F">
      <w:pPr>
        <w:pStyle w:val="BodyTextposthead"/>
      </w:pPr>
      <w:r w:rsidRPr="00797379">
        <w:t>Concept Development refers to the teacher’s use of instructional discussions and activities to promote students’ higher order thinking skills and cognition and the teacher’s focus on understanding rather than on rote instruction (</w:t>
      </w:r>
      <w:r w:rsidRPr="00797379">
        <w:rPr>
          <w:i/>
        </w:rPr>
        <w:t>CLASS PK–3 Manual</w:t>
      </w:r>
      <w:r w:rsidRPr="00797379">
        <w:t>, p. 64).</w:t>
      </w:r>
    </w:p>
    <w:p w14:paraId="694147D4" w14:textId="77777777" w:rsidR="007303EE" w:rsidRPr="00797379" w:rsidRDefault="007303EE" w:rsidP="00D2476F">
      <w:pPr>
        <w:pStyle w:val="TableTitle0"/>
      </w:pPr>
      <w:bookmarkStart w:id="156" w:name="_Toc220932425"/>
      <w:r w:rsidRPr="00797379">
        <w:t>Table 10. Concept Development: Number of Classrooms for Each Rating and District Average</w:t>
      </w:r>
      <w:bookmarkEnd w:id="156"/>
    </w:p>
    <w:p w14:paraId="086D777F" w14:textId="77777777" w:rsidR="007303EE" w:rsidRPr="00797379" w:rsidRDefault="007303EE" w:rsidP="00D2476F">
      <w:pPr>
        <w:pStyle w:val="BodyTextDemi"/>
      </w:pPr>
      <w:r w:rsidRPr="00797379">
        <w:t xml:space="preserve">Concept Development District Average*: </w:t>
      </w:r>
      <w:bookmarkStart w:id="157" w:name="Dist_CD_Avg"/>
      <w:r w:rsidRPr="00797379">
        <w:t>3.3</w:t>
      </w:r>
      <w:bookmarkEnd w:id="157"/>
    </w:p>
    <w:tbl>
      <w:tblPr>
        <w:tblStyle w:val="MSVTable1"/>
        <w:tblW w:w="5000" w:type="pct"/>
        <w:jc w:val="center"/>
        <w:tblLook w:val="04A0" w:firstRow="1" w:lastRow="0" w:firstColumn="1" w:lastColumn="0" w:noHBand="0" w:noVBand="1"/>
      </w:tblPr>
      <w:tblGrid>
        <w:gridCol w:w="1431"/>
        <w:gridCol w:w="874"/>
        <w:gridCol w:w="874"/>
        <w:gridCol w:w="874"/>
        <w:gridCol w:w="875"/>
        <w:gridCol w:w="875"/>
        <w:gridCol w:w="874"/>
        <w:gridCol w:w="875"/>
        <w:gridCol w:w="900"/>
        <w:gridCol w:w="892"/>
      </w:tblGrid>
      <w:tr w:rsidR="004B52DA" w:rsidRPr="00E359BF" w14:paraId="6EA7D39B" w14:textId="77777777" w:rsidTr="00FB1C07">
        <w:trPr>
          <w:cnfStyle w:val="100000000000" w:firstRow="1" w:lastRow="0" w:firstColumn="0" w:lastColumn="0" w:oddVBand="0" w:evenVBand="0" w:oddHBand="0" w:evenHBand="0" w:firstRowFirstColumn="0" w:firstRowLastColumn="0" w:lastRowFirstColumn="0" w:lastRowLastColumn="0"/>
          <w:jc w:val="center"/>
        </w:trPr>
        <w:tc>
          <w:tcPr>
            <w:tcW w:w="1431" w:type="dxa"/>
            <w:vAlign w:val="center"/>
          </w:tcPr>
          <w:p w14:paraId="2945D444" w14:textId="77777777" w:rsidR="004B52DA" w:rsidRPr="00E359BF" w:rsidRDefault="004B52DA" w:rsidP="00FB1C07">
            <w:pPr>
              <w:pStyle w:val="TableColHeadingCenter"/>
              <w:rPr>
                <w:rFonts w:eastAsia="MS Mincho"/>
              </w:rPr>
            </w:pPr>
            <w:bookmarkStart w:id="158" w:name="Tbl_CD"/>
            <w:r>
              <w:rPr>
                <w:rFonts w:eastAsia="MS Mincho"/>
              </w:rPr>
              <w:t>Grade Band</w:t>
            </w:r>
          </w:p>
        </w:tc>
        <w:tc>
          <w:tcPr>
            <w:tcW w:w="874" w:type="dxa"/>
            <w:vAlign w:val="center"/>
          </w:tcPr>
          <w:p w14:paraId="76ECF4B0" w14:textId="77777777" w:rsidR="004B52DA" w:rsidRPr="00E359BF" w:rsidRDefault="004B52DA" w:rsidP="00FB1C07">
            <w:pPr>
              <w:pStyle w:val="TableColHeadingCenter"/>
              <w:rPr>
                <w:rFonts w:eastAsia="MS Mincho"/>
              </w:rPr>
            </w:pPr>
            <w:r w:rsidRPr="00E359BF">
              <w:rPr>
                <w:rFonts w:eastAsia="MS Mincho"/>
              </w:rPr>
              <w:t>Low Range</w:t>
            </w:r>
            <w:r>
              <w:rPr>
                <w:rFonts w:eastAsia="MS Mincho"/>
              </w:rPr>
              <w:t xml:space="preserve"> (1)</w:t>
            </w:r>
          </w:p>
        </w:tc>
        <w:tc>
          <w:tcPr>
            <w:tcW w:w="874" w:type="dxa"/>
            <w:vAlign w:val="center"/>
          </w:tcPr>
          <w:p w14:paraId="7B7408C8" w14:textId="77777777" w:rsidR="004B52DA" w:rsidRPr="00E359BF" w:rsidRDefault="004B52DA" w:rsidP="00FB1C07">
            <w:pPr>
              <w:pStyle w:val="TableColHeadingCenter"/>
              <w:rPr>
                <w:rFonts w:eastAsia="MS Mincho"/>
              </w:rPr>
            </w:pPr>
            <w:r w:rsidRPr="00E359BF">
              <w:rPr>
                <w:rFonts w:eastAsia="MS Mincho"/>
              </w:rPr>
              <w:t>Low Range</w:t>
            </w:r>
            <w:r>
              <w:rPr>
                <w:rFonts w:eastAsia="MS Mincho"/>
              </w:rPr>
              <w:t xml:space="preserve"> (2)</w:t>
            </w:r>
          </w:p>
        </w:tc>
        <w:tc>
          <w:tcPr>
            <w:tcW w:w="874" w:type="dxa"/>
            <w:vAlign w:val="center"/>
          </w:tcPr>
          <w:p w14:paraId="2D81E2CF" w14:textId="77777777" w:rsidR="004B52DA" w:rsidRPr="00E359BF" w:rsidRDefault="004B52DA" w:rsidP="00FB1C07">
            <w:pPr>
              <w:pStyle w:val="TableColHeadingCenter"/>
              <w:rPr>
                <w:rFonts w:eastAsia="MS Mincho"/>
              </w:rPr>
            </w:pPr>
            <w:r w:rsidRPr="00E359BF">
              <w:rPr>
                <w:rFonts w:eastAsia="MS Mincho"/>
              </w:rPr>
              <w:t>Middle Range</w:t>
            </w:r>
            <w:r>
              <w:rPr>
                <w:rFonts w:eastAsia="MS Mincho"/>
              </w:rPr>
              <w:t xml:space="preserve"> (3)</w:t>
            </w:r>
          </w:p>
        </w:tc>
        <w:tc>
          <w:tcPr>
            <w:tcW w:w="875" w:type="dxa"/>
            <w:vAlign w:val="center"/>
          </w:tcPr>
          <w:p w14:paraId="6AE6E64E" w14:textId="77777777" w:rsidR="004B52DA" w:rsidRPr="00E359BF" w:rsidRDefault="004B52DA" w:rsidP="00FB1C07">
            <w:pPr>
              <w:pStyle w:val="TableColHeadingCenter"/>
              <w:rPr>
                <w:rFonts w:eastAsia="MS Mincho"/>
              </w:rPr>
            </w:pPr>
            <w:r w:rsidRPr="00E359BF">
              <w:rPr>
                <w:rFonts w:eastAsia="MS Mincho"/>
              </w:rPr>
              <w:t>Middle Range</w:t>
            </w:r>
            <w:r>
              <w:rPr>
                <w:rFonts w:eastAsia="MS Mincho"/>
              </w:rPr>
              <w:t xml:space="preserve"> (4)</w:t>
            </w:r>
          </w:p>
        </w:tc>
        <w:tc>
          <w:tcPr>
            <w:tcW w:w="875" w:type="dxa"/>
            <w:vAlign w:val="center"/>
          </w:tcPr>
          <w:p w14:paraId="371E26A3" w14:textId="77777777" w:rsidR="004B52DA" w:rsidRPr="00E359BF" w:rsidRDefault="004B52DA" w:rsidP="00FB1C07">
            <w:pPr>
              <w:pStyle w:val="TableColHeadingCenter"/>
              <w:rPr>
                <w:rFonts w:eastAsia="MS Mincho"/>
              </w:rPr>
            </w:pPr>
            <w:r w:rsidRPr="00E359BF">
              <w:rPr>
                <w:rFonts w:eastAsia="MS Mincho"/>
              </w:rPr>
              <w:t>Middle Range</w:t>
            </w:r>
            <w:r>
              <w:rPr>
                <w:rFonts w:eastAsia="MS Mincho"/>
              </w:rPr>
              <w:t xml:space="preserve"> (5)</w:t>
            </w:r>
          </w:p>
        </w:tc>
        <w:tc>
          <w:tcPr>
            <w:tcW w:w="874" w:type="dxa"/>
            <w:vAlign w:val="center"/>
          </w:tcPr>
          <w:p w14:paraId="1ABD0F10" w14:textId="77777777" w:rsidR="004B52DA" w:rsidRPr="00E359BF" w:rsidRDefault="004B52DA" w:rsidP="00FB1C07">
            <w:pPr>
              <w:pStyle w:val="TableColHeadingCenter"/>
              <w:rPr>
                <w:rFonts w:eastAsia="MS Mincho"/>
              </w:rPr>
            </w:pPr>
            <w:r w:rsidRPr="00E359BF">
              <w:rPr>
                <w:rFonts w:eastAsia="MS Mincho"/>
              </w:rPr>
              <w:t>High Range</w:t>
            </w:r>
            <w:r>
              <w:rPr>
                <w:rFonts w:eastAsia="MS Mincho"/>
              </w:rPr>
              <w:t xml:space="preserve"> (6)</w:t>
            </w:r>
          </w:p>
        </w:tc>
        <w:tc>
          <w:tcPr>
            <w:tcW w:w="875" w:type="dxa"/>
            <w:vAlign w:val="center"/>
          </w:tcPr>
          <w:p w14:paraId="61F7961A" w14:textId="77777777" w:rsidR="004B52DA" w:rsidRPr="00E359BF" w:rsidRDefault="004B52DA" w:rsidP="00FB1C07">
            <w:pPr>
              <w:pStyle w:val="TableColHeadingCenter"/>
              <w:rPr>
                <w:rFonts w:eastAsia="MS Mincho"/>
              </w:rPr>
            </w:pPr>
            <w:r w:rsidRPr="00E359BF">
              <w:rPr>
                <w:rFonts w:eastAsia="MS Mincho"/>
              </w:rPr>
              <w:t>High Range</w:t>
            </w:r>
            <w:r>
              <w:rPr>
                <w:rFonts w:eastAsia="MS Mincho"/>
              </w:rPr>
              <w:t xml:space="preserve"> (7)</w:t>
            </w:r>
          </w:p>
        </w:tc>
        <w:tc>
          <w:tcPr>
            <w:tcW w:w="900" w:type="dxa"/>
            <w:vAlign w:val="center"/>
          </w:tcPr>
          <w:p w14:paraId="7246539C" w14:textId="77777777" w:rsidR="004B52DA" w:rsidRPr="00E359BF" w:rsidRDefault="004B52DA" w:rsidP="00FB1C07">
            <w:pPr>
              <w:pStyle w:val="TableColHeadingCenter"/>
              <w:rPr>
                <w:rFonts w:eastAsia="MS Mincho"/>
              </w:rPr>
            </w:pPr>
            <w:r>
              <w:rPr>
                <w:rFonts w:eastAsia="MS Mincho"/>
              </w:rPr>
              <w:t>n</w:t>
            </w:r>
          </w:p>
        </w:tc>
        <w:tc>
          <w:tcPr>
            <w:tcW w:w="892" w:type="dxa"/>
            <w:vAlign w:val="center"/>
          </w:tcPr>
          <w:p w14:paraId="0F0284A8" w14:textId="77777777" w:rsidR="004B52DA" w:rsidRPr="00E359BF" w:rsidRDefault="004B52DA" w:rsidP="00FB1C07">
            <w:pPr>
              <w:pStyle w:val="TableColHeadingCenter"/>
              <w:rPr>
                <w:rFonts w:eastAsia="MS Mincho"/>
              </w:rPr>
            </w:pPr>
            <w:r>
              <w:rPr>
                <w:rFonts w:eastAsia="MS Mincho"/>
              </w:rPr>
              <w:t>Average</w:t>
            </w:r>
          </w:p>
        </w:tc>
      </w:tr>
      <w:tr w:rsidR="004B52DA" w:rsidRPr="00E359BF" w14:paraId="70F2D948" w14:textId="77777777" w:rsidTr="00FB1C07">
        <w:trPr>
          <w:cnfStyle w:val="000000100000" w:firstRow="0" w:lastRow="0" w:firstColumn="0" w:lastColumn="0" w:oddVBand="0" w:evenVBand="0" w:oddHBand="1" w:evenHBand="0" w:firstRowFirstColumn="0" w:firstRowLastColumn="0" w:lastRowFirstColumn="0" w:lastRowLastColumn="0"/>
          <w:jc w:val="center"/>
        </w:trPr>
        <w:tc>
          <w:tcPr>
            <w:tcW w:w="1431" w:type="dxa"/>
            <w:shd w:val="clear" w:color="auto" w:fill="FFFFFF" w:themeFill="background1"/>
          </w:tcPr>
          <w:p w14:paraId="376DD274" w14:textId="77777777" w:rsidR="004B52DA" w:rsidRPr="00E359BF" w:rsidRDefault="004B52DA" w:rsidP="00FB1C07">
            <w:pPr>
              <w:pStyle w:val="TableText"/>
            </w:pPr>
            <w:r>
              <w:t>Grades PK-3**</w:t>
            </w:r>
          </w:p>
        </w:tc>
        <w:tc>
          <w:tcPr>
            <w:tcW w:w="874" w:type="dxa"/>
            <w:shd w:val="clear" w:color="auto" w:fill="FFFFFF" w:themeFill="background1"/>
          </w:tcPr>
          <w:p w14:paraId="0B2F6A69" w14:textId="77777777" w:rsidR="004B52DA" w:rsidRPr="00E359BF" w:rsidRDefault="004B52DA" w:rsidP="00FB1C07">
            <w:pPr>
              <w:pStyle w:val="TableTextCentered"/>
              <w:rPr>
                <w:rFonts w:eastAsia="Times New Roman"/>
              </w:rPr>
            </w:pPr>
            <w:r>
              <w:rPr>
                <w:rFonts w:eastAsia="Times New Roman"/>
              </w:rPr>
              <w:t>0</w:t>
            </w:r>
          </w:p>
        </w:tc>
        <w:tc>
          <w:tcPr>
            <w:tcW w:w="874" w:type="dxa"/>
            <w:shd w:val="clear" w:color="auto" w:fill="FFFFFF" w:themeFill="background1"/>
          </w:tcPr>
          <w:p w14:paraId="3511EF73" w14:textId="77777777" w:rsidR="004B52DA" w:rsidRPr="00E359BF" w:rsidRDefault="004B52DA" w:rsidP="00FB1C07">
            <w:pPr>
              <w:pStyle w:val="TableTextCentered"/>
              <w:rPr>
                <w:rFonts w:eastAsia="Times New Roman"/>
              </w:rPr>
            </w:pPr>
            <w:r>
              <w:rPr>
                <w:rFonts w:eastAsia="Times New Roman"/>
              </w:rPr>
              <w:t>6</w:t>
            </w:r>
          </w:p>
        </w:tc>
        <w:tc>
          <w:tcPr>
            <w:tcW w:w="874" w:type="dxa"/>
            <w:shd w:val="clear" w:color="auto" w:fill="FFFFFF" w:themeFill="background1"/>
          </w:tcPr>
          <w:p w14:paraId="0C1BD630" w14:textId="77777777" w:rsidR="004B52DA" w:rsidRPr="00E359BF" w:rsidRDefault="004B52DA" w:rsidP="00FB1C07">
            <w:pPr>
              <w:pStyle w:val="TableTextCentered"/>
              <w:rPr>
                <w:rFonts w:eastAsia="Times New Roman"/>
              </w:rPr>
            </w:pPr>
            <w:r>
              <w:rPr>
                <w:rFonts w:eastAsia="Times New Roman"/>
              </w:rPr>
              <w:t>7</w:t>
            </w:r>
          </w:p>
        </w:tc>
        <w:tc>
          <w:tcPr>
            <w:tcW w:w="875" w:type="dxa"/>
            <w:shd w:val="clear" w:color="auto" w:fill="FFFFFF" w:themeFill="background1"/>
          </w:tcPr>
          <w:p w14:paraId="22F4A6E3" w14:textId="77777777" w:rsidR="004B52DA" w:rsidRPr="00E359BF" w:rsidRDefault="004B52DA" w:rsidP="00FB1C07">
            <w:pPr>
              <w:pStyle w:val="TableTextCentered"/>
              <w:rPr>
                <w:rFonts w:eastAsia="Times New Roman"/>
              </w:rPr>
            </w:pPr>
            <w:r>
              <w:rPr>
                <w:rFonts w:eastAsia="Times New Roman"/>
              </w:rPr>
              <w:t>3</w:t>
            </w:r>
          </w:p>
        </w:tc>
        <w:tc>
          <w:tcPr>
            <w:tcW w:w="875" w:type="dxa"/>
            <w:shd w:val="clear" w:color="auto" w:fill="FFFFFF" w:themeFill="background1"/>
          </w:tcPr>
          <w:p w14:paraId="1EB315D4" w14:textId="77777777" w:rsidR="004B52DA" w:rsidRPr="00E359BF" w:rsidRDefault="004B52DA" w:rsidP="00FB1C07">
            <w:pPr>
              <w:pStyle w:val="TableTextCentered"/>
              <w:rPr>
                <w:rFonts w:eastAsia="Times New Roman"/>
              </w:rPr>
            </w:pPr>
            <w:r>
              <w:rPr>
                <w:rFonts w:eastAsia="Times New Roman"/>
              </w:rPr>
              <w:t>5</w:t>
            </w:r>
          </w:p>
        </w:tc>
        <w:tc>
          <w:tcPr>
            <w:tcW w:w="874" w:type="dxa"/>
            <w:shd w:val="clear" w:color="auto" w:fill="FFFFFF" w:themeFill="background1"/>
          </w:tcPr>
          <w:p w14:paraId="575924CE" w14:textId="77777777" w:rsidR="004B52DA" w:rsidRPr="00E359BF" w:rsidRDefault="004B52DA" w:rsidP="00FB1C07">
            <w:pPr>
              <w:pStyle w:val="TableTextCentered"/>
              <w:rPr>
                <w:rFonts w:eastAsia="Times New Roman"/>
              </w:rPr>
            </w:pPr>
            <w:r>
              <w:rPr>
                <w:rFonts w:eastAsia="Times New Roman"/>
              </w:rPr>
              <w:t>0</w:t>
            </w:r>
          </w:p>
        </w:tc>
        <w:tc>
          <w:tcPr>
            <w:tcW w:w="875" w:type="dxa"/>
            <w:shd w:val="clear" w:color="auto" w:fill="FFFFFF" w:themeFill="background1"/>
          </w:tcPr>
          <w:p w14:paraId="11E5D4EC" w14:textId="77777777" w:rsidR="004B52DA" w:rsidRPr="00E359BF" w:rsidRDefault="004B52DA" w:rsidP="00FB1C07">
            <w:pPr>
              <w:pStyle w:val="TableTextCentered"/>
              <w:rPr>
                <w:rFonts w:eastAsia="Times New Roman"/>
              </w:rPr>
            </w:pPr>
            <w:r>
              <w:rPr>
                <w:rFonts w:eastAsia="Times New Roman"/>
              </w:rPr>
              <w:t>0</w:t>
            </w:r>
          </w:p>
        </w:tc>
        <w:tc>
          <w:tcPr>
            <w:tcW w:w="900" w:type="dxa"/>
            <w:shd w:val="clear" w:color="auto" w:fill="FFFFFF" w:themeFill="background1"/>
          </w:tcPr>
          <w:p w14:paraId="39260C4B" w14:textId="77777777" w:rsidR="004B52DA" w:rsidRPr="00E359BF" w:rsidRDefault="004B52DA" w:rsidP="00FB1C07">
            <w:pPr>
              <w:pStyle w:val="TableTextCentered"/>
              <w:rPr>
                <w:rFonts w:eastAsia="Times New Roman"/>
              </w:rPr>
            </w:pPr>
            <w:r>
              <w:rPr>
                <w:rFonts w:eastAsia="Times New Roman"/>
              </w:rPr>
              <w:t>21</w:t>
            </w:r>
          </w:p>
        </w:tc>
        <w:tc>
          <w:tcPr>
            <w:tcW w:w="892" w:type="dxa"/>
            <w:shd w:val="clear" w:color="auto" w:fill="FFFFFF" w:themeFill="background1"/>
          </w:tcPr>
          <w:p w14:paraId="03B279AF" w14:textId="77777777" w:rsidR="004B52DA" w:rsidRPr="00E359BF" w:rsidRDefault="004B52DA" w:rsidP="00FB1C07">
            <w:pPr>
              <w:pStyle w:val="TableTextCentered"/>
              <w:rPr>
                <w:rFonts w:eastAsia="Times New Roman"/>
              </w:rPr>
            </w:pPr>
            <w:r>
              <w:rPr>
                <w:rFonts w:eastAsia="Times New Roman"/>
              </w:rPr>
              <w:t>3.3</w:t>
            </w:r>
          </w:p>
        </w:tc>
      </w:tr>
    </w:tbl>
    <w:bookmarkEnd w:id="158"/>
    <w:p w14:paraId="29ECB5EF" w14:textId="68654FFE" w:rsidR="007303EE" w:rsidRPr="00797379" w:rsidRDefault="007303EE" w:rsidP="00D2476F">
      <w:pPr>
        <w:pStyle w:val="TableNote"/>
      </w:pPr>
      <w:r w:rsidRPr="00797379">
        <w:t xml:space="preserve">*The district average is an average of the observation scores. In Table 10, the district average is computed as: </w:t>
      </w:r>
      <w:bookmarkStart w:id="159" w:name="Dist_CD_Calc"/>
      <w:r w:rsidRPr="00797379">
        <w:t>([2 x 6] + [3 x 7] + [4 x 3] + [5 x 5]) ÷ 21 observations = 3.3</w:t>
      </w:r>
      <w:bookmarkEnd w:id="159"/>
    </w:p>
    <w:p w14:paraId="790C4CF1" w14:textId="77777777" w:rsidR="007303EE" w:rsidRPr="00797379" w:rsidRDefault="007303EE" w:rsidP="00D2476F">
      <w:pPr>
        <w:pStyle w:val="TableNote"/>
      </w:pPr>
      <w:r w:rsidRPr="00797379">
        <w:t>**Concept Development does not appear in the CLASS Upper Elementary Manual, therefore scores for the Elementary School Level represent grades PK-3 only.</w:t>
      </w:r>
    </w:p>
    <w:p w14:paraId="67F09F73" w14:textId="77777777" w:rsidR="007303EE" w:rsidRPr="00797379" w:rsidRDefault="007303EE" w:rsidP="00D2476F">
      <w:pPr>
        <w:pStyle w:val="BodyText"/>
      </w:pPr>
      <w:r w:rsidRPr="00797379">
        <w:rPr>
          <w:rStyle w:val="BodyTextDemiChar"/>
        </w:rPr>
        <w:t>Ratings in the Low Range.</w:t>
      </w:r>
      <w:r w:rsidRPr="00797379">
        <w:t xml:space="preserve"> At the low range, the teacher does not attempt to develop students’ understanding of ideas and concepts, focusing instead on basic facts and skills. Discussion and activities do not encourage students to analyze and reason. There are few, if any, opportunities for students to create or generate ideas and products. The teacher does not link concepts to one another and does not ask students to make connections with previous content or their actual lives. The activities and the discussion are removed from students’ lives and from their prior knowledge.</w:t>
      </w:r>
    </w:p>
    <w:p w14:paraId="1522002E" w14:textId="77777777" w:rsidR="007303EE" w:rsidRPr="00797379" w:rsidRDefault="007303EE" w:rsidP="00D2476F">
      <w:pPr>
        <w:pStyle w:val="BodyTextposthead"/>
      </w:pPr>
      <w:r w:rsidRPr="00797379">
        <w:rPr>
          <w:rStyle w:val="BodyTextDemiChar"/>
        </w:rPr>
        <w:t xml:space="preserve">Ratings in the Middle Range. </w:t>
      </w:r>
      <w:r w:rsidRPr="00797379">
        <w:t>To some extent, the teacher uses discussions and activities to encourage students to analyze and reason and focuses somewhat on understanding of ideas. The activities and discussions are not fully developed, however, and there is still instructional time that focuses on facts and basic skills. Students may be provided some opportunities for creating and generating ideas, but the opportunities are occasional and not planned out. Although some concepts may be linked and also related to students’ previous learning, such efforts are brief. The teacher makes some effort to relate concepts to students’ lives but does not elaborate enough to make the relationship meaningful to students.</w:t>
      </w:r>
    </w:p>
    <w:p w14:paraId="0F70AD34" w14:textId="7B82EA59" w:rsidR="007303EE" w:rsidRPr="00797379" w:rsidRDefault="007303EE" w:rsidP="00D2476F">
      <w:pPr>
        <w:pStyle w:val="BodyTextposthead"/>
      </w:pPr>
      <w:r w:rsidRPr="00797379">
        <w:rPr>
          <w:rStyle w:val="BodyTextDemiChar"/>
        </w:rPr>
        <w:t>Ratings in the High Range.</w:t>
      </w:r>
      <w:r w:rsidRPr="00797379">
        <w:t xml:space="preserve"> At the high range, the teacher frequently guides students to analyze and reason during discussions and activities. Most of the questions are open ended and encourage students to think about connections and implications. Teachers use problem solving, experimentation, and prediction; comparison and classification; and evaluation and summarizing to promote analysis and reasoning. The teacher provides students with opportunities to be creative and generate ideas. The teacher consistently links concepts to one another and to previous learning and relates concepts to students’ lives.</w:t>
      </w:r>
      <w:r w:rsidRPr="00797379">
        <w:br w:type="page"/>
      </w:r>
    </w:p>
    <w:p w14:paraId="70B151BE" w14:textId="77777777" w:rsidR="007303EE" w:rsidRPr="00797379" w:rsidRDefault="007303EE" w:rsidP="00DB6F03">
      <w:pPr>
        <w:pStyle w:val="Heading2-SIOR"/>
        <w:outlineLvl w:val="2"/>
      </w:pPr>
      <w:bookmarkStart w:id="160" w:name="_Toc379881742"/>
      <w:bookmarkStart w:id="161" w:name="_Toc411329834"/>
      <w:bookmarkStart w:id="162" w:name="_Toc430114883"/>
      <w:bookmarkStart w:id="163" w:name="_Toc220931753"/>
      <w:r w:rsidRPr="00797379">
        <w:t>Content Understanding</w:t>
      </w:r>
      <w:bookmarkEnd w:id="160"/>
      <w:bookmarkEnd w:id="161"/>
      <w:bookmarkEnd w:id="162"/>
      <w:bookmarkEnd w:id="163"/>
    </w:p>
    <w:p w14:paraId="5D99EC85" w14:textId="77777777" w:rsidR="007303EE" w:rsidRPr="00797379" w:rsidRDefault="007303EE">
      <w:pPr>
        <w:pStyle w:val="BodyTextDomain"/>
      </w:pPr>
      <w:r w:rsidRPr="00797379">
        <w:t>Instructional Support domain, Grades 4</w:t>
      </w:r>
      <w:r w:rsidRPr="00797379">
        <w:rPr>
          <w:rFonts w:ascii="Vijaya" w:hAnsi="Vijaya" w:cs="Vijaya"/>
        </w:rPr>
        <w:t>−</w:t>
      </w:r>
      <w:r w:rsidRPr="00797379">
        <w:t>12</w:t>
      </w:r>
    </w:p>
    <w:p w14:paraId="751385F3" w14:textId="77777777" w:rsidR="007303EE" w:rsidRPr="00797379" w:rsidRDefault="007303EE" w:rsidP="00D2476F">
      <w:pPr>
        <w:pStyle w:val="BodyTextposthead"/>
      </w:pPr>
      <w:r w:rsidRPr="00797379">
        <w:t>Content Understanding refers to the depth of lesson content and the approaches used to help students comprehend the framework, key ideas, and procedures in an academic discipline. At a high level, this dimension refers to interactions among the teacher and students that lead to an integrated understanding of facts, skills, concepts, and principles (</w:t>
      </w:r>
      <w:r w:rsidRPr="00797379">
        <w:rPr>
          <w:i/>
        </w:rPr>
        <w:t>CLASS Upper Elementary Manual</w:t>
      </w:r>
      <w:r w:rsidRPr="00797379">
        <w:t xml:space="preserve">, p. 70, </w:t>
      </w:r>
      <w:r w:rsidRPr="00797379">
        <w:rPr>
          <w:i/>
        </w:rPr>
        <w:t>CLASS Secondary Manual,</w:t>
      </w:r>
      <w:r w:rsidRPr="00797379">
        <w:t xml:space="preserve"> p. 68).</w:t>
      </w:r>
    </w:p>
    <w:p w14:paraId="0906C11A" w14:textId="77777777" w:rsidR="007303EE" w:rsidRPr="00797379" w:rsidRDefault="007303EE" w:rsidP="00D2476F">
      <w:pPr>
        <w:pStyle w:val="TableTitle0"/>
      </w:pPr>
      <w:bookmarkStart w:id="164" w:name="_Toc220932426"/>
      <w:r w:rsidRPr="00797379">
        <w:t>Table 11. Content Understanding: Number of Classrooms for Each Rating and District Average</w:t>
      </w:r>
      <w:bookmarkEnd w:id="164"/>
    </w:p>
    <w:p w14:paraId="632AC5CE" w14:textId="77777777" w:rsidR="007303EE" w:rsidRPr="00797379" w:rsidRDefault="007303EE">
      <w:pPr>
        <w:pStyle w:val="BodyTextDemi"/>
      </w:pPr>
      <w:r w:rsidRPr="00797379">
        <w:t xml:space="preserve">Content Understanding District Average*: </w:t>
      </w:r>
      <w:bookmarkStart w:id="165" w:name="Dist_CU_Avg"/>
      <w:r w:rsidRPr="00797379">
        <w:t>4.8</w:t>
      </w:r>
      <w:bookmarkEnd w:id="165"/>
    </w:p>
    <w:tbl>
      <w:tblPr>
        <w:tblStyle w:val="MSVTable1"/>
        <w:tblW w:w="5000" w:type="pct"/>
        <w:jc w:val="center"/>
        <w:tblLook w:val="04A0" w:firstRow="1" w:lastRow="0" w:firstColumn="1" w:lastColumn="0" w:noHBand="0" w:noVBand="1"/>
      </w:tblPr>
      <w:tblGrid>
        <w:gridCol w:w="1431"/>
        <w:gridCol w:w="874"/>
        <w:gridCol w:w="874"/>
        <w:gridCol w:w="874"/>
        <w:gridCol w:w="875"/>
        <w:gridCol w:w="875"/>
        <w:gridCol w:w="874"/>
        <w:gridCol w:w="875"/>
        <w:gridCol w:w="900"/>
        <w:gridCol w:w="892"/>
      </w:tblGrid>
      <w:tr w:rsidR="004C1690" w:rsidRPr="00E359BF" w14:paraId="60115DF4" w14:textId="77777777" w:rsidTr="00FB1C07">
        <w:trPr>
          <w:cnfStyle w:val="100000000000" w:firstRow="1" w:lastRow="0" w:firstColumn="0" w:lastColumn="0" w:oddVBand="0" w:evenVBand="0" w:oddHBand="0" w:evenHBand="0" w:firstRowFirstColumn="0" w:firstRowLastColumn="0" w:lastRowFirstColumn="0" w:lastRowLastColumn="0"/>
          <w:jc w:val="center"/>
        </w:trPr>
        <w:tc>
          <w:tcPr>
            <w:tcW w:w="1431" w:type="dxa"/>
            <w:vAlign w:val="center"/>
          </w:tcPr>
          <w:p w14:paraId="43E32DCA" w14:textId="77777777" w:rsidR="004C1690" w:rsidRPr="00E359BF" w:rsidRDefault="004C1690" w:rsidP="00FB1C07">
            <w:pPr>
              <w:pStyle w:val="TableColHeadingCenter"/>
              <w:rPr>
                <w:rFonts w:eastAsia="MS Mincho"/>
              </w:rPr>
            </w:pPr>
            <w:bookmarkStart w:id="166" w:name="Tbl_CU"/>
            <w:r>
              <w:rPr>
                <w:rFonts w:eastAsia="MS Mincho"/>
              </w:rPr>
              <w:t>Grade Band</w:t>
            </w:r>
          </w:p>
        </w:tc>
        <w:tc>
          <w:tcPr>
            <w:tcW w:w="874" w:type="dxa"/>
            <w:vAlign w:val="center"/>
          </w:tcPr>
          <w:p w14:paraId="7D607718" w14:textId="77777777" w:rsidR="004C1690" w:rsidRPr="00E359BF" w:rsidRDefault="004C1690" w:rsidP="00FB1C07">
            <w:pPr>
              <w:pStyle w:val="TableColHeadingCenter"/>
              <w:rPr>
                <w:rFonts w:eastAsia="MS Mincho"/>
              </w:rPr>
            </w:pPr>
            <w:r w:rsidRPr="00E359BF">
              <w:rPr>
                <w:rFonts w:eastAsia="MS Mincho"/>
              </w:rPr>
              <w:t>Low Range</w:t>
            </w:r>
            <w:r>
              <w:rPr>
                <w:rFonts w:eastAsia="MS Mincho"/>
              </w:rPr>
              <w:t xml:space="preserve"> (1)</w:t>
            </w:r>
          </w:p>
        </w:tc>
        <w:tc>
          <w:tcPr>
            <w:tcW w:w="874" w:type="dxa"/>
            <w:vAlign w:val="center"/>
          </w:tcPr>
          <w:p w14:paraId="78C5D651" w14:textId="77777777" w:rsidR="004C1690" w:rsidRPr="00E359BF" w:rsidRDefault="004C1690" w:rsidP="00FB1C07">
            <w:pPr>
              <w:pStyle w:val="TableColHeadingCenter"/>
              <w:rPr>
                <w:rFonts w:eastAsia="MS Mincho"/>
              </w:rPr>
            </w:pPr>
            <w:r w:rsidRPr="00E359BF">
              <w:rPr>
                <w:rFonts w:eastAsia="MS Mincho"/>
              </w:rPr>
              <w:t>Low Range</w:t>
            </w:r>
            <w:r>
              <w:rPr>
                <w:rFonts w:eastAsia="MS Mincho"/>
              </w:rPr>
              <w:t xml:space="preserve"> (2)</w:t>
            </w:r>
          </w:p>
        </w:tc>
        <w:tc>
          <w:tcPr>
            <w:tcW w:w="874" w:type="dxa"/>
            <w:vAlign w:val="center"/>
          </w:tcPr>
          <w:p w14:paraId="58BBD257" w14:textId="77777777" w:rsidR="004C1690" w:rsidRPr="00E359BF" w:rsidRDefault="004C1690" w:rsidP="00FB1C07">
            <w:pPr>
              <w:pStyle w:val="TableColHeadingCenter"/>
              <w:rPr>
                <w:rFonts w:eastAsia="MS Mincho"/>
              </w:rPr>
            </w:pPr>
            <w:r w:rsidRPr="00E359BF">
              <w:rPr>
                <w:rFonts w:eastAsia="MS Mincho"/>
              </w:rPr>
              <w:t>Middle Range</w:t>
            </w:r>
            <w:r>
              <w:rPr>
                <w:rFonts w:eastAsia="MS Mincho"/>
              </w:rPr>
              <w:t xml:space="preserve"> (3)</w:t>
            </w:r>
          </w:p>
        </w:tc>
        <w:tc>
          <w:tcPr>
            <w:tcW w:w="875" w:type="dxa"/>
            <w:vAlign w:val="center"/>
          </w:tcPr>
          <w:p w14:paraId="3881499E" w14:textId="77777777" w:rsidR="004C1690" w:rsidRPr="00E359BF" w:rsidRDefault="004C1690" w:rsidP="00FB1C07">
            <w:pPr>
              <w:pStyle w:val="TableColHeadingCenter"/>
              <w:rPr>
                <w:rFonts w:eastAsia="MS Mincho"/>
              </w:rPr>
            </w:pPr>
            <w:r w:rsidRPr="00E359BF">
              <w:rPr>
                <w:rFonts w:eastAsia="MS Mincho"/>
              </w:rPr>
              <w:t>Middle Range</w:t>
            </w:r>
            <w:r>
              <w:rPr>
                <w:rFonts w:eastAsia="MS Mincho"/>
              </w:rPr>
              <w:t xml:space="preserve"> (4)</w:t>
            </w:r>
          </w:p>
        </w:tc>
        <w:tc>
          <w:tcPr>
            <w:tcW w:w="875" w:type="dxa"/>
            <w:vAlign w:val="center"/>
          </w:tcPr>
          <w:p w14:paraId="52F20F75" w14:textId="77777777" w:rsidR="004C1690" w:rsidRPr="00E359BF" w:rsidRDefault="004C1690" w:rsidP="00FB1C07">
            <w:pPr>
              <w:pStyle w:val="TableColHeadingCenter"/>
              <w:rPr>
                <w:rFonts w:eastAsia="MS Mincho"/>
              </w:rPr>
            </w:pPr>
            <w:r w:rsidRPr="00E359BF">
              <w:rPr>
                <w:rFonts w:eastAsia="MS Mincho"/>
              </w:rPr>
              <w:t>Middle Range</w:t>
            </w:r>
            <w:r>
              <w:rPr>
                <w:rFonts w:eastAsia="MS Mincho"/>
              </w:rPr>
              <w:t xml:space="preserve"> (5)</w:t>
            </w:r>
          </w:p>
        </w:tc>
        <w:tc>
          <w:tcPr>
            <w:tcW w:w="874" w:type="dxa"/>
            <w:vAlign w:val="center"/>
          </w:tcPr>
          <w:p w14:paraId="2B47EC46" w14:textId="77777777" w:rsidR="004C1690" w:rsidRPr="00E359BF" w:rsidRDefault="004C1690" w:rsidP="00FB1C07">
            <w:pPr>
              <w:pStyle w:val="TableColHeadingCenter"/>
              <w:rPr>
                <w:rFonts w:eastAsia="MS Mincho"/>
              </w:rPr>
            </w:pPr>
            <w:r w:rsidRPr="00E359BF">
              <w:rPr>
                <w:rFonts w:eastAsia="MS Mincho"/>
              </w:rPr>
              <w:t>High Range</w:t>
            </w:r>
            <w:r>
              <w:rPr>
                <w:rFonts w:eastAsia="MS Mincho"/>
              </w:rPr>
              <w:t xml:space="preserve"> (6)</w:t>
            </w:r>
          </w:p>
        </w:tc>
        <w:tc>
          <w:tcPr>
            <w:tcW w:w="875" w:type="dxa"/>
            <w:vAlign w:val="center"/>
          </w:tcPr>
          <w:p w14:paraId="013FFB12" w14:textId="77777777" w:rsidR="004C1690" w:rsidRPr="00E359BF" w:rsidRDefault="004C1690" w:rsidP="00FB1C07">
            <w:pPr>
              <w:pStyle w:val="TableColHeadingCenter"/>
              <w:rPr>
                <w:rFonts w:eastAsia="MS Mincho"/>
              </w:rPr>
            </w:pPr>
            <w:r w:rsidRPr="00E359BF">
              <w:rPr>
                <w:rFonts w:eastAsia="MS Mincho"/>
              </w:rPr>
              <w:t>High Range</w:t>
            </w:r>
            <w:r>
              <w:rPr>
                <w:rFonts w:eastAsia="MS Mincho"/>
              </w:rPr>
              <w:t xml:space="preserve"> (7)</w:t>
            </w:r>
          </w:p>
        </w:tc>
        <w:tc>
          <w:tcPr>
            <w:tcW w:w="900" w:type="dxa"/>
            <w:vAlign w:val="center"/>
          </w:tcPr>
          <w:p w14:paraId="0E8F9984" w14:textId="77777777" w:rsidR="004C1690" w:rsidRPr="00E359BF" w:rsidRDefault="004C1690" w:rsidP="00FB1C07">
            <w:pPr>
              <w:pStyle w:val="TableColHeadingCenter"/>
              <w:rPr>
                <w:rFonts w:eastAsia="MS Mincho"/>
              </w:rPr>
            </w:pPr>
            <w:r>
              <w:rPr>
                <w:rFonts w:eastAsia="MS Mincho"/>
              </w:rPr>
              <w:t>n</w:t>
            </w:r>
          </w:p>
        </w:tc>
        <w:tc>
          <w:tcPr>
            <w:tcW w:w="892" w:type="dxa"/>
            <w:vAlign w:val="center"/>
          </w:tcPr>
          <w:p w14:paraId="3601045E" w14:textId="77777777" w:rsidR="004C1690" w:rsidRPr="00E359BF" w:rsidRDefault="004C1690" w:rsidP="00FB1C07">
            <w:pPr>
              <w:pStyle w:val="TableColHeadingCenter"/>
              <w:rPr>
                <w:rFonts w:eastAsia="MS Mincho"/>
              </w:rPr>
            </w:pPr>
            <w:r>
              <w:rPr>
                <w:rFonts w:eastAsia="MS Mincho"/>
              </w:rPr>
              <w:t>Average</w:t>
            </w:r>
          </w:p>
        </w:tc>
      </w:tr>
      <w:tr w:rsidR="004C1690" w:rsidRPr="00E359BF" w14:paraId="51E27F2D" w14:textId="77777777" w:rsidTr="00AE72ED">
        <w:trPr>
          <w:cnfStyle w:val="000000100000" w:firstRow="0" w:lastRow="0" w:firstColumn="0" w:lastColumn="0" w:oddVBand="0" w:evenVBand="0" w:oddHBand="1" w:evenHBand="0" w:firstRowFirstColumn="0" w:firstRowLastColumn="0" w:lastRowFirstColumn="0" w:lastRowLastColumn="0"/>
          <w:jc w:val="center"/>
        </w:trPr>
        <w:tc>
          <w:tcPr>
            <w:tcW w:w="1431" w:type="dxa"/>
            <w:shd w:val="clear" w:color="auto" w:fill="auto"/>
          </w:tcPr>
          <w:p w14:paraId="154E4D08" w14:textId="77777777" w:rsidR="004C1690" w:rsidRPr="00E359BF" w:rsidRDefault="004C1690" w:rsidP="00FB1C07">
            <w:pPr>
              <w:pStyle w:val="TableText"/>
            </w:pPr>
            <w:r>
              <w:t>Grades 4-5**</w:t>
            </w:r>
          </w:p>
        </w:tc>
        <w:tc>
          <w:tcPr>
            <w:tcW w:w="874" w:type="dxa"/>
            <w:shd w:val="clear" w:color="auto" w:fill="auto"/>
          </w:tcPr>
          <w:p w14:paraId="77EDFB41" w14:textId="77777777" w:rsidR="004C1690" w:rsidRPr="00E359BF" w:rsidRDefault="004C1690" w:rsidP="00FB1C07">
            <w:pPr>
              <w:pStyle w:val="TableTextCentered"/>
              <w:rPr>
                <w:rFonts w:eastAsia="Times New Roman"/>
              </w:rPr>
            </w:pPr>
            <w:r>
              <w:rPr>
                <w:rFonts w:eastAsia="Times New Roman"/>
              </w:rPr>
              <w:t>0</w:t>
            </w:r>
          </w:p>
        </w:tc>
        <w:tc>
          <w:tcPr>
            <w:tcW w:w="874" w:type="dxa"/>
            <w:shd w:val="clear" w:color="auto" w:fill="auto"/>
          </w:tcPr>
          <w:p w14:paraId="7FCCD429" w14:textId="77777777" w:rsidR="004C1690" w:rsidRPr="00E359BF" w:rsidRDefault="004C1690" w:rsidP="00FB1C07">
            <w:pPr>
              <w:pStyle w:val="TableTextCentered"/>
              <w:rPr>
                <w:rFonts w:eastAsia="Times New Roman"/>
              </w:rPr>
            </w:pPr>
            <w:r>
              <w:rPr>
                <w:rFonts w:eastAsia="Times New Roman"/>
              </w:rPr>
              <w:t>0</w:t>
            </w:r>
          </w:p>
        </w:tc>
        <w:tc>
          <w:tcPr>
            <w:tcW w:w="874" w:type="dxa"/>
            <w:shd w:val="clear" w:color="auto" w:fill="auto"/>
          </w:tcPr>
          <w:p w14:paraId="6FF42A4B" w14:textId="77777777" w:rsidR="004C1690" w:rsidRPr="00E359BF" w:rsidRDefault="004C1690" w:rsidP="00FB1C07">
            <w:pPr>
              <w:pStyle w:val="TableTextCentered"/>
              <w:rPr>
                <w:rFonts w:eastAsia="Times New Roman"/>
              </w:rPr>
            </w:pPr>
            <w:r>
              <w:rPr>
                <w:rFonts w:eastAsia="Times New Roman"/>
              </w:rPr>
              <w:t>4</w:t>
            </w:r>
          </w:p>
        </w:tc>
        <w:tc>
          <w:tcPr>
            <w:tcW w:w="875" w:type="dxa"/>
            <w:shd w:val="clear" w:color="auto" w:fill="auto"/>
          </w:tcPr>
          <w:p w14:paraId="050773C3" w14:textId="77777777" w:rsidR="004C1690" w:rsidRPr="00E359BF" w:rsidRDefault="004C1690" w:rsidP="00FB1C07">
            <w:pPr>
              <w:pStyle w:val="TableTextCentered"/>
              <w:rPr>
                <w:rFonts w:eastAsia="Times New Roman"/>
              </w:rPr>
            </w:pPr>
            <w:r>
              <w:rPr>
                <w:rFonts w:eastAsia="Times New Roman"/>
              </w:rPr>
              <w:t>2</w:t>
            </w:r>
          </w:p>
        </w:tc>
        <w:tc>
          <w:tcPr>
            <w:tcW w:w="875" w:type="dxa"/>
            <w:shd w:val="clear" w:color="auto" w:fill="auto"/>
          </w:tcPr>
          <w:p w14:paraId="09F0C4B4" w14:textId="77777777" w:rsidR="004C1690" w:rsidRPr="00E359BF" w:rsidRDefault="004C1690" w:rsidP="00FB1C07">
            <w:pPr>
              <w:pStyle w:val="TableTextCentered"/>
              <w:rPr>
                <w:rFonts w:eastAsia="Times New Roman"/>
              </w:rPr>
            </w:pPr>
            <w:r>
              <w:rPr>
                <w:rFonts w:eastAsia="Times New Roman"/>
              </w:rPr>
              <w:t>3</w:t>
            </w:r>
          </w:p>
        </w:tc>
        <w:tc>
          <w:tcPr>
            <w:tcW w:w="874" w:type="dxa"/>
            <w:shd w:val="clear" w:color="auto" w:fill="auto"/>
          </w:tcPr>
          <w:p w14:paraId="74B6DE17" w14:textId="77777777" w:rsidR="004C1690" w:rsidRPr="00E359BF" w:rsidRDefault="004C1690" w:rsidP="00FB1C07">
            <w:pPr>
              <w:pStyle w:val="TableTextCentered"/>
              <w:rPr>
                <w:rFonts w:eastAsia="Times New Roman"/>
              </w:rPr>
            </w:pPr>
            <w:r>
              <w:rPr>
                <w:rFonts w:eastAsia="Times New Roman"/>
              </w:rPr>
              <w:t>2</w:t>
            </w:r>
          </w:p>
        </w:tc>
        <w:tc>
          <w:tcPr>
            <w:tcW w:w="875" w:type="dxa"/>
            <w:shd w:val="clear" w:color="auto" w:fill="auto"/>
          </w:tcPr>
          <w:p w14:paraId="26731B1B" w14:textId="77777777" w:rsidR="004C1690" w:rsidRPr="00E359BF" w:rsidRDefault="004C1690" w:rsidP="00FB1C07">
            <w:pPr>
              <w:pStyle w:val="TableTextCentered"/>
              <w:rPr>
                <w:rFonts w:eastAsia="Times New Roman"/>
              </w:rPr>
            </w:pPr>
            <w:r>
              <w:rPr>
                <w:rFonts w:eastAsia="Times New Roman"/>
              </w:rPr>
              <w:t>2</w:t>
            </w:r>
          </w:p>
        </w:tc>
        <w:tc>
          <w:tcPr>
            <w:tcW w:w="900" w:type="dxa"/>
            <w:shd w:val="clear" w:color="auto" w:fill="auto"/>
          </w:tcPr>
          <w:p w14:paraId="28E3B34D" w14:textId="77777777" w:rsidR="004C1690" w:rsidRPr="00E359BF" w:rsidRDefault="004C1690" w:rsidP="00FB1C07">
            <w:pPr>
              <w:pStyle w:val="TableTextCentered"/>
              <w:rPr>
                <w:rFonts w:eastAsia="Times New Roman"/>
              </w:rPr>
            </w:pPr>
            <w:r>
              <w:rPr>
                <w:rFonts w:eastAsia="Times New Roman"/>
              </w:rPr>
              <w:t>13</w:t>
            </w:r>
          </w:p>
        </w:tc>
        <w:tc>
          <w:tcPr>
            <w:tcW w:w="892" w:type="dxa"/>
            <w:shd w:val="clear" w:color="auto" w:fill="auto"/>
          </w:tcPr>
          <w:p w14:paraId="4262584E" w14:textId="77777777" w:rsidR="004C1690" w:rsidRPr="00E359BF" w:rsidRDefault="004C1690" w:rsidP="00FB1C07">
            <w:pPr>
              <w:pStyle w:val="TableTextCentered"/>
              <w:rPr>
                <w:rFonts w:eastAsia="Times New Roman"/>
              </w:rPr>
            </w:pPr>
            <w:r>
              <w:rPr>
                <w:rFonts w:eastAsia="Times New Roman"/>
              </w:rPr>
              <w:t>4.7</w:t>
            </w:r>
          </w:p>
        </w:tc>
      </w:tr>
      <w:tr w:rsidR="004C1690" w:rsidRPr="00E359BF" w14:paraId="0712AC2B" w14:textId="77777777" w:rsidTr="00FB1C07">
        <w:trPr>
          <w:jc w:val="center"/>
        </w:trPr>
        <w:tc>
          <w:tcPr>
            <w:tcW w:w="1431" w:type="dxa"/>
            <w:shd w:val="clear" w:color="auto" w:fill="DEEAF6" w:themeFill="accent1" w:themeFillTint="33"/>
          </w:tcPr>
          <w:p w14:paraId="7935CF30" w14:textId="77777777" w:rsidR="004C1690" w:rsidRPr="00E359BF" w:rsidRDefault="004C1690" w:rsidP="00FB1C07">
            <w:pPr>
              <w:pStyle w:val="TableText"/>
            </w:pPr>
            <w:r>
              <w:t>Grades 6-8</w:t>
            </w:r>
          </w:p>
        </w:tc>
        <w:tc>
          <w:tcPr>
            <w:tcW w:w="874" w:type="dxa"/>
            <w:shd w:val="clear" w:color="auto" w:fill="DEEAF6" w:themeFill="accent1" w:themeFillTint="33"/>
          </w:tcPr>
          <w:p w14:paraId="205A6F95" w14:textId="77777777" w:rsidR="004C1690" w:rsidRPr="00E359BF" w:rsidRDefault="004C1690" w:rsidP="00FB1C07">
            <w:pPr>
              <w:pStyle w:val="TableTextCentered"/>
              <w:rPr>
                <w:rFonts w:eastAsia="Times New Roman"/>
              </w:rPr>
            </w:pPr>
            <w:r>
              <w:rPr>
                <w:rFonts w:eastAsia="Times New Roman"/>
              </w:rPr>
              <w:t>0</w:t>
            </w:r>
          </w:p>
        </w:tc>
        <w:tc>
          <w:tcPr>
            <w:tcW w:w="874" w:type="dxa"/>
            <w:shd w:val="clear" w:color="auto" w:fill="DEEAF6" w:themeFill="accent1" w:themeFillTint="33"/>
          </w:tcPr>
          <w:p w14:paraId="48776671" w14:textId="77777777" w:rsidR="004C1690" w:rsidRPr="00E359BF" w:rsidRDefault="004C1690" w:rsidP="00FB1C07">
            <w:pPr>
              <w:pStyle w:val="TableTextCentered"/>
              <w:rPr>
                <w:rFonts w:eastAsia="Times New Roman"/>
              </w:rPr>
            </w:pPr>
            <w:r>
              <w:rPr>
                <w:rFonts w:eastAsia="Times New Roman"/>
              </w:rPr>
              <w:t>3</w:t>
            </w:r>
          </w:p>
        </w:tc>
        <w:tc>
          <w:tcPr>
            <w:tcW w:w="874" w:type="dxa"/>
            <w:shd w:val="clear" w:color="auto" w:fill="DEEAF6" w:themeFill="accent1" w:themeFillTint="33"/>
          </w:tcPr>
          <w:p w14:paraId="27A1E98C" w14:textId="77777777" w:rsidR="004C1690" w:rsidRPr="00E359BF" w:rsidRDefault="004C1690" w:rsidP="00FB1C07">
            <w:pPr>
              <w:pStyle w:val="TableTextCentered"/>
              <w:rPr>
                <w:rFonts w:eastAsia="Times New Roman"/>
              </w:rPr>
            </w:pPr>
            <w:r>
              <w:rPr>
                <w:rFonts w:eastAsia="Times New Roman"/>
              </w:rPr>
              <w:t>3</w:t>
            </w:r>
          </w:p>
        </w:tc>
        <w:tc>
          <w:tcPr>
            <w:tcW w:w="875" w:type="dxa"/>
            <w:shd w:val="clear" w:color="auto" w:fill="DEEAF6" w:themeFill="accent1" w:themeFillTint="33"/>
          </w:tcPr>
          <w:p w14:paraId="09897A4D" w14:textId="77777777" w:rsidR="004C1690" w:rsidRPr="00E359BF" w:rsidRDefault="004C1690" w:rsidP="00FB1C07">
            <w:pPr>
              <w:pStyle w:val="TableTextCentered"/>
              <w:rPr>
                <w:rFonts w:eastAsia="Times New Roman"/>
              </w:rPr>
            </w:pPr>
            <w:r>
              <w:rPr>
                <w:rFonts w:eastAsia="Times New Roman"/>
              </w:rPr>
              <w:t>2</w:t>
            </w:r>
          </w:p>
        </w:tc>
        <w:tc>
          <w:tcPr>
            <w:tcW w:w="875" w:type="dxa"/>
            <w:shd w:val="clear" w:color="auto" w:fill="DEEAF6" w:themeFill="accent1" w:themeFillTint="33"/>
          </w:tcPr>
          <w:p w14:paraId="7A2598A9" w14:textId="77777777" w:rsidR="004C1690" w:rsidRPr="00E359BF" w:rsidRDefault="004C1690" w:rsidP="00FB1C07">
            <w:pPr>
              <w:pStyle w:val="TableTextCentered"/>
              <w:rPr>
                <w:rFonts w:eastAsia="Times New Roman"/>
              </w:rPr>
            </w:pPr>
            <w:r>
              <w:rPr>
                <w:rFonts w:eastAsia="Times New Roman"/>
              </w:rPr>
              <w:t>4</w:t>
            </w:r>
          </w:p>
        </w:tc>
        <w:tc>
          <w:tcPr>
            <w:tcW w:w="874" w:type="dxa"/>
            <w:shd w:val="clear" w:color="auto" w:fill="DEEAF6" w:themeFill="accent1" w:themeFillTint="33"/>
          </w:tcPr>
          <w:p w14:paraId="0F5E908C" w14:textId="77777777" w:rsidR="004C1690" w:rsidRPr="00E359BF" w:rsidRDefault="004C1690" w:rsidP="00FB1C07">
            <w:pPr>
              <w:pStyle w:val="TableTextCentered"/>
              <w:rPr>
                <w:rFonts w:eastAsia="Times New Roman"/>
              </w:rPr>
            </w:pPr>
            <w:r>
              <w:rPr>
                <w:rFonts w:eastAsia="Times New Roman"/>
              </w:rPr>
              <w:t>3</w:t>
            </w:r>
          </w:p>
        </w:tc>
        <w:tc>
          <w:tcPr>
            <w:tcW w:w="875" w:type="dxa"/>
            <w:shd w:val="clear" w:color="auto" w:fill="DEEAF6" w:themeFill="accent1" w:themeFillTint="33"/>
          </w:tcPr>
          <w:p w14:paraId="39DBF5CB" w14:textId="77777777" w:rsidR="004C1690" w:rsidRPr="00E359BF" w:rsidRDefault="004C1690" w:rsidP="00FB1C07">
            <w:pPr>
              <w:pStyle w:val="TableTextCentered"/>
              <w:rPr>
                <w:rFonts w:eastAsia="Times New Roman"/>
              </w:rPr>
            </w:pPr>
            <w:r>
              <w:rPr>
                <w:rFonts w:eastAsia="Times New Roman"/>
              </w:rPr>
              <w:t>5</w:t>
            </w:r>
          </w:p>
        </w:tc>
        <w:tc>
          <w:tcPr>
            <w:tcW w:w="900" w:type="dxa"/>
            <w:shd w:val="clear" w:color="auto" w:fill="DEEAF6" w:themeFill="accent1" w:themeFillTint="33"/>
          </w:tcPr>
          <w:p w14:paraId="467149A8" w14:textId="77777777" w:rsidR="004C1690" w:rsidRPr="00E359BF" w:rsidRDefault="004C1690" w:rsidP="00FB1C07">
            <w:pPr>
              <w:pStyle w:val="TableTextCentered"/>
              <w:rPr>
                <w:rFonts w:eastAsia="Times New Roman"/>
              </w:rPr>
            </w:pPr>
            <w:r>
              <w:rPr>
                <w:rFonts w:eastAsia="Times New Roman"/>
              </w:rPr>
              <w:t>20</w:t>
            </w:r>
          </w:p>
        </w:tc>
        <w:tc>
          <w:tcPr>
            <w:tcW w:w="892" w:type="dxa"/>
            <w:shd w:val="clear" w:color="auto" w:fill="DEEAF6" w:themeFill="accent1" w:themeFillTint="33"/>
          </w:tcPr>
          <w:p w14:paraId="032394DE" w14:textId="77777777" w:rsidR="004C1690" w:rsidRPr="00E359BF" w:rsidRDefault="004C1690" w:rsidP="00FB1C07">
            <w:pPr>
              <w:pStyle w:val="TableTextCentered"/>
              <w:rPr>
                <w:rFonts w:eastAsia="Times New Roman"/>
              </w:rPr>
            </w:pPr>
            <w:r>
              <w:rPr>
                <w:rFonts w:eastAsia="Times New Roman"/>
              </w:rPr>
              <w:t>4.8</w:t>
            </w:r>
          </w:p>
        </w:tc>
      </w:tr>
      <w:tr w:rsidR="004C1690" w:rsidRPr="00E359BF" w14:paraId="7A566E95" w14:textId="77777777" w:rsidTr="00AE72ED">
        <w:trPr>
          <w:cnfStyle w:val="000000100000" w:firstRow="0" w:lastRow="0" w:firstColumn="0" w:lastColumn="0" w:oddVBand="0" w:evenVBand="0" w:oddHBand="1" w:evenHBand="0" w:firstRowFirstColumn="0" w:firstRowLastColumn="0" w:lastRowFirstColumn="0" w:lastRowLastColumn="0"/>
          <w:jc w:val="center"/>
        </w:trPr>
        <w:tc>
          <w:tcPr>
            <w:tcW w:w="1431" w:type="dxa"/>
            <w:shd w:val="clear" w:color="auto" w:fill="auto"/>
          </w:tcPr>
          <w:p w14:paraId="7263A4D8" w14:textId="77777777" w:rsidR="004C1690" w:rsidRPr="00E359BF" w:rsidRDefault="004C1690" w:rsidP="00FB1C07">
            <w:pPr>
              <w:pStyle w:val="TableText"/>
            </w:pPr>
            <w:r>
              <w:t>Grades 9-12</w:t>
            </w:r>
          </w:p>
        </w:tc>
        <w:tc>
          <w:tcPr>
            <w:tcW w:w="874" w:type="dxa"/>
            <w:shd w:val="clear" w:color="auto" w:fill="auto"/>
          </w:tcPr>
          <w:p w14:paraId="73B7DE47" w14:textId="77777777" w:rsidR="004C1690" w:rsidRPr="00E359BF" w:rsidRDefault="004C1690" w:rsidP="00FB1C07">
            <w:pPr>
              <w:pStyle w:val="TableTextCentered"/>
              <w:rPr>
                <w:rFonts w:eastAsia="Times New Roman"/>
              </w:rPr>
            </w:pPr>
            <w:r>
              <w:rPr>
                <w:rFonts w:eastAsia="Times New Roman"/>
              </w:rPr>
              <w:t>0</w:t>
            </w:r>
          </w:p>
        </w:tc>
        <w:tc>
          <w:tcPr>
            <w:tcW w:w="874" w:type="dxa"/>
            <w:shd w:val="clear" w:color="auto" w:fill="auto"/>
          </w:tcPr>
          <w:p w14:paraId="6FD74965" w14:textId="77777777" w:rsidR="004C1690" w:rsidRPr="00E359BF" w:rsidRDefault="004C1690" w:rsidP="00FB1C07">
            <w:pPr>
              <w:pStyle w:val="TableTextCentered"/>
              <w:rPr>
                <w:rFonts w:eastAsia="Times New Roman"/>
              </w:rPr>
            </w:pPr>
            <w:r>
              <w:rPr>
                <w:rFonts w:eastAsia="Times New Roman"/>
              </w:rPr>
              <w:t>1</w:t>
            </w:r>
          </w:p>
        </w:tc>
        <w:tc>
          <w:tcPr>
            <w:tcW w:w="874" w:type="dxa"/>
            <w:shd w:val="clear" w:color="auto" w:fill="auto"/>
          </w:tcPr>
          <w:p w14:paraId="31278E6B" w14:textId="77777777" w:rsidR="004C1690" w:rsidRPr="00E359BF" w:rsidRDefault="004C1690" w:rsidP="00FB1C07">
            <w:pPr>
              <w:pStyle w:val="TableTextCentered"/>
              <w:rPr>
                <w:rFonts w:eastAsia="Times New Roman"/>
              </w:rPr>
            </w:pPr>
            <w:r>
              <w:rPr>
                <w:rFonts w:eastAsia="Times New Roman"/>
              </w:rPr>
              <w:t>3</w:t>
            </w:r>
          </w:p>
        </w:tc>
        <w:tc>
          <w:tcPr>
            <w:tcW w:w="875" w:type="dxa"/>
            <w:shd w:val="clear" w:color="auto" w:fill="auto"/>
          </w:tcPr>
          <w:p w14:paraId="558F79E8" w14:textId="77777777" w:rsidR="004C1690" w:rsidRPr="00E359BF" w:rsidRDefault="004C1690" w:rsidP="00FB1C07">
            <w:pPr>
              <w:pStyle w:val="TableTextCentered"/>
              <w:rPr>
                <w:rFonts w:eastAsia="Times New Roman"/>
              </w:rPr>
            </w:pPr>
            <w:r>
              <w:rPr>
                <w:rFonts w:eastAsia="Times New Roman"/>
              </w:rPr>
              <w:t>4</w:t>
            </w:r>
          </w:p>
        </w:tc>
        <w:tc>
          <w:tcPr>
            <w:tcW w:w="875" w:type="dxa"/>
            <w:shd w:val="clear" w:color="auto" w:fill="auto"/>
          </w:tcPr>
          <w:p w14:paraId="7C44ADB7" w14:textId="77777777" w:rsidR="004C1690" w:rsidRPr="00E359BF" w:rsidRDefault="004C1690" w:rsidP="00FB1C07">
            <w:pPr>
              <w:pStyle w:val="TableTextCentered"/>
              <w:rPr>
                <w:rFonts w:eastAsia="Times New Roman"/>
              </w:rPr>
            </w:pPr>
            <w:r>
              <w:rPr>
                <w:rFonts w:eastAsia="Times New Roman"/>
              </w:rPr>
              <w:t>6</w:t>
            </w:r>
          </w:p>
        </w:tc>
        <w:tc>
          <w:tcPr>
            <w:tcW w:w="874" w:type="dxa"/>
            <w:shd w:val="clear" w:color="auto" w:fill="auto"/>
          </w:tcPr>
          <w:p w14:paraId="71C95005" w14:textId="77777777" w:rsidR="004C1690" w:rsidRPr="00E359BF" w:rsidRDefault="004C1690" w:rsidP="00FB1C07">
            <w:pPr>
              <w:pStyle w:val="TableTextCentered"/>
              <w:rPr>
                <w:rFonts w:eastAsia="Times New Roman"/>
              </w:rPr>
            </w:pPr>
            <w:r>
              <w:rPr>
                <w:rFonts w:eastAsia="Times New Roman"/>
              </w:rPr>
              <w:t>2</w:t>
            </w:r>
          </w:p>
        </w:tc>
        <w:tc>
          <w:tcPr>
            <w:tcW w:w="875" w:type="dxa"/>
            <w:shd w:val="clear" w:color="auto" w:fill="auto"/>
          </w:tcPr>
          <w:p w14:paraId="530FCA79" w14:textId="77777777" w:rsidR="004C1690" w:rsidRPr="00E359BF" w:rsidRDefault="004C1690" w:rsidP="00FB1C07">
            <w:pPr>
              <w:pStyle w:val="TableTextCentered"/>
              <w:rPr>
                <w:rFonts w:eastAsia="Times New Roman"/>
              </w:rPr>
            </w:pPr>
            <w:r>
              <w:rPr>
                <w:rFonts w:eastAsia="Times New Roman"/>
              </w:rPr>
              <w:t>4</w:t>
            </w:r>
          </w:p>
        </w:tc>
        <w:tc>
          <w:tcPr>
            <w:tcW w:w="900" w:type="dxa"/>
            <w:shd w:val="clear" w:color="auto" w:fill="auto"/>
          </w:tcPr>
          <w:p w14:paraId="1FD76B23" w14:textId="77777777" w:rsidR="004C1690" w:rsidRPr="00E359BF" w:rsidRDefault="004C1690" w:rsidP="00FB1C07">
            <w:pPr>
              <w:pStyle w:val="TableTextCentered"/>
              <w:rPr>
                <w:rFonts w:eastAsia="Times New Roman"/>
              </w:rPr>
            </w:pPr>
            <w:r>
              <w:rPr>
                <w:rFonts w:eastAsia="Times New Roman"/>
              </w:rPr>
              <w:t>20</w:t>
            </w:r>
          </w:p>
        </w:tc>
        <w:tc>
          <w:tcPr>
            <w:tcW w:w="892" w:type="dxa"/>
            <w:shd w:val="clear" w:color="auto" w:fill="auto"/>
          </w:tcPr>
          <w:p w14:paraId="2635D5C3" w14:textId="77777777" w:rsidR="004C1690" w:rsidRPr="00E359BF" w:rsidRDefault="004C1690" w:rsidP="00FB1C07">
            <w:pPr>
              <w:pStyle w:val="TableTextCentered"/>
              <w:rPr>
                <w:rFonts w:eastAsia="Times New Roman"/>
              </w:rPr>
            </w:pPr>
            <w:r>
              <w:rPr>
                <w:rFonts w:eastAsia="Times New Roman"/>
              </w:rPr>
              <w:t>4.9</w:t>
            </w:r>
          </w:p>
        </w:tc>
      </w:tr>
      <w:tr w:rsidR="004C1690" w:rsidRPr="00E359BF" w14:paraId="4786B208" w14:textId="77777777" w:rsidTr="00FB1C07">
        <w:trPr>
          <w:jc w:val="center"/>
        </w:trPr>
        <w:tc>
          <w:tcPr>
            <w:tcW w:w="1431" w:type="dxa"/>
            <w:shd w:val="clear" w:color="auto" w:fill="DEEAF6" w:themeFill="accent1" w:themeFillTint="33"/>
          </w:tcPr>
          <w:p w14:paraId="60DD34AD" w14:textId="77777777" w:rsidR="004C1690" w:rsidRPr="00B30BCD" w:rsidRDefault="004C1690" w:rsidP="00FB1C07">
            <w:pPr>
              <w:pStyle w:val="TableText"/>
              <w:rPr>
                <w:b/>
                <w:bCs/>
              </w:rPr>
            </w:pPr>
            <w:r w:rsidRPr="00B30BCD">
              <w:rPr>
                <w:b/>
                <w:bCs/>
              </w:rPr>
              <w:t>Totals</w:t>
            </w:r>
          </w:p>
        </w:tc>
        <w:tc>
          <w:tcPr>
            <w:tcW w:w="874" w:type="dxa"/>
            <w:shd w:val="clear" w:color="auto" w:fill="DEEAF6" w:themeFill="accent1" w:themeFillTint="33"/>
          </w:tcPr>
          <w:p w14:paraId="213AB614" w14:textId="77777777" w:rsidR="004C1690" w:rsidRPr="00B30BCD" w:rsidRDefault="004C1690" w:rsidP="00FB1C07">
            <w:pPr>
              <w:pStyle w:val="TableTextCentered"/>
              <w:rPr>
                <w:rFonts w:eastAsia="Times New Roman"/>
                <w:b/>
                <w:bCs/>
              </w:rPr>
            </w:pPr>
            <w:r>
              <w:rPr>
                <w:rFonts w:eastAsia="Times New Roman"/>
                <w:b/>
                <w:bCs/>
              </w:rPr>
              <w:t>0</w:t>
            </w:r>
          </w:p>
        </w:tc>
        <w:tc>
          <w:tcPr>
            <w:tcW w:w="874" w:type="dxa"/>
            <w:shd w:val="clear" w:color="auto" w:fill="DEEAF6" w:themeFill="accent1" w:themeFillTint="33"/>
          </w:tcPr>
          <w:p w14:paraId="6467DFF3" w14:textId="77777777" w:rsidR="004C1690" w:rsidRPr="00B30BCD" w:rsidRDefault="004C1690" w:rsidP="00FB1C07">
            <w:pPr>
              <w:pStyle w:val="TableTextCentered"/>
              <w:rPr>
                <w:rFonts w:eastAsia="Times New Roman"/>
                <w:b/>
                <w:bCs/>
              </w:rPr>
            </w:pPr>
            <w:r>
              <w:rPr>
                <w:rFonts w:eastAsia="Times New Roman"/>
                <w:b/>
                <w:bCs/>
              </w:rPr>
              <w:t>4</w:t>
            </w:r>
          </w:p>
        </w:tc>
        <w:tc>
          <w:tcPr>
            <w:tcW w:w="874" w:type="dxa"/>
            <w:shd w:val="clear" w:color="auto" w:fill="DEEAF6" w:themeFill="accent1" w:themeFillTint="33"/>
          </w:tcPr>
          <w:p w14:paraId="00076072" w14:textId="77777777" w:rsidR="004C1690" w:rsidRPr="00B30BCD" w:rsidRDefault="004C1690" w:rsidP="00FB1C07">
            <w:pPr>
              <w:pStyle w:val="TableTextCentered"/>
              <w:rPr>
                <w:rFonts w:eastAsia="Times New Roman"/>
                <w:b/>
                <w:bCs/>
              </w:rPr>
            </w:pPr>
            <w:r>
              <w:rPr>
                <w:rFonts w:eastAsia="Times New Roman"/>
                <w:b/>
                <w:bCs/>
              </w:rPr>
              <w:t>10</w:t>
            </w:r>
          </w:p>
        </w:tc>
        <w:tc>
          <w:tcPr>
            <w:tcW w:w="875" w:type="dxa"/>
            <w:shd w:val="clear" w:color="auto" w:fill="DEEAF6" w:themeFill="accent1" w:themeFillTint="33"/>
          </w:tcPr>
          <w:p w14:paraId="360BAFDC" w14:textId="77777777" w:rsidR="004C1690" w:rsidRPr="00B30BCD" w:rsidRDefault="004C1690" w:rsidP="00FB1C07">
            <w:pPr>
              <w:pStyle w:val="TableTextCentered"/>
              <w:rPr>
                <w:rFonts w:eastAsia="Times New Roman"/>
                <w:b/>
                <w:bCs/>
              </w:rPr>
            </w:pPr>
            <w:r>
              <w:rPr>
                <w:rFonts w:eastAsia="Times New Roman"/>
                <w:b/>
                <w:bCs/>
              </w:rPr>
              <w:t>8</w:t>
            </w:r>
          </w:p>
        </w:tc>
        <w:tc>
          <w:tcPr>
            <w:tcW w:w="875" w:type="dxa"/>
            <w:shd w:val="clear" w:color="auto" w:fill="DEEAF6" w:themeFill="accent1" w:themeFillTint="33"/>
          </w:tcPr>
          <w:p w14:paraId="79665879" w14:textId="77777777" w:rsidR="004C1690" w:rsidRPr="00B30BCD" w:rsidRDefault="004C1690" w:rsidP="00FB1C07">
            <w:pPr>
              <w:pStyle w:val="TableTextCentered"/>
              <w:rPr>
                <w:rFonts w:eastAsia="Times New Roman"/>
                <w:b/>
                <w:bCs/>
              </w:rPr>
            </w:pPr>
            <w:r>
              <w:rPr>
                <w:rFonts w:eastAsia="Times New Roman"/>
                <w:b/>
                <w:bCs/>
              </w:rPr>
              <w:t>13</w:t>
            </w:r>
          </w:p>
        </w:tc>
        <w:tc>
          <w:tcPr>
            <w:tcW w:w="874" w:type="dxa"/>
            <w:shd w:val="clear" w:color="auto" w:fill="DEEAF6" w:themeFill="accent1" w:themeFillTint="33"/>
          </w:tcPr>
          <w:p w14:paraId="665D015B" w14:textId="77777777" w:rsidR="004C1690" w:rsidRPr="00B30BCD" w:rsidRDefault="004C1690" w:rsidP="00FB1C07">
            <w:pPr>
              <w:pStyle w:val="TableTextCentered"/>
              <w:rPr>
                <w:rFonts w:eastAsia="Times New Roman"/>
                <w:b/>
                <w:bCs/>
              </w:rPr>
            </w:pPr>
            <w:r>
              <w:rPr>
                <w:rFonts w:eastAsia="Times New Roman"/>
                <w:b/>
                <w:bCs/>
              </w:rPr>
              <w:t>7</w:t>
            </w:r>
          </w:p>
        </w:tc>
        <w:tc>
          <w:tcPr>
            <w:tcW w:w="875" w:type="dxa"/>
            <w:shd w:val="clear" w:color="auto" w:fill="DEEAF6" w:themeFill="accent1" w:themeFillTint="33"/>
          </w:tcPr>
          <w:p w14:paraId="1909F360" w14:textId="77777777" w:rsidR="004C1690" w:rsidRPr="00B30BCD" w:rsidRDefault="004C1690" w:rsidP="00FB1C07">
            <w:pPr>
              <w:pStyle w:val="TableTextCentered"/>
              <w:rPr>
                <w:rFonts w:eastAsia="Times New Roman"/>
                <w:b/>
                <w:bCs/>
              </w:rPr>
            </w:pPr>
            <w:r>
              <w:rPr>
                <w:rFonts w:eastAsia="Times New Roman"/>
                <w:b/>
                <w:bCs/>
              </w:rPr>
              <w:t>11</w:t>
            </w:r>
          </w:p>
        </w:tc>
        <w:tc>
          <w:tcPr>
            <w:tcW w:w="900" w:type="dxa"/>
            <w:shd w:val="clear" w:color="auto" w:fill="DEEAF6" w:themeFill="accent1" w:themeFillTint="33"/>
          </w:tcPr>
          <w:p w14:paraId="2DCA7242" w14:textId="77777777" w:rsidR="004C1690" w:rsidRPr="00B30BCD" w:rsidRDefault="004C1690" w:rsidP="00FB1C07">
            <w:pPr>
              <w:pStyle w:val="TableTextCentered"/>
              <w:rPr>
                <w:rFonts w:eastAsia="Times New Roman"/>
                <w:b/>
                <w:bCs/>
              </w:rPr>
            </w:pPr>
            <w:r>
              <w:rPr>
                <w:rFonts w:eastAsia="Times New Roman"/>
                <w:b/>
                <w:bCs/>
              </w:rPr>
              <w:t>53</w:t>
            </w:r>
          </w:p>
        </w:tc>
        <w:tc>
          <w:tcPr>
            <w:tcW w:w="892" w:type="dxa"/>
            <w:shd w:val="clear" w:color="auto" w:fill="DEEAF6" w:themeFill="accent1" w:themeFillTint="33"/>
          </w:tcPr>
          <w:p w14:paraId="4A8E1349" w14:textId="77777777" w:rsidR="004C1690" w:rsidRPr="00B30BCD" w:rsidRDefault="004C1690" w:rsidP="00FB1C07">
            <w:pPr>
              <w:pStyle w:val="TableTextCentered"/>
              <w:rPr>
                <w:rFonts w:eastAsia="Times New Roman"/>
                <w:b/>
                <w:bCs/>
              </w:rPr>
            </w:pPr>
            <w:r>
              <w:rPr>
                <w:rFonts w:eastAsia="Times New Roman"/>
                <w:b/>
                <w:bCs/>
              </w:rPr>
              <w:t>4.8</w:t>
            </w:r>
          </w:p>
        </w:tc>
      </w:tr>
    </w:tbl>
    <w:bookmarkEnd w:id="166"/>
    <w:p w14:paraId="70CA4981" w14:textId="7A98907F" w:rsidR="007303EE" w:rsidRPr="00797379" w:rsidRDefault="007303EE" w:rsidP="00D2476F">
      <w:pPr>
        <w:pStyle w:val="TableNote"/>
      </w:pPr>
      <w:r w:rsidRPr="00797379">
        <w:t xml:space="preserve">*The district average is an average of the observation scores. In Table 11, the district average is computed as: </w:t>
      </w:r>
      <w:bookmarkStart w:id="167" w:name="Dist_CU_Calc"/>
      <w:r w:rsidRPr="00797379">
        <w:t>([2 x 4] + [3 x 10] + [4 x 8] + [5 x 13] + [6 x 7] + [7 x 11]) ÷ 53 observations = 4.8</w:t>
      </w:r>
      <w:bookmarkEnd w:id="167"/>
    </w:p>
    <w:p w14:paraId="1B72BF8B" w14:textId="77777777" w:rsidR="007303EE" w:rsidRPr="00797379" w:rsidRDefault="007303EE" w:rsidP="00D2476F">
      <w:pPr>
        <w:pStyle w:val="TableNote"/>
      </w:pPr>
      <w:r w:rsidRPr="00797379">
        <w:t>**Content Understanding does not appear in the CLASS PK-3 Manual, therefore scores for the Elementary School Level represent grades 4-5 only.</w:t>
      </w:r>
    </w:p>
    <w:p w14:paraId="1C2AFDB5" w14:textId="77777777" w:rsidR="007303EE" w:rsidRPr="00797379" w:rsidRDefault="007303EE" w:rsidP="00D2476F">
      <w:pPr>
        <w:pStyle w:val="BodyText"/>
      </w:pPr>
      <w:r w:rsidRPr="00797379">
        <w:rPr>
          <w:rStyle w:val="BodyTextDemiChar"/>
        </w:rPr>
        <w:t>Ratings in the Low Range.</w:t>
      </w:r>
      <w:r w:rsidRPr="00797379">
        <w:t xml:space="preserve"> At the low range, the focus of the class is primarily on presenting discrete pieces of topically related information, absent broad, organizing ideas. The discussion and materials fail to effectively communicate the essential attributes of the concepts and procedures to students. The teacher makes little effort to elicit or acknowledge students’ background knowledge or misconceptions or to integrate previously learned material when presenting new information.</w:t>
      </w:r>
    </w:p>
    <w:p w14:paraId="3853C3CC" w14:textId="77777777" w:rsidR="007303EE" w:rsidRPr="00797379" w:rsidRDefault="007303EE" w:rsidP="00D2476F">
      <w:pPr>
        <w:pStyle w:val="BodyTextposthead"/>
      </w:pPr>
      <w:r w:rsidRPr="00797379">
        <w:rPr>
          <w:rStyle w:val="BodyTextDemiChar"/>
        </w:rPr>
        <w:t>Ratings in the Middle Range.</w:t>
      </w:r>
      <w:r w:rsidRPr="00797379">
        <w:t xml:space="preserve"> At the middle range, the focus of the class is sometimes on meaningful discussion and explanation of broad, organizing ideas. At other times, the focus is on discrete pieces of information. Class discussion and materials communicate some of the essential attributes of concepts and procedures, but examples are limited in scope or not consistently provided. The teacher makes some attempt to elicit and/or acknowledge students’ background knowledge or misconceptions and/or to integrate information with previously learned materials; however, these moments are limited in depth or inconsistent.</w:t>
      </w:r>
    </w:p>
    <w:p w14:paraId="008B480C" w14:textId="5AACDC97" w:rsidR="00D2476F" w:rsidRPr="00797379" w:rsidRDefault="007303EE" w:rsidP="00D2476F">
      <w:pPr>
        <w:pStyle w:val="BodyTextposthead"/>
      </w:pPr>
      <w:r w:rsidRPr="00797379">
        <w:rPr>
          <w:rStyle w:val="BodyTextDemiChar"/>
        </w:rPr>
        <w:t>Ratings in the High Range.</w:t>
      </w:r>
      <w:r w:rsidRPr="00797379">
        <w:t xml:space="preserve"> At the high range, the focus of the class is on encouraging deep understanding of content through the provision of meaningful, interactive discussion and explanation of broad, organizing ideas. Class discussion and materials consistently communicate the essential attributes of concepts and procedures to students. New concepts and procedures and broad ideas are consistently linked to students’ prior knowledge in ways that advance their understanding and clarify misconceptions.</w:t>
      </w:r>
      <w:r w:rsidR="00D2476F" w:rsidRPr="00797379">
        <w:br w:type="page"/>
      </w:r>
    </w:p>
    <w:p w14:paraId="7A57AD27" w14:textId="77777777" w:rsidR="007303EE" w:rsidRPr="00797379" w:rsidRDefault="007303EE" w:rsidP="00DB6F03">
      <w:pPr>
        <w:pStyle w:val="Heading2-SIOR"/>
        <w:outlineLvl w:val="2"/>
      </w:pPr>
      <w:bookmarkStart w:id="168" w:name="_Toc379881743"/>
      <w:bookmarkStart w:id="169" w:name="_Toc411329835"/>
      <w:bookmarkStart w:id="170" w:name="_Toc430114884"/>
      <w:bookmarkStart w:id="171" w:name="_Toc220931754"/>
      <w:r w:rsidRPr="00797379">
        <w:t>Analysis and Inquiry</w:t>
      </w:r>
      <w:bookmarkEnd w:id="168"/>
      <w:bookmarkEnd w:id="169"/>
      <w:bookmarkEnd w:id="170"/>
      <w:bookmarkEnd w:id="171"/>
    </w:p>
    <w:p w14:paraId="109AA53C" w14:textId="77777777" w:rsidR="007303EE" w:rsidRPr="00797379" w:rsidRDefault="007303EE">
      <w:pPr>
        <w:pStyle w:val="BodyTextDomain"/>
      </w:pPr>
      <w:r w:rsidRPr="00797379">
        <w:t>Instructional Support domain, Grades 4</w:t>
      </w:r>
      <w:r w:rsidRPr="00797379">
        <w:rPr>
          <w:rFonts w:ascii="Vijaya" w:hAnsi="Vijaya" w:cs="Vijaya"/>
        </w:rPr>
        <w:t>−</w:t>
      </w:r>
      <w:r w:rsidRPr="00797379">
        <w:t>12</w:t>
      </w:r>
    </w:p>
    <w:p w14:paraId="17C1BBC0" w14:textId="77777777" w:rsidR="007303EE" w:rsidRPr="00797379" w:rsidRDefault="007303EE" w:rsidP="00D2476F">
      <w:pPr>
        <w:pStyle w:val="BodyTextposthead"/>
      </w:pPr>
      <w:r w:rsidRPr="00797379">
        <w:t>Analysis and Inquiry assesses the degree to which students are engaged in higher level thinking skills through their application of knowledge and skills to novel and/or open-ended problems, tasks, and questions. Opportunities for engaging in metacognition (thinking about thinking) also are included (</w:t>
      </w:r>
      <w:r w:rsidRPr="00797379">
        <w:rPr>
          <w:i/>
        </w:rPr>
        <w:t>CLASS Upper Elementary Manual</w:t>
      </w:r>
      <w:r w:rsidRPr="00797379">
        <w:t>, p. 81,</w:t>
      </w:r>
      <w:r w:rsidRPr="00797379">
        <w:rPr>
          <w:i/>
        </w:rPr>
        <w:t xml:space="preserve"> CLASS Secondary Manual</w:t>
      </w:r>
      <w:r w:rsidRPr="00797379">
        <w:t>, p. 76).</w:t>
      </w:r>
    </w:p>
    <w:p w14:paraId="7E4C7D21" w14:textId="77777777" w:rsidR="007303EE" w:rsidRPr="00797379" w:rsidRDefault="007303EE" w:rsidP="00D2476F">
      <w:pPr>
        <w:pStyle w:val="TableTitle0"/>
      </w:pPr>
      <w:bookmarkStart w:id="172" w:name="_Toc220932427"/>
      <w:r w:rsidRPr="00797379">
        <w:t>Table 12. Analysis and Inquiry: Number of Classrooms for Each Rating and District Average</w:t>
      </w:r>
      <w:bookmarkEnd w:id="172"/>
    </w:p>
    <w:p w14:paraId="576946A9" w14:textId="77777777" w:rsidR="007303EE" w:rsidRPr="00797379" w:rsidRDefault="007303EE">
      <w:pPr>
        <w:pStyle w:val="BodyTextDemi"/>
      </w:pPr>
      <w:r w:rsidRPr="00797379">
        <w:t xml:space="preserve">Analysis and Inquiry District Average*: </w:t>
      </w:r>
      <w:bookmarkStart w:id="173" w:name="Dist_AI_Avg"/>
      <w:r w:rsidRPr="00797379">
        <w:t>2.8</w:t>
      </w:r>
      <w:bookmarkEnd w:id="173"/>
    </w:p>
    <w:tbl>
      <w:tblPr>
        <w:tblStyle w:val="MSVTable1"/>
        <w:tblW w:w="5000" w:type="pct"/>
        <w:jc w:val="center"/>
        <w:tblLook w:val="04A0" w:firstRow="1" w:lastRow="0" w:firstColumn="1" w:lastColumn="0" w:noHBand="0" w:noVBand="1"/>
      </w:tblPr>
      <w:tblGrid>
        <w:gridCol w:w="1431"/>
        <w:gridCol w:w="874"/>
        <w:gridCol w:w="874"/>
        <w:gridCol w:w="874"/>
        <w:gridCol w:w="875"/>
        <w:gridCol w:w="875"/>
        <w:gridCol w:w="874"/>
        <w:gridCol w:w="875"/>
        <w:gridCol w:w="900"/>
        <w:gridCol w:w="892"/>
      </w:tblGrid>
      <w:tr w:rsidR="008839B8" w:rsidRPr="00E359BF" w14:paraId="4D59C8E3" w14:textId="77777777" w:rsidTr="00FB1C07">
        <w:trPr>
          <w:cnfStyle w:val="100000000000" w:firstRow="1" w:lastRow="0" w:firstColumn="0" w:lastColumn="0" w:oddVBand="0" w:evenVBand="0" w:oddHBand="0" w:evenHBand="0" w:firstRowFirstColumn="0" w:firstRowLastColumn="0" w:lastRowFirstColumn="0" w:lastRowLastColumn="0"/>
          <w:jc w:val="center"/>
        </w:trPr>
        <w:tc>
          <w:tcPr>
            <w:tcW w:w="1431" w:type="dxa"/>
            <w:vAlign w:val="center"/>
          </w:tcPr>
          <w:p w14:paraId="7F07C270" w14:textId="77777777" w:rsidR="008839B8" w:rsidRPr="00E359BF" w:rsidRDefault="008839B8" w:rsidP="00FB1C07">
            <w:pPr>
              <w:pStyle w:val="TableColHeadingCenter"/>
              <w:rPr>
                <w:rFonts w:eastAsia="MS Mincho"/>
              </w:rPr>
            </w:pPr>
            <w:bookmarkStart w:id="174" w:name="Tbl_AI"/>
            <w:r>
              <w:rPr>
                <w:rFonts w:eastAsia="MS Mincho"/>
              </w:rPr>
              <w:t>Grade Band</w:t>
            </w:r>
          </w:p>
        </w:tc>
        <w:tc>
          <w:tcPr>
            <w:tcW w:w="874" w:type="dxa"/>
            <w:vAlign w:val="center"/>
          </w:tcPr>
          <w:p w14:paraId="67BB2F08" w14:textId="77777777" w:rsidR="008839B8" w:rsidRPr="00E359BF" w:rsidRDefault="008839B8" w:rsidP="00FB1C07">
            <w:pPr>
              <w:pStyle w:val="TableColHeadingCenter"/>
              <w:rPr>
                <w:rFonts w:eastAsia="MS Mincho"/>
              </w:rPr>
            </w:pPr>
            <w:r w:rsidRPr="00E359BF">
              <w:rPr>
                <w:rFonts w:eastAsia="MS Mincho"/>
              </w:rPr>
              <w:t>Low Range</w:t>
            </w:r>
            <w:r>
              <w:rPr>
                <w:rFonts w:eastAsia="MS Mincho"/>
              </w:rPr>
              <w:t xml:space="preserve"> (1)</w:t>
            </w:r>
          </w:p>
        </w:tc>
        <w:tc>
          <w:tcPr>
            <w:tcW w:w="874" w:type="dxa"/>
            <w:vAlign w:val="center"/>
          </w:tcPr>
          <w:p w14:paraId="130838ED" w14:textId="77777777" w:rsidR="008839B8" w:rsidRPr="00E359BF" w:rsidRDefault="008839B8" w:rsidP="00FB1C07">
            <w:pPr>
              <w:pStyle w:val="TableColHeadingCenter"/>
              <w:rPr>
                <w:rFonts w:eastAsia="MS Mincho"/>
              </w:rPr>
            </w:pPr>
            <w:r w:rsidRPr="00E359BF">
              <w:rPr>
                <w:rFonts w:eastAsia="MS Mincho"/>
              </w:rPr>
              <w:t>Low Range</w:t>
            </w:r>
            <w:r>
              <w:rPr>
                <w:rFonts w:eastAsia="MS Mincho"/>
              </w:rPr>
              <w:t xml:space="preserve"> (2)</w:t>
            </w:r>
          </w:p>
        </w:tc>
        <w:tc>
          <w:tcPr>
            <w:tcW w:w="874" w:type="dxa"/>
            <w:vAlign w:val="center"/>
          </w:tcPr>
          <w:p w14:paraId="3D7C889B" w14:textId="77777777" w:rsidR="008839B8" w:rsidRPr="00E359BF" w:rsidRDefault="008839B8" w:rsidP="00FB1C07">
            <w:pPr>
              <w:pStyle w:val="TableColHeadingCenter"/>
              <w:rPr>
                <w:rFonts w:eastAsia="MS Mincho"/>
              </w:rPr>
            </w:pPr>
            <w:r w:rsidRPr="00E359BF">
              <w:rPr>
                <w:rFonts w:eastAsia="MS Mincho"/>
              </w:rPr>
              <w:t>Middle Range</w:t>
            </w:r>
            <w:r>
              <w:rPr>
                <w:rFonts w:eastAsia="MS Mincho"/>
              </w:rPr>
              <w:t xml:space="preserve"> (3)</w:t>
            </w:r>
          </w:p>
        </w:tc>
        <w:tc>
          <w:tcPr>
            <w:tcW w:w="875" w:type="dxa"/>
            <w:vAlign w:val="center"/>
          </w:tcPr>
          <w:p w14:paraId="6D917819" w14:textId="77777777" w:rsidR="008839B8" w:rsidRPr="00E359BF" w:rsidRDefault="008839B8" w:rsidP="00FB1C07">
            <w:pPr>
              <w:pStyle w:val="TableColHeadingCenter"/>
              <w:rPr>
                <w:rFonts w:eastAsia="MS Mincho"/>
              </w:rPr>
            </w:pPr>
            <w:r w:rsidRPr="00E359BF">
              <w:rPr>
                <w:rFonts w:eastAsia="MS Mincho"/>
              </w:rPr>
              <w:t>Middle Range</w:t>
            </w:r>
            <w:r>
              <w:rPr>
                <w:rFonts w:eastAsia="MS Mincho"/>
              </w:rPr>
              <w:t xml:space="preserve"> (4)</w:t>
            </w:r>
          </w:p>
        </w:tc>
        <w:tc>
          <w:tcPr>
            <w:tcW w:w="875" w:type="dxa"/>
            <w:vAlign w:val="center"/>
          </w:tcPr>
          <w:p w14:paraId="00B95677" w14:textId="77777777" w:rsidR="008839B8" w:rsidRPr="00E359BF" w:rsidRDefault="008839B8" w:rsidP="00FB1C07">
            <w:pPr>
              <w:pStyle w:val="TableColHeadingCenter"/>
              <w:rPr>
                <w:rFonts w:eastAsia="MS Mincho"/>
              </w:rPr>
            </w:pPr>
            <w:r w:rsidRPr="00E359BF">
              <w:rPr>
                <w:rFonts w:eastAsia="MS Mincho"/>
              </w:rPr>
              <w:t>Middle Range</w:t>
            </w:r>
            <w:r>
              <w:rPr>
                <w:rFonts w:eastAsia="MS Mincho"/>
              </w:rPr>
              <w:t xml:space="preserve"> (5)</w:t>
            </w:r>
          </w:p>
        </w:tc>
        <w:tc>
          <w:tcPr>
            <w:tcW w:w="874" w:type="dxa"/>
            <w:vAlign w:val="center"/>
          </w:tcPr>
          <w:p w14:paraId="6136BE9D" w14:textId="77777777" w:rsidR="008839B8" w:rsidRPr="00E359BF" w:rsidRDefault="008839B8" w:rsidP="00FB1C07">
            <w:pPr>
              <w:pStyle w:val="TableColHeadingCenter"/>
              <w:rPr>
                <w:rFonts w:eastAsia="MS Mincho"/>
              </w:rPr>
            </w:pPr>
            <w:r w:rsidRPr="00E359BF">
              <w:rPr>
                <w:rFonts w:eastAsia="MS Mincho"/>
              </w:rPr>
              <w:t>High Range</w:t>
            </w:r>
            <w:r>
              <w:rPr>
                <w:rFonts w:eastAsia="MS Mincho"/>
              </w:rPr>
              <w:t xml:space="preserve"> (6)</w:t>
            </w:r>
          </w:p>
        </w:tc>
        <w:tc>
          <w:tcPr>
            <w:tcW w:w="875" w:type="dxa"/>
            <w:vAlign w:val="center"/>
          </w:tcPr>
          <w:p w14:paraId="0C3B6D66" w14:textId="77777777" w:rsidR="008839B8" w:rsidRPr="00E359BF" w:rsidRDefault="008839B8" w:rsidP="00FB1C07">
            <w:pPr>
              <w:pStyle w:val="TableColHeadingCenter"/>
              <w:rPr>
                <w:rFonts w:eastAsia="MS Mincho"/>
              </w:rPr>
            </w:pPr>
            <w:r w:rsidRPr="00E359BF">
              <w:rPr>
                <w:rFonts w:eastAsia="MS Mincho"/>
              </w:rPr>
              <w:t>High Range</w:t>
            </w:r>
            <w:r>
              <w:rPr>
                <w:rFonts w:eastAsia="MS Mincho"/>
              </w:rPr>
              <w:t xml:space="preserve"> (7)</w:t>
            </w:r>
          </w:p>
        </w:tc>
        <w:tc>
          <w:tcPr>
            <w:tcW w:w="900" w:type="dxa"/>
            <w:vAlign w:val="center"/>
          </w:tcPr>
          <w:p w14:paraId="5EE09142" w14:textId="77777777" w:rsidR="008839B8" w:rsidRPr="00E359BF" w:rsidRDefault="008839B8" w:rsidP="00FB1C07">
            <w:pPr>
              <w:pStyle w:val="TableColHeadingCenter"/>
              <w:rPr>
                <w:rFonts w:eastAsia="MS Mincho"/>
              </w:rPr>
            </w:pPr>
            <w:r>
              <w:rPr>
                <w:rFonts w:eastAsia="MS Mincho"/>
              </w:rPr>
              <w:t>n</w:t>
            </w:r>
          </w:p>
        </w:tc>
        <w:tc>
          <w:tcPr>
            <w:tcW w:w="892" w:type="dxa"/>
            <w:vAlign w:val="center"/>
          </w:tcPr>
          <w:p w14:paraId="68317B73" w14:textId="77777777" w:rsidR="008839B8" w:rsidRPr="00E359BF" w:rsidRDefault="008839B8" w:rsidP="00FB1C07">
            <w:pPr>
              <w:pStyle w:val="TableColHeadingCenter"/>
              <w:rPr>
                <w:rFonts w:eastAsia="MS Mincho"/>
              </w:rPr>
            </w:pPr>
            <w:r>
              <w:rPr>
                <w:rFonts w:eastAsia="MS Mincho"/>
              </w:rPr>
              <w:t>Average</w:t>
            </w:r>
          </w:p>
        </w:tc>
      </w:tr>
      <w:tr w:rsidR="008839B8" w:rsidRPr="00E359BF" w14:paraId="11F37346" w14:textId="77777777" w:rsidTr="00FB1C07">
        <w:trPr>
          <w:cnfStyle w:val="000000100000" w:firstRow="0" w:lastRow="0" w:firstColumn="0" w:lastColumn="0" w:oddVBand="0" w:evenVBand="0" w:oddHBand="1" w:evenHBand="0" w:firstRowFirstColumn="0" w:firstRowLastColumn="0" w:lastRowFirstColumn="0" w:lastRowLastColumn="0"/>
          <w:jc w:val="center"/>
        </w:trPr>
        <w:tc>
          <w:tcPr>
            <w:tcW w:w="1431" w:type="dxa"/>
            <w:shd w:val="clear" w:color="auto" w:fill="FFFFFF" w:themeFill="background1"/>
          </w:tcPr>
          <w:p w14:paraId="087C8BB4" w14:textId="77777777" w:rsidR="008839B8" w:rsidRPr="00E359BF" w:rsidRDefault="008839B8" w:rsidP="00FB1C07">
            <w:pPr>
              <w:pStyle w:val="TableText"/>
            </w:pPr>
            <w:r>
              <w:t>Grades 4-5**</w:t>
            </w:r>
          </w:p>
        </w:tc>
        <w:tc>
          <w:tcPr>
            <w:tcW w:w="874" w:type="dxa"/>
            <w:shd w:val="clear" w:color="auto" w:fill="FFFFFF" w:themeFill="background1"/>
          </w:tcPr>
          <w:p w14:paraId="2D0826B3" w14:textId="77777777" w:rsidR="008839B8" w:rsidRPr="00E359BF" w:rsidRDefault="008839B8" w:rsidP="00FB1C07">
            <w:pPr>
              <w:pStyle w:val="TableTextCentered"/>
              <w:rPr>
                <w:rFonts w:eastAsia="Times New Roman"/>
              </w:rPr>
            </w:pPr>
            <w:r>
              <w:rPr>
                <w:rFonts w:eastAsia="Times New Roman"/>
              </w:rPr>
              <w:t>1</w:t>
            </w:r>
          </w:p>
        </w:tc>
        <w:tc>
          <w:tcPr>
            <w:tcW w:w="874" w:type="dxa"/>
            <w:shd w:val="clear" w:color="auto" w:fill="FFFFFF" w:themeFill="background1"/>
          </w:tcPr>
          <w:p w14:paraId="2CC15E3F" w14:textId="77777777" w:rsidR="008839B8" w:rsidRPr="00E359BF" w:rsidRDefault="008839B8" w:rsidP="00FB1C07">
            <w:pPr>
              <w:pStyle w:val="TableTextCentered"/>
              <w:rPr>
                <w:rFonts w:eastAsia="Times New Roman"/>
              </w:rPr>
            </w:pPr>
            <w:r>
              <w:rPr>
                <w:rFonts w:eastAsia="Times New Roman"/>
              </w:rPr>
              <w:t>1</w:t>
            </w:r>
          </w:p>
        </w:tc>
        <w:tc>
          <w:tcPr>
            <w:tcW w:w="874" w:type="dxa"/>
            <w:shd w:val="clear" w:color="auto" w:fill="FFFFFF" w:themeFill="background1"/>
          </w:tcPr>
          <w:p w14:paraId="114959BA" w14:textId="77777777" w:rsidR="008839B8" w:rsidRPr="00E359BF" w:rsidRDefault="008839B8" w:rsidP="00FB1C07">
            <w:pPr>
              <w:pStyle w:val="TableTextCentered"/>
              <w:rPr>
                <w:rFonts w:eastAsia="Times New Roman"/>
              </w:rPr>
            </w:pPr>
            <w:r>
              <w:rPr>
                <w:rFonts w:eastAsia="Times New Roman"/>
              </w:rPr>
              <w:t>5</w:t>
            </w:r>
          </w:p>
        </w:tc>
        <w:tc>
          <w:tcPr>
            <w:tcW w:w="875" w:type="dxa"/>
            <w:shd w:val="clear" w:color="auto" w:fill="FFFFFF" w:themeFill="background1"/>
          </w:tcPr>
          <w:p w14:paraId="4603E8F2" w14:textId="77777777" w:rsidR="008839B8" w:rsidRPr="00E359BF" w:rsidRDefault="008839B8" w:rsidP="00FB1C07">
            <w:pPr>
              <w:pStyle w:val="TableTextCentered"/>
              <w:rPr>
                <w:rFonts w:eastAsia="Times New Roman"/>
              </w:rPr>
            </w:pPr>
            <w:r>
              <w:rPr>
                <w:rFonts w:eastAsia="Times New Roman"/>
              </w:rPr>
              <w:t>4</w:t>
            </w:r>
          </w:p>
        </w:tc>
        <w:tc>
          <w:tcPr>
            <w:tcW w:w="875" w:type="dxa"/>
            <w:shd w:val="clear" w:color="auto" w:fill="FFFFFF" w:themeFill="background1"/>
          </w:tcPr>
          <w:p w14:paraId="1F0C647B" w14:textId="77777777" w:rsidR="008839B8" w:rsidRPr="00E359BF" w:rsidRDefault="008839B8" w:rsidP="00FB1C07">
            <w:pPr>
              <w:pStyle w:val="TableTextCentered"/>
              <w:rPr>
                <w:rFonts w:eastAsia="Times New Roman"/>
              </w:rPr>
            </w:pPr>
            <w:r>
              <w:rPr>
                <w:rFonts w:eastAsia="Times New Roman"/>
              </w:rPr>
              <w:t>2</w:t>
            </w:r>
          </w:p>
        </w:tc>
        <w:tc>
          <w:tcPr>
            <w:tcW w:w="874" w:type="dxa"/>
            <w:shd w:val="clear" w:color="auto" w:fill="FFFFFF" w:themeFill="background1"/>
          </w:tcPr>
          <w:p w14:paraId="397790FC" w14:textId="77777777" w:rsidR="008839B8" w:rsidRPr="00E359BF" w:rsidRDefault="008839B8" w:rsidP="00FB1C07">
            <w:pPr>
              <w:pStyle w:val="TableTextCentered"/>
              <w:rPr>
                <w:rFonts w:eastAsia="Times New Roman"/>
              </w:rPr>
            </w:pPr>
            <w:r>
              <w:rPr>
                <w:rFonts w:eastAsia="Times New Roman"/>
              </w:rPr>
              <w:t>0</w:t>
            </w:r>
          </w:p>
        </w:tc>
        <w:tc>
          <w:tcPr>
            <w:tcW w:w="875" w:type="dxa"/>
            <w:shd w:val="clear" w:color="auto" w:fill="FFFFFF" w:themeFill="background1"/>
          </w:tcPr>
          <w:p w14:paraId="3B01E645" w14:textId="77777777" w:rsidR="008839B8" w:rsidRPr="00E359BF" w:rsidRDefault="008839B8" w:rsidP="00FB1C07">
            <w:pPr>
              <w:pStyle w:val="TableTextCentered"/>
              <w:rPr>
                <w:rFonts w:eastAsia="Times New Roman"/>
              </w:rPr>
            </w:pPr>
            <w:r>
              <w:rPr>
                <w:rFonts w:eastAsia="Times New Roman"/>
              </w:rPr>
              <w:t>0</w:t>
            </w:r>
          </w:p>
        </w:tc>
        <w:tc>
          <w:tcPr>
            <w:tcW w:w="900" w:type="dxa"/>
            <w:shd w:val="clear" w:color="auto" w:fill="FFFFFF" w:themeFill="background1"/>
          </w:tcPr>
          <w:p w14:paraId="52EBACEC" w14:textId="77777777" w:rsidR="008839B8" w:rsidRPr="00E359BF" w:rsidRDefault="008839B8" w:rsidP="00FB1C07">
            <w:pPr>
              <w:pStyle w:val="TableTextCentered"/>
              <w:rPr>
                <w:rFonts w:eastAsia="Times New Roman"/>
              </w:rPr>
            </w:pPr>
            <w:r>
              <w:rPr>
                <w:rFonts w:eastAsia="Times New Roman"/>
              </w:rPr>
              <w:t>13</w:t>
            </w:r>
          </w:p>
        </w:tc>
        <w:tc>
          <w:tcPr>
            <w:tcW w:w="892" w:type="dxa"/>
            <w:shd w:val="clear" w:color="auto" w:fill="FFFFFF" w:themeFill="background1"/>
          </w:tcPr>
          <w:p w14:paraId="3655BAFE" w14:textId="77777777" w:rsidR="008839B8" w:rsidRPr="00E359BF" w:rsidRDefault="008839B8" w:rsidP="00FB1C07">
            <w:pPr>
              <w:pStyle w:val="TableTextCentered"/>
              <w:rPr>
                <w:rFonts w:eastAsia="Times New Roman"/>
              </w:rPr>
            </w:pPr>
            <w:r>
              <w:rPr>
                <w:rFonts w:eastAsia="Times New Roman"/>
              </w:rPr>
              <w:t>3.4</w:t>
            </w:r>
          </w:p>
        </w:tc>
      </w:tr>
      <w:tr w:rsidR="008839B8" w:rsidRPr="00E359BF" w14:paraId="7E291F1A" w14:textId="77777777" w:rsidTr="00FB1C07">
        <w:trPr>
          <w:jc w:val="center"/>
        </w:trPr>
        <w:tc>
          <w:tcPr>
            <w:tcW w:w="1431" w:type="dxa"/>
            <w:shd w:val="clear" w:color="auto" w:fill="DEEAF6" w:themeFill="accent1" w:themeFillTint="33"/>
          </w:tcPr>
          <w:p w14:paraId="439A0578" w14:textId="77777777" w:rsidR="008839B8" w:rsidRPr="00E359BF" w:rsidRDefault="008839B8" w:rsidP="00FB1C07">
            <w:pPr>
              <w:pStyle w:val="TableText"/>
            </w:pPr>
            <w:r>
              <w:t>Grades 6-8</w:t>
            </w:r>
          </w:p>
        </w:tc>
        <w:tc>
          <w:tcPr>
            <w:tcW w:w="874" w:type="dxa"/>
            <w:shd w:val="clear" w:color="auto" w:fill="DEEAF6" w:themeFill="accent1" w:themeFillTint="33"/>
          </w:tcPr>
          <w:p w14:paraId="06D0998D" w14:textId="77777777" w:rsidR="008839B8" w:rsidRPr="00E359BF" w:rsidRDefault="008839B8" w:rsidP="00FB1C07">
            <w:pPr>
              <w:pStyle w:val="TableTextCentered"/>
              <w:rPr>
                <w:rFonts w:eastAsia="Times New Roman"/>
              </w:rPr>
            </w:pPr>
            <w:r>
              <w:rPr>
                <w:rFonts w:eastAsia="Times New Roman"/>
              </w:rPr>
              <w:t>5</w:t>
            </w:r>
          </w:p>
        </w:tc>
        <w:tc>
          <w:tcPr>
            <w:tcW w:w="874" w:type="dxa"/>
            <w:shd w:val="clear" w:color="auto" w:fill="DEEAF6" w:themeFill="accent1" w:themeFillTint="33"/>
          </w:tcPr>
          <w:p w14:paraId="0B9F583E" w14:textId="77777777" w:rsidR="008839B8" w:rsidRPr="00E359BF" w:rsidRDefault="008839B8" w:rsidP="00FB1C07">
            <w:pPr>
              <w:pStyle w:val="TableTextCentered"/>
              <w:rPr>
                <w:rFonts w:eastAsia="Times New Roman"/>
              </w:rPr>
            </w:pPr>
            <w:r>
              <w:rPr>
                <w:rFonts w:eastAsia="Times New Roman"/>
              </w:rPr>
              <w:t>5</w:t>
            </w:r>
          </w:p>
        </w:tc>
        <w:tc>
          <w:tcPr>
            <w:tcW w:w="874" w:type="dxa"/>
            <w:shd w:val="clear" w:color="auto" w:fill="DEEAF6" w:themeFill="accent1" w:themeFillTint="33"/>
          </w:tcPr>
          <w:p w14:paraId="7B0907D4" w14:textId="77777777" w:rsidR="008839B8" w:rsidRPr="00E359BF" w:rsidRDefault="008839B8" w:rsidP="00FB1C07">
            <w:pPr>
              <w:pStyle w:val="TableTextCentered"/>
              <w:rPr>
                <w:rFonts w:eastAsia="Times New Roman"/>
              </w:rPr>
            </w:pPr>
            <w:r>
              <w:rPr>
                <w:rFonts w:eastAsia="Times New Roman"/>
              </w:rPr>
              <w:t>6</w:t>
            </w:r>
          </w:p>
        </w:tc>
        <w:tc>
          <w:tcPr>
            <w:tcW w:w="875" w:type="dxa"/>
            <w:shd w:val="clear" w:color="auto" w:fill="DEEAF6" w:themeFill="accent1" w:themeFillTint="33"/>
          </w:tcPr>
          <w:p w14:paraId="247E50E5" w14:textId="77777777" w:rsidR="008839B8" w:rsidRPr="00E359BF" w:rsidRDefault="008839B8" w:rsidP="00FB1C07">
            <w:pPr>
              <w:pStyle w:val="TableTextCentered"/>
              <w:rPr>
                <w:rFonts w:eastAsia="Times New Roman"/>
              </w:rPr>
            </w:pPr>
            <w:r>
              <w:rPr>
                <w:rFonts w:eastAsia="Times New Roman"/>
              </w:rPr>
              <w:t>2</w:t>
            </w:r>
          </w:p>
        </w:tc>
        <w:tc>
          <w:tcPr>
            <w:tcW w:w="875" w:type="dxa"/>
            <w:shd w:val="clear" w:color="auto" w:fill="DEEAF6" w:themeFill="accent1" w:themeFillTint="33"/>
          </w:tcPr>
          <w:p w14:paraId="1CF224DB" w14:textId="77777777" w:rsidR="008839B8" w:rsidRPr="00E359BF" w:rsidRDefault="008839B8" w:rsidP="00FB1C07">
            <w:pPr>
              <w:pStyle w:val="TableTextCentered"/>
              <w:rPr>
                <w:rFonts w:eastAsia="Times New Roman"/>
              </w:rPr>
            </w:pPr>
            <w:r>
              <w:rPr>
                <w:rFonts w:eastAsia="Times New Roman"/>
              </w:rPr>
              <w:t>1</w:t>
            </w:r>
          </w:p>
        </w:tc>
        <w:tc>
          <w:tcPr>
            <w:tcW w:w="874" w:type="dxa"/>
            <w:shd w:val="clear" w:color="auto" w:fill="DEEAF6" w:themeFill="accent1" w:themeFillTint="33"/>
          </w:tcPr>
          <w:p w14:paraId="107C99DD" w14:textId="77777777" w:rsidR="008839B8" w:rsidRPr="00E359BF" w:rsidRDefault="008839B8" w:rsidP="00FB1C07">
            <w:pPr>
              <w:pStyle w:val="TableTextCentered"/>
              <w:rPr>
                <w:rFonts w:eastAsia="Times New Roman"/>
              </w:rPr>
            </w:pPr>
            <w:r>
              <w:rPr>
                <w:rFonts w:eastAsia="Times New Roman"/>
              </w:rPr>
              <w:t>1</w:t>
            </w:r>
          </w:p>
        </w:tc>
        <w:tc>
          <w:tcPr>
            <w:tcW w:w="875" w:type="dxa"/>
            <w:shd w:val="clear" w:color="auto" w:fill="DEEAF6" w:themeFill="accent1" w:themeFillTint="33"/>
          </w:tcPr>
          <w:p w14:paraId="17275E86" w14:textId="77777777" w:rsidR="008839B8" w:rsidRPr="00E359BF" w:rsidRDefault="008839B8" w:rsidP="00FB1C07">
            <w:pPr>
              <w:pStyle w:val="TableTextCentered"/>
              <w:rPr>
                <w:rFonts w:eastAsia="Times New Roman"/>
              </w:rPr>
            </w:pPr>
            <w:r>
              <w:rPr>
                <w:rFonts w:eastAsia="Times New Roman"/>
              </w:rPr>
              <w:t>0</w:t>
            </w:r>
          </w:p>
        </w:tc>
        <w:tc>
          <w:tcPr>
            <w:tcW w:w="900" w:type="dxa"/>
            <w:shd w:val="clear" w:color="auto" w:fill="DEEAF6" w:themeFill="accent1" w:themeFillTint="33"/>
          </w:tcPr>
          <w:p w14:paraId="5C61E6BC" w14:textId="77777777" w:rsidR="008839B8" w:rsidRPr="00E359BF" w:rsidRDefault="008839B8" w:rsidP="00FB1C07">
            <w:pPr>
              <w:pStyle w:val="TableTextCentered"/>
              <w:rPr>
                <w:rFonts w:eastAsia="Times New Roman"/>
              </w:rPr>
            </w:pPr>
            <w:r>
              <w:rPr>
                <w:rFonts w:eastAsia="Times New Roman"/>
              </w:rPr>
              <w:t>20</w:t>
            </w:r>
          </w:p>
        </w:tc>
        <w:tc>
          <w:tcPr>
            <w:tcW w:w="892" w:type="dxa"/>
            <w:shd w:val="clear" w:color="auto" w:fill="DEEAF6" w:themeFill="accent1" w:themeFillTint="33"/>
          </w:tcPr>
          <w:p w14:paraId="32DDB302" w14:textId="77777777" w:rsidR="008839B8" w:rsidRPr="00E359BF" w:rsidRDefault="008839B8" w:rsidP="00FB1C07">
            <w:pPr>
              <w:pStyle w:val="TableTextCentered"/>
              <w:rPr>
                <w:rFonts w:eastAsia="Times New Roman"/>
              </w:rPr>
            </w:pPr>
            <w:r>
              <w:rPr>
                <w:rFonts w:eastAsia="Times New Roman"/>
              </w:rPr>
              <w:t>2.6</w:t>
            </w:r>
          </w:p>
        </w:tc>
      </w:tr>
      <w:tr w:rsidR="008839B8" w:rsidRPr="00E359BF" w14:paraId="4C9A5A8D" w14:textId="77777777" w:rsidTr="00FB1C07">
        <w:trPr>
          <w:cnfStyle w:val="000000100000" w:firstRow="0" w:lastRow="0" w:firstColumn="0" w:lastColumn="0" w:oddVBand="0" w:evenVBand="0" w:oddHBand="1" w:evenHBand="0" w:firstRowFirstColumn="0" w:firstRowLastColumn="0" w:lastRowFirstColumn="0" w:lastRowLastColumn="0"/>
          <w:jc w:val="center"/>
        </w:trPr>
        <w:tc>
          <w:tcPr>
            <w:tcW w:w="1431" w:type="dxa"/>
            <w:shd w:val="clear" w:color="auto" w:fill="FFFFFF" w:themeFill="background1"/>
          </w:tcPr>
          <w:p w14:paraId="0A9B1E50" w14:textId="77777777" w:rsidR="008839B8" w:rsidRPr="00E359BF" w:rsidRDefault="008839B8" w:rsidP="00FB1C07">
            <w:pPr>
              <w:pStyle w:val="TableText"/>
            </w:pPr>
            <w:r>
              <w:t>Grades 9-12</w:t>
            </w:r>
          </w:p>
        </w:tc>
        <w:tc>
          <w:tcPr>
            <w:tcW w:w="874" w:type="dxa"/>
            <w:shd w:val="clear" w:color="auto" w:fill="FFFFFF" w:themeFill="background1"/>
          </w:tcPr>
          <w:p w14:paraId="7BE68BE5" w14:textId="77777777" w:rsidR="008839B8" w:rsidRPr="00E359BF" w:rsidRDefault="008839B8" w:rsidP="00FB1C07">
            <w:pPr>
              <w:pStyle w:val="TableTextCentered"/>
              <w:rPr>
                <w:rFonts w:eastAsia="Times New Roman"/>
              </w:rPr>
            </w:pPr>
            <w:r>
              <w:rPr>
                <w:rFonts w:eastAsia="Times New Roman"/>
              </w:rPr>
              <w:t>2</w:t>
            </w:r>
          </w:p>
        </w:tc>
        <w:tc>
          <w:tcPr>
            <w:tcW w:w="874" w:type="dxa"/>
            <w:shd w:val="clear" w:color="auto" w:fill="FFFFFF" w:themeFill="background1"/>
          </w:tcPr>
          <w:p w14:paraId="5691D02B" w14:textId="77777777" w:rsidR="008839B8" w:rsidRPr="00E359BF" w:rsidRDefault="008839B8" w:rsidP="00FB1C07">
            <w:pPr>
              <w:pStyle w:val="TableTextCentered"/>
              <w:rPr>
                <w:rFonts w:eastAsia="Times New Roman"/>
              </w:rPr>
            </w:pPr>
            <w:r>
              <w:rPr>
                <w:rFonts w:eastAsia="Times New Roman"/>
              </w:rPr>
              <w:t>8</w:t>
            </w:r>
          </w:p>
        </w:tc>
        <w:tc>
          <w:tcPr>
            <w:tcW w:w="874" w:type="dxa"/>
            <w:shd w:val="clear" w:color="auto" w:fill="FFFFFF" w:themeFill="background1"/>
          </w:tcPr>
          <w:p w14:paraId="32EBE4C1" w14:textId="77777777" w:rsidR="008839B8" w:rsidRPr="00E359BF" w:rsidRDefault="008839B8" w:rsidP="00FB1C07">
            <w:pPr>
              <w:pStyle w:val="TableTextCentered"/>
              <w:rPr>
                <w:rFonts w:eastAsia="Times New Roman"/>
              </w:rPr>
            </w:pPr>
            <w:r>
              <w:rPr>
                <w:rFonts w:eastAsia="Times New Roman"/>
              </w:rPr>
              <w:t>6</w:t>
            </w:r>
          </w:p>
        </w:tc>
        <w:tc>
          <w:tcPr>
            <w:tcW w:w="875" w:type="dxa"/>
            <w:shd w:val="clear" w:color="auto" w:fill="FFFFFF" w:themeFill="background1"/>
          </w:tcPr>
          <w:p w14:paraId="1EB37F81" w14:textId="77777777" w:rsidR="008839B8" w:rsidRPr="00E359BF" w:rsidRDefault="008839B8" w:rsidP="00FB1C07">
            <w:pPr>
              <w:pStyle w:val="TableTextCentered"/>
              <w:rPr>
                <w:rFonts w:eastAsia="Times New Roman"/>
              </w:rPr>
            </w:pPr>
            <w:r>
              <w:rPr>
                <w:rFonts w:eastAsia="Times New Roman"/>
              </w:rPr>
              <w:t>2</w:t>
            </w:r>
          </w:p>
        </w:tc>
        <w:tc>
          <w:tcPr>
            <w:tcW w:w="875" w:type="dxa"/>
            <w:shd w:val="clear" w:color="auto" w:fill="FFFFFF" w:themeFill="background1"/>
          </w:tcPr>
          <w:p w14:paraId="672F44F6" w14:textId="77777777" w:rsidR="008839B8" w:rsidRPr="00E359BF" w:rsidRDefault="008839B8" w:rsidP="00FB1C07">
            <w:pPr>
              <w:pStyle w:val="TableTextCentered"/>
              <w:rPr>
                <w:rFonts w:eastAsia="Times New Roman"/>
              </w:rPr>
            </w:pPr>
            <w:r>
              <w:rPr>
                <w:rFonts w:eastAsia="Times New Roman"/>
              </w:rPr>
              <w:t>2</w:t>
            </w:r>
          </w:p>
        </w:tc>
        <w:tc>
          <w:tcPr>
            <w:tcW w:w="874" w:type="dxa"/>
            <w:shd w:val="clear" w:color="auto" w:fill="FFFFFF" w:themeFill="background1"/>
          </w:tcPr>
          <w:p w14:paraId="1B758E0D" w14:textId="77777777" w:rsidR="008839B8" w:rsidRPr="00E359BF" w:rsidRDefault="008839B8" w:rsidP="00FB1C07">
            <w:pPr>
              <w:pStyle w:val="TableTextCentered"/>
              <w:rPr>
                <w:rFonts w:eastAsia="Times New Roman"/>
              </w:rPr>
            </w:pPr>
            <w:r>
              <w:rPr>
                <w:rFonts w:eastAsia="Times New Roman"/>
              </w:rPr>
              <w:t>0</w:t>
            </w:r>
          </w:p>
        </w:tc>
        <w:tc>
          <w:tcPr>
            <w:tcW w:w="875" w:type="dxa"/>
            <w:shd w:val="clear" w:color="auto" w:fill="FFFFFF" w:themeFill="background1"/>
          </w:tcPr>
          <w:p w14:paraId="07D745CB" w14:textId="77777777" w:rsidR="008839B8" w:rsidRPr="00E359BF" w:rsidRDefault="008839B8" w:rsidP="00FB1C07">
            <w:pPr>
              <w:pStyle w:val="TableTextCentered"/>
              <w:rPr>
                <w:rFonts w:eastAsia="Times New Roman"/>
              </w:rPr>
            </w:pPr>
            <w:r>
              <w:rPr>
                <w:rFonts w:eastAsia="Times New Roman"/>
              </w:rPr>
              <w:t>0</w:t>
            </w:r>
          </w:p>
        </w:tc>
        <w:tc>
          <w:tcPr>
            <w:tcW w:w="900" w:type="dxa"/>
            <w:shd w:val="clear" w:color="auto" w:fill="FFFFFF" w:themeFill="background1"/>
          </w:tcPr>
          <w:p w14:paraId="689D31A5" w14:textId="77777777" w:rsidR="008839B8" w:rsidRPr="00E359BF" w:rsidRDefault="008839B8" w:rsidP="00FB1C07">
            <w:pPr>
              <w:pStyle w:val="TableTextCentered"/>
              <w:rPr>
                <w:rFonts w:eastAsia="Times New Roman"/>
              </w:rPr>
            </w:pPr>
            <w:r>
              <w:rPr>
                <w:rFonts w:eastAsia="Times New Roman"/>
              </w:rPr>
              <w:t>20</w:t>
            </w:r>
          </w:p>
        </w:tc>
        <w:tc>
          <w:tcPr>
            <w:tcW w:w="892" w:type="dxa"/>
            <w:shd w:val="clear" w:color="auto" w:fill="FFFFFF" w:themeFill="background1"/>
          </w:tcPr>
          <w:p w14:paraId="718669EB" w14:textId="77777777" w:rsidR="008839B8" w:rsidRPr="00E359BF" w:rsidRDefault="008839B8" w:rsidP="00FB1C07">
            <w:pPr>
              <w:pStyle w:val="TableTextCentered"/>
              <w:rPr>
                <w:rFonts w:eastAsia="Times New Roman"/>
              </w:rPr>
            </w:pPr>
            <w:r>
              <w:rPr>
                <w:rFonts w:eastAsia="Times New Roman"/>
              </w:rPr>
              <w:t>2.7</w:t>
            </w:r>
          </w:p>
        </w:tc>
      </w:tr>
      <w:tr w:rsidR="008839B8" w:rsidRPr="00E359BF" w14:paraId="05B79A09" w14:textId="77777777" w:rsidTr="00FB1C07">
        <w:trPr>
          <w:jc w:val="center"/>
        </w:trPr>
        <w:tc>
          <w:tcPr>
            <w:tcW w:w="1431" w:type="dxa"/>
            <w:shd w:val="clear" w:color="auto" w:fill="DEEAF6" w:themeFill="accent1" w:themeFillTint="33"/>
          </w:tcPr>
          <w:p w14:paraId="5890A891" w14:textId="77777777" w:rsidR="008839B8" w:rsidRPr="00B30BCD" w:rsidRDefault="008839B8" w:rsidP="00FB1C07">
            <w:pPr>
              <w:pStyle w:val="TableText"/>
              <w:rPr>
                <w:b/>
                <w:bCs/>
              </w:rPr>
            </w:pPr>
            <w:r w:rsidRPr="00B30BCD">
              <w:rPr>
                <w:b/>
                <w:bCs/>
              </w:rPr>
              <w:t>Totals</w:t>
            </w:r>
          </w:p>
        </w:tc>
        <w:tc>
          <w:tcPr>
            <w:tcW w:w="874" w:type="dxa"/>
            <w:shd w:val="clear" w:color="auto" w:fill="DEEAF6" w:themeFill="accent1" w:themeFillTint="33"/>
          </w:tcPr>
          <w:p w14:paraId="409F983F" w14:textId="77777777" w:rsidR="008839B8" w:rsidRPr="00B30BCD" w:rsidRDefault="008839B8" w:rsidP="00FB1C07">
            <w:pPr>
              <w:pStyle w:val="TableTextCentered"/>
              <w:rPr>
                <w:rFonts w:eastAsia="Times New Roman"/>
                <w:b/>
                <w:bCs/>
              </w:rPr>
            </w:pPr>
            <w:r>
              <w:rPr>
                <w:rFonts w:eastAsia="Times New Roman"/>
                <w:b/>
                <w:bCs/>
              </w:rPr>
              <w:t>8</w:t>
            </w:r>
          </w:p>
        </w:tc>
        <w:tc>
          <w:tcPr>
            <w:tcW w:w="874" w:type="dxa"/>
            <w:shd w:val="clear" w:color="auto" w:fill="DEEAF6" w:themeFill="accent1" w:themeFillTint="33"/>
          </w:tcPr>
          <w:p w14:paraId="45A06CFF" w14:textId="77777777" w:rsidR="008839B8" w:rsidRPr="00B30BCD" w:rsidRDefault="008839B8" w:rsidP="00FB1C07">
            <w:pPr>
              <w:pStyle w:val="TableTextCentered"/>
              <w:rPr>
                <w:rFonts w:eastAsia="Times New Roman"/>
                <w:b/>
                <w:bCs/>
              </w:rPr>
            </w:pPr>
            <w:r>
              <w:rPr>
                <w:rFonts w:eastAsia="Times New Roman"/>
                <w:b/>
                <w:bCs/>
              </w:rPr>
              <w:t>14</w:t>
            </w:r>
          </w:p>
        </w:tc>
        <w:tc>
          <w:tcPr>
            <w:tcW w:w="874" w:type="dxa"/>
            <w:shd w:val="clear" w:color="auto" w:fill="DEEAF6" w:themeFill="accent1" w:themeFillTint="33"/>
          </w:tcPr>
          <w:p w14:paraId="368250BF" w14:textId="77777777" w:rsidR="008839B8" w:rsidRPr="00B30BCD" w:rsidRDefault="008839B8" w:rsidP="00FB1C07">
            <w:pPr>
              <w:pStyle w:val="TableTextCentered"/>
              <w:rPr>
                <w:rFonts w:eastAsia="Times New Roman"/>
                <w:b/>
                <w:bCs/>
              </w:rPr>
            </w:pPr>
            <w:r>
              <w:rPr>
                <w:rFonts w:eastAsia="Times New Roman"/>
                <w:b/>
                <w:bCs/>
              </w:rPr>
              <w:t>17</w:t>
            </w:r>
          </w:p>
        </w:tc>
        <w:tc>
          <w:tcPr>
            <w:tcW w:w="875" w:type="dxa"/>
            <w:shd w:val="clear" w:color="auto" w:fill="DEEAF6" w:themeFill="accent1" w:themeFillTint="33"/>
          </w:tcPr>
          <w:p w14:paraId="40608E9F" w14:textId="77777777" w:rsidR="008839B8" w:rsidRPr="00B30BCD" w:rsidRDefault="008839B8" w:rsidP="00FB1C07">
            <w:pPr>
              <w:pStyle w:val="TableTextCentered"/>
              <w:rPr>
                <w:rFonts w:eastAsia="Times New Roman"/>
                <w:b/>
                <w:bCs/>
              </w:rPr>
            </w:pPr>
            <w:r>
              <w:rPr>
                <w:rFonts w:eastAsia="Times New Roman"/>
                <w:b/>
                <w:bCs/>
              </w:rPr>
              <w:t>8</w:t>
            </w:r>
          </w:p>
        </w:tc>
        <w:tc>
          <w:tcPr>
            <w:tcW w:w="875" w:type="dxa"/>
            <w:shd w:val="clear" w:color="auto" w:fill="DEEAF6" w:themeFill="accent1" w:themeFillTint="33"/>
          </w:tcPr>
          <w:p w14:paraId="534C3E6E" w14:textId="77777777" w:rsidR="008839B8" w:rsidRPr="00B30BCD" w:rsidRDefault="008839B8" w:rsidP="00FB1C07">
            <w:pPr>
              <w:pStyle w:val="TableTextCentered"/>
              <w:rPr>
                <w:rFonts w:eastAsia="Times New Roman"/>
                <w:b/>
                <w:bCs/>
              </w:rPr>
            </w:pPr>
            <w:r>
              <w:rPr>
                <w:rFonts w:eastAsia="Times New Roman"/>
                <w:b/>
                <w:bCs/>
              </w:rPr>
              <w:t>5</w:t>
            </w:r>
          </w:p>
        </w:tc>
        <w:tc>
          <w:tcPr>
            <w:tcW w:w="874" w:type="dxa"/>
            <w:shd w:val="clear" w:color="auto" w:fill="DEEAF6" w:themeFill="accent1" w:themeFillTint="33"/>
          </w:tcPr>
          <w:p w14:paraId="2F03E58B" w14:textId="77777777" w:rsidR="008839B8" w:rsidRPr="00B30BCD" w:rsidRDefault="008839B8" w:rsidP="00FB1C07">
            <w:pPr>
              <w:pStyle w:val="TableTextCentered"/>
              <w:rPr>
                <w:rFonts w:eastAsia="Times New Roman"/>
                <w:b/>
                <w:bCs/>
              </w:rPr>
            </w:pPr>
            <w:r>
              <w:rPr>
                <w:rFonts w:eastAsia="Times New Roman"/>
                <w:b/>
                <w:bCs/>
              </w:rPr>
              <w:t>1</w:t>
            </w:r>
          </w:p>
        </w:tc>
        <w:tc>
          <w:tcPr>
            <w:tcW w:w="875" w:type="dxa"/>
            <w:shd w:val="clear" w:color="auto" w:fill="DEEAF6" w:themeFill="accent1" w:themeFillTint="33"/>
          </w:tcPr>
          <w:p w14:paraId="4389C855" w14:textId="77777777" w:rsidR="008839B8" w:rsidRPr="00B30BCD" w:rsidRDefault="008839B8" w:rsidP="00FB1C07">
            <w:pPr>
              <w:pStyle w:val="TableTextCentered"/>
              <w:rPr>
                <w:rFonts w:eastAsia="Times New Roman"/>
                <w:b/>
                <w:bCs/>
              </w:rPr>
            </w:pPr>
            <w:r>
              <w:rPr>
                <w:rFonts w:eastAsia="Times New Roman"/>
                <w:b/>
                <w:bCs/>
              </w:rPr>
              <w:t>0</w:t>
            </w:r>
          </w:p>
        </w:tc>
        <w:tc>
          <w:tcPr>
            <w:tcW w:w="900" w:type="dxa"/>
            <w:shd w:val="clear" w:color="auto" w:fill="DEEAF6" w:themeFill="accent1" w:themeFillTint="33"/>
          </w:tcPr>
          <w:p w14:paraId="17D73F9F" w14:textId="77777777" w:rsidR="008839B8" w:rsidRPr="00B30BCD" w:rsidRDefault="008839B8" w:rsidP="00FB1C07">
            <w:pPr>
              <w:pStyle w:val="TableTextCentered"/>
              <w:rPr>
                <w:rFonts w:eastAsia="Times New Roman"/>
                <w:b/>
                <w:bCs/>
              </w:rPr>
            </w:pPr>
            <w:r>
              <w:rPr>
                <w:rFonts w:eastAsia="Times New Roman"/>
                <w:b/>
                <w:bCs/>
              </w:rPr>
              <w:t>53</w:t>
            </w:r>
          </w:p>
        </w:tc>
        <w:tc>
          <w:tcPr>
            <w:tcW w:w="892" w:type="dxa"/>
            <w:shd w:val="clear" w:color="auto" w:fill="DEEAF6" w:themeFill="accent1" w:themeFillTint="33"/>
          </w:tcPr>
          <w:p w14:paraId="37B068F7" w14:textId="77777777" w:rsidR="008839B8" w:rsidRPr="00B30BCD" w:rsidRDefault="008839B8" w:rsidP="00FB1C07">
            <w:pPr>
              <w:pStyle w:val="TableTextCentered"/>
              <w:rPr>
                <w:rFonts w:eastAsia="Times New Roman"/>
                <w:b/>
                <w:bCs/>
              </w:rPr>
            </w:pPr>
            <w:r>
              <w:rPr>
                <w:rFonts w:eastAsia="Times New Roman"/>
                <w:b/>
                <w:bCs/>
              </w:rPr>
              <w:t>2.8</w:t>
            </w:r>
          </w:p>
        </w:tc>
      </w:tr>
    </w:tbl>
    <w:bookmarkEnd w:id="174"/>
    <w:p w14:paraId="5E24C656" w14:textId="36EB78B6" w:rsidR="007303EE" w:rsidRPr="00797379" w:rsidRDefault="007303EE" w:rsidP="00D2476F">
      <w:pPr>
        <w:pStyle w:val="TableNote"/>
      </w:pPr>
      <w:r w:rsidRPr="00797379">
        <w:t xml:space="preserve">*The district average is an average of the observation scores. In Table 12, the district average is computed as: </w:t>
      </w:r>
      <w:bookmarkStart w:id="175" w:name="Dist_AI_Calc"/>
      <w:r w:rsidRPr="00797379">
        <w:t>([1 x 8] + [2 x 14] + [3 x 17] + [4 x 8] + [5 x 5] + [6 x 1]) ÷ 53 observations = 2.8</w:t>
      </w:r>
      <w:bookmarkEnd w:id="175"/>
    </w:p>
    <w:p w14:paraId="43D9B2A6" w14:textId="77777777" w:rsidR="007303EE" w:rsidRPr="00797379" w:rsidRDefault="007303EE">
      <w:pPr>
        <w:pStyle w:val="TableNote"/>
      </w:pPr>
      <w:r w:rsidRPr="00797379">
        <w:t>**Analysis and Inquiry does not appear in the CLASS PK-3 Manual, therefore scores for the Elementary School Level represent grades 4-5 only.</w:t>
      </w:r>
    </w:p>
    <w:p w14:paraId="11A7693E" w14:textId="77777777" w:rsidR="007303EE" w:rsidRPr="00797379" w:rsidRDefault="007303EE" w:rsidP="00D2476F">
      <w:pPr>
        <w:pStyle w:val="BodyText"/>
      </w:pPr>
      <w:r w:rsidRPr="00797379">
        <w:rPr>
          <w:rStyle w:val="BodyTextDemiChar"/>
        </w:rPr>
        <w:t>Ratings in the Low Range.</w:t>
      </w:r>
      <w:r w:rsidRPr="00797379">
        <w:t xml:space="preserve"> At the low range, students do not engage in higher order thinking skills. Instruction is presented in a rote manner, and there are no opportunities for students to engage in novel or open-ended tasks. Students are not challenged to apply previous knowledge and skills to a new problem, nor are they encouraged to think about, evaluate, or reflect on their own learning. Students do not have opportunities to plan their own learning experiences.</w:t>
      </w:r>
    </w:p>
    <w:p w14:paraId="5E7D2851" w14:textId="77777777" w:rsidR="007303EE" w:rsidRPr="00797379" w:rsidRDefault="007303EE" w:rsidP="00D2476F">
      <w:pPr>
        <w:pStyle w:val="BodyTextposthead"/>
      </w:pPr>
      <w:r w:rsidRPr="00797379">
        <w:rPr>
          <w:rStyle w:val="BodyTextDemiChar"/>
        </w:rPr>
        <w:t>Ratings in the Middle Range.</w:t>
      </w:r>
      <w:r w:rsidRPr="00797379">
        <w:t xml:space="preserve"> Students occasionally engage in higher order thinking through analysis and inquiry, but the episodes are brief or limited in depth. The teacher provides opportunities for students to apply knowledge and skills within familiar contexts and offers guidance to students but does not provide opportunities for analysis and problem solving within novel contexts and/or without teacher support. Students have occasional opportunities to think about their own thinking through explanations, self-evaluations, reflection, and planning; these opportunities, however, are brief and limited in depth.</w:t>
      </w:r>
    </w:p>
    <w:p w14:paraId="1B73661D" w14:textId="45C676BD" w:rsidR="007303EE" w:rsidRPr="00797379" w:rsidRDefault="007303EE" w:rsidP="00D2476F">
      <w:pPr>
        <w:pStyle w:val="BodyTextposthead"/>
      </w:pPr>
      <w:r w:rsidRPr="00797379">
        <w:rPr>
          <w:rStyle w:val="BodyTextDemiChar"/>
        </w:rPr>
        <w:t>Ratings in the High Range.</w:t>
      </w:r>
      <w:r w:rsidRPr="00797379">
        <w:t xml:space="preserve"> At the high range, students consistently engage in extended opportunities to use higher order thinking through analysis and inquiry. The teacher provides opportunities for students to independently solve or reason through novel and open-ended tasks that require students to select, utilize, and apply existing knowledge and skills. Students have multiple opportunities to think about their own thinking through explanations, self-evaluations, reflection, and planning.</w:t>
      </w:r>
      <w:r w:rsidRPr="00797379">
        <w:br w:type="page"/>
      </w:r>
    </w:p>
    <w:p w14:paraId="35212900" w14:textId="77777777" w:rsidR="007303EE" w:rsidRPr="00797379" w:rsidRDefault="007303EE" w:rsidP="00DB6F03">
      <w:pPr>
        <w:pStyle w:val="Heading2-SIOR"/>
        <w:outlineLvl w:val="2"/>
      </w:pPr>
      <w:bookmarkStart w:id="176" w:name="_Toc411329836"/>
      <w:bookmarkStart w:id="177" w:name="_Toc430114885"/>
      <w:bookmarkStart w:id="178" w:name="_Toc220931755"/>
      <w:r w:rsidRPr="00797379">
        <w:t>Quality of Feedback</w:t>
      </w:r>
      <w:bookmarkEnd w:id="176"/>
      <w:bookmarkEnd w:id="177"/>
      <w:bookmarkEnd w:id="178"/>
    </w:p>
    <w:p w14:paraId="542EB3E6" w14:textId="77777777" w:rsidR="007303EE" w:rsidRPr="00797379" w:rsidRDefault="007303EE">
      <w:pPr>
        <w:pStyle w:val="BodyTextDomain"/>
      </w:pPr>
      <w:r w:rsidRPr="00797379">
        <w:t>Instructional Support domain, Grades PK</w:t>
      </w:r>
      <w:r w:rsidRPr="00797379">
        <w:rPr>
          <w:rFonts w:ascii="Vijaya" w:hAnsi="Vijaya" w:cs="Vijaya"/>
        </w:rPr>
        <w:t>−</w:t>
      </w:r>
      <w:r w:rsidRPr="00797379">
        <w:t>12</w:t>
      </w:r>
    </w:p>
    <w:p w14:paraId="1EB862A9" w14:textId="75DCE934" w:rsidR="007303EE" w:rsidRPr="00797379" w:rsidRDefault="007303EE" w:rsidP="00B47EFA">
      <w:pPr>
        <w:pStyle w:val="BodyTextposthead"/>
      </w:pPr>
      <w:r w:rsidRPr="00797379">
        <w:t>Quality of Feedback refers to the degree to which the teacher provides feedback that expands learning and understanding and encourages continued participation in the learning activity (</w:t>
      </w:r>
      <w:r w:rsidRPr="00797379">
        <w:rPr>
          <w:i/>
        </w:rPr>
        <w:t>CLASS PK–3 Manual</w:t>
      </w:r>
      <w:r w:rsidRPr="00797379">
        <w:t>, p. 72). In the upper elementary and secondary classrooms, significant feedback also may be provided by peers (</w:t>
      </w:r>
      <w:r w:rsidRPr="00797379">
        <w:rPr>
          <w:i/>
        </w:rPr>
        <w:t>CLASS Upper Elementary Manual</w:t>
      </w:r>
      <w:r w:rsidRPr="00797379">
        <w:t xml:space="preserve">, p. 89, </w:t>
      </w:r>
      <w:r w:rsidRPr="00797379">
        <w:rPr>
          <w:i/>
          <w:spacing w:val="-2"/>
        </w:rPr>
        <w:t>CLASS Secondary Manual</w:t>
      </w:r>
      <w:r w:rsidRPr="00797379">
        <w:rPr>
          <w:spacing w:val="-2"/>
        </w:rPr>
        <w:t>, p. 93</w:t>
      </w:r>
      <w:r w:rsidRPr="00797379">
        <w:t>). Regardless of the source, the focus of the feedback motivates learning.</w:t>
      </w:r>
    </w:p>
    <w:p w14:paraId="22ADBAA6" w14:textId="77777777" w:rsidR="007303EE" w:rsidRPr="00797379" w:rsidRDefault="007303EE" w:rsidP="00B47EFA">
      <w:pPr>
        <w:pStyle w:val="TableTitle0"/>
      </w:pPr>
      <w:bookmarkStart w:id="179" w:name="_Toc220932428"/>
      <w:r w:rsidRPr="00797379">
        <w:t>Table 13. Quality of Feedback: Number of Classrooms for Each Rating and District Average</w:t>
      </w:r>
      <w:bookmarkEnd w:id="179"/>
    </w:p>
    <w:p w14:paraId="7DDE3031" w14:textId="77777777" w:rsidR="007303EE" w:rsidRPr="00797379" w:rsidRDefault="007303EE">
      <w:pPr>
        <w:pStyle w:val="BodyTextDemi"/>
      </w:pPr>
      <w:r w:rsidRPr="00797379">
        <w:t xml:space="preserve">Quality of Feedback District Average*: </w:t>
      </w:r>
      <w:bookmarkStart w:id="180" w:name="Dist_QF_Avg"/>
      <w:r w:rsidRPr="00797379">
        <w:t>3.2</w:t>
      </w:r>
      <w:bookmarkEnd w:id="180"/>
    </w:p>
    <w:tbl>
      <w:tblPr>
        <w:tblStyle w:val="MSVTable1"/>
        <w:tblW w:w="5000" w:type="pct"/>
        <w:jc w:val="center"/>
        <w:tblLook w:val="04A0" w:firstRow="1" w:lastRow="0" w:firstColumn="1" w:lastColumn="0" w:noHBand="0" w:noVBand="1"/>
      </w:tblPr>
      <w:tblGrid>
        <w:gridCol w:w="1431"/>
        <w:gridCol w:w="874"/>
        <w:gridCol w:w="874"/>
        <w:gridCol w:w="874"/>
        <w:gridCol w:w="875"/>
        <w:gridCol w:w="875"/>
        <w:gridCol w:w="874"/>
        <w:gridCol w:w="875"/>
        <w:gridCol w:w="900"/>
        <w:gridCol w:w="892"/>
      </w:tblGrid>
      <w:tr w:rsidR="00D26554" w:rsidRPr="00E359BF" w14:paraId="4828ED15" w14:textId="77777777" w:rsidTr="00FB1C07">
        <w:trPr>
          <w:cnfStyle w:val="100000000000" w:firstRow="1" w:lastRow="0" w:firstColumn="0" w:lastColumn="0" w:oddVBand="0" w:evenVBand="0" w:oddHBand="0" w:evenHBand="0" w:firstRowFirstColumn="0" w:firstRowLastColumn="0" w:lastRowFirstColumn="0" w:lastRowLastColumn="0"/>
          <w:jc w:val="center"/>
        </w:trPr>
        <w:tc>
          <w:tcPr>
            <w:tcW w:w="1431" w:type="dxa"/>
            <w:vAlign w:val="center"/>
          </w:tcPr>
          <w:p w14:paraId="2716A140" w14:textId="77777777" w:rsidR="00D26554" w:rsidRPr="00E359BF" w:rsidRDefault="00D26554" w:rsidP="00FB1C07">
            <w:pPr>
              <w:pStyle w:val="TableColHeadingCenter"/>
              <w:rPr>
                <w:rFonts w:eastAsia="MS Mincho"/>
              </w:rPr>
            </w:pPr>
            <w:bookmarkStart w:id="181" w:name="Tbl_QF"/>
            <w:r>
              <w:rPr>
                <w:rFonts w:eastAsia="MS Mincho"/>
              </w:rPr>
              <w:t>Grade Band</w:t>
            </w:r>
          </w:p>
        </w:tc>
        <w:tc>
          <w:tcPr>
            <w:tcW w:w="874" w:type="dxa"/>
            <w:vAlign w:val="center"/>
          </w:tcPr>
          <w:p w14:paraId="2A34D78A" w14:textId="77777777" w:rsidR="00D26554" w:rsidRPr="00E359BF" w:rsidRDefault="00D26554" w:rsidP="00FB1C07">
            <w:pPr>
              <w:pStyle w:val="TableColHeadingCenter"/>
              <w:rPr>
                <w:rFonts w:eastAsia="MS Mincho"/>
              </w:rPr>
            </w:pPr>
            <w:r w:rsidRPr="00E359BF">
              <w:rPr>
                <w:rFonts w:eastAsia="MS Mincho"/>
              </w:rPr>
              <w:t>Low Range</w:t>
            </w:r>
            <w:r>
              <w:rPr>
                <w:rFonts w:eastAsia="MS Mincho"/>
              </w:rPr>
              <w:t xml:space="preserve"> (1)</w:t>
            </w:r>
          </w:p>
        </w:tc>
        <w:tc>
          <w:tcPr>
            <w:tcW w:w="874" w:type="dxa"/>
            <w:vAlign w:val="center"/>
          </w:tcPr>
          <w:p w14:paraId="483D80F4" w14:textId="77777777" w:rsidR="00D26554" w:rsidRPr="00E359BF" w:rsidRDefault="00D26554" w:rsidP="00FB1C07">
            <w:pPr>
              <w:pStyle w:val="TableColHeadingCenter"/>
              <w:rPr>
                <w:rFonts w:eastAsia="MS Mincho"/>
              </w:rPr>
            </w:pPr>
            <w:r w:rsidRPr="00E359BF">
              <w:rPr>
                <w:rFonts w:eastAsia="MS Mincho"/>
              </w:rPr>
              <w:t>Low Range</w:t>
            </w:r>
            <w:r>
              <w:rPr>
                <w:rFonts w:eastAsia="MS Mincho"/>
              </w:rPr>
              <w:t xml:space="preserve"> (2)</w:t>
            </w:r>
          </w:p>
        </w:tc>
        <w:tc>
          <w:tcPr>
            <w:tcW w:w="874" w:type="dxa"/>
            <w:vAlign w:val="center"/>
          </w:tcPr>
          <w:p w14:paraId="7A88F6D7" w14:textId="77777777" w:rsidR="00D26554" w:rsidRPr="00E359BF" w:rsidRDefault="00D26554" w:rsidP="00FB1C07">
            <w:pPr>
              <w:pStyle w:val="TableColHeadingCenter"/>
              <w:rPr>
                <w:rFonts w:eastAsia="MS Mincho"/>
              </w:rPr>
            </w:pPr>
            <w:r w:rsidRPr="00E359BF">
              <w:rPr>
                <w:rFonts w:eastAsia="MS Mincho"/>
              </w:rPr>
              <w:t>Middle Range</w:t>
            </w:r>
            <w:r>
              <w:rPr>
                <w:rFonts w:eastAsia="MS Mincho"/>
              </w:rPr>
              <w:t xml:space="preserve"> (3)</w:t>
            </w:r>
          </w:p>
        </w:tc>
        <w:tc>
          <w:tcPr>
            <w:tcW w:w="875" w:type="dxa"/>
            <w:vAlign w:val="center"/>
          </w:tcPr>
          <w:p w14:paraId="73728D04" w14:textId="77777777" w:rsidR="00D26554" w:rsidRPr="00E359BF" w:rsidRDefault="00D26554" w:rsidP="00FB1C07">
            <w:pPr>
              <w:pStyle w:val="TableColHeadingCenter"/>
              <w:rPr>
                <w:rFonts w:eastAsia="MS Mincho"/>
              </w:rPr>
            </w:pPr>
            <w:r w:rsidRPr="00E359BF">
              <w:rPr>
                <w:rFonts w:eastAsia="MS Mincho"/>
              </w:rPr>
              <w:t>Middle Range</w:t>
            </w:r>
            <w:r>
              <w:rPr>
                <w:rFonts w:eastAsia="MS Mincho"/>
              </w:rPr>
              <w:t xml:space="preserve"> (4)</w:t>
            </w:r>
          </w:p>
        </w:tc>
        <w:tc>
          <w:tcPr>
            <w:tcW w:w="875" w:type="dxa"/>
            <w:vAlign w:val="center"/>
          </w:tcPr>
          <w:p w14:paraId="0C98B67C" w14:textId="77777777" w:rsidR="00D26554" w:rsidRPr="00E359BF" w:rsidRDefault="00D26554" w:rsidP="00FB1C07">
            <w:pPr>
              <w:pStyle w:val="TableColHeadingCenter"/>
              <w:rPr>
                <w:rFonts w:eastAsia="MS Mincho"/>
              </w:rPr>
            </w:pPr>
            <w:r w:rsidRPr="00E359BF">
              <w:rPr>
                <w:rFonts w:eastAsia="MS Mincho"/>
              </w:rPr>
              <w:t>Middle Range</w:t>
            </w:r>
            <w:r>
              <w:rPr>
                <w:rFonts w:eastAsia="MS Mincho"/>
              </w:rPr>
              <w:t xml:space="preserve"> (5)</w:t>
            </w:r>
          </w:p>
        </w:tc>
        <w:tc>
          <w:tcPr>
            <w:tcW w:w="874" w:type="dxa"/>
            <w:vAlign w:val="center"/>
          </w:tcPr>
          <w:p w14:paraId="599D7967" w14:textId="77777777" w:rsidR="00D26554" w:rsidRPr="00E359BF" w:rsidRDefault="00D26554" w:rsidP="00FB1C07">
            <w:pPr>
              <w:pStyle w:val="TableColHeadingCenter"/>
              <w:rPr>
                <w:rFonts w:eastAsia="MS Mincho"/>
              </w:rPr>
            </w:pPr>
            <w:r w:rsidRPr="00E359BF">
              <w:rPr>
                <w:rFonts w:eastAsia="MS Mincho"/>
              </w:rPr>
              <w:t>High Range</w:t>
            </w:r>
            <w:r>
              <w:rPr>
                <w:rFonts w:eastAsia="MS Mincho"/>
              </w:rPr>
              <w:t xml:space="preserve"> (6)</w:t>
            </w:r>
          </w:p>
        </w:tc>
        <w:tc>
          <w:tcPr>
            <w:tcW w:w="875" w:type="dxa"/>
            <w:vAlign w:val="center"/>
          </w:tcPr>
          <w:p w14:paraId="094753C4" w14:textId="77777777" w:rsidR="00D26554" w:rsidRPr="00E359BF" w:rsidRDefault="00D26554" w:rsidP="00FB1C07">
            <w:pPr>
              <w:pStyle w:val="TableColHeadingCenter"/>
              <w:rPr>
                <w:rFonts w:eastAsia="MS Mincho"/>
              </w:rPr>
            </w:pPr>
            <w:r w:rsidRPr="00E359BF">
              <w:rPr>
                <w:rFonts w:eastAsia="MS Mincho"/>
              </w:rPr>
              <w:t>High Range</w:t>
            </w:r>
            <w:r>
              <w:rPr>
                <w:rFonts w:eastAsia="MS Mincho"/>
              </w:rPr>
              <w:t xml:space="preserve"> (7)</w:t>
            </w:r>
          </w:p>
        </w:tc>
        <w:tc>
          <w:tcPr>
            <w:tcW w:w="900" w:type="dxa"/>
            <w:vAlign w:val="center"/>
          </w:tcPr>
          <w:p w14:paraId="10653689" w14:textId="77777777" w:rsidR="00D26554" w:rsidRPr="00E359BF" w:rsidRDefault="00D26554" w:rsidP="00FB1C07">
            <w:pPr>
              <w:pStyle w:val="TableColHeadingCenter"/>
              <w:rPr>
                <w:rFonts w:eastAsia="MS Mincho"/>
              </w:rPr>
            </w:pPr>
            <w:r>
              <w:rPr>
                <w:rFonts w:eastAsia="MS Mincho"/>
              </w:rPr>
              <w:t>n</w:t>
            </w:r>
          </w:p>
        </w:tc>
        <w:tc>
          <w:tcPr>
            <w:tcW w:w="892" w:type="dxa"/>
            <w:vAlign w:val="center"/>
          </w:tcPr>
          <w:p w14:paraId="15E9DF51" w14:textId="77777777" w:rsidR="00D26554" w:rsidRPr="00E359BF" w:rsidRDefault="00D26554" w:rsidP="00FB1C07">
            <w:pPr>
              <w:pStyle w:val="TableColHeadingCenter"/>
              <w:rPr>
                <w:rFonts w:eastAsia="MS Mincho"/>
              </w:rPr>
            </w:pPr>
            <w:r>
              <w:rPr>
                <w:rFonts w:eastAsia="MS Mincho"/>
              </w:rPr>
              <w:t>Average</w:t>
            </w:r>
          </w:p>
        </w:tc>
      </w:tr>
      <w:tr w:rsidR="00D26554" w:rsidRPr="00E359BF" w14:paraId="62EBDDC5" w14:textId="77777777" w:rsidTr="00FB1C07">
        <w:trPr>
          <w:cnfStyle w:val="000000100000" w:firstRow="0" w:lastRow="0" w:firstColumn="0" w:lastColumn="0" w:oddVBand="0" w:evenVBand="0" w:oddHBand="1" w:evenHBand="0" w:firstRowFirstColumn="0" w:firstRowLastColumn="0" w:lastRowFirstColumn="0" w:lastRowLastColumn="0"/>
          <w:jc w:val="center"/>
        </w:trPr>
        <w:tc>
          <w:tcPr>
            <w:tcW w:w="1431" w:type="dxa"/>
            <w:shd w:val="clear" w:color="auto" w:fill="FFFFFF" w:themeFill="background1"/>
          </w:tcPr>
          <w:p w14:paraId="651C237B" w14:textId="77777777" w:rsidR="00D26554" w:rsidRPr="00E359BF" w:rsidRDefault="00D26554" w:rsidP="00FB1C07">
            <w:pPr>
              <w:pStyle w:val="TableText"/>
            </w:pPr>
            <w:r>
              <w:t>Grades PK-5</w:t>
            </w:r>
          </w:p>
        </w:tc>
        <w:tc>
          <w:tcPr>
            <w:tcW w:w="874" w:type="dxa"/>
            <w:shd w:val="clear" w:color="auto" w:fill="FFFFFF" w:themeFill="background1"/>
          </w:tcPr>
          <w:p w14:paraId="038A1242" w14:textId="77777777" w:rsidR="00D26554" w:rsidRPr="00E359BF" w:rsidRDefault="00D26554" w:rsidP="00FB1C07">
            <w:pPr>
              <w:pStyle w:val="TableTextCentered"/>
              <w:rPr>
                <w:rFonts w:eastAsia="Times New Roman"/>
              </w:rPr>
            </w:pPr>
            <w:r>
              <w:rPr>
                <w:rFonts w:eastAsia="Times New Roman"/>
              </w:rPr>
              <w:t>0</w:t>
            </w:r>
          </w:p>
        </w:tc>
        <w:tc>
          <w:tcPr>
            <w:tcW w:w="874" w:type="dxa"/>
            <w:shd w:val="clear" w:color="auto" w:fill="FFFFFF" w:themeFill="background1"/>
          </w:tcPr>
          <w:p w14:paraId="62EB2905" w14:textId="77777777" w:rsidR="00D26554" w:rsidRPr="00E359BF" w:rsidRDefault="00D26554" w:rsidP="00FB1C07">
            <w:pPr>
              <w:pStyle w:val="TableTextCentered"/>
              <w:rPr>
                <w:rFonts w:eastAsia="Times New Roman"/>
              </w:rPr>
            </w:pPr>
            <w:r>
              <w:rPr>
                <w:rFonts w:eastAsia="Times New Roman"/>
              </w:rPr>
              <w:t>6</w:t>
            </w:r>
          </w:p>
        </w:tc>
        <w:tc>
          <w:tcPr>
            <w:tcW w:w="874" w:type="dxa"/>
            <w:shd w:val="clear" w:color="auto" w:fill="FFFFFF" w:themeFill="background1"/>
          </w:tcPr>
          <w:p w14:paraId="729183BF" w14:textId="77777777" w:rsidR="00D26554" w:rsidRPr="00E359BF" w:rsidRDefault="00D26554" w:rsidP="00FB1C07">
            <w:pPr>
              <w:pStyle w:val="TableTextCentered"/>
              <w:rPr>
                <w:rFonts w:eastAsia="Times New Roman"/>
              </w:rPr>
            </w:pPr>
            <w:r>
              <w:rPr>
                <w:rFonts w:eastAsia="Times New Roman"/>
              </w:rPr>
              <w:t>9</w:t>
            </w:r>
          </w:p>
        </w:tc>
        <w:tc>
          <w:tcPr>
            <w:tcW w:w="875" w:type="dxa"/>
            <w:shd w:val="clear" w:color="auto" w:fill="FFFFFF" w:themeFill="background1"/>
          </w:tcPr>
          <w:p w14:paraId="53783BE8" w14:textId="77777777" w:rsidR="00D26554" w:rsidRPr="00E359BF" w:rsidRDefault="00D26554" w:rsidP="00FB1C07">
            <w:pPr>
              <w:pStyle w:val="TableTextCentered"/>
              <w:rPr>
                <w:rFonts w:eastAsia="Times New Roman"/>
              </w:rPr>
            </w:pPr>
            <w:r>
              <w:rPr>
                <w:rFonts w:eastAsia="Times New Roman"/>
              </w:rPr>
              <w:t>16</w:t>
            </w:r>
          </w:p>
        </w:tc>
        <w:tc>
          <w:tcPr>
            <w:tcW w:w="875" w:type="dxa"/>
            <w:shd w:val="clear" w:color="auto" w:fill="FFFFFF" w:themeFill="background1"/>
          </w:tcPr>
          <w:p w14:paraId="469F277F" w14:textId="77777777" w:rsidR="00D26554" w:rsidRPr="00E359BF" w:rsidRDefault="00D26554" w:rsidP="00FB1C07">
            <w:pPr>
              <w:pStyle w:val="TableTextCentered"/>
              <w:rPr>
                <w:rFonts w:eastAsia="Times New Roman"/>
              </w:rPr>
            </w:pPr>
            <w:r>
              <w:rPr>
                <w:rFonts w:eastAsia="Times New Roman"/>
              </w:rPr>
              <w:t>3</w:t>
            </w:r>
          </w:p>
        </w:tc>
        <w:tc>
          <w:tcPr>
            <w:tcW w:w="874" w:type="dxa"/>
            <w:shd w:val="clear" w:color="auto" w:fill="FFFFFF" w:themeFill="background1"/>
          </w:tcPr>
          <w:p w14:paraId="62BB0269" w14:textId="77777777" w:rsidR="00D26554" w:rsidRPr="00E359BF" w:rsidRDefault="00D26554" w:rsidP="00FB1C07">
            <w:pPr>
              <w:pStyle w:val="TableTextCentered"/>
              <w:rPr>
                <w:rFonts w:eastAsia="Times New Roman"/>
              </w:rPr>
            </w:pPr>
            <w:r>
              <w:rPr>
                <w:rFonts w:eastAsia="Times New Roman"/>
              </w:rPr>
              <w:t>0</w:t>
            </w:r>
          </w:p>
        </w:tc>
        <w:tc>
          <w:tcPr>
            <w:tcW w:w="875" w:type="dxa"/>
            <w:shd w:val="clear" w:color="auto" w:fill="FFFFFF" w:themeFill="background1"/>
          </w:tcPr>
          <w:p w14:paraId="3B5856BA" w14:textId="77777777" w:rsidR="00D26554" w:rsidRPr="00E359BF" w:rsidRDefault="00D26554" w:rsidP="00FB1C07">
            <w:pPr>
              <w:pStyle w:val="TableTextCentered"/>
              <w:rPr>
                <w:rFonts w:eastAsia="Times New Roman"/>
              </w:rPr>
            </w:pPr>
            <w:r>
              <w:rPr>
                <w:rFonts w:eastAsia="Times New Roman"/>
              </w:rPr>
              <w:t>0</w:t>
            </w:r>
          </w:p>
        </w:tc>
        <w:tc>
          <w:tcPr>
            <w:tcW w:w="900" w:type="dxa"/>
            <w:shd w:val="clear" w:color="auto" w:fill="FFFFFF" w:themeFill="background1"/>
          </w:tcPr>
          <w:p w14:paraId="4703FC94" w14:textId="77777777" w:rsidR="00D26554" w:rsidRPr="00E359BF" w:rsidRDefault="00D26554" w:rsidP="00FB1C07">
            <w:pPr>
              <w:pStyle w:val="TableTextCentered"/>
              <w:rPr>
                <w:rFonts w:eastAsia="Times New Roman"/>
              </w:rPr>
            </w:pPr>
            <w:r>
              <w:rPr>
                <w:rFonts w:eastAsia="Times New Roman"/>
              </w:rPr>
              <w:t>34</w:t>
            </w:r>
          </w:p>
        </w:tc>
        <w:tc>
          <w:tcPr>
            <w:tcW w:w="892" w:type="dxa"/>
            <w:shd w:val="clear" w:color="auto" w:fill="FFFFFF" w:themeFill="background1"/>
          </w:tcPr>
          <w:p w14:paraId="7EFD9FE4" w14:textId="77777777" w:rsidR="00D26554" w:rsidRPr="00E359BF" w:rsidRDefault="00D26554" w:rsidP="00FB1C07">
            <w:pPr>
              <w:pStyle w:val="TableTextCentered"/>
              <w:rPr>
                <w:rFonts w:eastAsia="Times New Roman"/>
              </w:rPr>
            </w:pPr>
            <w:r>
              <w:rPr>
                <w:rFonts w:eastAsia="Times New Roman"/>
              </w:rPr>
              <w:t>3.5</w:t>
            </w:r>
          </w:p>
        </w:tc>
      </w:tr>
      <w:tr w:rsidR="00D26554" w:rsidRPr="00E359BF" w14:paraId="10DAED7D" w14:textId="77777777" w:rsidTr="00FB1C07">
        <w:trPr>
          <w:jc w:val="center"/>
        </w:trPr>
        <w:tc>
          <w:tcPr>
            <w:tcW w:w="1431" w:type="dxa"/>
            <w:shd w:val="clear" w:color="auto" w:fill="DEEAF6" w:themeFill="accent1" w:themeFillTint="33"/>
          </w:tcPr>
          <w:p w14:paraId="0DA7B6CC" w14:textId="77777777" w:rsidR="00D26554" w:rsidRPr="00E359BF" w:rsidRDefault="00D26554" w:rsidP="00FB1C07">
            <w:pPr>
              <w:pStyle w:val="TableText"/>
            </w:pPr>
            <w:r>
              <w:t>Grades 6-8</w:t>
            </w:r>
          </w:p>
        </w:tc>
        <w:tc>
          <w:tcPr>
            <w:tcW w:w="874" w:type="dxa"/>
            <w:shd w:val="clear" w:color="auto" w:fill="DEEAF6" w:themeFill="accent1" w:themeFillTint="33"/>
          </w:tcPr>
          <w:p w14:paraId="761C569F" w14:textId="77777777" w:rsidR="00D26554" w:rsidRPr="00E359BF" w:rsidRDefault="00D26554" w:rsidP="00FB1C07">
            <w:pPr>
              <w:pStyle w:val="TableTextCentered"/>
              <w:rPr>
                <w:rFonts w:eastAsia="Times New Roman"/>
              </w:rPr>
            </w:pPr>
            <w:r>
              <w:rPr>
                <w:rFonts w:eastAsia="Times New Roman"/>
              </w:rPr>
              <w:t>0</w:t>
            </w:r>
          </w:p>
        </w:tc>
        <w:tc>
          <w:tcPr>
            <w:tcW w:w="874" w:type="dxa"/>
            <w:shd w:val="clear" w:color="auto" w:fill="DEEAF6" w:themeFill="accent1" w:themeFillTint="33"/>
          </w:tcPr>
          <w:p w14:paraId="3833F98A" w14:textId="77777777" w:rsidR="00D26554" w:rsidRPr="00E359BF" w:rsidRDefault="00D26554" w:rsidP="00FB1C07">
            <w:pPr>
              <w:pStyle w:val="TableTextCentered"/>
              <w:rPr>
                <w:rFonts w:eastAsia="Times New Roman"/>
              </w:rPr>
            </w:pPr>
            <w:r>
              <w:rPr>
                <w:rFonts w:eastAsia="Times New Roman"/>
              </w:rPr>
              <w:t>7</w:t>
            </w:r>
          </w:p>
        </w:tc>
        <w:tc>
          <w:tcPr>
            <w:tcW w:w="874" w:type="dxa"/>
            <w:shd w:val="clear" w:color="auto" w:fill="DEEAF6" w:themeFill="accent1" w:themeFillTint="33"/>
          </w:tcPr>
          <w:p w14:paraId="3CF8ECA3" w14:textId="77777777" w:rsidR="00D26554" w:rsidRPr="00E359BF" w:rsidRDefault="00D26554" w:rsidP="00FB1C07">
            <w:pPr>
              <w:pStyle w:val="TableTextCentered"/>
              <w:rPr>
                <w:rFonts w:eastAsia="Times New Roman"/>
              </w:rPr>
            </w:pPr>
            <w:r>
              <w:rPr>
                <w:rFonts w:eastAsia="Times New Roman"/>
              </w:rPr>
              <w:t>6</w:t>
            </w:r>
          </w:p>
        </w:tc>
        <w:tc>
          <w:tcPr>
            <w:tcW w:w="875" w:type="dxa"/>
            <w:shd w:val="clear" w:color="auto" w:fill="DEEAF6" w:themeFill="accent1" w:themeFillTint="33"/>
          </w:tcPr>
          <w:p w14:paraId="349B0A53" w14:textId="77777777" w:rsidR="00D26554" w:rsidRPr="00E359BF" w:rsidRDefault="00D26554" w:rsidP="00FB1C07">
            <w:pPr>
              <w:pStyle w:val="TableTextCentered"/>
              <w:rPr>
                <w:rFonts w:eastAsia="Times New Roman"/>
              </w:rPr>
            </w:pPr>
            <w:r>
              <w:rPr>
                <w:rFonts w:eastAsia="Times New Roman"/>
              </w:rPr>
              <w:t>6</w:t>
            </w:r>
          </w:p>
        </w:tc>
        <w:tc>
          <w:tcPr>
            <w:tcW w:w="875" w:type="dxa"/>
            <w:shd w:val="clear" w:color="auto" w:fill="DEEAF6" w:themeFill="accent1" w:themeFillTint="33"/>
          </w:tcPr>
          <w:p w14:paraId="3AE7D537" w14:textId="77777777" w:rsidR="00D26554" w:rsidRPr="00E359BF" w:rsidRDefault="00D26554" w:rsidP="00FB1C07">
            <w:pPr>
              <w:pStyle w:val="TableTextCentered"/>
              <w:rPr>
                <w:rFonts w:eastAsia="Times New Roman"/>
              </w:rPr>
            </w:pPr>
            <w:r>
              <w:rPr>
                <w:rFonts w:eastAsia="Times New Roman"/>
              </w:rPr>
              <w:t>0</w:t>
            </w:r>
          </w:p>
        </w:tc>
        <w:tc>
          <w:tcPr>
            <w:tcW w:w="874" w:type="dxa"/>
            <w:shd w:val="clear" w:color="auto" w:fill="DEEAF6" w:themeFill="accent1" w:themeFillTint="33"/>
          </w:tcPr>
          <w:p w14:paraId="6AEB6842" w14:textId="77777777" w:rsidR="00D26554" w:rsidRPr="00E359BF" w:rsidRDefault="00D26554" w:rsidP="00FB1C07">
            <w:pPr>
              <w:pStyle w:val="TableTextCentered"/>
              <w:rPr>
                <w:rFonts w:eastAsia="Times New Roman"/>
              </w:rPr>
            </w:pPr>
            <w:r>
              <w:rPr>
                <w:rFonts w:eastAsia="Times New Roman"/>
              </w:rPr>
              <w:t>1</w:t>
            </w:r>
          </w:p>
        </w:tc>
        <w:tc>
          <w:tcPr>
            <w:tcW w:w="875" w:type="dxa"/>
            <w:shd w:val="clear" w:color="auto" w:fill="DEEAF6" w:themeFill="accent1" w:themeFillTint="33"/>
          </w:tcPr>
          <w:p w14:paraId="640B9E8A" w14:textId="77777777" w:rsidR="00D26554" w:rsidRPr="00E359BF" w:rsidRDefault="00D26554" w:rsidP="00FB1C07">
            <w:pPr>
              <w:pStyle w:val="TableTextCentered"/>
              <w:rPr>
                <w:rFonts w:eastAsia="Times New Roman"/>
              </w:rPr>
            </w:pPr>
            <w:r>
              <w:rPr>
                <w:rFonts w:eastAsia="Times New Roman"/>
              </w:rPr>
              <w:t>0</w:t>
            </w:r>
          </w:p>
        </w:tc>
        <w:tc>
          <w:tcPr>
            <w:tcW w:w="900" w:type="dxa"/>
            <w:shd w:val="clear" w:color="auto" w:fill="DEEAF6" w:themeFill="accent1" w:themeFillTint="33"/>
          </w:tcPr>
          <w:p w14:paraId="2CCE09FF" w14:textId="77777777" w:rsidR="00D26554" w:rsidRPr="00E359BF" w:rsidRDefault="00D26554" w:rsidP="00FB1C07">
            <w:pPr>
              <w:pStyle w:val="TableTextCentered"/>
              <w:rPr>
                <w:rFonts w:eastAsia="Times New Roman"/>
              </w:rPr>
            </w:pPr>
            <w:r>
              <w:rPr>
                <w:rFonts w:eastAsia="Times New Roman"/>
              </w:rPr>
              <w:t>20</w:t>
            </w:r>
          </w:p>
        </w:tc>
        <w:tc>
          <w:tcPr>
            <w:tcW w:w="892" w:type="dxa"/>
            <w:shd w:val="clear" w:color="auto" w:fill="DEEAF6" w:themeFill="accent1" w:themeFillTint="33"/>
          </w:tcPr>
          <w:p w14:paraId="77624AC2" w14:textId="77777777" w:rsidR="00D26554" w:rsidRPr="00E359BF" w:rsidRDefault="00D26554" w:rsidP="00FB1C07">
            <w:pPr>
              <w:pStyle w:val="TableTextCentered"/>
              <w:rPr>
                <w:rFonts w:eastAsia="Times New Roman"/>
              </w:rPr>
            </w:pPr>
            <w:r>
              <w:rPr>
                <w:rFonts w:eastAsia="Times New Roman"/>
              </w:rPr>
              <w:t>3.1</w:t>
            </w:r>
          </w:p>
        </w:tc>
      </w:tr>
      <w:tr w:rsidR="00D26554" w:rsidRPr="00E359BF" w14:paraId="4917150C" w14:textId="77777777" w:rsidTr="00FB1C07">
        <w:trPr>
          <w:cnfStyle w:val="000000100000" w:firstRow="0" w:lastRow="0" w:firstColumn="0" w:lastColumn="0" w:oddVBand="0" w:evenVBand="0" w:oddHBand="1" w:evenHBand="0" w:firstRowFirstColumn="0" w:firstRowLastColumn="0" w:lastRowFirstColumn="0" w:lastRowLastColumn="0"/>
          <w:jc w:val="center"/>
        </w:trPr>
        <w:tc>
          <w:tcPr>
            <w:tcW w:w="1431" w:type="dxa"/>
            <w:shd w:val="clear" w:color="auto" w:fill="FFFFFF" w:themeFill="background1"/>
          </w:tcPr>
          <w:p w14:paraId="39D59560" w14:textId="77777777" w:rsidR="00D26554" w:rsidRPr="00E359BF" w:rsidRDefault="00D26554" w:rsidP="00FB1C07">
            <w:pPr>
              <w:pStyle w:val="TableText"/>
            </w:pPr>
            <w:r>
              <w:t>Grades 9-12</w:t>
            </w:r>
          </w:p>
        </w:tc>
        <w:tc>
          <w:tcPr>
            <w:tcW w:w="874" w:type="dxa"/>
            <w:shd w:val="clear" w:color="auto" w:fill="FFFFFF" w:themeFill="background1"/>
          </w:tcPr>
          <w:p w14:paraId="51D049DB" w14:textId="77777777" w:rsidR="00D26554" w:rsidRPr="00E359BF" w:rsidRDefault="00D26554" w:rsidP="00FB1C07">
            <w:pPr>
              <w:pStyle w:val="TableTextCentered"/>
              <w:rPr>
                <w:rFonts w:eastAsia="Times New Roman"/>
              </w:rPr>
            </w:pPr>
            <w:r>
              <w:rPr>
                <w:rFonts w:eastAsia="Times New Roman"/>
              </w:rPr>
              <w:t>4</w:t>
            </w:r>
          </w:p>
        </w:tc>
        <w:tc>
          <w:tcPr>
            <w:tcW w:w="874" w:type="dxa"/>
            <w:shd w:val="clear" w:color="auto" w:fill="FFFFFF" w:themeFill="background1"/>
          </w:tcPr>
          <w:p w14:paraId="3EAE496D" w14:textId="77777777" w:rsidR="00D26554" w:rsidRPr="00E359BF" w:rsidRDefault="00D26554" w:rsidP="00FB1C07">
            <w:pPr>
              <w:pStyle w:val="TableTextCentered"/>
              <w:rPr>
                <w:rFonts w:eastAsia="Times New Roman"/>
              </w:rPr>
            </w:pPr>
            <w:r>
              <w:rPr>
                <w:rFonts w:eastAsia="Times New Roman"/>
              </w:rPr>
              <w:t>4</w:t>
            </w:r>
          </w:p>
        </w:tc>
        <w:tc>
          <w:tcPr>
            <w:tcW w:w="874" w:type="dxa"/>
            <w:shd w:val="clear" w:color="auto" w:fill="FFFFFF" w:themeFill="background1"/>
          </w:tcPr>
          <w:p w14:paraId="3F439F88" w14:textId="77777777" w:rsidR="00D26554" w:rsidRPr="00E359BF" w:rsidRDefault="00D26554" w:rsidP="00FB1C07">
            <w:pPr>
              <w:pStyle w:val="TableTextCentered"/>
              <w:rPr>
                <w:rFonts w:eastAsia="Times New Roman"/>
              </w:rPr>
            </w:pPr>
            <w:r>
              <w:rPr>
                <w:rFonts w:eastAsia="Times New Roman"/>
              </w:rPr>
              <w:t>5</w:t>
            </w:r>
          </w:p>
        </w:tc>
        <w:tc>
          <w:tcPr>
            <w:tcW w:w="875" w:type="dxa"/>
            <w:shd w:val="clear" w:color="auto" w:fill="FFFFFF" w:themeFill="background1"/>
          </w:tcPr>
          <w:p w14:paraId="204C0272" w14:textId="77777777" w:rsidR="00D26554" w:rsidRPr="00E359BF" w:rsidRDefault="00D26554" w:rsidP="00FB1C07">
            <w:pPr>
              <w:pStyle w:val="TableTextCentered"/>
              <w:rPr>
                <w:rFonts w:eastAsia="Times New Roman"/>
              </w:rPr>
            </w:pPr>
            <w:r>
              <w:rPr>
                <w:rFonts w:eastAsia="Times New Roman"/>
              </w:rPr>
              <w:t>3</w:t>
            </w:r>
          </w:p>
        </w:tc>
        <w:tc>
          <w:tcPr>
            <w:tcW w:w="875" w:type="dxa"/>
            <w:shd w:val="clear" w:color="auto" w:fill="FFFFFF" w:themeFill="background1"/>
          </w:tcPr>
          <w:p w14:paraId="1F068152" w14:textId="77777777" w:rsidR="00D26554" w:rsidRPr="00E359BF" w:rsidRDefault="00D26554" w:rsidP="00FB1C07">
            <w:pPr>
              <w:pStyle w:val="TableTextCentered"/>
              <w:rPr>
                <w:rFonts w:eastAsia="Times New Roman"/>
              </w:rPr>
            </w:pPr>
            <w:r>
              <w:rPr>
                <w:rFonts w:eastAsia="Times New Roman"/>
              </w:rPr>
              <w:t>4</w:t>
            </w:r>
          </w:p>
        </w:tc>
        <w:tc>
          <w:tcPr>
            <w:tcW w:w="874" w:type="dxa"/>
            <w:shd w:val="clear" w:color="auto" w:fill="FFFFFF" w:themeFill="background1"/>
          </w:tcPr>
          <w:p w14:paraId="579BD937" w14:textId="77777777" w:rsidR="00D26554" w:rsidRPr="00E359BF" w:rsidRDefault="00D26554" w:rsidP="00FB1C07">
            <w:pPr>
              <w:pStyle w:val="TableTextCentered"/>
              <w:rPr>
                <w:rFonts w:eastAsia="Times New Roman"/>
              </w:rPr>
            </w:pPr>
            <w:r>
              <w:rPr>
                <w:rFonts w:eastAsia="Times New Roman"/>
              </w:rPr>
              <w:t>0</w:t>
            </w:r>
          </w:p>
        </w:tc>
        <w:tc>
          <w:tcPr>
            <w:tcW w:w="875" w:type="dxa"/>
            <w:shd w:val="clear" w:color="auto" w:fill="FFFFFF" w:themeFill="background1"/>
          </w:tcPr>
          <w:p w14:paraId="10E8F630" w14:textId="77777777" w:rsidR="00D26554" w:rsidRPr="00E359BF" w:rsidRDefault="00D26554" w:rsidP="00FB1C07">
            <w:pPr>
              <w:pStyle w:val="TableTextCentered"/>
              <w:rPr>
                <w:rFonts w:eastAsia="Times New Roman"/>
              </w:rPr>
            </w:pPr>
            <w:r>
              <w:rPr>
                <w:rFonts w:eastAsia="Times New Roman"/>
              </w:rPr>
              <w:t>0</w:t>
            </w:r>
          </w:p>
        </w:tc>
        <w:tc>
          <w:tcPr>
            <w:tcW w:w="900" w:type="dxa"/>
            <w:shd w:val="clear" w:color="auto" w:fill="FFFFFF" w:themeFill="background1"/>
          </w:tcPr>
          <w:p w14:paraId="543955CB" w14:textId="77777777" w:rsidR="00D26554" w:rsidRPr="00E359BF" w:rsidRDefault="00D26554" w:rsidP="00FB1C07">
            <w:pPr>
              <w:pStyle w:val="TableTextCentered"/>
              <w:rPr>
                <w:rFonts w:eastAsia="Times New Roman"/>
              </w:rPr>
            </w:pPr>
            <w:r>
              <w:rPr>
                <w:rFonts w:eastAsia="Times New Roman"/>
              </w:rPr>
              <w:t>20</w:t>
            </w:r>
          </w:p>
        </w:tc>
        <w:tc>
          <w:tcPr>
            <w:tcW w:w="892" w:type="dxa"/>
            <w:shd w:val="clear" w:color="auto" w:fill="FFFFFF" w:themeFill="background1"/>
          </w:tcPr>
          <w:p w14:paraId="369D3C17" w14:textId="77777777" w:rsidR="00D26554" w:rsidRPr="00E359BF" w:rsidRDefault="00D26554" w:rsidP="00FB1C07">
            <w:pPr>
              <w:pStyle w:val="TableTextCentered"/>
              <w:rPr>
                <w:rFonts w:eastAsia="Times New Roman"/>
              </w:rPr>
            </w:pPr>
            <w:r>
              <w:rPr>
                <w:rFonts w:eastAsia="Times New Roman"/>
              </w:rPr>
              <w:t>3.0</w:t>
            </w:r>
          </w:p>
        </w:tc>
      </w:tr>
      <w:tr w:rsidR="00D26554" w:rsidRPr="00E359BF" w14:paraId="57841140" w14:textId="77777777" w:rsidTr="00FB1C07">
        <w:trPr>
          <w:jc w:val="center"/>
        </w:trPr>
        <w:tc>
          <w:tcPr>
            <w:tcW w:w="1431" w:type="dxa"/>
            <w:shd w:val="clear" w:color="auto" w:fill="DEEAF6" w:themeFill="accent1" w:themeFillTint="33"/>
          </w:tcPr>
          <w:p w14:paraId="158F4D45" w14:textId="77777777" w:rsidR="00D26554" w:rsidRPr="00B30BCD" w:rsidRDefault="00D26554" w:rsidP="00FB1C07">
            <w:pPr>
              <w:pStyle w:val="TableText"/>
              <w:rPr>
                <w:b/>
                <w:bCs/>
              </w:rPr>
            </w:pPr>
            <w:r w:rsidRPr="00B30BCD">
              <w:rPr>
                <w:b/>
                <w:bCs/>
              </w:rPr>
              <w:t>Totals</w:t>
            </w:r>
          </w:p>
        </w:tc>
        <w:tc>
          <w:tcPr>
            <w:tcW w:w="874" w:type="dxa"/>
            <w:shd w:val="clear" w:color="auto" w:fill="DEEAF6" w:themeFill="accent1" w:themeFillTint="33"/>
          </w:tcPr>
          <w:p w14:paraId="359416BA" w14:textId="77777777" w:rsidR="00D26554" w:rsidRPr="00B30BCD" w:rsidRDefault="00D26554" w:rsidP="00FB1C07">
            <w:pPr>
              <w:pStyle w:val="TableTextCentered"/>
              <w:rPr>
                <w:rFonts w:eastAsia="Times New Roman"/>
                <w:b/>
                <w:bCs/>
              </w:rPr>
            </w:pPr>
            <w:r>
              <w:rPr>
                <w:rFonts w:eastAsia="Times New Roman"/>
                <w:b/>
                <w:bCs/>
              </w:rPr>
              <w:t>4</w:t>
            </w:r>
          </w:p>
        </w:tc>
        <w:tc>
          <w:tcPr>
            <w:tcW w:w="874" w:type="dxa"/>
            <w:shd w:val="clear" w:color="auto" w:fill="DEEAF6" w:themeFill="accent1" w:themeFillTint="33"/>
          </w:tcPr>
          <w:p w14:paraId="0D389C10" w14:textId="77777777" w:rsidR="00D26554" w:rsidRPr="00B30BCD" w:rsidRDefault="00D26554" w:rsidP="00FB1C07">
            <w:pPr>
              <w:pStyle w:val="TableTextCentered"/>
              <w:rPr>
                <w:rFonts w:eastAsia="Times New Roman"/>
                <w:b/>
                <w:bCs/>
              </w:rPr>
            </w:pPr>
            <w:r>
              <w:rPr>
                <w:rFonts w:eastAsia="Times New Roman"/>
                <w:b/>
                <w:bCs/>
              </w:rPr>
              <w:t>17</w:t>
            </w:r>
          </w:p>
        </w:tc>
        <w:tc>
          <w:tcPr>
            <w:tcW w:w="874" w:type="dxa"/>
            <w:shd w:val="clear" w:color="auto" w:fill="DEEAF6" w:themeFill="accent1" w:themeFillTint="33"/>
          </w:tcPr>
          <w:p w14:paraId="4FC7D805" w14:textId="77777777" w:rsidR="00D26554" w:rsidRPr="00B30BCD" w:rsidRDefault="00D26554" w:rsidP="00FB1C07">
            <w:pPr>
              <w:pStyle w:val="TableTextCentered"/>
              <w:rPr>
                <w:rFonts w:eastAsia="Times New Roman"/>
                <w:b/>
                <w:bCs/>
              </w:rPr>
            </w:pPr>
            <w:r>
              <w:rPr>
                <w:rFonts w:eastAsia="Times New Roman"/>
                <w:b/>
                <w:bCs/>
              </w:rPr>
              <w:t>20</w:t>
            </w:r>
          </w:p>
        </w:tc>
        <w:tc>
          <w:tcPr>
            <w:tcW w:w="875" w:type="dxa"/>
            <w:shd w:val="clear" w:color="auto" w:fill="DEEAF6" w:themeFill="accent1" w:themeFillTint="33"/>
          </w:tcPr>
          <w:p w14:paraId="40B71939" w14:textId="77777777" w:rsidR="00D26554" w:rsidRPr="00B30BCD" w:rsidRDefault="00D26554" w:rsidP="00FB1C07">
            <w:pPr>
              <w:pStyle w:val="TableTextCentered"/>
              <w:rPr>
                <w:rFonts w:eastAsia="Times New Roman"/>
                <w:b/>
                <w:bCs/>
              </w:rPr>
            </w:pPr>
            <w:r>
              <w:rPr>
                <w:rFonts w:eastAsia="Times New Roman"/>
                <w:b/>
                <w:bCs/>
              </w:rPr>
              <w:t>25</w:t>
            </w:r>
          </w:p>
        </w:tc>
        <w:tc>
          <w:tcPr>
            <w:tcW w:w="875" w:type="dxa"/>
            <w:shd w:val="clear" w:color="auto" w:fill="DEEAF6" w:themeFill="accent1" w:themeFillTint="33"/>
          </w:tcPr>
          <w:p w14:paraId="4B4F7EA4" w14:textId="77777777" w:rsidR="00D26554" w:rsidRPr="00B30BCD" w:rsidRDefault="00D26554" w:rsidP="00FB1C07">
            <w:pPr>
              <w:pStyle w:val="TableTextCentered"/>
              <w:rPr>
                <w:rFonts w:eastAsia="Times New Roman"/>
                <w:b/>
                <w:bCs/>
              </w:rPr>
            </w:pPr>
            <w:r>
              <w:rPr>
                <w:rFonts w:eastAsia="Times New Roman"/>
                <w:b/>
                <w:bCs/>
              </w:rPr>
              <w:t>7</w:t>
            </w:r>
          </w:p>
        </w:tc>
        <w:tc>
          <w:tcPr>
            <w:tcW w:w="874" w:type="dxa"/>
            <w:shd w:val="clear" w:color="auto" w:fill="DEEAF6" w:themeFill="accent1" w:themeFillTint="33"/>
          </w:tcPr>
          <w:p w14:paraId="43BA38BD" w14:textId="77777777" w:rsidR="00D26554" w:rsidRPr="00B30BCD" w:rsidRDefault="00D26554" w:rsidP="00FB1C07">
            <w:pPr>
              <w:pStyle w:val="TableTextCentered"/>
              <w:rPr>
                <w:rFonts w:eastAsia="Times New Roman"/>
                <w:b/>
                <w:bCs/>
              </w:rPr>
            </w:pPr>
            <w:r>
              <w:rPr>
                <w:rFonts w:eastAsia="Times New Roman"/>
                <w:b/>
                <w:bCs/>
              </w:rPr>
              <w:t>1</w:t>
            </w:r>
          </w:p>
        </w:tc>
        <w:tc>
          <w:tcPr>
            <w:tcW w:w="875" w:type="dxa"/>
            <w:shd w:val="clear" w:color="auto" w:fill="DEEAF6" w:themeFill="accent1" w:themeFillTint="33"/>
          </w:tcPr>
          <w:p w14:paraId="5A1F785C" w14:textId="77777777" w:rsidR="00D26554" w:rsidRPr="00B30BCD" w:rsidRDefault="00D26554" w:rsidP="00FB1C07">
            <w:pPr>
              <w:pStyle w:val="TableTextCentered"/>
              <w:rPr>
                <w:rFonts w:eastAsia="Times New Roman"/>
                <w:b/>
                <w:bCs/>
              </w:rPr>
            </w:pPr>
            <w:r>
              <w:rPr>
                <w:rFonts w:eastAsia="Times New Roman"/>
                <w:b/>
                <w:bCs/>
              </w:rPr>
              <w:t>0</w:t>
            </w:r>
          </w:p>
        </w:tc>
        <w:tc>
          <w:tcPr>
            <w:tcW w:w="900" w:type="dxa"/>
            <w:shd w:val="clear" w:color="auto" w:fill="DEEAF6" w:themeFill="accent1" w:themeFillTint="33"/>
          </w:tcPr>
          <w:p w14:paraId="04594920" w14:textId="77777777" w:rsidR="00D26554" w:rsidRPr="00B30BCD" w:rsidRDefault="00D26554" w:rsidP="00FB1C07">
            <w:pPr>
              <w:pStyle w:val="TableTextCentered"/>
              <w:rPr>
                <w:rFonts w:eastAsia="Times New Roman"/>
                <w:b/>
                <w:bCs/>
              </w:rPr>
            </w:pPr>
            <w:r>
              <w:rPr>
                <w:rFonts w:eastAsia="Times New Roman"/>
                <w:b/>
                <w:bCs/>
              </w:rPr>
              <w:t>74</w:t>
            </w:r>
          </w:p>
        </w:tc>
        <w:tc>
          <w:tcPr>
            <w:tcW w:w="892" w:type="dxa"/>
            <w:shd w:val="clear" w:color="auto" w:fill="DEEAF6" w:themeFill="accent1" w:themeFillTint="33"/>
          </w:tcPr>
          <w:p w14:paraId="70571315" w14:textId="77777777" w:rsidR="00D26554" w:rsidRPr="00B30BCD" w:rsidRDefault="00D26554" w:rsidP="00FB1C07">
            <w:pPr>
              <w:pStyle w:val="TableTextCentered"/>
              <w:rPr>
                <w:rFonts w:eastAsia="Times New Roman"/>
                <w:b/>
                <w:bCs/>
              </w:rPr>
            </w:pPr>
            <w:r>
              <w:rPr>
                <w:rFonts w:eastAsia="Times New Roman"/>
                <w:b/>
                <w:bCs/>
              </w:rPr>
              <w:t>3.2</w:t>
            </w:r>
          </w:p>
        </w:tc>
      </w:tr>
    </w:tbl>
    <w:bookmarkEnd w:id="181"/>
    <w:p w14:paraId="2A453B56" w14:textId="0282ABAC" w:rsidR="007303EE" w:rsidRPr="00797379" w:rsidRDefault="007303EE" w:rsidP="00B47EFA">
      <w:pPr>
        <w:pStyle w:val="TableNote"/>
      </w:pPr>
      <w:r w:rsidRPr="00797379">
        <w:t xml:space="preserve">*The district average is an average of the observation scores. In Table 13, the district average is computed as: </w:t>
      </w:r>
      <w:bookmarkStart w:id="182" w:name="Dist_QF_Calc"/>
      <w:r w:rsidRPr="00797379">
        <w:t>([1 x 4] + [2 x 17] + [3 x 20] + [4 x 25] + [5 x 7] + [6 x 1]) ÷ 74 observations = 3.2</w:t>
      </w:r>
      <w:bookmarkEnd w:id="182"/>
    </w:p>
    <w:p w14:paraId="3D022E54" w14:textId="77777777" w:rsidR="007303EE" w:rsidRPr="00797379" w:rsidRDefault="007303EE" w:rsidP="00B47EFA">
      <w:pPr>
        <w:pStyle w:val="BodyText"/>
      </w:pPr>
      <w:r w:rsidRPr="00797379">
        <w:rPr>
          <w:rStyle w:val="BodyTextDemiChar"/>
        </w:rPr>
        <w:t>Ratings in the Low Range.</w:t>
      </w:r>
      <w:r w:rsidRPr="00797379">
        <w:t xml:space="preserve"> At the low range, the teacher dismisses incorrect responses or misperceptions and rarely scaffolds student learning. The teacher is more interested in students providing the correct answer than understanding. Feedback is perfunctory. The teacher may not provide opportunities to learn whether students understand or are interested. The teacher rarely questions students or asks them to explain their thinking and reasons for their responses. The teacher does not or rarely provides information that might expand student understanding and rarely offers encouragement that increases student effort and persistence.</w:t>
      </w:r>
    </w:p>
    <w:p w14:paraId="17B82F6C" w14:textId="77777777" w:rsidR="007303EE" w:rsidRPr="00797379" w:rsidRDefault="007303EE" w:rsidP="00B47EFA">
      <w:pPr>
        <w:pStyle w:val="BodyTextposthead"/>
      </w:pPr>
      <w:r w:rsidRPr="00797379">
        <w:rPr>
          <w:rStyle w:val="BodyTextDemiChar"/>
        </w:rPr>
        <w:t>Ratings in the Middle Range.</w:t>
      </w:r>
      <w:r w:rsidRPr="00797379">
        <w:t xml:space="preserve"> In the middle range, the teacher sometimes scaffolds students, but this is not consistent. On occasion, the teacher facilitates feedback loops so that students may elaborate and expand on their thinking, but these moments are not sustained long enough to accomplish a learning objective. Sometimes, the teacher asks students about or prompts them to explain their thinking and provides information to help students understand, but sometimes the feedback is perfunctory. At times, the teacher encourages student efforts and persistence.</w:t>
      </w:r>
    </w:p>
    <w:p w14:paraId="6DE8E617" w14:textId="35CC9D16" w:rsidR="007303EE" w:rsidRPr="00797379" w:rsidRDefault="007303EE" w:rsidP="00B47EFA">
      <w:pPr>
        <w:pStyle w:val="BodyTextposthead"/>
      </w:pPr>
      <w:r w:rsidRPr="00797379">
        <w:rPr>
          <w:rStyle w:val="BodyTextDemiChar"/>
        </w:rPr>
        <w:t>Ratings in the High Range.</w:t>
      </w:r>
      <w:r w:rsidRPr="00797379">
        <w:t xml:space="preserve"> In this range, the teacher frequently scaffolds students who are having difficulty, providing hints or assistance as needed. The teacher engages students in feedback loops to help them understand ideas or reach the right response. The teacher often questions students, encourages them to explain their thinking, and provides additional information that may help students understand. The teacher regularly encourages students’ efforts and persistence.</w:t>
      </w:r>
      <w:r w:rsidRPr="00797379">
        <w:br w:type="page"/>
      </w:r>
    </w:p>
    <w:p w14:paraId="1ACFFBEA" w14:textId="77777777" w:rsidR="007303EE" w:rsidRPr="00797379" w:rsidRDefault="007303EE" w:rsidP="00DB6F03">
      <w:pPr>
        <w:pStyle w:val="Heading2-SIOR"/>
        <w:outlineLvl w:val="2"/>
      </w:pPr>
      <w:bookmarkStart w:id="183" w:name="_Toc411329837"/>
      <w:bookmarkStart w:id="184" w:name="_Toc430114886"/>
      <w:bookmarkStart w:id="185" w:name="_Toc220931756"/>
      <w:r w:rsidRPr="00797379">
        <w:t>Language Modeling</w:t>
      </w:r>
      <w:bookmarkEnd w:id="183"/>
      <w:bookmarkEnd w:id="184"/>
      <w:bookmarkEnd w:id="185"/>
    </w:p>
    <w:p w14:paraId="380007B7" w14:textId="77777777" w:rsidR="007303EE" w:rsidRPr="00797379" w:rsidRDefault="007303EE">
      <w:pPr>
        <w:pStyle w:val="BodyTextDomain"/>
      </w:pPr>
      <w:r w:rsidRPr="00797379">
        <w:t>Instructional Support domain, Grades PK</w:t>
      </w:r>
      <w:r w:rsidRPr="00797379">
        <w:rPr>
          <w:rFonts w:ascii="Vijaya" w:hAnsi="Vijaya" w:cs="Vijaya"/>
        </w:rPr>
        <w:t>−</w:t>
      </w:r>
      <w:r w:rsidRPr="00797379">
        <w:t xml:space="preserve">3 </w:t>
      </w:r>
    </w:p>
    <w:p w14:paraId="7434CACC" w14:textId="77777777" w:rsidR="007303EE" w:rsidRPr="00797379" w:rsidRDefault="007303EE" w:rsidP="00B47EFA">
      <w:pPr>
        <w:pStyle w:val="BodyTextposthead"/>
      </w:pPr>
      <w:r w:rsidRPr="00797379">
        <w:t>Language Modeling refers to the quality and amount of the teacher’s use of language stimulation and language facilitation techniques (</w:t>
      </w:r>
      <w:r w:rsidRPr="00797379">
        <w:rPr>
          <w:i/>
        </w:rPr>
        <w:t>CLASS PK–3 Manual</w:t>
      </w:r>
      <w:r w:rsidRPr="00797379">
        <w:t>, p. 79).</w:t>
      </w:r>
    </w:p>
    <w:p w14:paraId="2854F3B7" w14:textId="77777777" w:rsidR="007303EE" w:rsidRPr="00797379" w:rsidRDefault="007303EE" w:rsidP="00B47EFA">
      <w:pPr>
        <w:pStyle w:val="TableTitle0"/>
      </w:pPr>
      <w:bookmarkStart w:id="186" w:name="_Toc220932429"/>
      <w:r w:rsidRPr="00797379">
        <w:t>Table 14. Language Modeling: Number of Classrooms for Each Rating and District Average</w:t>
      </w:r>
      <w:bookmarkEnd w:id="186"/>
    </w:p>
    <w:p w14:paraId="5E1673D8" w14:textId="77777777" w:rsidR="007303EE" w:rsidRPr="00797379" w:rsidRDefault="007303EE">
      <w:pPr>
        <w:pStyle w:val="BodyTextDemi"/>
      </w:pPr>
      <w:r w:rsidRPr="00797379">
        <w:t xml:space="preserve">Language Modeling District Average*: </w:t>
      </w:r>
      <w:bookmarkStart w:id="187" w:name="Dist_LM_Avg"/>
      <w:r w:rsidRPr="00797379">
        <w:t>3.5</w:t>
      </w:r>
      <w:bookmarkEnd w:id="187"/>
    </w:p>
    <w:tbl>
      <w:tblPr>
        <w:tblStyle w:val="MSVTable1"/>
        <w:tblW w:w="5000" w:type="pct"/>
        <w:jc w:val="center"/>
        <w:tblLook w:val="04A0" w:firstRow="1" w:lastRow="0" w:firstColumn="1" w:lastColumn="0" w:noHBand="0" w:noVBand="1"/>
      </w:tblPr>
      <w:tblGrid>
        <w:gridCol w:w="1431"/>
        <w:gridCol w:w="874"/>
        <w:gridCol w:w="874"/>
        <w:gridCol w:w="874"/>
        <w:gridCol w:w="875"/>
        <w:gridCol w:w="875"/>
        <w:gridCol w:w="874"/>
        <w:gridCol w:w="875"/>
        <w:gridCol w:w="900"/>
        <w:gridCol w:w="892"/>
      </w:tblGrid>
      <w:tr w:rsidR="00794436" w:rsidRPr="00E359BF" w14:paraId="670C1A34" w14:textId="77777777" w:rsidTr="00FB1C07">
        <w:trPr>
          <w:cnfStyle w:val="100000000000" w:firstRow="1" w:lastRow="0" w:firstColumn="0" w:lastColumn="0" w:oddVBand="0" w:evenVBand="0" w:oddHBand="0" w:evenHBand="0" w:firstRowFirstColumn="0" w:firstRowLastColumn="0" w:lastRowFirstColumn="0" w:lastRowLastColumn="0"/>
          <w:jc w:val="center"/>
        </w:trPr>
        <w:tc>
          <w:tcPr>
            <w:tcW w:w="1431" w:type="dxa"/>
            <w:vAlign w:val="center"/>
          </w:tcPr>
          <w:p w14:paraId="116DE1B6" w14:textId="77777777" w:rsidR="00794436" w:rsidRPr="00E359BF" w:rsidRDefault="00794436" w:rsidP="00FB1C07">
            <w:pPr>
              <w:pStyle w:val="TableColHeadingCenter"/>
              <w:rPr>
                <w:rFonts w:eastAsia="MS Mincho"/>
              </w:rPr>
            </w:pPr>
            <w:r>
              <w:rPr>
                <w:rFonts w:eastAsia="MS Mincho"/>
              </w:rPr>
              <w:t>Grade Band</w:t>
            </w:r>
          </w:p>
        </w:tc>
        <w:tc>
          <w:tcPr>
            <w:tcW w:w="874" w:type="dxa"/>
            <w:vAlign w:val="center"/>
          </w:tcPr>
          <w:p w14:paraId="3F78B8B1" w14:textId="77777777" w:rsidR="00794436" w:rsidRPr="00E359BF" w:rsidRDefault="00794436" w:rsidP="00FB1C07">
            <w:pPr>
              <w:pStyle w:val="TableColHeadingCenter"/>
              <w:rPr>
                <w:rFonts w:eastAsia="MS Mincho"/>
              </w:rPr>
            </w:pPr>
            <w:r w:rsidRPr="00E359BF">
              <w:rPr>
                <w:rFonts w:eastAsia="MS Mincho"/>
              </w:rPr>
              <w:t>Low Range</w:t>
            </w:r>
            <w:r>
              <w:rPr>
                <w:rFonts w:eastAsia="MS Mincho"/>
              </w:rPr>
              <w:t xml:space="preserve"> (1)</w:t>
            </w:r>
          </w:p>
        </w:tc>
        <w:tc>
          <w:tcPr>
            <w:tcW w:w="874" w:type="dxa"/>
            <w:vAlign w:val="center"/>
          </w:tcPr>
          <w:p w14:paraId="15523346" w14:textId="77777777" w:rsidR="00794436" w:rsidRPr="00E359BF" w:rsidRDefault="00794436" w:rsidP="00FB1C07">
            <w:pPr>
              <w:pStyle w:val="TableColHeadingCenter"/>
              <w:rPr>
                <w:rFonts w:eastAsia="MS Mincho"/>
              </w:rPr>
            </w:pPr>
            <w:r w:rsidRPr="00E359BF">
              <w:rPr>
                <w:rFonts w:eastAsia="MS Mincho"/>
              </w:rPr>
              <w:t>Low Range</w:t>
            </w:r>
            <w:r>
              <w:rPr>
                <w:rFonts w:eastAsia="MS Mincho"/>
              </w:rPr>
              <w:t xml:space="preserve"> (2)</w:t>
            </w:r>
          </w:p>
        </w:tc>
        <w:tc>
          <w:tcPr>
            <w:tcW w:w="874" w:type="dxa"/>
            <w:vAlign w:val="center"/>
          </w:tcPr>
          <w:p w14:paraId="0D85B729" w14:textId="77777777" w:rsidR="00794436" w:rsidRPr="00E359BF" w:rsidRDefault="00794436" w:rsidP="00FB1C07">
            <w:pPr>
              <w:pStyle w:val="TableColHeadingCenter"/>
              <w:rPr>
                <w:rFonts w:eastAsia="MS Mincho"/>
              </w:rPr>
            </w:pPr>
            <w:r w:rsidRPr="00E359BF">
              <w:rPr>
                <w:rFonts w:eastAsia="MS Mincho"/>
              </w:rPr>
              <w:t>Middle Range</w:t>
            </w:r>
            <w:r>
              <w:rPr>
                <w:rFonts w:eastAsia="MS Mincho"/>
              </w:rPr>
              <w:t xml:space="preserve"> (3)</w:t>
            </w:r>
          </w:p>
        </w:tc>
        <w:tc>
          <w:tcPr>
            <w:tcW w:w="875" w:type="dxa"/>
            <w:vAlign w:val="center"/>
          </w:tcPr>
          <w:p w14:paraId="5DD0523F" w14:textId="77777777" w:rsidR="00794436" w:rsidRPr="00E359BF" w:rsidRDefault="00794436" w:rsidP="00FB1C07">
            <w:pPr>
              <w:pStyle w:val="TableColHeadingCenter"/>
              <w:rPr>
                <w:rFonts w:eastAsia="MS Mincho"/>
              </w:rPr>
            </w:pPr>
            <w:r w:rsidRPr="00E359BF">
              <w:rPr>
                <w:rFonts w:eastAsia="MS Mincho"/>
              </w:rPr>
              <w:t>Middle Range</w:t>
            </w:r>
            <w:r>
              <w:rPr>
                <w:rFonts w:eastAsia="MS Mincho"/>
              </w:rPr>
              <w:t xml:space="preserve"> (4)</w:t>
            </w:r>
          </w:p>
        </w:tc>
        <w:tc>
          <w:tcPr>
            <w:tcW w:w="875" w:type="dxa"/>
            <w:vAlign w:val="center"/>
          </w:tcPr>
          <w:p w14:paraId="1BF01720" w14:textId="77777777" w:rsidR="00794436" w:rsidRPr="00E359BF" w:rsidRDefault="00794436" w:rsidP="00FB1C07">
            <w:pPr>
              <w:pStyle w:val="TableColHeadingCenter"/>
              <w:rPr>
                <w:rFonts w:eastAsia="MS Mincho"/>
              </w:rPr>
            </w:pPr>
            <w:r w:rsidRPr="00E359BF">
              <w:rPr>
                <w:rFonts w:eastAsia="MS Mincho"/>
              </w:rPr>
              <w:t>Middle Range</w:t>
            </w:r>
            <w:r>
              <w:rPr>
                <w:rFonts w:eastAsia="MS Mincho"/>
              </w:rPr>
              <w:t xml:space="preserve"> (5)</w:t>
            </w:r>
          </w:p>
        </w:tc>
        <w:tc>
          <w:tcPr>
            <w:tcW w:w="874" w:type="dxa"/>
            <w:vAlign w:val="center"/>
          </w:tcPr>
          <w:p w14:paraId="64B3F11A" w14:textId="77777777" w:rsidR="00794436" w:rsidRPr="00E359BF" w:rsidRDefault="00794436" w:rsidP="00FB1C07">
            <w:pPr>
              <w:pStyle w:val="TableColHeadingCenter"/>
              <w:rPr>
                <w:rFonts w:eastAsia="MS Mincho"/>
              </w:rPr>
            </w:pPr>
            <w:r w:rsidRPr="00E359BF">
              <w:rPr>
                <w:rFonts w:eastAsia="MS Mincho"/>
              </w:rPr>
              <w:t>High Range</w:t>
            </w:r>
            <w:r>
              <w:rPr>
                <w:rFonts w:eastAsia="MS Mincho"/>
              </w:rPr>
              <w:t xml:space="preserve"> (6)</w:t>
            </w:r>
          </w:p>
        </w:tc>
        <w:tc>
          <w:tcPr>
            <w:tcW w:w="875" w:type="dxa"/>
            <w:vAlign w:val="center"/>
          </w:tcPr>
          <w:p w14:paraId="66356169" w14:textId="77777777" w:rsidR="00794436" w:rsidRPr="00E359BF" w:rsidRDefault="00794436" w:rsidP="00FB1C07">
            <w:pPr>
              <w:pStyle w:val="TableColHeadingCenter"/>
              <w:rPr>
                <w:rFonts w:eastAsia="MS Mincho"/>
              </w:rPr>
            </w:pPr>
            <w:r w:rsidRPr="00E359BF">
              <w:rPr>
                <w:rFonts w:eastAsia="MS Mincho"/>
              </w:rPr>
              <w:t>High Range</w:t>
            </w:r>
            <w:r>
              <w:rPr>
                <w:rFonts w:eastAsia="MS Mincho"/>
              </w:rPr>
              <w:t xml:space="preserve"> (7)</w:t>
            </w:r>
          </w:p>
        </w:tc>
        <w:tc>
          <w:tcPr>
            <w:tcW w:w="900" w:type="dxa"/>
            <w:vAlign w:val="center"/>
          </w:tcPr>
          <w:p w14:paraId="28E6F9B9" w14:textId="77777777" w:rsidR="00794436" w:rsidRPr="00E359BF" w:rsidRDefault="00794436" w:rsidP="00FB1C07">
            <w:pPr>
              <w:pStyle w:val="TableColHeadingCenter"/>
              <w:rPr>
                <w:rFonts w:eastAsia="MS Mincho"/>
              </w:rPr>
            </w:pPr>
            <w:r>
              <w:rPr>
                <w:rFonts w:eastAsia="MS Mincho"/>
              </w:rPr>
              <w:t>n</w:t>
            </w:r>
          </w:p>
        </w:tc>
        <w:tc>
          <w:tcPr>
            <w:tcW w:w="892" w:type="dxa"/>
            <w:vAlign w:val="center"/>
          </w:tcPr>
          <w:p w14:paraId="4006FC5C" w14:textId="77777777" w:rsidR="00794436" w:rsidRPr="00E359BF" w:rsidRDefault="00794436" w:rsidP="00FB1C07">
            <w:pPr>
              <w:pStyle w:val="TableColHeadingCenter"/>
              <w:rPr>
                <w:rFonts w:eastAsia="MS Mincho"/>
              </w:rPr>
            </w:pPr>
            <w:r>
              <w:rPr>
                <w:rFonts w:eastAsia="MS Mincho"/>
              </w:rPr>
              <w:t>Average</w:t>
            </w:r>
          </w:p>
        </w:tc>
      </w:tr>
      <w:tr w:rsidR="00794436" w:rsidRPr="00E359BF" w14:paraId="2B793F16" w14:textId="77777777" w:rsidTr="00FB1C07">
        <w:trPr>
          <w:cnfStyle w:val="000000100000" w:firstRow="0" w:lastRow="0" w:firstColumn="0" w:lastColumn="0" w:oddVBand="0" w:evenVBand="0" w:oddHBand="1" w:evenHBand="0" w:firstRowFirstColumn="0" w:firstRowLastColumn="0" w:lastRowFirstColumn="0" w:lastRowLastColumn="0"/>
          <w:jc w:val="center"/>
        </w:trPr>
        <w:tc>
          <w:tcPr>
            <w:tcW w:w="1431" w:type="dxa"/>
            <w:shd w:val="clear" w:color="auto" w:fill="FFFFFF" w:themeFill="background1"/>
          </w:tcPr>
          <w:p w14:paraId="5656335A" w14:textId="77777777" w:rsidR="00794436" w:rsidRPr="00E359BF" w:rsidRDefault="00794436" w:rsidP="00FB1C07">
            <w:pPr>
              <w:pStyle w:val="TableText"/>
            </w:pPr>
            <w:r>
              <w:t>Grades PK-3**</w:t>
            </w:r>
          </w:p>
        </w:tc>
        <w:tc>
          <w:tcPr>
            <w:tcW w:w="874" w:type="dxa"/>
            <w:shd w:val="clear" w:color="auto" w:fill="FFFFFF" w:themeFill="background1"/>
          </w:tcPr>
          <w:p w14:paraId="43FCE434" w14:textId="77777777" w:rsidR="00794436" w:rsidRPr="00E359BF" w:rsidRDefault="00794436" w:rsidP="00FB1C07">
            <w:pPr>
              <w:pStyle w:val="TableTextCentered"/>
              <w:rPr>
                <w:rFonts w:eastAsia="Times New Roman"/>
              </w:rPr>
            </w:pPr>
            <w:r>
              <w:rPr>
                <w:rFonts w:eastAsia="Times New Roman"/>
              </w:rPr>
              <w:t>0</w:t>
            </w:r>
          </w:p>
        </w:tc>
        <w:tc>
          <w:tcPr>
            <w:tcW w:w="874" w:type="dxa"/>
            <w:shd w:val="clear" w:color="auto" w:fill="FFFFFF" w:themeFill="background1"/>
          </w:tcPr>
          <w:p w14:paraId="57CB76EE" w14:textId="77777777" w:rsidR="00794436" w:rsidRPr="00E359BF" w:rsidRDefault="00794436" w:rsidP="00FB1C07">
            <w:pPr>
              <w:pStyle w:val="TableTextCentered"/>
              <w:rPr>
                <w:rFonts w:eastAsia="Times New Roman"/>
              </w:rPr>
            </w:pPr>
            <w:r>
              <w:rPr>
                <w:rFonts w:eastAsia="Times New Roman"/>
              </w:rPr>
              <w:t>6</w:t>
            </w:r>
          </w:p>
        </w:tc>
        <w:tc>
          <w:tcPr>
            <w:tcW w:w="874" w:type="dxa"/>
            <w:shd w:val="clear" w:color="auto" w:fill="FFFFFF" w:themeFill="background1"/>
          </w:tcPr>
          <w:p w14:paraId="339E72B6" w14:textId="77777777" w:rsidR="00794436" w:rsidRPr="00E359BF" w:rsidRDefault="00794436" w:rsidP="00FB1C07">
            <w:pPr>
              <w:pStyle w:val="TableTextCentered"/>
              <w:rPr>
                <w:rFonts w:eastAsia="Times New Roman"/>
              </w:rPr>
            </w:pPr>
            <w:r>
              <w:rPr>
                <w:rFonts w:eastAsia="Times New Roman"/>
              </w:rPr>
              <w:t>5</w:t>
            </w:r>
          </w:p>
        </w:tc>
        <w:tc>
          <w:tcPr>
            <w:tcW w:w="875" w:type="dxa"/>
            <w:shd w:val="clear" w:color="auto" w:fill="FFFFFF" w:themeFill="background1"/>
          </w:tcPr>
          <w:p w14:paraId="60A37952" w14:textId="77777777" w:rsidR="00794436" w:rsidRPr="00E359BF" w:rsidRDefault="00794436" w:rsidP="00FB1C07">
            <w:pPr>
              <w:pStyle w:val="TableTextCentered"/>
              <w:rPr>
                <w:rFonts w:eastAsia="Times New Roman"/>
              </w:rPr>
            </w:pPr>
            <w:r>
              <w:rPr>
                <w:rFonts w:eastAsia="Times New Roman"/>
              </w:rPr>
              <w:t>3</w:t>
            </w:r>
          </w:p>
        </w:tc>
        <w:tc>
          <w:tcPr>
            <w:tcW w:w="875" w:type="dxa"/>
            <w:shd w:val="clear" w:color="auto" w:fill="FFFFFF" w:themeFill="background1"/>
          </w:tcPr>
          <w:p w14:paraId="7A722A62" w14:textId="77777777" w:rsidR="00794436" w:rsidRPr="00E359BF" w:rsidRDefault="00794436" w:rsidP="00FB1C07">
            <w:pPr>
              <w:pStyle w:val="TableTextCentered"/>
              <w:rPr>
                <w:rFonts w:eastAsia="Times New Roman"/>
              </w:rPr>
            </w:pPr>
            <w:r>
              <w:rPr>
                <w:rFonts w:eastAsia="Times New Roman"/>
              </w:rPr>
              <w:t>7</w:t>
            </w:r>
          </w:p>
        </w:tc>
        <w:tc>
          <w:tcPr>
            <w:tcW w:w="874" w:type="dxa"/>
            <w:shd w:val="clear" w:color="auto" w:fill="FFFFFF" w:themeFill="background1"/>
          </w:tcPr>
          <w:p w14:paraId="08D0EB83" w14:textId="77777777" w:rsidR="00794436" w:rsidRPr="00E359BF" w:rsidRDefault="00794436" w:rsidP="00FB1C07">
            <w:pPr>
              <w:pStyle w:val="TableTextCentered"/>
              <w:rPr>
                <w:rFonts w:eastAsia="Times New Roman"/>
              </w:rPr>
            </w:pPr>
            <w:r>
              <w:rPr>
                <w:rFonts w:eastAsia="Times New Roman"/>
              </w:rPr>
              <w:t>0</w:t>
            </w:r>
          </w:p>
        </w:tc>
        <w:tc>
          <w:tcPr>
            <w:tcW w:w="875" w:type="dxa"/>
            <w:shd w:val="clear" w:color="auto" w:fill="FFFFFF" w:themeFill="background1"/>
          </w:tcPr>
          <w:p w14:paraId="51E7C872" w14:textId="77777777" w:rsidR="00794436" w:rsidRPr="00E359BF" w:rsidRDefault="00794436" w:rsidP="00FB1C07">
            <w:pPr>
              <w:pStyle w:val="TableTextCentered"/>
              <w:rPr>
                <w:rFonts w:eastAsia="Times New Roman"/>
              </w:rPr>
            </w:pPr>
            <w:r>
              <w:rPr>
                <w:rFonts w:eastAsia="Times New Roman"/>
              </w:rPr>
              <w:t>0</w:t>
            </w:r>
          </w:p>
        </w:tc>
        <w:tc>
          <w:tcPr>
            <w:tcW w:w="900" w:type="dxa"/>
            <w:shd w:val="clear" w:color="auto" w:fill="FFFFFF" w:themeFill="background1"/>
          </w:tcPr>
          <w:p w14:paraId="44019EAC" w14:textId="77777777" w:rsidR="00794436" w:rsidRPr="00E359BF" w:rsidRDefault="00794436" w:rsidP="00FB1C07">
            <w:pPr>
              <w:pStyle w:val="TableTextCentered"/>
              <w:rPr>
                <w:rFonts w:eastAsia="Times New Roman"/>
              </w:rPr>
            </w:pPr>
            <w:r>
              <w:rPr>
                <w:rFonts w:eastAsia="Times New Roman"/>
              </w:rPr>
              <w:t>21</w:t>
            </w:r>
          </w:p>
        </w:tc>
        <w:tc>
          <w:tcPr>
            <w:tcW w:w="892" w:type="dxa"/>
            <w:shd w:val="clear" w:color="auto" w:fill="FFFFFF" w:themeFill="background1"/>
          </w:tcPr>
          <w:p w14:paraId="0D30FD7C" w14:textId="77777777" w:rsidR="00794436" w:rsidRPr="00E359BF" w:rsidRDefault="00794436" w:rsidP="00FB1C07">
            <w:pPr>
              <w:pStyle w:val="TableTextCentered"/>
              <w:rPr>
                <w:rFonts w:eastAsia="Times New Roman"/>
              </w:rPr>
            </w:pPr>
            <w:r>
              <w:rPr>
                <w:rFonts w:eastAsia="Times New Roman"/>
              </w:rPr>
              <w:t>3.5</w:t>
            </w:r>
          </w:p>
        </w:tc>
      </w:tr>
    </w:tbl>
    <w:p w14:paraId="63DE9BE6" w14:textId="6A0098E2" w:rsidR="007303EE" w:rsidRPr="00797379" w:rsidRDefault="007303EE" w:rsidP="00B47EFA">
      <w:pPr>
        <w:pStyle w:val="TableNote"/>
      </w:pPr>
      <w:r w:rsidRPr="00797379">
        <w:t xml:space="preserve">*The district average is an average of the observation scores. In Table 14, the district average is computed as: </w:t>
      </w:r>
      <w:bookmarkStart w:id="188" w:name="Dist_LM_Calc"/>
      <w:r w:rsidRPr="00797379">
        <w:t>([2 x 6] + [3 x 5] + [4 x 3] + [5 x 7]) ÷ 21 observations = 3.5</w:t>
      </w:r>
      <w:bookmarkEnd w:id="188"/>
    </w:p>
    <w:p w14:paraId="6E0FB17A" w14:textId="77777777" w:rsidR="007303EE" w:rsidRPr="00797379" w:rsidRDefault="007303EE" w:rsidP="00B47EFA">
      <w:pPr>
        <w:pStyle w:val="TableNote"/>
      </w:pPr>
      <w:r w:rsidRPr="00797379">
        <w:t>**Language Modeling does not appear in the CLASS Upper Elementary Manual, therefore scores for the Elementary School Level represent grades PK-3 only.</w:t>
      </w:r>
    </w:p>
    <w:p w14:paraId="6B1876E0" w14:textId="74DB1650" w:rsidR="007303EE" w:rsidRPr="00797379" w:rsidRDefault="007303EE" w:rsidP="00B47EFA">
      <w:pPr>
        <w:pStyle w:val="BodyText"/>
      </w:pPr>
      <w:r w:rsidRPr="00797379">
        <w:rPr>
          <w:rStyle w:val="BodyTextDemiChar"/>
        </w:rPr>
        <w:t>Ratings in the Low Range.</w:t>
      </w:r>
      <w:r w:rsidRPr="00797379">
        <w:t xml:space="preserve"> In the low range, there are few conversations in the classroom, particularly between the students and the teacher. The teacher responds to students’ initiating talk with only a few words, limits students’ use of language (in responding to questions) and asks questions that mainly elicit closed-ended responses. The teacher does not or rarely extends students’ responses or repeats them for clarification. The teacher does not engage in self-talk or parallel talk—explaining what he or she or the students are doing. The teacher does not use new words or advanced language with students. The language used has little variety.</w:t>
      </w:r>
    </w:p>
    <w:p w14:paraId="24955C66" w14:textId="46F66059" w:rsidR="007303EE" w:rsidRPr="00797379" w:rsidRDefault="007303EE" w:rsidP="00B47EFA">
      <w:pPr>
        <w:pStyle w:val="BodyTextposthead"/>
      </w:pPr>
      <w:r w:rsidRPr="00797379">
        <w:rPr>
          <w:rStyle w:val="BodyTextDemiChar"/>
        </w:rPr>
        <w:t>Ratings in the Middle Range.</w:t>
      </w:r>
      <w:r w:rsidRPr="00797379">
        <w:t xml:space="preserve"> In this range, the teacher talks with students and shows some interest in students, but the conversations are limited and not prolonged. Usually, the teacher directs the conversations, although the conversations may focus on topics of interest to students. More often, there is a basic exchange of information but limited conversation. The teacher asks a mix of closed- and open-ended questions, although the closed-ended questions may require only short responses. Sometimes, the teacher extends students’ responses or repeats what students say. Sometimes, the teacher maps his or her own actions and the students’ actions through language and description. The teacher sometimes uses advanced language with students.</w:t>
      </w:r>
    </w:p>
    <w:p w14:paraId="1106739F" w14:textId="0E5C5ADE" w:rsidR="00B47EFA" w:rsidRPr="00797379" w:rsidRDefault="007303EE" w:rsidP="00B47EFA">
      <w:pPr>
        <w:pStyle w:val="BodyTextposthead"/>
      </w:pPr>
      <w:r w:rsidRPr="00797379">
        <w:rPr>
          <w:rStyle w:val="BodyTextDemiChar"/>
        </w:rPr>
        <w:t>Ratings in the High Range.</w:t>
      </w:r>
      <w:r w:rsidRPr="00797379">
        <w:rPr>
          <w:b/>
        </w:rPr>
        <w:t xml:space="preserve"> </w:t>
      </w:r>
      <w:r w:rsidRPr="00797379">
        <w:t>There are frequent conversations in the classroom, particularly between students and the teacher, and these conversations promote language use. Students are encouraged to converse and feel they are valued conversational partners. The teacher asks many open-ended questions that require students to communicate more complex ideas. The teacher often extends or repeats student responses. Frequently, the teacher maps his or her actions and student actions descriptively and uses advanced language with students.</w:t>
      </w:r>
      <w:r w:rsidR="00B47EFA" w:rsidRPr="00797379">
        <w:br w:type="page"/>
      </w:r>
    </w:p>
    <w:p w14:paraId="3F8E67F0" w14:textId="456476A7" w:rsidR="007303EE" w:rsidRPr="00DB6F03" w:rsidRDefault="007303EE" w:rsidP="00DB6F03">
      <w:pPr>
        <w:pStyle w:val="Heading2-SIOR"/>
        <w:outlineLvl w:val="2"/>
      </w:pPr>
      <w:bookmarkStart w:id="189" w:name="_Toc379881745"/>
      <w:bookmarkStart w:id="190" w:name="_Toc411329838"/>
      <w:bookmarkStart w:id="191" w:name="_Toc430114887"/>
      <w:bookmarkStart w:id="192" w:name="_Toc220931757"/>
      <w:r w:rsidRPr="00DB6F03">
        <w:t>Instructional Dialogue</w:t>
      </w:r>
      <w:bookmarkEnd w:id="189"/>
      <w:bookmarkEnd w:id="190"/>
      <w:bookmarkEnd w:id="191"/>
      <w:bookmarkEnd w:id="192"/>
    </w:p>
    <w:p w14:paraId="55363F79" w14:textId="77777777" w:rsidR="007303EE" w:rsidRPr="00797379" w:rsidRDefault="007303EE">
      <w:pPr>
        <w:pStyle w:val="BodyTextDomain"/>
        <w:rPr>
          <w:lang w:val="fr-FR"/>
        </w:rPr>
      </w:pPr>
      <w:r w:rsidRPr="00797379">
        <w:rPr>
          <w:lang w:val="fr-FR"/>
        </w:rPr>
        <w:t>Instructional Support domain, Grades 4</w:t>
      </w:r>
      <w:r w:rsidRPr="00797379">
        <w:rPr>
          <w:rFonts w:ascii="Vijaya" w:hAnsi="Vijaya" w:cs="Vijaya"/>
          <w:lang w:val="fr-FR"/>
        </w:rPr>
        <w:t>−</w:t>
      </w:r>
      <w:r w:rsidRPr="00797379">
        <w:rPr>
          <w:lang w:val="fr-FR"/>
        </w:rPr>
        <w:t>12</w:t>
      </w:r>
    </w:p>
    <w:p w14:paraId="1D2DE445" w14:textId="77777777" w:rsidR="007303EE" w:rsidRPr="00797379" w:rsidRDefault="007303EE" w:rsidP="00B47EFA">
      <w:pPr>
        <w:pStyle w:val="BodyTextposthead"/>
      </w:pPr>
      <w:r w:rsidRPr="00797379">
        <w:t>Instructional Dialogue captures the purposeful use of content-focused discussion among teachers and students that is cumulative, with the teacher supporting students to chain ideas together in ways that lead to deeper understanding of content. Students take an active role in these dialogues, and both the teacher and students use strategies that facilitate extended dialogue (</w:t>
      </w:r>
      <w:r w:rsidRPr="00797379">
        <w:rPr>
          <w:i/>
        </w:rPr>
        <w:t>CLASS Upper Elementary Manual</w:t>
      </w:r>
      <w:r w:rsidRPr="00797379">
        <w:t xml:space="preserve">, p. 97, </w:t>
      </w:r>
      <w:r w:rsidRPr="00797379">
        <w:rPr>
          <w:i/>
        </w:rPr>
        <w:t>CLASS Secondary Manual</w:t>
      </w:r>
      <w:r w:rsidRPr="00797379">
        <w:t>, p. 101).</w:t>
      </w:r>
    </w:p>
    <w:p w14:paraId="049AE058" w14:textId="77777777" w:rsidR="007303EE" w:rsidRPr="00797379" w:rsidRDefault="007303EE" w:rsidP="008A3A98">
      <w:pPr>
        <w:pStyle w:val="TableTitle0"/>
        <w:spacing w:before="120"/>
      </w:pPr>
      <w:bookmarkStart w:id="193" w:name="_Toc220932430"/>
      <w:r w:rsidRPr="00797379">
        <w:t>Table 15. Instructional Dialogue: Number of Classrooms for Each Rating and District Average</w:t>
      </w:r>
      <w:bookmarkEnd w:id="193"/>
    </w:p>
    <w:p w14:paraId="449D4910" w14:textId="77777777" w:rsidR="007303EE" w:rsidRPr="00797379" w:rsidRDefault="007303EE" w:rsidP="008A3A98">
      <w:pPr>
        <w:pStyle w:val="BodyTextDemi"/>
        <w:spacing w:before="120" w:after="0"/>
      </w:pPr>
      <w:r w:rsidRPr="00797379">
        <w:t xml:space="preserve">Instructional Dialogue District Average*: </w:t>
      </w:r>
      <w:bookmarkStart w:id="194" w:name="Dist_ID_Avg"/>
      <w:r w:rsidRPr="00797379">
        <w:t>3.5</w:t>
      </w:r>
      <w:bookmarkEnd w:id="194"/>
    </w:p>
    <w:tbl>
      <w:tblPr>
        <w:tblStyle w:val="MSVTable1"/>
        <w:tblW w:w="5000" w:type="pct"/>
        <w:jc w:val="center"/>
        <w:tblLook w:val="04A0" w:firstRow="1" w:lastRow="0" w:firstColumn="1" w:lastColumn="0" w:noHBand="0" w:noVBand="1"/>
      </w:tblPr>
      <w:tblGrid>
        <w:gridCol w:w="1431"/>
        <w:gridCol w:w="874"/>
        <w:gridCol w:w="874"/>
        <w:gridCol w:w="874"/>
        <w:gridCol w:w="875"/>
        <w:gridCol w:w="875"/>
        <w:gridCol w:w="874"/>
        <w:gridCol w:w="875"/>
        <w:gridCol w:w="900"/>
        <w:gridCol w:w="892"/>
      </w:tblGrid>
      <w:tr w:rsidR="00FB77F0" w:rsidRPr="00E359BF" w14:paraId="42A98A6D" w14:textId="77777777" w:rsidTr="00FB1C07">
        <w:trPr>
          <w:cnfStyle w:val="100000000000" w:firstRow="1" w:lastRow="0" w:firstColumn="0" w:lastColumn="0" w:oddVBand="0" w:evenVBand="0" w:oddHBand="0" w:evenHBand="0" w:firstRowFirstColumn="0" w:firstRowLastColumn="0" w:lastRowFirstColumn="0" w:lastRowLastColumn="0"/>
          <w:jc w:val="center"/>
        </w:trPr>
        <w:tc>
          <w:tcPr>
            <w:tcW w:w="1431" w:type="dxa"/>
            <w:vAlign w:val="center"/>
          </w:tcPr>
          <w:p w14:paraId="07996A5E" w14:textId="77777777" w:rsidR="00FB77F0" w:rsidRPr="00E359BF" w:rsidRDefault="00FB77F0" w:rsidP="00FB1C07">
            <w:pPr>
              <w:pStyle w:val="TableColHeadingCenter"/>
              <w:rPr>
                <w:rFonts w:eastAsia="MS Mincho"/>
              </w:rPr>
            </w:pPr>
            <w:bookmarkStart w:id="195" w:name="Tbl_ID"/>
            <w:r>
              <w:rPr>
                <w:rFonts w:eastAsia="MS Mincho"/>
              </w:rPr>
              <w:t>Grade Band</w:t>
            </w:r>
          </w:p>
        </w:tc>
        <w:tc>
          <w:tcPr>
            <w:tcW w:w="874" w:type="dxa"/>
            <w:vAlign w:val="center"/>
          </w:tcPr>
          <w:p w14:paraId="239246AE" w14:textId="77777777" w:rsidR="00FB77F0" w:rsidRPr="00E359BF" w:rsidRDefault="00FB77F0" w:rsidP="00FB1C07">
            <w:pPr>
              <w:pStyle w:val="TableColHeadingCenter"/>
              <w:rPr>
                <w:rFonts w:eastAsia="MS Mincho"/>
              </w:rPr>
            </w:pPr>
            <w:r w:rsidRPr="00E359BF">
              <w:rPr>
                <w:rFonts w:eastAsia="MS Mincho"/>
              </w:rPr>
              <w:t>Low Range</w:t>
            </w:r>
            <w:r>
              <w:rPr>
                <w:rFonts w:eastAsia="MS Mincho"/>
              </w:rPr>
              <w:t xml:space="preserve"> (1)</w:t>
            </w:r>
          </w:p>
        </w:tc>
        <w:tc>
          <w:tcPr>
            <w:tcW w:w="874" w:type="dxa"/>
            <w:vAlign w:val="center"/>
          </w:tcPr>
          <w:p w14:paraId="3DAE5355" w14:textId="77777777" w:rsidR="00FB77F0" w:rsidRPr="00E359BF" w:rsidRDefault="00FB77F0" w:rsidP="00FB1C07">
            <w:pPr>
              <w:pStyle w:val="TableColHeadingCenter"/>
              <w:rPr>
                <w:rFonts w:eastAsia="MS Mincho"/>
              </w:rPr>
            </w:pPr>
            <w:r w:rsidRPr="00E359BF">
              <w:rPr>
                <w:rFonts w:eastAsia="MS Mincho"/>
              </w:rPr>
              <w:t>Low Range</w:t>
            </w:r>
            <w:r>
              <w:rPr>
                <w:rFonts w:eastAsia="MS Mincho"/>
              </w:rPr>
              <w:t xml:space="preserve"> (2)</w:t>
            </w:r>
          </w:p>
        </w:tc>
        <w:tc>
          <w:tcPr>
            <w:tcW w:w="874" w:type="dxa"/>
            <w:vAlign w:val="center"/>
          </w:tcPr>
          <w:p w14:paraId="63BFC0B7" w14:textId="77777777" w:rsidR="00FB77F0" w:rsidRPr="00E359BF" w:rsidRDefault="00FB77F0" w:rsidP="00FB1C07">
            <w:pPr>
              <w:pStyle w:val="TableColHeadingCenter"/>
              <w:rPr>
                <w:rFonts w:eastAsia="MS Mincho"/>
              </w:rPr>
            </w:pPr>
            <w:r w:rsidRPr="00E359BF">
              <w:rPr>
                <w:rFonts w:eastAsia="MS Mincho"/>
              </w:rPr>
              <w:t>Middle Range</w:t>
            </w:r>
            <w:r>
              <w:rPr>
                <w:rFonts w:eastAsia="MS Mincho"/>
              </w:rPr>
              <w:t xml:space="preserve"> (3)</w:t>
            </w:r>
          </w:p>
        </w:tc>
        <w:tc>
          <w:tcPr>
            <w:tcW w:w="875" w:type="dxa"/>
            <w:vAlign w:val="center"/>
          </w:tcPr>
          <w:p w14:paraId="4E510858" w14:textId="77777777" w:rsidR="00FB77F0" w:rsidRPr="00E359BF" w:rsidRDefault="00FB77F0" w:rsidP="00FB1C07">
            <w:pPr>
              <w:pStyle w:val="TableColHeadingCenter"/>
              <w:rPr>
                <w:rFonts w:eastAsia="MS Mincho"/>
              </w:rPr>
            </w:pPr>
            <w:r w:rsidRPr="00E359BF">
              <w:rPr>
                <w:rFonts w:eastAsia="MS Mincho"/>
              </w:rPr>
              <w:t>Middle Range</w:t>
            </w:r>
            <w:r>
              <w:rPr>
                <w:rFonts w:eastAsia="MS Mincho"/>
              </w:rPr>
              <w:t xml:space="preserve"> (4)</w:t>
            </w:r>
          </w:p>
        </w:tc>
        <w:tc>
          <w:tcPr>
            <w:tcW w:w="875" w:type="dxa"/>
            <w:vAlign w:val="center"/>
          </w:tcPr>
          <w:p w14:paraId="15B9E5F9" w14:textId="77777777" w:rsidR="00FB77F0" w:rsidRPr="00E359BF" w:rsidRDefault="00FB77F0" w:rsidP="00FB1C07">
            <w:pPr>
              <w:pStyle w:val="TableColHeadingCenter"/>
              <w:rPr>
                <w:rFonts w:eastAsia="MS Mincho"/>
              </w:rPr>
            </w:pPr>
            <w:r w:rsidRPr="00E359BF">
              <w:rPr>
                <w:rFonts w:eastAsia="MS Mincho"/>
              </w:rPr>
              <w:t>Middle Range</w:t>
            </w:r>
            <w:r>
              <w:rPr>
                <w:rFonts w:eastAsia="MS Mincho"/>
              </w:rPr>
              <w:t xml:space="preserve"> (5)</w:t>
            </w:r>
          </w:p>
        </w:tc>
        <w:tc>
          <w:tcPr>
            <w:tcW w:w="874" w:type="dxa"/>
            <w:vAlign w:val="center"/>
          </w:tcPr>
          <w:p w14:paraId="17B8384F" w14:textId="77777777" w:rsidR="00FB77F0" w:rsidRPr="00E359BF" w:rsidRDefault="00FB77F0" w:rsidP="00FB1C07">
            <w:pPr>
              <w:pStyle w:val="TableColHeadingCenter"/>
              <w:rPr>
                <w:rFonts w:eastAsia="MS Mincho"/>
              </w:rPr>
            </w:pPr>
            <w:r w:rsidRPr="00E359BF">
              <w:rPr>
                <w:rFonts w:eastAsia="MS Mincho"/>
              </w:rPr>
              <w:t>High Range</w:t>
            </w:r>
            <w:r>
              <w:rPr>
                <w:rFonts w:eastAsia="MS Mincho"/>
              </w:rPr>
              <w:t xml:space="preserve"> (6)</w:t>
            </w:r>
          </w:p>
        </w:tc>
        <w:tc>
          <w:tcPr>
            <w:tcW w:w="875" w:type="dxa"/>
            <w:vAlign w:val="center"/>
          </w:tcPr>
          <w:p w14:paraId="1154E0AE" w14:textId="77777777" w:rsidR="00FB77F0" w:rsidRPr="00E359BF" w:rsidRDefault="00FB77F0" w:rsidP="00FB1C07">
            <w:pPr>
              <w:pStyle w:val="TableColHeadingCenter"/>
              <w:rPr>
                <w:rFonts w:eastAsia="MS Mincho"/>
              </w:rPr>
            </w:pPr>
            <w:r w:rsidRPr="00E359BF">
              <w:rPr>
                <w:rFonts w:eastAsia="MS Mincho"/>
              </w:rPr>
              <w:t>High Range</w:t>
            </w:r>
            <w:r>
              <w:rPr>
                <w:rFonts w:eastAsia="MS Mincho"/>
              </w:rPr>
              <w:t xml:space="preserve"> (7)</w:t>
            </w:r>
          </w:p>
        </w:tc>
        <w:tc>
          <w:tcPr>
            <w:tcW w:w="900" w:type="dxa"/>
            <w:vAlign w:val="center"/>
          </w:tcPr>
          <w:p w14:paraId="003C2C9C" w14:textId="77777777" w:rsidR="00FB77F0" w:rsidRPr="00E359BF" w:rsidRDefault="00FB77F0" w:rsidP="00FB1C07">
            <w:pPr>
              <w:pStyle w:val="TableColHeadingCenter"/>
              <w:rPr>
                <w:rFonts w:eastAsia="MS Mincho"/>
              </w:rPr>
            </w:pPr>
            <w:r>
              <w:rPr>
                <w:rFonts w:eastAsia="MS Mincho"/>
              </w:rPr>
              <w:t>n</w:t>
            </w:r>
          </w:p>
        </w:tc>
        <w:tc>
          <w:tcPr>
            <w:tcW w:w="892" w:type="dxa"/>
            <w:vAlign w:val="center"/>
          </w:tcPr>
          <w:p w14:paraId="1F881565" w14:textId="77777777" w:rsidR="00FB77F0" w:rsidRPr="00E359BF" w:rsidRDefault="00FB77F0" w:rsidP="00FB1C07">
            <w:pPr>
              <w:pStyle w:val="TableColHeadingCenter"/>
              <w:rPr>
                <w:rFonts w:eastAsia="MS Mincho"/>
              </w:rPr>
            </w:pPr>
            <w:r>
              <w:rPr>
                <w:rFonts w:eastAsia="MS Mincho"/>
              </w:rPr>
              <w:t>Average</w:t>
            </w:r>
          </w:p>
        </w:tc>
      </w:tr>
      <w:tr w:rsidR="00FB77F0" w:rsidRPr="00E359BF" w14:paraId="713C4D14" w14:textId="77777777" w:rsidTr="00FB1C07">
        <w:trPr>
          <w:cnfStyle w:val="000000100000" w:firstRow="0" w:lastRow="0" w:firstColumn="0" w:lastColumn="0" w:oddVBand="0" w:evenVBand="0" w:oddHBand="1" w:evenHBand="0" w:firstRowFirstColumn="0" w:firstRowLastColumn="0" w:lastRowFirstColumn="0" w:lastRowLastColumn="0"/>
          <w:jc w:val="center"/>
        </w:trPr>
        <w:tc>
          <w:tcPr>
            <w:tcW w:w="1431" w:type="dxa"/>
            <w:shd w:val="clear" w:color="auto" w:fill="FFFFFF" w:themeFill="background1"/>
          </w:tcPr>
          <w:p w14:paraId="7D304B70" w14:textId="77777777" w:rsidR="00FB77F0" w:rsidRPr="00E359BF" w:rsidRDefault="00FB77F0" w:rsidP="00FB1C07">
            <w:pPr>
              <w:pStyle w:val="TableText"/>
            </w:pPr>
            <w:r>
              <w:t>Grades 4-5**</w:t>
            </w:r>
          </w:p>
        </w:tc>
        <w:tc>
          <w:tcPr>
            <w:tcW w:w="874" w:type="dxa"/>
            <w:shd w:val="clear" w:color="auto" w:fill="FFFFFF" w:themeFill="background1"/>
          </w:tcPr>
          <w:p w14:paraId="40CB11B5" w14:textId="77777777" w:rsidR="00FB77F0" w:rsidRPr="00E359BF" w:rsidRDefault="00FB77F0" w:rsidP="00FB1C07">
            <w:pPr>
              <w:pStyle w:val="TableTextCentered"/>
              <w:rPr>
                <w:rFonts w:eastAsia="Times New Roman"/>
              </w:rPr>
            </w:pPr>
            <w:r>
              <w:rPr>
                <w:rFonts w:eastAsia="Times New Roman"/>
              </w:rPr>
              <w:t>0</w:t>
            </w:r>
          </w:p>
        </w:tc>
        <w:tc>
          <w:tcPr>
            <w:tcW w:w="874" w:type="dxa"/>
            <w:shd w:val="clear" w:color="auto" w:fill="FFFFFF" w:themeFill="background1"/>
          </w:tcPr>
          <w:p w14:paraId="497316B5" w14:textId="77777777" w:rsidR="00FB77F0" w:rsidRPr="00E359BF" w:rsidRDefault="00FB77F0" w:rsidP="00FB1C07">
            <w:pPr>
              <w:pStyle w:val="TableTextCentered"/>
              <w:rPr>
                <w:rFonts w:eastAsia="Times New Roman"/>
              </w:rPr>
            </w:pPr>
            <w:r>
              <w:rPr>
                <w:rFonts w:eastAsia="Times New Roman"/>
              </w:rPr>
              <w:t>1</w:t>
            </w:r>
          </w:p>
        </w:tc>
        <w:tc>
          <w:tcPr>
            <w:tcW w:w="874" w:type="dxa"/>
            <w:shd w:val="clear" w:color="auto" w:fill="FFFFFF" w:themeFill="background1"/>
          </w:tcPr>
          <w:p w14:paraId="5F3B024E" w14:textId="77777777" w:rsidR="00FB77F0" w:rsidRPr="00E359BF" w:rsidRDefault="00FB77F0" w:rsidP="00FB1C07">
            <w:pPr>
              <w:pStyle w:val="TableTextCentered"/>
              <w:rPr>
                <w:rFonts w:eastAsia="Times New Roman"/>
              </w:rPr>
            </w:pPr>
            <w:r>
              <w:rPr>
                <w:rFonts w:eastAsia="Times New Roman"/>
              </w:rPr>
              <w:t>4</w:t>
            </w:r>
          </w:p>
        </w:tc>
        <w:tc>
          <w:tcPr>
            <w:tcW w:w="875" w:type="dxa"/>
            <w:shd w:val="clear" w:color="auto" w:fill="FFFFFF" w:themeFill="background1"/>
          </w:tcPr>
          <w:p w14:paraId="75D46165" w14:textId="77777777" w:rsidR="00FB77F0" w:rsidRPr="00E359BF" w:rsidRDefault="00FB77F0" w:rsidP="00FB1C07">
            <w:pPr>
              <w:pStyle w:val="TableTextCentered"/>
              <w:rPr>
                <w:rFonts w:eastAsia="Times New Roman"/>
              </w:rPr>
            </w:pPr>
            <w:r>
              <w:rPr>
                <w:rFonts w:eastAsia="Times New Roman"/>
              </w:rPr>
              <w:t>5</w:t>
            </w:r>
          </w:p>
        </w:tc>
        <w:tc>
          <w:tcPr>
            <w:tcW w:w="875" w:type="dxa"/>
            <w:shd w:val="clear" w:color="auto" w:fill="FFFFFF" w:themeFill="background1"/>
          </w:tcPr>
          <w:p w14:paraId="6FA95194" w14:textId="77777777" w:rsidR="00FB77F0" w:rsidRPr="00E359BF" w:rsidRDefault="00FB77F0" w:rsidP="00FB1C07">
            <w:pPr>
              <w:pStyle w:val="TableTextCentered"/>
              <w:rPr>
                <w:rFonts w:eastAsia="Times New Roman"/>
              </w:rPr>
            </w:pPr>
            <w:r>
              <w:rPr>
                <w:rFonts w:eastAsia="Times New Roman"/>
              </w:rPr>
              <w:t>2</w:t>
            </w:r>
          </w:p>
        </w:tc>
        <w:tc>
          <w:tcPr>
            <w:tcW w:w="874" w:type="dxa"/>
            <w:shd w:val="clear" w:color="auto" w:fill="FFFFFF" w:themeFill="background1"/>
          </w:tcPr>
          <w:p w14:paraId="4DAB9E90" w14:textId="77777777" w:rsidR="00FB77F0" w:rsidRPr="00E359BF" w:rsidRDefault="00FB77F0" w:rsidP="00FB1C07">
            <w:pPr>
              <w:pStyle w:val="TableTextCentered"/>
              <w:rPr>
                <w:rFonts w:eastAsia="Times New Roman"/>
              </w:rPr>
            </w:pPr>
            <w:r>
              <w:rPr>
                <w:rFonts w:eastAsia="Times New Roman"/>
              </w:rPr>
              <w:t>1</w:t>
            </w:r>
          </w:p>
        </w:tc>
        <w:tc>
          <w:tcPr>
            <w:tcW w:w="875" w:type="dxa"/>
            <w:shd w:val="clear" w:color="auto" w:fill="FFFFFF" w:themeFill="background1"/>
          </w:tcPr>
          <w:p w14:paraId="4BEEE7A2" w14:textId="77777777" w:rsidR="00FB77F0" w:rsidRPr="00E359BF" w:rsidRDefault="00FB77F0" w:rsidP="00FB1C07">
            <w:pPr>
              <w:pStyle w:val="TableTextCentered"/>
              <w:rPr>
                <w:rFonts w:eastAsia="Times New Roman"/>
              </w:rPr>
            </w:pPr>
            <w:r>
              <w:rPr>
                <w:rFonts w:eastAsia="Times New Roman"/>
              </w:rPr>
              <w:t>0</w:t>
            </w:r>
          </w:p>
        </w:tc>
        <w:tc>
          <w:tcPr>
            <w:tcW w:w="900" w:type="dxa"/>
            <w:shd w:val="clear" w:color="auto" w:fill="FFFFFF" w:themeFill="background1"/>
          </w:tcPr>
          <w:p w14:paraId="27390C38" w14:textId="77777777" w:rsidR="00FB77F0" w:rsidRPr="00E359BF" w:rsidRDefault="00FB77F0" w:rsidP="00FB1C07">
            <w:pPr>
              <w:pStyle w:val="TableTextCentered"/>
              <w:rPr>
                <w:rFonts w:eastAsia="Times New Roman"/>
              </w:rPr>
            </w:pPr>
            <w:r>
              <w:rPr>
                <w:rFonts w:eastAsia="Times New Roman"/>
              </w:rPr>
              <w:t>13</w:t>
            </w:r>
          </w:p>
        </w:tc>
        <w:tc>
          <w:tcPr>
            <w:tcW w:w="892" w:type="dxa"/>
            <w:shd w:val="clear" w:color="auto" w:fill="FFFFFF" w:themeFill="background1"/>
          </w:tcPr>
          <w:p w14:paraId="52967611" w14:textId="77777777" w:rsidR="00FB77F0" w:rsidRPr="00E359BF" w:rsidRDefault="00FB77F0" w:rsidP="00FB1C07">
            <w:pPr>
              <w:pStyle w:val="TableTextCentered"/>
              <w:rPr>
                <w:rFonts w:eastAsia="Times New Roman"/>
              </w:rPr>
            </w:pPr>
            <w:r>
              <w:rPr>
                <w:rFonts w:eastAsia="Times New Roman"/>
              </w:rPr>
              <w:t>3.8</w:t>
            </w:r>
          </w:p>
        </w:tc>
      </w:tr>
      <w:tr w:rsidR="00FB77F0" w:rsidRPr="00E359BF" w14:paraId="7BBB4026" w14:textId="77777777" w:rsidTr="00FB1C07">
        <w:trPr>
          <w:jc w:val="center"/>
        </w:trPr>
        <w:tc>
          <w:tcPr>
            <w:tcW w:w="1431" w:type="dxa"/>
            <w:shd w:val="clear" w:color="auto" w:fill="DEEAF6" w:themeFill="accent1" w:themeFillTint="33"/>
          </w:tcPr>
          <w:p w14:paraId="3165EF7A" w14:textId="77777777" w:rsidR="00FB77F0" w:rsidRPr="00E359BF" w:rsidRDefault="00FB77F0" w:rsidP="00FB1C07">
            <w:pPr>
              <w:pStyle w:val="TableText"/>
            </w:pPr>
            <w:r>
              <w:t>Grades 6-8</w:t>
            </w:r>
          </w:p>
        </w:tc>
        <w:tc>
          <w:tcPr>
            <w:tcW w:w="874" w:type="dxa"/>
            <w:shd w:val="clear" w:color="auto" w:fill="DEEAF6" w:themeFill="accent1" w:themeFillTint="33"/>
          </w:tcPr>
          <w:p w14:paraId="2EA0F4DC" w14:textId="77777777" w:rsidR="00FB77F0" w:rsidRPr="00E359BF" w:rsidRDefault="00FB77F0" w:rsidP="00FB1C07">
            <w:pPr>
              <w:pStyle w:val="TableTextCentered"/>
              <w:rPr>
                <w:rFonts w:eastAsia="Times New Roman"/>
              </w:rPr>
            </w:pPr>
            <w:r>
              <w:rPr>
                <w:rFonts w:eastAsia="Times New Roman"/>
              </w:rPr>
              <w:t>1</w:t>
            </w:r>
          </w:p>
        </w:tc>
        <w:tc>
          <w:tcPr>
            <w:tcW w:w="874" w:type="dxa"/>
            <w:shd w:val="clear" w:color="auto" w:fill="DEEAF6" w:themeFill="accent1" w:themeFillTint="33"/>
          </w:tcPr>
          <w:p w14:paraId="6FDE7815" w14:textId="77777777" w:rsidR="00FB77F0" w:rsidRPr="00E359BF" w:rsidRDefault="00FB77F0" w:rsidP="00FB1C07">
            <w:pPr>
              <w:pStyle w:val="TableTextCentered"/>
              <w:rPr>
                <w:rFonts w:eastAsia="Times New Roman"/>
              </w:rPr>
            </w:pPr>
            <w:r>
              <w:rPr>
                <w:rFonts w:eastAsia="Times New Roman"/>
              </w:rPr>
              <w:t>4</w:t>
            </w:r>
          </w:p>
        </w:tc>
        <w:tc>
          <w:tcPr>
            <w:tcW w:w="874" w:type="dxa"/>
            <w:shd w:val="clear" w:color="auto" w:fill="DEEAF6" w:themeFill="accent1" w:themeFillTint="33"/>
          </w:tcPr>
          <w:p w14:paraId="44B1A781" w14:textId="77777777" w:rsidR="00FB77F0" w:rsidRPr="00E359BF" w:rsidRDefault="00FB77F0" w:rsidP="00FB1C07">
            <w:pPr>
              <w:pStyle w:val="TableTextCentered"/>
              <w:rPr>
                <w:rFonts w:eastAsia="Times New Roman"/>
              </w:rPr>
            </w:pPr>
            <w:r>
              <w:rPr>
                <w:rFonts w:eastAsia="Times New Roman"/>
              </w:rPr>
              <w:t>6</w:t>
            </w:r>
          </w:p>
        </w:tc>
        <w:tc>
          <w:tcPr>
            <w:tcW w:w="875" w:type="dxa"/>
            <w:shd w:val="clear" w:color="auto" w:fill="DEEAF6" w:themeFill="accent1" w:themeFillTint="33"/>
          </w:tcPr>
          <w:p w14:paraId="6E73CCAA" w14:textId="77777777" w:rsidR="00FB77F0" w:rsidRPr="00E359BF" w:rsidRDefault="00FB77F0" w:rsidP="00FB1C07">
            <w:pPr>
              <w:pStyle w:val="TableTextCentered"/>
              <w:rPr>
                <w:rFonts w:eastAsia="Times New Roman"/>
              </w:rPr>
            </w:pPr>
            <w:r>
              <w:rPr>
                <w:rFonts w:eastAsia="Times New Roman"/>
              </w:rPr>
              <w:t>3</w:t>
            </w:r>
          </w:p>
        </w:tc>
        <w:tc>
          <w:tcPr>
            <w:tcW w:w="875" w:type="dxa"/>
            <w:shd w:val="clear" w:color="auto" w:fill="DEEAF6" w:themeFill="accent1" w:themeFillTint="33"/>
          </w:tcPr>
          <w:p w14:paraId="6B7F7690" w14:textId="77777777" w:rsidR="00FB77F0" w:rsidRPr="00E359BF" w:rsidRDefault="00FB77F0" w:rsidP="00FB1C07">
            <w:pPr>
              <w:pStyle w:val="TableTextCentered"/>
              <w:rPr>
                <w:rFonts w:eastAsia="Times New Roman"/>
              </w:rPr>
            </w:pPr>
            <w:r>
              <w:rPr>
                <w:rFonts w:eastAsia="Times New Roman"/>
              </w:rPr>
              <w:t>4</w:t>
            </w:r>
          </w:p>
        </w:tc>
        <w:tc>
          <w:tcPr>
            <w:tcW w:w="874" w:type="dxa"/>
            <w:shd w:val="clear" w:color="auto" w:fill="DEEAF6" w:themeFill="accent1" w:themeFillTint="33"/>
          </w:tcPr>
          <w:p w14:paraId="13F4663B" w14:textId="77777777" w:rsidR="00FB77F0" w:rsidRPr="00E359BF" w:rsidRDefault="00FB77F0" w:rsidP="00FB1C07">
            <w:pPr>
              <w:pStyle w:val="TableTextCentered"/>
              <w:rPr>
                <w:rFonts w:eastAsia="Times New Roman"/>
              </w:rPr>
            </w:pPr>
            <w:r>
              <w:rPr>
                <w:rFonts w:eastAsia="Times New Roman"/>
              </w:rPr>
              <w:t>2</w:t>
            </w:r>
          </w:p>
        </w:tc>
        <w:tc>
          <w:tcPr>
            <w:tcW w:w="875" w:type="dxa"/>
            <w:shd w:val="clear" w:color="auto" w:fill="DEEAF6" w:themeFill="accent1" w:themeFillTint="33"/>
          </w:tcPr>
          <w:p w14:paraId="220298E9" w14:textId="77777777" w:rsidR="00FB77F0" w:rsidRPr="00E359BF" w:rsidRDefault="00FB77F0" w:rsidP="00FB1C07">
            <w:pPr>
              <w:pStyle w:val="TableTextCentered"/>
              <w:rPr>
                <w:rFonts w:eastAsia="Times New Roman"/>
              </w:rPr>
            </w:pPr>
            <w:r>
              <w:rPr>
                <w:rFonts w:eastAsia="Times New Roman"/>
              </w:rPr>
              <w:t>0</w:t>
            </w:r>
          </w:p>
        </w:tc>
        <w:tc>
          <w:tcPr>
            <w:tcW w:w="900" w:type="dxa"/>
            <w:shd w:val="clear" w:color="auto" w:fill="DEEAF6" w:themeFill="accent1" w:themeFillTint="33"/>
          </w:tcPr>
          <w:p w14:paraId="58B0F451" w14:textId="77777777" w:rsidR="00FB77F0" w:rsidRPr="00E359BF" w:rsidRDefault="00FB77F0" w:rsidP="00FB1C07">
            <w:pPr>
              <w:pStyle w:val="TableTextCentered"/>
              <w:rPr>
                <w:rFonts w:eastAsia="Times New Roman"/>
              </w:rPr>
            </w:pPr>
            <w:r>
              <w:rPr>
                <w:rFonts w:eastAsia="Times New Roman"/>
              </w:rPr>
              <w:t>20</w:t>
            </w:r>
          </w:p>
        </w:tc>
        <w:tc>
          <w:tcPr>
            <w:tcW w:w="892" w:type="dxa"/>
            <w:shd w:val="clear" w:color="auto" w:fill="DEEAF6" w:themeFill="accent1" w:themeFillTint="33"/>
          </w:tcPr>
          <w:p w14:paraId="1799A0D1" w14:textId="77777777" w:rsidR="00FB77F0" w:rsidRPr="00E359BF" w:rsidRDefault="00FB77F0" w:rsidP="00FB1C07">
            <w:pPr>
              <w:pStyle w:val="TableTextCentered"/>
              <w:rPr>
                <w:rFonts w:eastAsia="Times New Roman"/>
              </w:rPr>
            </w:pPr>
            <w:r>
              <w:rPr>
                <w:rFonts w:eastAsia="Times New Roman"/>
              </w:rPr>
              <w:t>3.6</w:t>
            </w:r>
          </w:p>
        </w:tc>
      </w:tr>
      <w:tr w:rsidR="00FB77F0" w:rsidRPr="00E359BF" w14:paraId="4A058362" w14:textId="77777777" w:rsidTr="00FB1C07">
        <w:trPr>
          <w:cnfStyle w:val="000000100000" w:firstRow="0" w:lastRow="0" w:firstColumn="0" w:lastColumn="0" w:oddVBand="0" w:evenVBand="0" w:oddHBand="1" w:evenHBand="0" w:firstRowFirstColumn="0" w:firstRowLastColumn="0" w:lastRowFirstColumn="0" w:lastRowLastColumn="0"/>
          <w:jc w:val="center"/>
        </w:trPr>
        <w:tc>
          <w:tcPr>
            <w:tcW w:w="1431" w:type="dxa"/>
            <w:shd w:val="clear" w:color="auto" w:fill="FFFFFF" w:themeFill="background1"/>
          </w:tcPr>
          <w:p w14:paraId="5998E3EB" w14:textId="77777777" w:rsidR="00FB77F0" w:rsidRPr="00E359BF" w:rsidRDefault="00FB77F0" w:rsidP="00FB1C07">
            <w:pPr>
              <w:pStyle w:val="TableText"/>
            </w:pPr>
            <w:r>
              <w:t>Grades 9-12</w:t>
            </w:r>
          </w:p>
        </w:tc>
        <w:tc>
          <w:tcPr>
            <w:tcW w:w="874" w:type="dxa"/>
            <w:shd w:val="clear" w:color="auto" w:fill="FFFFFF" w:themeFill="background1"/>
          </w:tcPr>
          <w:p w14:paraId="596CA0C9" w14:textId="77777777" w:rsidR="00FB77F0" w:rsidRPr="00E359BF" w:rsidRDefault="00FB77F0" w:rsidP="00FB1C07">
            <w:pPr>
              <w:pStyle w:val="TableTextCentered"/>
              <w:rPr>
                <w:rFonts w:eastAsia="Times New Roman"/>
              </w:rPr>
            </w:pPr>
            <w:r>
              <w:rPr>
                <w:rFonts w:eastAsia="Times New Roman"/>
              </w:rPr>
              <w:t>1</w:t>
            </w:r>
          </w:p>
        </w:tc>
        <w:tc>
          <w:tcPr>
            <w:tcW w:w="874" w:type="dxa"/>
            <w:shd w:val="clear" w:color="auto" w:fill="FFFFFF" w:themeFill="background1"/>
          </w:tcPr>
          <w:p w14:paraId="376126DF" w14:textId="77777777" w:rsidR="00FB77F0" w:rsidRPr="00E359BF" w:rsidRDefault="00FB77F0" w:rsidP="00FB1C07">
            <w:pPr>
              <w:pStyle w:val="TableTextCentered"/>
              <w:rPr>
                <w:rFonts w:eastAsia="Times New Roman"/>
              </w:rPr>
            </w:pPr>
            <w:r>
              <w:rPr>
                <w:rFonts w:eastAsia="Times New Roman"/>
              </w:rPr>
              <w:t>8</w:t>
            </w:r>
          </w:p>
        </w:tc>
        <w:tc>
          <w:tcPr>
            <w:tcW w:w="874" w:type="dxa"/>
            <w:shd w:val="clear" w:color="auto" w:fill="FFFFFF" w:themeFill="background1"/>
          </w:tcPr>
          <w:p w14:paraId="251D0969" w14:textId="77777777" w:rsidR="00FB77F0" w:rsidRPr="00E359BF" w:rsidRDefault="00FB77F0" w:rsidP="00FB1C07">
            <w:pPr>
              <w:pStyle w:val="TableTextCentered"/>
              <w:rPr>
                <w:rFonts w:eastAsia="Times New Roman"/>
              </w:rPr>
            </w:pPr>
            <w:r>
              <w:rPr>
                <w:rFonts w:eastAsia="Times New Roman"/>
              </w:rPr>
              <w:t>4</w:t>
            </w:r>
          </w:p>
        </w:tc>
        <w:tc>
          <w:tcPr>
            <w:tcW w:w="875" w:type="dxa"/>
            <w:shd w:val="clear" w:color="auto" w:fill="FFFFFF" w:themeFill="background1"/>
          </w:tcPr>
          <w:p w14:paraId="65FED729" w14:textId="77777777" w:rsidR="00FB77F0" w:rsidRPr="00E359BF" w:rsidRDefault="00FB77F0" w:rsidP="00FB1C07">
            <w:pPr>
              <w:pStyle w:val="TableTextCentered"/>
              <w:rPr>
                <w:rFonts w:eastAsia="Times New Roman"/>
              </w:rPr>
            </w:pPr>
            <w:r>
              <w:rPr>
                <w:rFonts w:eastAsia="Times New Roman"/>
              </w:rPr>
              <w:t>2</w:t>
            </w:r>
          </w:p>
        </w:tc>
        <w:tc>
          <w:tcPr>
            <w:tcW w:w="875" w:type="dxa"/>
            <w:shd w:val="clear" w:color="auto" w:fill="FFFFFF" w:themeFill="background1"/>
          </w:tcPr>
          <w:p w14:paraId="7C912DD0" w14:textId="77777777" w:rsidR="00FB77F0" w:rsidRPr="00E359BF" w:rsidRDefault="00FB77F0" w:rsidP="00FB1C07">
            <w:pPr>
              <w:pStyle w:val="TableTextCentered"/>
              <w:rPr>
                <w:rFonts w:eastAsia="Times New Roman"/>
              </w:rPr>
            </w:pPr>
            <w:r>
              <w:rPr>
                <w:rFonts w:eastAsia="Times New Roman"/>
              </w:rPr>
              <w:t>5</w:t>
            </w:r>
          </w:p>
        </w:tc>
        <w:tc>
          <w:tcPr>
            <w:tcW w:w="874" w:type="dxa"/>
            <w:shd w:val="clear" w:color="auto" w:fill="FFFFFF" w:themeFill="background1"/>
          </w:tcPr>
          <w:p w14:paraId="6897704F" w14:textId="77777777" w:rsidR="00FB77F0" w:rsidRPr="00E359BF" w:rsidRDefault="00FB77F0" w:rsidP="00FB1C07">
            <w:pPr>
              <w:pStyle w:val="TableTextCentered"/>
              <w:rPr>
                <w:rFonts w:eastAsia="Times New Roman"/>
              </w:rPr>
            </w:pPr>
            <w:r>
              <w:rPr>
                <w:rFonts w:eastAsia="Times New Roman"/>
              </w:rPr>
              <w:t>0</w:t>
            </w:r>
          </w:p>
        </w:tc>
        <w:tc>
          <w:tcPr>
            <w:tcW w:w="875" w:type="dxa"/>
            <w:shd w:val="clear" w:color="auto" w:fill="FFFFFF" w:themeFill="background1"/>
          </w:tcPr>
          <w:p w14:paraId="14BC6855" w14:textId="77777777" w:rsidR="00FB77F0" w:rsidRPr="00E359BF" w:rsidRDefault="00FB77F0" w:rsidP="00FB1C07">
            <w:pPr>
              <w:pStyle w:val="TableTextCentered"/>
              <w:rPr>
                <w:rFonts w:eastAsia="Times New Roman"/>
              </w:rPr>
            </w:pPr>
            <w:r>
              <w:rPr>
                <w:rFonts w:eastAsia="Times New Roman"/>
              </w:rPr>
              <w:t>0</w:t>
            </w:r>
          </w:p>
        </w:tc>
        <w:tc>
          <w:tcPr>
            <w:tcW w:w="900" w:type="dxa"/>
            <w:shd w:val="clear" w:color="auto" w:fill="FFFFFF" w:themeFill="background1"/>
          </w:tcPr>
          <w:p w14:paraId="1AFB525B" w14:textId="77777777" w:rsidR="00FB77F0" w:rsidRPr="00E359BF" w:rsidRDefault="00FB77F0" w:rsidP="00FB1C07">
            <w:pPr>
              <w:pStyle w:val="TableTextCentered"/>
              <w:rPr>
                <w:rFonts w:eastAsia="Times New Roman"/>
              </w:rPr>
            </w:pPr>
            <w:r>
              <w:rPr>
                <w:rFonts w:eastAsia="Times New Roman"/>
              </w:rPr>
              <w:t>20</w:t>
            </w:r>
          </w:p>
        </w:tc>
        <w:tc>
          <w:tcPr>
            <w:tcW w:w="892" w:type="dxa"/>
            <w:shd w:val="clear" w:color="auto" w:fill="FFFFFF" w:themeFill="background1"/>
          </w:tcPr>
          <w:p w14:paraId="36933FDB" w14:textId="77777777" w:rsidR="00FB77F0" w:rsidRPr="00E359BF" w:rsidRDefault="00FB77F0" w:rsidP="00FB1C07">
            <w:pPr>
              <w:pStyle w:val="TableTextCentered"/>
              <w:rPr>
                <w:rFonts w:eastAsia="Times New Roman"/>
              </w:rPr>
            </w:pPr>
            <w:r>
              <w:rPr>
                <w:rFonts w:eastAsia="Times New Roman"/>
              </w:rPr>
              <w:t>3.1</w:t>
            </w:r>
          </w:p>
        </w:tc>
      </w:tr>
      <w:tr w:rsidR="00FB77F0" w:rsidRPr="00E359BF" w14:paraId="684D75DB" w14:textId="77777777" w:rsidTr="00FB1C07">
        <w:trPr>
          <w:jc w:val="center"/>
        </w:trPr>
        <w:tc>
          <w:tcPr>
            <w:tcW w:w="1431" w:type="dxa"/>
            <w:shd w:val="clear" w:color="auto" w:fill="DEEAF6" w:themeFill="accent1" w:themeFillTint="33"/>
          </w:tcPr>
          <w:p w14:paraId="508E23BD" w14:textId="77777777" w:rsidR="00FB77F0" w:rsidRPr="00B30BCD" w:rsidRDefault="00FB77F0" w:rsidP="00FB1C07">
            <w:pPr>
              <w:pStyle w:val="TableText"/>
              <w:rPr>
                <w:b/>
                <w:bCs/>
              </w:rPr>
            </w:pPr>
            <w:r w:rsidRPr="00B30BCD">
              <w:rPr>
                <w:b/>
                <w:bCs/>
              </w:rPr>
              <w:t>Totals</w:t>
            </w:r>
          </w:p>
        </w:tc>
        <w:tc>
          <w:tcPr>
            <w:tcW w:w="874" w:type="dxa"/>
            <w:shd w:val="clear" w:color="auto" w:fill="DEEAF6" w:themeFill="accent1" w:themeFillTint="33"/>
          </w:tcPr>
          <w:p w14:paraId="77FDDB07" w14:textId="77777777" w:rsidR="00FB77F0" w:rsidRPr="00B30BCD" w:rsidRDefault="00FB77F0" w:rsidP="00FB1C07">
            <w:pPr>
              <w:pStyle w:val="TableTextCentered"/>
              <w:rPr>
                <w:rFonts w:eastAsia="Times New Roman"/>
                <w:b/>
                <w:bCs/>
              </w:rPr>
            </w:pPr>
            <w:r>
              <w:rPr>
                <w:rFonts w:eastAsia="Times New Roman"/>
                <w:b/>
                <w:bCs/>
              </w:rPr>
              <w:t>2</w:t>
            </w:r>
          </w:p>
        </w:tc>
        <w:tc>
          <w:tcPr>
            <w:tcW w:w="874" w:type="dxa"/>
            <w:shd w:val="clear" w:color="auto" w:fill="DEEAF6" w:themeFill="accent1" w:themeFillTint="33"/>
          </w:tcPr>
          <w:p w14:paraId="60C8A5C9" w14:textId="77777777" w:rsidR="00FB77F0" w:rsidRPr="00B30BCD" w:rsidRDefault="00FB77F0" w:rsidP="00FB1C07">
            <w:pPr>
              <w:pStyle w:val="TableTextCentered"/>
              <w:rPr>
                <w:rFonts w:eastAsia="Times New Roman"/>
                <w:b/>
                <w:bCs/>
              </w:rPr>
            </w:pPr>
            <w:r>
              <w:rPr>
                <w:rFonts w:eastAsia="Times New Roman"/>
                <w:b/>
                <w:bCs/>
              </w:rPr>
              <w:t>13</w:t>
            </w:r>
          </w:p>
        </w:tc>
        <w:tc>
          <w:tcPr>
            <w:tcW w:w="874" w:type="dxa"/>
            <w:shd w:val="clear" w:color="auto" w:fill="DEEAF6" w:themeFill="accent1" w:themeFillTint="33"/>
          </w:tcPr>
          <w:p w14:paraId="0C8CEECF" w14:textId="77777777" w:rsidR="00FB77F0" w:rsidRPr="00B30BCD" w:rsidRDefault="00FB77F0" w:rsidP="00FB1C07">
            <w:pPr>
              <w:pStyle w:val="TableTextCentered"/>
              <w:rPr>
                <w:rFonts w:eastAsia="Times New Roman"/>
                <w:b/>
                <w:bCs/>
              </w:rPr>
            </w:pPr>
            <w:r>
              <w:rPr>
                <w:rFonts w:eastAsia="Times New Roman"/>
                <w:b/>
                <w:bCs/>
              </w:rPr>
              <w:t>14</w:t>
            </w:r>
          </w:p>
        </w:tc>
        <w:tc>
          <w:tcPr>
            <w:tcW w:w="875" w:type="dxa"/>
            <w:shd w:val="clear" w:color="auto" w:fill="DEEAF6" w:themeFill="accent1" w:themeFillTint="33"/>
          </w:tcPr>
          <w:p w14:paraId="15B22610" w14:textId="77777777" w:rsidR="00FB77F0" w:rsidRPr="00B30BCD" w:rsidRDefault="00FB77F0" w:rsidP="00FB1C07">
            <w:pPr>
              <w:pStyle w:val="TableTextCentered"/>
              <w:rPr>
                <w:rFonts w:eastAsia="Times New Roman"/>
                <w:b/>
                <w:bCs/>
              </w:rPr>
            </w:pPr>
            <w:r>
              <w:rPr>
                <w:rFonts w:eastAsia="Times New Roman"/>
                <w:b/>
                <w:bCs/>
              </w:rPr>
              <w:t>10</w:t>
            </w:r>
          </w:p>
        </w:tc>
        <w:tc>
          <w:tcPr>
            <w:tcW w:w="875" w:type="dxa"/>
            <w:shd w:val="clear" w:color="auto" w:fill="DEEAF6" w:themeFill="accent1" w:themeFillTint="33"/>
          </w:tcPr>
          <w:p w14:paraId="6E6AE364" w14:textId="77777777" w:rsidR="00FB77F0" w:rsidRPr="00B30BCD" w:rsidRDefault="00FB77F0" w:rsidP="00FB1C07">
            <w:pPr>
              <w:pStyle w:val="TableTextCentered"/>
              <w:rPr>
                <w:rFonts w:eastAsia="Times New Roman"/>
                <w:b/>
                <w:bCs/>
              </w:rPr>
            </w:pPr>
            <w:r>
              <w:rPr>
                <w:rFonts w:eastAsia="Times New Roman"/>
                <w:b/>
                <w:bCs/>
              </w:rPr>
              <w:t>11</w:t>
            </w:r>
          </w:p>
        </w:tc>
        <w:tc>
          <w:tcPr>
            <w:tcW w:w="874" w:type="dxa"/>
            <w:shd w:val="clear" w:color="auto" w:fill="DEEAF6" w:themeFill="accent1" w:themeFillTint="33"/>
          </w:tcPr>
          <w:p w14:paraId="15A25A48" w14:textId="77777777" w:rsidR="00FB77F0" w:rsidRPr="00B30BCD" w:rsidRDefault="00FB77F0" w:rsidP="00FB1C07">
            <w:pPr>
              <w:pStyle w:val="TableTextCentered"/>
              <w:rPr>
                <w:rFonts w:eastAsia="Times New Roman"/>
                <w:b/>
                <w:bCs/>
              </w:rPr>
            </w:pPr>
            <w:r>
              <w:rPr>
                <w:rFonts w:eastAsia="Times New Roman"/>
                <w:b/>
                <w:bCs/>
              </w:rPr>
              <w:t>3</w:t>
            </w:r>
          </w:p>
        </w:tc>
        <w:tc>
          <w:tcPr>
            <w:tcW w:w="875" w:type="dxa"/>
            <w:shd w:val="clear" w:color="auto" w:fill="DEEAF6" w:themeFill="accent1" w:themeFillTint="33"/>
          </w:tcPr>
          <w:p w14:paraId="106E45D0" w14:textId="77777777" w:rsidR="00FB77F0" w:rsidRPr="00B30BCD" w:rsidRDefault="00FB77F0" w:rsidP="00FB1C07">
            <w:pPr>
              <w:pStyle w:val="TableTextCentered"/>
              <w:rPr>
                <w:rFonts w:eastAsia="Times New Roman"/>
                <w:b/>
                <w:bCs/>
              </w:rPr>
            </w:pPr>
            <w:r>
              <w:rPr>
                <w:rFonts w:eastAsia="Times New Roman"/>
                <w:b/>
                <w:bCs/>
              </w:rPr>
              <w:t>0</w:t>
            </w:r>
          </w:p>
        </w:tc>
        <w:tc>
          <w:tcPr>
            <w:tcW w:w="900" w:type="dxa"/>
            <w:shd w:val="clear" w:color="auto" w:fill="DEEAF6" w:themeFill="accent1" w:themeFillTint="33"/>
          </w:tcPr>
          <w:p w14:paraId="7179053E" w14:textId="77777777" w:rsidR="00FB77F0" w:rsidRPr="00B30BCD" w:rsidRDefault="00FB77F0" w:rsidP="00FB1C07">
            <w:pPr>
              <w:pStyle w:val="TableTextCentered"/>
              <w:rPr>
                <w:rFonts w:eastAsia="Times New Roman"/>
                <w:b/>
                <w:bCs/>
              </w:rPr>
            </w:pPr>
            <w:r>
              <w:rPr>
                <w:rFonts w:eastAsia="Times New Roman"/>
                <w:b/>
                <w:bCs/>
              </w:rPr>
              <w:t>53</w:t>
            </w:r>
          </w:p>
        </w:tc>
        <w:tc>
          <w:tcPr>
            <w:tcW w:w="892" w:type="dxa"/>
            <w:shd w:val="clear" w:color="auto" w:fill="DEEAF6" w:themeFill="accent1" w:themeFillTint="33"/>
          </w:tcPr>
          <w:p w14:paraId="4ACAFCB5" w14:textId="77777777" w:rsidR="00FB77F0" w:rsidRPr="00B30BCD" w:rsidRDefault="00FB77F0" w:rsidP="00FB1C07">
            <w:pPr>
              <w:pStyle w:val="TableTextCentered"/>
              <w:rPr>
                <w:rFonts w:eastAsia="Times New Roman"/>
                <w:b/>
                <w:bCs/>
              </w:rPr>
            </w:pPr>
            <w:r>
              <w:rPr>
                <w:rFonts w:eastAsia="Times New Roman"/>
                <w:b/>
                <w:bCs/>
              </w:rPr>
              <w:t>3.5</w:t>
            </w:r>
          </w:p>
        </w:tc>
      </w:tr>
    </w:tbl>
    <w:bookmarkEnd w:id="195"/>
    <w:p w14:paraId="772F7FE3" w14:textId="33F6072C" w:rsidR="007303EE" w:rsidRPr="00797379" w:rsidRDefault="007303EE" w:rsidP="00B47EFA">
      <w:pPr>
        <w:pStyle w:val="TableNote"/>
      </w:pPr>
      <w:r w:rsidRPr="00797379">
        <w:t xml:space="preserve">*The district average is an average of the observation scores. In Table 15, the district average is computed as: </w:t>
      </w:r>
      <w:bookmarkStart w:id="196" w:name="Dist_ID_Calc"/>
      <w:r w:rsidRPr="00797379">
        <w:t>([1 x 2] + [2 x 13] + [3 x 14] + [4 x 10] + [5 x 11] + [6 x 3]) ÷ 53 observations = 3.5</w:t>
      </w:r>
      <w:bookmarkEnd w:id="196"/>
    </w:p>
    <w:p w14:paraId="744A13F5" w14:textId="77777777" w:rsidR="007303EE" w:rsidRPr="00797379" w:rsidRDefault="007303EE" w:rsidP="00B47EFA">
      <w:pPr>
        <w:pStyle w:val="TableNote"/>
      </w:pPr>
      <w:r w:rsidRPr="00797379">
        <w:t>**Instructional Dialogue does not appear in the CLASS PK-3 Manual, therefore scores for the Elementary School Level represent grades 4-5 only.</w:t>
      </w:r>
    </w:p>
    <w:p w14:paraId="58EC9ECE" w14:textId="77777777" w:rsidR="007303EE" w:rsidRPr="00797379" w:rsidRDefault="007303EE" w:rsidP="00B47EFA">
      <w:pPr>
        <w:pStyle w:val="BodyText"/>
      </w:pPr>
      <w:r w:rsidRPr="00797379">
        <w:rPr>
          <w:rStyle w:val="BodyTextDemiChar"/>
        </w:rPr>
        <w:t>Ratings in the Low Range.</w:t>
      </w:r>
      <w:r w:rsidRPr="00797379">
        <w:t xml:space="preserve"> At the low range, there are no or few discussions in the class, the discussions are not related to content or skill development, or the discussions contain only simple question-response exchanges between the teacher and students. The class is dominated by teacher talk, and discussion is limited. The teacher and students ask closed-ended questions; rarely acknowledge, report, or extend other students’ comments; and/or appear disinterested in other students’ comments, resulting in many students not being engaged in instructional dialogues.</w:t>
      </w:r>
    </w:p>
    <w:p w14:paraId="089527F8" w14:textId="77777777" w:rsidR="007303EE" w:rsidRPr="00797379" w:rsidRDefault="007303EE" w:rsidP="00B47EFA">
      <w:pPr>
        <w:pStyle w:val="BodyTextposthead"/>
      </w:pPr>
      <w:r w:rsidRPr="00797379">
        <w:rPr>
          <w:rStyle w:val="BodyTextDemiChar"/>
        </w:rPr>
        <w:t>Ratings in the Middle Range.</w:t>
      </w:r>
      <w:r w:rsidRPr="00797379">
        <w:t xml:space="preserve"> At this range, there are occasional content-based discussions in class among teachers and students; however, these exchanges are brief or quickly move from one topic to another without follow-up questions or comments from the teacher and other students. The class is mostly dominated by teacher talk, although there are times when students take a more active role, or there are distributed dialogues that involve only a few students in the class. The teacher and students sometimes facilitate and encourage more elaborate dialogue, but such efforts are brief, inconsistent, or ineffective at consistently engaging students in extended dialogues.</w:t>
      </w:r>
    </w:p>
    <w:p w14:paraId="5D2B147B" w14:textId="472EB235" w:rsidR="00B47EFA" w:rsidRPr="00797379" w:rsidRDefault="007303EE" w:rsidP="00B47EFA">
      <w:pPr>
        <w:pStyle w:val="BodyTextposthead"/>
      </w:pPr>
      <w:r w:rsidRPr="00797379">
        <w:rPr>
          <w:rStyle w:val="BodyTextDemiChar"/>
        </w:rPr>
        <w:t>Ratings in the High Range.</w:t>
      </w:r>
      <w:r w:rsidRPr="00797379">
        <w:rPr>
          <w:b/>
        </w:rPr>
        <w:t xml:space="preserve"> </w:t>
      </w:r>
      <w:r w:rsidRPr="00797379">
        <w:t>At the high range, there are frequent, content-driven discussions in the class between teachers and students or among students. The discussions build depth of knowledge through cumulative, contingent exchanges. The class dialogues are distributed in a way that the teacher and the majority of students take an active role or students are actively engaged in instructional dialogues with each other. The teacher and students frequently use strategies that encourage more elaborate dialogue, such as open-ended questions, repetition or extension, and active listening. Students respond to these techniques by fully participating in extended dialogues.</w:t>
      </w:r>
      <w:r w:rsidR="00B47EFA" w:rsidRPr="00797379">
        <w:br w:type="page"/>
      </w:r>
    </w:p>
    <w:p w14:paraId="58BDA626" w14:textId="77777777" w:rsidR="007303EE" w:rsidRPr="00DB6F03" w:rsidRDefault="007303EE" w:rsidP="00DB6F03">
      <w:pPr>
        <w:pStyle w:val="Heading2-SIOR"/>
        <w:outlineLvl w:val="2"/>
      </w:pPr>
      <w:bookmarkStart w:id="197" w:name="_Toc379881746"/>
      <w:bookmarkStart w:id="198" w:name="_Toc411329839"/>
      <w:bookmarkStart w:id="199" w:name="_Toc430114888"/>
      <w:bookmarkStart w:id="200" w:name="_Toc220931758"/>
      <w:r w:rsidRPr="00DB6F03">
        <w:t>Student Engagement</w:t>
      </w:r>
      <w:bookmarkEnd w:id="197"/>
      <w:bookmarkEnd w:id="198"/>
      <w:bookmarkEnd w:id="199"/>
      <w:bookmarkEnd w:id="200"/>
    </w:p>
    <w:p w14:paraId="7E9BD61E" w14:textId="77777777" w:rsidR="007303EE" w:rsidRPr="00797379" w:rsidRDefault="007303EE">
      <w:pPr>
        <w:pStyle w:val="BodyTextDomain"/>
        <w:rPr>
          <w:lang w:val="fr-FR"/>
        </w:rPr>
      </w:pPr>
      <w:r w:rsidRPr="00797379">
        <w:rPr>
          <w:lang w:val="fr-FR"/>
        </w:rPr>
        <w:t>Student Engagement domain, Grades 4</w:t>
      </w:r>
      <w:r w:rsidRPr="00797379">
        <w:rPr>
          <w:rFonts w:ascii="Vijaya" w:hAnsi="Vijaya" w:cs="Vijaya"/>
          <w:lang w:val="fr-FR"/>
        </w:rPr>
        <w:t>−</w:t>
      </w:r>
      <w:r w:rsidRPr="00797379">
        <w:rPr>
          <w:lang w:val="fr-FR"/>
        </w:rPr>
        <w:t xml:space="preserve">12 </w:t>
      </w:r>
    </w:p>
    <w:p w14:paraId="3B7246B1" w14:textId="42597907" w:rsidR="007303EE" w:rsidRPr="00797379" w:rsidRDefault="007303EE" w:rsidP="00B47EFA">
      <w:pPr>
        <w:pStyle w:val="BodyTextposthead"/>
      </w:pPr>
      <w:r w:rsidRPr="00797379">
        <w:t>Student Engagement refers to the extent to which all students in the class are focused and participating in the learning activity that is presented or facilitated by the teacher. The difference between passive engagement and active engagement is reflected in this rating (</w:t>
      </w:r>
      <w:r w:rsidRPr="00797379">
        <w:rPr>
          <w:i/>
        </w:rPr>
        <w:t>CLASS Upper Elementary Manual</w:t>
      </w:r>
      <w:r w:rsidRPr="00797379">
        <w:t>, p. 105).</w:t>
      </w:r>
    </w:p>
    <w:p w14:paraId="2A0ECFA4" w14:textId="77777777" w:rsidR="007303EE" w:rsidRPr="00797379" w:rsidRDefault="007303EE" w:rsidP="00B47EFA">
      <w:pPr>
        <w:pStyle w:val="TableTitle0"/>
      </w:pPr>
      <w:bookmarkStart w:id="201" w:name="_Toc220932431"/>
      <w:r w:rsidRPr="00797379">
        <w:t>Table 16. Student Engagement: Number of Classrooms for Each Rating and District Average</w:t>
      </w:r>
      <w:bookmarkEnd w:id="201"/>
    </w:p>
    <w:p w14:paraId="15408A2B" w14:textId="77777777" w:rsidR="007303EE" w:rsidRPr="00797379" w:rsidRDefault="007303EE">
      <w:pPr>
        <w:pStyle w:val="BodyTextDemi"/>
      </w:pPr>
      <w:r w:rsidRPr="00797379">
        <w:t xml:space="preserve">Student Engagement District Average*: </w:t>
      </w:r>
      <w:bookmarkStart w:id="202" w:name="Dist_SE_Avg"/>
      <w:r w:rsidRPr="00797379">
        <w:t>5.3</w:t>
      </w:r>
      <w:bookmarkEnd w:id="202"/>
    </w:p>
    <w:tbl>
      <w:tblPr>
        <w:tblStyle w:val="MSVTable1"/>
        <w:tblW w:w="5000" w:type="pct"/>
        <w:jc w:val="center"/>
        <w:tblLook w:val="04A0" w:firstRow="1" w:lastRow="0" w:firstColumn="1" w:lastColumn="0" w:noHBand="0" w:noVBand="1"/>
      </w:tblPr>
      <w:tblGrid>
        <w:gridCol w:w="1431"/>
        <w:gridCol w:w="874"/>
        <w:gridCol w:w="874"/>
        <w:gridCol w:w="874"/>
        <w:gridCol w:w="875"/>
        <w:gridCol w:w="875"/>
        <w:gridCol w:w="874"/>
        <w:gridCol w:w="875"/>
        <w:gridCol w:w="900"/>
        <w:gridCol w:w="892"/>
      </w:tblGrid>
      <w:tr w:rsidR="00C57E8F" w:rsidRPr="00E359BF" w14:paraId="58CC8B42" w14:textId="77777777" w:rsidTr="00FB1C07">
        <w:trPr>
          <w:cnfStyle w:val="100000000000" w:firstRow="1" w:lastRow="0" w:firstColumn="0" w:lastColumn="0" w:oddVBand="0" w:evenVBand="0" w:oddHBand="0" w:evenHBand="0" w:firstRowFirstColumn="0" w:firstRowLastColumn="0" w:lastRowFirstColumn="0" w:lastRowLastColumn="0"/>
          <w:jc w:val="center"/>
        </w:trPr>
        <w:tc>
          <w:tcPr>
            <w:tcW w:w="1431" w:type="dxa"/>
            <w:vAlign w:val="center"/>
          </w:tcPr>
          <w:p w14:paraId="61E05B37" w14:textId="77777777" w:rsidR="00C57E8F" w:rsidRPr="00E359BF" w:rsidRDefault="00C57E8F" w:rsidP="00FB1C07">
            <w:pPr>
              <w:pStyle w:val="TableColHeadingCenter"/>
              <w:rPr>
                <w:rFonts w:eastAsia="MS Mincho"/>
              </w:rPr>
            </w:pPr>
            <w:bookmarkStart w:id="203" w:name="Tbl_SE"/>
            <w:r>
              <w:rPr>
                <w:rFonts w:eastAsia="MS Mincho"/>
              </w:rPr>
              <w:t>Grade Band</w:t>
            </w:r>
          </w:p>
        </w:tc>
        <w:tc>
          <w:tcPr>
            <w:tcW w:w="874" w:type="dxa"/>
            <w:vAlign w:val="center"/>
          </w:tcPr>
          <w:p w14:paraId="77184922" w14:textId="77777777" w:rsidR="00C57E8F" w:rsidRPr="00E359BF" w:rsidRDefault="00C57E8F" w:rsidP="00FB1C07">
            <w:pPr>
              <w:pStyle w:val="TableColHeadingCenter"/>
              <w:rPr>
                <w:rFonts w:eastAsia="MS Mincho"/>
              </w:rPr>
            </w:pPr>
            <w:r w:rsidRPr="00E359BF">
              <w:rPr>
                <w:rFonts w:eastAsia="MS Mincho"/>
              </w:rPr>
              <w:t>Low Range</w:t>
            </w:r>
            <w:r>
              <w:rPr>
                <w:rFonts w:eastAsia="MS Mincho"/>
              </w:rPr>
              <w:t xml:space="preserve"> (1)</w:t>
            </w:r>
          </w:p>
        </w:tc>
        <w:tc>
          <w:tcPr>
            <w:tcW w:w="874" w:type="dxa"/>
            <w:vAlign w:val="center"/>
          </w:tcPr>
          <w:p w14:paraId="79BA9CBA" w14:textId="77777777" w:rsidR="00C57E8F" w:rsidRPr="00E359BF" w:rsidRDefault="00C57E8F" w:rsidP="00FB1C07">
            <w:pPr>
              <w:pStyle w:val="TableColHeadingCenter"/>
              <w:rPr>
                <w:rFonts w:eastAsia="MS Mincho"/>
              </w:rPr>
            </w:pPr>
            <w:r w:rsidRPr="00E359BF">
              <w:rPr>
                <w:rFonts w:eastAsia="MS Mincho"/>
              </w:rPr>
              <w:t>Low Range</w:t>
            </w:r>
            <w:r>
              <w:rPr>
                <w:rFonts w:eastAsia="MS Mincho"/>
              </w:rPr>
              <w:t xml:space="preserve"> (2)</w:t>
            </w:r>
          </w:p>
        </w:tc>
        <w:tc>
          <w:tcPr>
            <w:tcW w:w="874" w:type="dxa"/>
            <w:vAlign w:val="center"/>
          </w:tcPr>
          <w:p w14:paraId="071B83AF" w14:textId="77777777" w:rsidR="00C57E8F" w:rsidRPr="00E359BF" w:rsidRDefault="00C57E8F" w:rsidP="00FB1C07">
            <w:pPr>
              <w:pStyle w:val="TableColHeadingCenter"/>
              <w:rPr>
                <w:rFonts w:eastAsia="MS Mincho"/>
              </w:rPr>
            </w:pPr>
            <w:r w:rsidRPr="00E359BF">
              <w:rPr>
                <w:rFonts w:eastAsia="MS Mincho"/>
              </w:rPr>
              <w:t>Middle Range</w:t>
            </w:r>
            <w:r>
              <w:rPr>
                <w:rFonts w:eastAsia="MS Mincho"/>
              </w:rPr>
              <w:t xml:space="preserve"> (3)</w:t>
            </w:r>
          </w:p>
        </w:tc>
        <w:tc>
          <w:tcPr>
            <w:tcW w:w="875" w:type="dxa"/>
            <w:vAlign w:val="center"/>
          </w:tcPr>
          <w:p w14:paraId="45978AA5" w14:textId="77777777" w:rsidR="00C57E8F" w:rsidRPr="00E359BF" w:rsidRDefault="00C57E8F" w:rsidP="00FB1C07">
            <w:pPr>
              <w:pStyle w:val="TableColHeadingCenter"/>
              <w:rPr>
                <w:rFonts w:eastAsia="MS Mincho"/>
              </w:rPr>
            </w:pPr>
            <w:r w:rsidRPr="00E359BF">
              <w:rPr>
                <w:rFonts w:eastAsia="MS Mincho"/>
              </w:rPr>
              <w:t>Middle Range</w:t>
            </w:r>
            <w:r>
              <w:rPr>
                <w:rFonts w:eastAsia="MS Mincho"/>
              </w:rPr>
              <w:t xml:space="preserve"> (4)</w:t>
            </w:r>
          </w:p>
        </w:tc>
        <w:tc>
          <w:tcPr>
            <w:tcW w:w="875" w:type="dxa"/>
            <w:vAlign w:val="center"/>
          </w:tcPr>
          <w:p w14:paraId="61AEAD03" w14:textId="77777777" w:rsidR="00C57E8F" w:rsidRPr="00E359BF" w:rsidRDefault="00C57E8F" w:rsidP="00FB1C07">
            <w:pPr>
              <w:pStyle w:val="TableColHeadingCenter"/>
              <w:rPr>
                <w:rFonts w:eastAsia="MS Mincho"/>
              </w:rPr>
            </w:pPr>
            <w:r w:rsidRPr="00E359BF">
              <w:rPr>
                <w:rFonts w:eastAsia="MS Mincho"/>
              </w:rPr>
              <w:t>Middle Range</w:t>
            </w:r>
            <w:r>
              <w:rPr>
                <w:rFonts w:eastAsia="MS Mincho"/>
              </w:rPr>
              <w:t xml:space="preserve"> (5)</w:t>
            </w:r>
          </w:p>
        </w:tc>
        <w:tc>
          <w:tcPr>
            <w:tcW w:w="874" w:type="dxa"/>
            <w:vAlign w:val="center"/>
          </w:tcPr>
          <w:p w14:paraId="05303A77" w14:textId="77777777" w:rsidR="00C57E8F" w:rsidRPr="00E359BF" w:rsidRDefault="00C57E8F" w:rsidP="00FB1C07">
            <w:pPr>
              <w:pStyle w:val="TableColHeadingCenter"/>
              <w:rPr>
                <w:rFonts w:eastAsia="MS Mincho"/>
              </w:rPr>
            </w:pPr>
            <w:r w:rsidRPr="00E359BF">
              <w:rPr>
                <w:rFonts w:eastAsia="MS Mincho"/>
              </w:rPr>
              <w:t>High Range</w:t>
            </w:r>
            <w:r>
              <w:rPr>
                <w:rFonts w:eastAsia="MS Mincho"/>
              </w:rPr>
              <w:t xml:space="preserve"> (6)</w:t>
            </w:r>
          </w:p>
        </w:tc>
        <w:tc>
          <w:tcPr>
            <w:tcW w:w="875" w:type="dxa"/>
            <w:vAlign w:val="center"/>
          </w:tcPr>
          <w:p w14:paraId="263F89B3" w14:textId="77777777" w:rsidR="00C57E8F" w:rsidRPr="00E359BF" w:rsidRDefault="00C57E8F" w:rsidP="00FB1C07">
            <w:pPr>
              <w:pStyle w:val="TableColHeadingCenter"/>
              <w:rPr>
                <w:rFonts w:eastAsia="MS Mincho"/>
              </w:rPr>
            </w:pPr>
            <w:r w:rsidRPr="00E359BF">
              <w:rPr>
                <w:rFonts w:eastAsia="MS Mincho"/>
              </w:rPr>
              <w:t>High Range</w:t>
            </w:r>
            <w:r>
              <w:rPr>
                <w:rFonts w:eastAsia="MS Mincho"/>
              </w:rPr>
              <w:t xml:space="preserve"> (7)</w:t>
            </w:r>
          </w:p>
        </w:tc>
        <w:tc>
          <w:tcPr>
            <w:tcW w:w="900" w:type="dxa"/>
            <w:vAlign w:val="center"/>
          </w:tcPr>
          <w:p w14:paraId="6E9260C8" w14:textId="77777777" w:rsidR="00C57E8F" w:rsidRPr="00E359BF" w:rsidRDefault="00C57E8F" w:rsidP="00FB1C07">
            <w:pPr>
              <w:pStyle w:val="TableColHeadingCenter"/>
              <w:rPr>
                <w:rFonts w:eastAsia="MS Mincho"/>
              </w:rPr>
            </w:pPr>
            <w:r>
              <w:rPr>
                <w:rFonts w:eastAsia="MS Mincho"/>
              </w:rPr>
              <w:t>n</w:t>
            </w:r>
          </w:p>
        </w:tc>
        <w:tc>
          <w:tcPr>
            <w:tcW w:w="892" w:type="dxa"/>
            <w:vAlign w:val="center"/>
          </w:tcPr>
          <w:p w14:paraId="0097C0D0" w14:textId="77777777" w:rsidR="00C57E8F" w:rsidRPr="00E359BF" w:rsidRDefault="00C57E8F" w:rsidP="00FB1C07">
            <w:pPr>
              <w:pStyle w:val="TableColHeadingCenter"/>
              <w:rPr>
                <w:rFonts w:eastAsia="MS Mincho"/>
              </w:rPr>
            </w:pPr>
            <w:r>
              <w:rPr>
                <w:rFonts w:eastAsia="MS Mincho"/>
              </w:rPr>
              <w:t>Average</w:t>
            </w:r>
          </w:p>
        </w:tc>
      </w:tr>
      <w:tr w:rsidR="00C57E8F" w:rsidRPr="00E359BF" w14:paraId="75BE46C6" w14:textId="77777777" w:rsidTr="00FB1C07">
        <w:trPr>
          <w:cnfStyle w:val="000000100000" w:firstRow="0" w:lastRow="0" w:firstColumn="0" w:lastColumn="0" w:oddVBand="0" w:evenVBand="0" w:oddHBand="1" w:evenHBand="0" w:firstRowFirstColumn="0" w:firstRowLastColumn="0" w:lastRowFirstColumn="0" w:lastRowLastColumn="0"/>
          <w:jc w:val="center"/>
        </w:trPr>
        <w:tc>
          <w:tcPr>
            <w:tcW w:w="1431" w:type="dxa"/>
            <w:shd w:val="clear" w:color="auto" w:fill="FFFFFF" w:themeFill="background1"/>
          </w:tcPr>
          <w:p w14:paraId="3A073673" w14:textId="77777777" w:rsidR="00C57E8F" w:rsidRPr="00E359BF" w:rsidRDefault="00C57E8F" w:rsidP="00FB1C07">
            <w:pPr>
              <w:pStyle w:val="TableText"/>
            </w:pPr>
            <w:r>
              <w:t>Grades 4-5**</w:t>
            </w:r>
          </w:p>
        </w:tc>
        <w:tc>
          <w:tcPr>
            <w:tcW w:w="874" w:type="dxa"/>
            <w:shd w:val="clear" w:color="auto" w:fill="FFFFFF" w:themeFill="background1"/>
          </w:tcPr>
          <w:p w14:paraId="41C0A60E" w14:textId="77777777" w:rsidR="00C57E8F" w:rsidRPr="00E359BF" w:rsidRDefault="00C57E8F" w:rsidP="00FB1C07">
            <w:pPr>
              <w:pStyle w:val="TableTextCentered"/>
              <w:rPr>
                <w:rFonts w:eastAsia="Times New Roman"/>
              </w:rPr>
            </w:pPr>
            <w:r>
              <w:rPr>
                <w:rFonts w:eastAsia="Times New Roman"/>
              </w:rPr>
              <w:t>0</w:t>
            </w:r>
          </w:p>
        </w:tc>
        <w:tc>
          <w:tcPr>
            <w:tcW w:w="874" w:type="dxa"/>
            <w:shd w:val="clear" w:color="auto" w:fill="FFFFFF" w:themeFill="background1"/>
          </w:tcPr>
          <w:p w14:paraId="16AF3D7B" w14:textId="77777777" w:rsidR="00C57E8F" w:rsidRPr="00E359BF" w:rsidRDefault="00C57E8F" w:rsidP="00FB1C07">
            <w:pPr>
              <w:pStyle w:val="TableTextCentered"/>
              <w:rPr>
                <w:rFonts w:eastAsia="Times New Roman"/>
              </w:rPr>
            </w:pPr>
            <w:r>
              <w:rPr>
                <w:rFonts w:eastAsia="Times New Roman"/>
              </w:rPr>
              <w:t>0</w:t>
            </w:r>
          </w:p>
        </w:tc>
        <w:tc>
          <w:tcPr>
            <w:tcW w:w="874" w:type="dxa"/>
            <w:shd w:val="clear" w:color="auto" w:fill="FFFFFF" w:themeFill="background1"/>
          </w:tcPr>
          <w:p w14:paraId="5BD65BB8" w14:textId="77777777" w:rsidR="00C57E8F" w:rsidRPr="00E359BF" w:rsidRDefault="00C57E8F" w:rsidP="00FB1C07">
            <w:pPr>
              <w:pStyle w:val="TableTextCentered"/>
              <w:rPr>
                <w:rFonts w:eastAsia="Times New Roman"/>
              </w:rPr>
            </w:pPr>
            <w:r>
              <w:rPr>
                <w:rFonts w:eastAsia="Times New Roman"/>
              </w:rPr>
              <w:t>0</w:t>
            </w:r>
          </w:p>
        </w:tc>
        <w:tc>
          <w:tcPr>
            <w:tcW w:w="875" w:type="dxa"/>
            <w:shd w:val="clear" w:color="auto" w:fill="FFFFFF" w:themeFill="background1"/>
          </w:tcPr>
          <w:p w14:paraId="498978FC" w14:textId="77777777" w:rsidR="00C57E8F" w:rsidRPr="00E359BF" w:rsidRDefault="00C57E8F" w:rsidP="00FB1C07">
            <w:pPr>
              <w:pStyle w:val="TableTextCentered"/>
              <w:rPr>
                <w:rFonts w:eastAsia="Times New Roman"/>
              </w:rPr>
            </w:pPr>
            <w:r>
              <w:rPr>
                <w:rFonts w:eastAsia="Times New Roman"/>
              </w:rPr>
              <w:t>1</w:t>
            </w:r>
          </w:p>
        </w:tc>
        <w:tc>
          <w:tcPr>
            <w:tcW w:w="875" w:type="dxa"/>
            <w:shd w:val="clear" w:color="auto" w:fill="FFFFFF" w:themeFill="background1"/>
          </w:tcPr>
          <w:p w14:paraId="39F33EE7" w14:textId="77777777" w:rsidR="00C57E8F" w:rsidRPr="00E359BF" w:rsidRDefault="00C57E8F" w:rsidP="00FB1C07">
            <w:pPr>
              <w:pStyle w:val="TableTextCentered"/>
              <w:rPr>
                <w:rFonts w:eastAsia="Times New Roman"/>
              </w:rPr>
            </w:pPr>
            <w:r>
              <w:rPr>
                <w:rFonts w:eastAsia="Times New Roman"/>
              </w:rPr>
              <w:t>3</w:t>
            </w:r>
          </w:p>
        </w:tc>
        <w:tc>
          <w:tcPr>
            <w:tcW w:w="874" w:type="dxa"/>
            <w:shd w:val="clear" w:color="auto" w:fill="FFFFFF" w:themeFill="background1"/>
          </w:tcPr>
          <w:p w14:paraId="43C0F836" w14:textId="77777777" w:rsidR="00C57E8F" w:rsidRPr="00E359BF" w:rsidRDefault="00C57E8F" w:rsidP="00FB1C07">
            <w:pPr>
              <w:pStyle w:val="TableTextCentered"/>
              <w:rPr>
                <w:rFonts w:eastAsia="Times New Roman"/>
              </w:rPr>
            </w:pPr>
            <w:r>
              <w:rPr>
                <w:rFonts w:eastAsia="Times New Roman"/>
              </w:rPr>
              <w:t>5</w:t>
            </w:r>
          </w:p>
        </w:tc>
        <w:tc>
          <w:tcPr>
            <w:tcW w:w="875" w:type="dxa"/>
            <w:shd w:val="clear" w:color="auto" w:fill="FFFFFF" w:themeFill="background1"/>
          </w:tcPr>
          <w:p w14:paraId="5CFF16B8" w14:textId="77777777" w:rsidR="00C57E8F" w:rsidRPr="00E359BF" w:rsidRDefault="00C57E8F" w:rsidP="00FB1C07">
            <w:pPr>
              <w:pStyle w:val="TableTextCentered"/>
              <w:rPr>
                <w:rFonts w:eastAsia="Times New Roman"/>
              </w:rPr>
            </w:pPr>
            <w:r>
              <w:rPr>
                <w:rFonts w:eastAsia="Times New Roman"/>
              </w:rPr>
              <w:t>4</w:t>
            </w:r>
          </w:p>
        </w:tc>
        <w:tc>
          <w:tcPr>
            <w:tcW w:w="900" w:type="dxa"/>
            <w:shd w:val="clear" w:color="auto" w:fill="FFFFFF" w:themeFill="background1"/>
          </w:tcPr>
          <w:p w14:paraId="41176849" w14:textId="77777777" w:rsidR="00C57E8F" w:rsidRPr="00E359BF" w:rsidRDefault="00C57E8F" w:rsidP="00FB1C07">
            <w:pPr>
              <w:pStyle w:val="TableTextCentered"/>
              <w:rPr>
                <w:rFonts w:eastAsia="Times New Roman"/>
              </w:rPr>
            </w:pPr>
            <w:r>
              <w:rPr>
                <w:rFonts w:eastAsia="Times New Roman"/>
              </w:rPr>
              <w:t>13</w:t>
            </w:r>
          </w:p>
        </w:tc>
        <w:tc>
          <w:tcPr>
            <w:tcW w:w="892" w:type="dxa"/>
            <w:shd w:val="clear" w:color="auto" w:fill="FFFFFF" w:themeFill="background1"/>
          </w:tcPr>
          <w:p w14:paraId="3A089163" w14:textId="77777777" w:rsidR="00C57E8F" w:rsidRPr="00E359BF" w:rsidRDefault="00C57E8F" w:rsidP="00FB1C07">
            <w:pPr>
              <w:pStyle w:val="TableTextCentered"/>
              <w:rPr>
                <w:rFonts w:eastAsia="Times New Roman"/>
              </w:rPr>
            </w:pPr>
            <w:r>
              <w:rPr>
                <w:rFonts w:eastAsia="Times New Roman"/>
              </w:rPr>
              <w:t>5.9</w:t>
            </w:r>
          </w:p>
        </w:tc>
      </w:tr>
      <w:tr w:rsidR="00C57E8F" w:rsidRPr="00E359BF" w14:paraId="38418796" w14:textId="77777777" w:rsidTr="00FB1C07">
        <w:trPr>
          <w:jc w:val="center"/>
        </w:trPr>
        <w:tc>
          <w:tcPr>
            <w:tcW w:w="1431" w:type="dxa"/>
            <w:shd w:val="clear" w:color="auto" w:fill="DEEAF6" w:themeFill="accent1" w:themeFillTint="33"/>
          </w:tcPr>
          <w:p w14:paraId="1FAE0288" w14:textId="77777777" w:rsidR="00C57E8F" w:rsidRPr="00E359BF" w:rsidRDefault="00C57E8F" w:rsidP="00FB1C07">
            <w:pPr>
              <w:pStyle w:val="TableText"/>
            </w:pPr>
            <w:r>
              <w:t>Grades 6-8</w:t>
            </w:r>
          </w:p>
        </w:tc>
        <w:tc>
          <w:tcPr>
            <w:tcW w:w="874" w:type="dxa"/>
            <w:shd w:val="clear" w:color="auto" w:fill="DEEAF6" w:themeFill="accent1" w:themeFillTint="33"/>
          </w:tcPr>
          <w:p w14:paraId="71A3E4C2" w14:textId="77777777" w:rsidR="00C57E8F" w:rsidRPr="00E359BF" w:rsidRDefault="00C57E8F" w:rsidP="00FB1C07">
            <w:pPr>
              <w:pStyle w:val="TableTextCentered"/>
              <w:rPr>
                <w:rFonts w:eastAsia="Times New Roman"/>
              </w:rPr>
            </w:pPr>
            <w:r>
              <w:rPr>
                <w:rFonts w:eastAsia="Times New Roman"/>
              </w:rPr>
              <w:t>0</w:t>
            </w:r>
          </w:p>
        </w:tc>
        <w:tc>
          <w:tcPr>
            <w:tcW w:w="874" w:type="dxa"/>
            <w:shd w:val="clear" w:color="auto" w:fill="DEEAF6" w:themeFill="accent1" w:themeFillTint="33"/>
          </w:tcPr>
          <w:p w14:paraId="378BE003" w14:textId="77777777" w:rsidR="00C57E8F" w:rsidRPr="00E359BF" w:rsidRDefault="00C57E8F" w:rsidP="00FB1C07">
            <w:pPr>
              <w:pStyle w:val="TableTextCentered"/>
              <w:rPr>
                <w:rFonts w:eastAsia="Times New Roman"/>
              </w:rPr>
            </w:pPr>
            <w:r>
              <w:rPr>
                <w:rFonts w:eastAsia="Times New Roman"/>
              </w:rPr>
              <w:t>0</w:t>
            </w:r>
          </w:p>
        </w:tc>
        <w:tc>
          <w:tcPr>
            <w:tcW w:w="874" w:type="dxa"/>
            <w:shd w:val="clear" w:color="auto" w:fill="DEEAF6" w:themeFill="accent1" w:themeFillTint="33"/>
          </w:tcPr>
          <w:p w14:paraId="0C1D9E8C" w14:textId="77777777" w:rsidR="00C57E8F" w:rsidRPr="00E359BF" w:rsidRDefault="00C57E8F" w:rsidP="00FB1C07">
            <w:pPr>
              <w:pStyle w:val="TableTextCentered"/>
              <w:rPr>
                <w:rFonts w:eastAsia="Times New Roman"/>
              </w:rPr>
            </w:pPr>
            <w:r>
              <w:rPr>
                <w:rFonts w:eastAsia="Times New Roman"/>
              </w:rPr>
              <w:t>0</w:t>
            </w:r>
          </w:p>
        </w:tc>
        <w:tc>
          <w:tcPr>
            <w:tcW w:w="875" w:type="dxa"/>
            <w:shd w:val="clear" w:color="auto" w:fill="DEEAF6" w:themeFill="accent1" w:themeFillTint="33"/>
          </w:tcPr>
          <w:p w14:paraId="675810F6" w14:textId="77777777" w:rsidR="00C57E8F" w:rsidRPr="00E359BF" w:rsidRDefault="00C57E8F" w:rsidP="00FB1C07">
            <w:pPr>
              <w:pStyle w:val="TableTextCentered"/>
              <w:rPr>
                <w:rFonts w:eastAsia="Times New Roman"/>
              </w:rPr>
            </w:pPr>
            <w:r>
              <w:rPr>
                <w:rFonts w:eastAsia="Times New Roman"/>
              </w:rPr>
              <w:t>3</w:t>
            </w:r>
          </w:p>
        </w:tc>
        <w:tc>
          <w:tcPr>
            <w:tcW w:w="875" w:type="dxa"/>
            <w:shd w:val="clear" w:color="auto" w:fill="DEEAF6" w:themeFill="accent1" w:themeFillTint="33"/>
          </w:tcPr>
          <w:p w14:paraId="388F9EBC" w14:textId="77777777" w:rsidR="00C57E8F" w:rsidRPr="00E359BF" w:rsidRDefault="00C57E8F" w:rsidP="00FB1C07">
            <w:pPr>
              <w:pStyle w:val="TableTextCentered"/>
              <w:rPr>
                <w:rFonts w:eastAsia="Times New Roman"/>
              </w:rPr>
            </w:pPr>
            <w:r>
              <w:rPr>
                <w:rFonts w:eastAsia="Times New Roman"/>
              </w:rPr>
              <w:t>6</w:t>
            </w:r>
          </w:p>
        </w:tc>
        <w:tc>
          <w:tcPr>
            <w:tcW w:w="874" w:type="dxa"/>
            <w:shd w:val="clear" w:color="auto" w:fill="DEEAF6" w:themeFill="accent1" w:themeFillTint="33"/>
          </w:tcPr>
          <w:p w14:paraId="78C96550" w14:textId="77777777" w:rsidR="00C57E8F" w:rsidRPr="00E359BF" w:rsidRDefault="00C57E8F" w:rsidP="00FB1C07">
            <w:pPr>
              <w:pStyle w:val="TableTextCentered"/>
              <w:rPr>
                <w:rFonts w:eastAsia="Times New Roman"/>
              </w:rPr>
            </w:pPr>
            <w:r>
              <w:rPr>
                <w:rFonts w:eastAsia="Times New Roman"/>
              </w:rPr>
              <w:t>8</w:t>
            </w:r>
          </w:p>
        </w:tc>
        <w:tc>
          <w:tcPr>
            <w:tcW w:w="875" w:type="dxa"/>
            <w:shd w:val="clear" w:color="auto" w:fill="DEEAF6" w:themeFill="accent1" w:themeFillTint="33"/>
          </w:tcPr>
          <w:p w14:paraId="6140B827" w14:textId="77777777" w:rsidR="00C57E8F" w:rsidRPr="00E359BF" w:rsidRDefault="00C57E8F" w:rsidP="00FB1C07">
            <w:pPr>
              <w:pStyle w:val="TableTextCentered"/>
              <w:rPr>
                <w:rFonts w:eastAsia="Times New Roman"/>
              </w:rPr>
            </w:pPr>
            <w:r>
              <w:rPr>
                <w:rFonts w:eastAsia="Times New Roman"/>
              </w:rPr>
              <w:t>3</w:t>
            </w:r>
          </w:p>
        </w:tc>
        <w:tc>
          <w:tcPr>
            <w:tcW w:w="900" w:type="dxa"/>
            <w:shd w:val="clear" w:color="auto" w:fill="DEEAF6" w:themeFill="accent1" w:themeFillTint="33"/>
          </w:tcPr>
          <w:p w14:paraId="0AE5A762" w14:textId="77777777" w:rsidR="00C57E8F" w:rsidRPr="00E359BF" w:rsidRDefault="00C57E8F" w:rsidP="00FB1C07">
            <w:pPr>
              <w:pStyle w:val="TableTextCentered"/>
              <w:rPr>
                <w:rFonts w:eastAsia="Times New Roman"/>
              </w:rPr>
            </w:pPr>
            <w:r>
              <w:rPr>
                <w:rFonts w:eastAsia="Times New Roman"/>
              </w:rPr>
              <w:t>20</w:t>
            </w:r>
          </w:p>
        </w:tc>
        <w:tc>
          <w:tcPr>
            <w:tcW w:w="892" w:type="dxa"/>
            <w:shd w:val="clear" w:color="auto" w:fill="DEEAF6" w:themeFill="accent1" w:themeFillTint="33"/>
          </w:tcPr>
          <w:p w14:paraId="27530DB4" w14:textId="77777777" w:rsidR="00C57E8F" w:rsidRPr="00E359BF" w:rsidRDefault="00C57E8F" w:rsidP="00FB1C07">
            <w:pPr>
              <w:pStyle w:val="TableTextCentered"/>
              <w:rPr>
                <w:rFonts w:eastAsia="Times New Roman"/>
              </w:rPr>
            </w:pPr>
            <w:r>
              <w:rPr>
                <w:rFonts w:eastAsia="Times New Roman"/>
              </w:rPr>
              <w:t>5.6</w:t>
            </w:r>
          </w:p>
        </w:tc>
      </w:tr>
      <w:tr w:rsidR="00C57E8F" w:rsidRPr="00E359BF" w14:paraId="11E176DF" w14:textId="77777777" w:rsidTr="00FB1C07">
        <w:trPr>
          <w:cnfStyle w:val="000000100000" w:firstRow="0" w:lastRow="0" w:firstColumn="0" w:lastColumn="0" w:oddVBand="0" w:evenVBand="0" w:oddHBand="1" w:evenHBand="0" w:firstRowFirstColumn="0" w:firstRowLastColumn="0" w:lastRowFirstColumn="0" w:lastRowLastColumn="0"/>
          <w:jc w:val="center"/>
        </w:trPr>
        <w:tc>
          <w:tcPr>
            <w:tcW w:w="1431" w:type="dxa"/>
            <w:shd w:val="clear" w:color="auto" w:fill="FFFFFF" w:themeFill="background1"/>
          </w:tcPr>
          <w:p w14:paraId="44FB4D20" w14:textId="77777777" w:rsidR="00C57E8F" w:rsidRPr="00E359BF" w:rsidRDefault="00C57E8F" w:rsidP="00FB1C07">
            <w:pPr>
              <w:pStyle w:val="TableText"/>
            </w:pPr>
            <w:r>
              <w:t>Grades 9-12</w:t>
            </w:r>
          </w:p>
        </w:tc>
        <w:tc>
          <w:tcPr>
            <w:tcW w:w="874" w:type="dxa"/>
            <w:shd w:val="clear" w:color="auto" w:fill="FFFFFF" w:themeFill="background1"/>
          </w:tcPr>
          <w:p w14:paraId="77CA90F9" w14:textId="77777777" w:rsidR="00C57E8F" w:rsidRPr="00E359BF" w:rsidRDefault="00C57E8F" w:rsidP="00FB1C07">
            <w:pPr>
              <w:pStyle w:val="TableTextCentered"/>
              <w:rPr>
                <w:rFonts w:eastAsia="Times New Roman"/>
              </w:rPr>
            </w:pPr>
            <w:r>
              <w:rPr>
                <w:rFonts w:eastAsia="Times New Roman"/>
              </w:rPr>
              <w:t>0</w:t>
            </w:r>
          </w:p>
        </w:tc>
        <w:tc>
          <w:tcPr>
            <w:tcW w:w="874" w:type="dxa"/>
            <w:shd w:val="clear" w:color="auto" w:fill="FFFFFF" w:themeFill="background1"/>
          </w:tcPr>
          <w:p w14:paraId="3128A42F" w14:textId="77777777" w:rsidR="00C57E8F" w:rsidRPr="00E359BF" w:rsidRDefault="00C57E8F" w:rsidP="00FB1C07">
            <w:pPr>
              <w:pStyle w:val="TableTextCentered"/>
              <w:rPr>
                <w:rFonts w:eastAsia="Times New Roman"/>
              </w:rPr>
            </w:pPr>
            <w:r>
              <w:rPr>
                <w:rFonts w:eastAsia="Times New Roman"/>
              </w:rPr>
              <w:t>1</w:t>
            </w:r>
          </w:p>
        </w:tc>
        <w:tc>
          <w:tcPr>
            <w:tcW w:w="874" w:type="dxa"/>
            <w:shd w:val="clear" w:color="auto" w:fill="FFFFFF" w:themeFill="background1"/>
          </w:tcPr>
          <w:p w14:paraId="7F2F5F22" w14:textId="77777777" w:rsidR="00C57E8F" w:rsidRPr="00E359BF" w:rsidRDefault="00C57E8F" w:rsidP="00FB1C07">
            <w:pPr>
              <w:pStyle w:val="TableTextCentered"/>
              <w:rPr>
                <w:rFonts w:eastAsia="Times New Roman"/>
              </w:rPr>
            </w:pPr>
            <w:r>
              <w:rPr>
                <w:rFonts w:eastAsia="Times New Roman"/>
              </w:rPr>
              <w:t>2</w:t>
            </w:r>
          </w:p>
        </w:tc>
        <w:tc>
          <w:tcPr>
            <w:tcW w:w="875" w:type="dxa"/>
            <w:shd w:val="clear" w:color="auto" w:fill="FFFFFF" w:themeFill="background1"/>
          </w:tcPr>
          <w:p w14:paraId="5761A72B" w14:textId="77777777" w:rsidR="00C57E8F" w:rsidRPr="00E359BF" w:rsidRDefault="00C57E8F" w:rsidP="00FB1C07">
            <w:pPr>
              <w:pStyle w:val="TableTextCentered"/>
              <w:rPr>
                <w:rFonts w:eastAsia="Times New Roman"/>
              </w:rPr>
            </w:pPr>
            <w:r>
              <w:rPr>
                <w:rFonts w:eastAsia="Times New Roman"/>
              </w:rPr>
              <w:t>5</w:t>
            </w:r>
          </w:p>
        </w:tc>
        <w:tc>
          <w:tcPr>
            <w:tcW w:w="875" w:type="dxa"/>
            <w:shd w:val="clear" w:color="auto" w:fill="FFFFFF" w:themeFill="background1"/>
          </w:tcPr>
          <w:p w14:paraId="5856F45C" w14:textId="77777777" w:rsidR="00C57E8F" w:rsidRPr="00E359BF" w:rsidRDefault="00C57E8F" w:rsidP="00FB1C07">
            <w:pPr>
              <w:pStyle w:val="TableTextCentered"/>
              <w:rPr>
                <w:rFonts w:eastAsia="Times New Roman"/>
              </w:rPr>
            </w:pPr>
            <w:r>
              <w:rPr>
                <w:rFonts w:eastAsia="Times New Roman"/>
              </w:rPr>
              <w:t>8</w:t>
            </w:r>
          </w:p>
        </w:tc>
        <w:tc>
          <w:tcPr>
            <w:tcW w:w="874" w:type="dxa"/>
            <w:shd w:val="clear" w:color="auto" w:fill="FFFFFF" w:themeFill="background1"/>
          </w:tcPr>
          <w:p w14:paraId="1AE9622A" w14:textId="77777777" w:rsidR="00C57E8F" w:rsidRPr="00E359BF" w:rsidRDefault="00C57E8F" w:rsidP="00FB1C07">
            <w:pPr>
              <w:pStyle w:val="TableTextCentered"/>
              <w:rPr>
                <w:rFonts w:eastAsia="Times New Roman"/>
              </w:rPr>
            </w:pPr>
            <w:r>
              <w:rPr>
                <w:rFonts w:eastAsia="Times New Roman"/>
              </w:rPr>
              <w:t>3</w:t>
            </w:r>
          </w:p>
        </w:tc>
        <w:tc>
          <w:tcPr>
            <w:tcW w:w="875" w:type="dxa"/>
            <w:shd w:val="clear" w:color="auto" w:fill="FFFFFF" w:themeFill="background1"/>
          </w:tcPr>
          <w:p w14:paraId="06679896" w14:textId="77777777" w:rsidR="00C57E8F" w:rsidRPr="00E359BF" w:rsidRDefault="00C57E8F" w:rsidP="00FB1C07">
            <w:pPr>
              <w:pStyle w:val="TableTextCentered"/>
              <w:rPr>
                <w:rFonts w:eastAsia="Times New Roman"/>
              </w:rPr>
            </w:pPr>
            <w:r>
              <w:rPr>
                <w:rFonts w:eastAsia="Times New Roman"/>
              </w:rPr>
              <w:t>1</w:t>
            </w:r>
          </w:p>
        </w:tc>
        <w:tc>
          <w:tcPr>
            <w:tcW w:w="900" w:type="dxa"/>
            <w:shd w:val="clear" w:color="auto" w:fill="FFFFFF" w:themeFill="background1"/>
          </w:tcPr>
          <w:p w14:paraId="4F55763A" w14:textId="77777777" w:rsidR="00C57E8F" w:rsidRPr="00E359BF" w:rsidRDefault="00C57E8F" w:rsidP="00FB1C07">
            <w:pPr>
              <w:pStyle w:val="TableTextCentered"/>
              <w:rPr>
                <w:rFonts w:eastAsia="Times New Roman"/>
              </w:rPr>
            </w:pPr>
            <w:r>
              <w:rPr>
                <w:rFonts w:eastAsia="Times New Roman"/>
              </w:rPr>
              <w:t>20</w:t>
            </w:r>
          </w:p>
        </w:tc>
        <w:tc>
          <w:tcPr>
            <w:tcW w:w="892" w:type="dxa"/>
            <w:shd w:val="clear" w:color="auto" w:fill="FFFFFF" w:themeFill="background1"/>
          </w:tcPr>
          <w:p w14:paraId="1CA570B4" w14:textId="77777777" w:rsidR="00C57E8F" w:rsidRPr="00E359BF" w:rsidRDefault="00C57E8F" w:rsidP="00FB1C07">
            <w:pPr>
              <w:pStyle w:val="TableTextCentered"/>
              <w:rPr>
                <w:rFonts w:eastAsia="Times New Roman"/>
              </w:rPr>
            </w:pPr>
            <w:r>
              <w:rPr>
                <w:rFonts w:eastAsia="Times New Roman"/>
              </w:rPr>
              <w:t>4.7</w:t>
            </w:r>
          </w:p>
        </w:tc>
      </w:tr>
      <w:tr w:rsidR="00C57E8F" w:rsidRPr="00E359BF" w14:paraId="5E44CEF6" w14:textId="77777777" w:rsidTr="00FB1C07">
        <w:trPr>
          <w:jc w:val="center"/>
        </w:trPr>
        <w:tc>
          <w:tcPr>
            <w:tcW w:w="1431" w:type="dxa"/>
            <w:shd w:val="clear" w:color="auto" w:fill="DEEAF6" w:themeFill="accent1" w:themeFillTint="33"/>
          </w:tcPr>
          <w:p w14:paraId="1199F573" w14:textId="77777777" w:rsidR="00C57E8F" w:rsidRPr="00B30BCD" w:rsidRDefault="00C57E8F" w:rsidP="00FB1C07">
            <w:pPr>
              <w:pStyle w:val="TableText"/>
              <w:rPr>
                <w:b/>
                <w:bCs/>
              </w:rPr>
            </w:pPr>
            <w:r w:rsidRPr="00B30BCD">
              <w:rPr>
                <w:b/>
                <w:bCs/>
              </w:rPr>
              <w:t>Totals</w:t>
            </w:r>
          </w:p>
        </w:tc>
        <w:tc>
          <w:tcPr>
            <w:tcW w:w="874" w:type="dxa"/>
            <w:shd w:val="clear" w:color="auto" w:fill="DEEAF6" w:themeFill="accent1" w:themeFillTint="33"/>
          </w:tcPr>
          <w:p w14:paraId="5A69E53D" w14:textId="77777777" w:rsidR="00C57E8F" w:rsidRPr="00B30BCD" w:rsidRDefault="00C57E8F" w:rsidP="00FB1C07">
            <w:pPr>
              <w:pStyle w:val="TableTextCentered"/>
              <w:rPr>
                <w:rFonts w:eastAsia="Times New Roman"/>
                <w:b/>
                <w:bCs/>
              </w:rPr>
            </w:pPr>
            <w:r>
              <w:rPr>
                <w:rFonts w:eastAsia="Times New Roman"/>
                <w:b/>
                <w:bCs/>
              </w:rPr>
              <w:t>0</w:t>
            </w:r>
          </w:p>
        </w:tc>
        <w:tc>
          <w:tcPr>
            <w:tcW w:w="874" w:type="dxa"/>
            <w:shd w:val="clear" w:color="auto" w:fill="DEEAF6" w:themeFill="accent1" w:themeFillTint="33"/>
          </w:tcPr>
          <w:p w14:paraId="2B8C324C" w14:textId="77777777" w:rsidR="00C57E8F" w:rsidRPr="00B30BCD" w:rsidRDefault="00C57E8F" w:rsidP="00FB1C07">
            <w:pPr>
              <w:pStyle w:val="TableTextCentered"/>
              <w:rPr>
                <w:rFonts w:eastAsia="Times New Roman"/>
                <w:b/>
                <w:bCs/>
              </w:rPr>
            </w:pPr>
            <w:r>
              <w:rPr>
                <w:rFonts w:eastAsia="Times New Roman"/>
                <w:b/>
                <w:bCs/>
              </w:rPr>
              <w:t>1</w:t>
            </w:r>
          </w:p>
        </w:tc>
        <w:tc>
          <w:tcPr>
            <w:tcW w:w="874" w:type="dxa"/>
            <w:shd w:val="clear" w:color="auto" w:fill="DEEAF6" w:themeFill="accent1" w:themeFillTint="33"/>
          </w:tcPr>
          <w:p w14:paraId="3C725EFB" w14:textId="77777777" w:rsidR="00C57E8F" w:rsidRPr="00B30BCD" w:rsidRDefault="00C57E8F" w:rsidP="00FB1C07">
            <w:pPr>
              <w:pStyle w:val="TableTextCentered"/>
              <w:rPr>
                <w:rFonts w:eastAsia="Times New Roman"/>
                <w:b/>
                <w:bCs/>
              </w:rPr>
            </w:pPr>
            <w:r>
              <w:rPr>
                <w:rFonts w:eastAsia="Times New Roman"/>
                <w:b/>
                <w:bCs/>
              </w:rPr>
              <w:t>2</w:t>
            </w:r>
          </w:p>
        </w:tc>
        <w:tc>
          <w:tcPr>
            <w:tcW w:w="875" w:type="dxa"/>
            <w:shd w:val="clear" w:color="auto" w:fill="DEEAF6" w:themeFill="accent1" w:themeFillTint="33"/>
          </w:tcPr>
          <w:p w14:paraId="0AB2A711" w14:textId="77777777" w:rsidR="00C57E8F" w:rsidRPr="00B30BCD" w:rsidRDefault="00C57E8F" w:rsidP="00FB1C07">
            <w:pPr>
              <w:pStyle w:val="TableTextCentered"/>
              <w:rPr>
                <w:rFonts w:eastAsia="Times New Roman"/>
                <w:b/>
                <w:bCs/>
              </w:rPr>
            </w:pPr>
            <w:r>
              <w:rPr>
                <w:rFonts w:eastAsia="Times New Roman"/>
                <w:b/>
                <w:bCs/>
              </w:rPr>
              <w:t>9</w:t>
            </w:r>
          </w:p>
        </w:tc>
        <w:tc>
          <w:tcPr>
            <w:tcW w:w="875" w:type="dxa"/>
            <w:shd w:val="clear" w:color="auto" w:fill="DEEAF6" w:themeFill="accent1" w:themeFillTint="33"/>
          </w:tcPr>
          <w:p w14:paraId="02BFEF87" w14:textId="77777777" w:rsidR="00C57E8F" w:rsidRPr="00B30BCD" w:rsidRDefault="00C57E8F" w:rsidP="00FB1C07">
            <w:pPr>
              <w:pStyle w:val="TableTextCentered"/>
              <w:rPr>
                <w:rFonts w:eastAsia="Times New Roman"/>
                <w:b/>
                <w:bCs/>
              </w:rPr>
            </w:pPr>
            <w:r>
              <w:rPr>
                <w:rFonts w:eastAsia="Times New Roman"/>
                <w:b/>
                <w:bCs/>
              </w:rPr>
              <w:t>17</w:t>
            </w:r>
          </w:p>
        </w:tc>
        <w:tc>
          <w:tcPr>
            <w:tcW w:w="874" w:type="dxa"/>
            <w:shd w:val="clear" w:color="auto" w:fill="DEEAF6" w:themeFill="accent1" w:themeFillTint="33"/>
          </w:tcPr>
          <w:p w14:paraId="1854B1F0" w14:textId="77777777" w:rsidR="00C57E8F" w:rsidRPr="00B30BCD" w:rsidRDefault="00C57E8F" w:rsidP="00FB1C07">
            <w:pPr>
              <w:pStyle w:val="TableTextCentered"/>
              <w:rPr>
                <w:rFonts w:eastAsia="Times New Roman"/>
                <w:b/>
                <w:bCs/>
              </w:rPr>
            </w:pPr>
            <w:r>
              <w:rPr>
                <w:rFonts w:eastAsia="Times New Roman"/>
                <w:b/>
                <w:bCs/>
              </w:rPr>
              <w:t>16</w:t>
            </w:r>
          </w:p>
        </w:tc>
        <w:tc>
          <w:tcPr>
            <w:tcW w:w="875" w:type="dxa"/>
            <w:shd w:val="clear" w:color="auto" w:fill="DEEAF6" w:themeFill="accent1" w:themeFillTint="33"/>
          </w:tcPr>
          <w:p w14:paraId="043AF7E5" w14:textId="77777777" w:rsidR="00C57E8F" w:rsidRPr="00B30BCD" w:rsidRDefault="00C57E8F" w:rsidP="00FB1C07">
            <w:pPr>
              <w:pStyle w:val="TableTextCentered"/>
              <w:rPr>
                <w:rFonts w:eastAsia="Times New Roman"/>
                <w:b/>
                <w:bCs/>
              </w:rPr>
            </w:pPr>
            <w:r>
              <w:rPr>
                <w:rFonts w:eastAsia="Times New Roman"/>
                <w:b/>
                <w:bCs/>
              </w:rPr>
              <w:t>8</w:t>
            </w:r>
          </w:p>
        </w:tc>
        <w:tc>
          <w:tcPr>
            <w:tcW w:w="900" w:type="dxa"/>
            <w:shd w:val="clear" w:color="auto" w:fill="DEEAF6" w:themeFill="accent1" w:themeFillTint="33"/>
          </w:tcPr>
          <w:p w14:paraId="6544BD0B" w14:textId="77777777" w:rsidR="00C57E8F" w:rsidRPr="00B30BCD" w:rsidRDefault="00C57E8F" w:rsidP="00FB1C07">
            <w:pPr>
              <w:pStyle w:val="TableTextCentered"/>
              <w:rPr>
                <w:rFonts w:eastAsia="Times New Roman"/>
                <w:b/>
                <w:bCs/>
              </w:rPr>
            </w:pPr>
            <w:r>
              <w:rPr>
                <w:rFonts w:eastAsia="Times New Roman"/>
                <w:b/>
                <w:bCs/>
              </w:rPr>
              <w:t>53</w:t>
            </w:r>
          </w:p>
        </w:tc>
        <w:tc>
          <w:tcPr>
            <w:tcW w:w="892" w:type="dxa"/>
            <w:shd w:val="clear" w:color="auto" w:fill="DEEAF6" w:themeFill="accent1" w:themeFillTint="33"/>
          </w:tcPr>
          <w:p w14:paraId="19153952" w14:textId="77777777" w:rsidR="00C57E8F" w:rsidRPr="00B30BCD" w:rsidRDefault="00C57E8F" w:rsidP="00FB1C07">
            <w:pPr>
              <w:pStyle w:val="TableTextCentered"/>
              <w:rPr>
                <w:rFonts w:eastAsia="Times New Roman"/>
                <w:b/>
                <w:bCs/>
              </w:rPr>
            </w:pPr>
            <w:r>
              <w:rPr>
                <w:rFonts w:eastAsia="Times New Roman"/>
                <w:b/>
                <w:bCs/>
              </w:rPr>
              <w:t>5.3</w:t>
            </w:r>
          </w:p>
        </w:tc>
      </w:tr>
    </w:tbl>
    <w:bookmarkEnd w:id="203"/>
    <w:p w14:paraId="3500BA61" w14:textId="007DF124" w:rsidR="007303EE" w:rsidRPr="00797379" w:rsidRDefault="007303EE" w:rsidP="00B47EFA">
      <w:pPr>
        <w:pStyle w:val="TableNote"/>
      </w:pPr>
      <w:r w:rsidRPr="00797379">
        <w:t xml:space="preserve">*The district average is an average of the observation scores. In Table 16, the district average is computed as: </w:t>
      </w:r>
      <w:bookmarkStart w:id="204" w:name="Dist_SE_Calc"/>
      <w:r w:rsidRPr="00797379">
        <w:t>([2 x 1] + [3 x 2] + [4 x 9] + [5 x 17] + [6 x 16] + [7 x 8]) ÷ 53 observations = 5.3</w:t>
      </w:r>
      <w:bookmarkEnd w:id="204"/>
    </w:p>
    <w:p w14:paraId="77FAF5D3" w14:textId="77777777" w:rsidR="007303EE" w:rsidRPr="00797379" w:rsidRDefault="007303EE" w:rsidP="00B47EFA">
      <w:pPr>
        <w:pStyle w:val="TableNote"/>
      </w:pPr>
      <w:r w:rsidRPr="00797379">
        <w:t>**Student Engagement does not appear in the CLASS PK-3 Manual, therefore scores for the Elementary School Level represent grades 4-5 only.</w:t>
      </w:r>
    </w:p>
    <w:p w14:paraId="71B590A4" w14:textId="77777777" w:rsidR="007303EE" w:rsidRPr="00797379" w:rsidRDefault="007303EE" w:rsidP="00B47EFA">
      <w:pPr>
        <w:pStyle w:val="BodyText"/>
      </w:pPr>
      <w:r w:rsidRPr="00797379">
        <w:rPr>
          <w:rStyle w:val="BodyTextDemiChar"/>
        </w:rPr>
        <w:t>Ratings in the Low Range.</w:t>
      </w:r>
      <w:r w:rsidRPr="00797379">
        <w:t xml:space="preserve"> In the low range, the majority of students appear distracted or disengaged.</w:t>
      </w:r>
    </w:p>
    <w:p w14:paraId="5D7AE07B" w14:textId="77777777" w:rsidR="007303EE" w:rsidRPr="00797379" w:rsidRDefault="007303EE" w:rsidP="00B47EFA">
      <w:pPr>
        <w:pStyle w:val="BodyTextposthead"/>
      </w:pPr>
      <w:r w:rsidRPr="00797379">
        <w:rPr>
          <w:rStyle w:val="BodyTextDemiChar"/>
        </w:rPr>
        <w:t>Ratings in the Middle Range.</w:t>
      </w:r>
      <w:r w:rsidRPr="00797379">
        <w:t xml:space="preserve"> In the middle range, students are passively engaged, listening to or watching the teacher; student engagement is mixed, with the majority of students actively engaged for part of the time and disengaged for the rest of the time; or there is a mix of student engagement, with some students actively engaged and some students disengaged.</w:t>
      </w:r>
    </w:p>
    <w:p w14:paraId="4E02C718" w14:textId="77777777" w:rsidR="007303EE" w:rsidRPr="00797379" w:rsidRDefault="007303EE" w:rsidP="00B47EFA">
      <w:pPr>
        <w:pStyle w:val="BodyTextposthead"/>
      </w:pPr>
      <w:r w:rsidRPr="00797379">
        <w:rPr>
          <w:rStyle w:val="BodyTextDemiChar"/>
        </w:rPr>
        <w:t>Ratings in the High Range.</w:t>
      </w:r>
      <w:r w:rsidRPr="00797379">
        <w:t xml:space="preserve"> In the high range, most students are actively engaged in the classroom discussions and activities.</w:t>
      </w:r>
    </w:p>
    <w:p w14:paraId="5B9CB996" w14:textId="77777777" w:rsidR="007303EE" w:rsidRPr="00797379" w:rsidRDefault="007303EE" w:rsidP="00DB6F03">
      <w:pPr>
        <w:pStyle w:val="Heading2-SIOR"/>
        <w:outlineLvl w:val="2"/>
      </w:pPr>
      <w:bookmarkStart w:id="205" w:name="_Toc430114889"/>
      <w:bookmarkStart w:id="206" w:name="_Toc496109991"/>
      <w:bookmarkStart w:id="207" w:name="_Toc220931759"/>
      <w:r w:rsidRPr="00797379">
        <w:t>Summary of Average Ratings</w:t>
      </w:r>
      <w:bookmarkEnd w:id="205"/>
      <w:bookmarkEnd w:id="206"/>
      <w:r w:rsidRPr="00797379">
        <w:t>: Grades PK–5</w:t>
      </w:r>
      <w:bookmarkEnd w:id="207"/>
    </w:p>
    <w:p w14:paraId="26888F7A" w14:textId="77777777" w:rsidR="007303EE" w:rsidRPr="00797379" w:rsidRDefault="007303EE" w:rsidP="005D3040">
      <w:pPr>
        <w:pStyle w:val="TableTitle0"/>
      </w:pPr>
      <w:bookmarkStart w:id="208" w:name="_Toc220932432"/>
      <w:r w:rsidRPr="00797379">
        <w:t>Table 17. Summary Table of Average Ratings for Each Dimension in Grades PK–5</w:t>
      </w:r>
      <w:bookmarkEnd w:id="208"/>
    </w:p>
    <w:tbl>
      <w:tblPr>
        <w:tblStyle w:val="MSVTable1"/>
        <w:tblW w:w="9718" w:type="dxa"/>
        <w:tblLayout w:type="fixed"/>
        <w:tblLook w:val="04A0" w:firstRow="1" w:lastRow="0" w:firstColumn="1" w:lastColumn="0" w:noHBand="0" w:noVBand="1"/>
      </w:tblPr>
      <w:tblGrid>
        <w:gridCol w:w="3238"/>
        <w:gridCol w:w="720"/>
        <w:gridCol w:w="720"/>
        <w:gridCol w:w="720"/>
        <w:gridCol w:w="720"/>
        <w:gridCol w:w="720"/>
        <w:gridCol w:w="720"/>
        <w:gridCol w:w="720"/>
        <w:gridCol w:w="533"/>
        <w:gridCol w:w="907"/>
      </w:tblGrid>
      <w:tr w:rsidR="005A4DE5" w:rsidRPr="00E359BF" w14:paraId="1D7B5A25" w14:textId="77777777" w:rsidTr="00FB1C07">
        <w:trPr>
          <w:cnfStyle w:val="100000000000" w:firstRow="1" w:lastRow="0" w:firstColumn="0" w:lastColumn="0" w:oddVBand="0" w:evenVBand="0" w:oddHBand="0" w:evenHBand="0" w:firstRowFirstColumn="0" w:firstRowLastColumn="0" w:lastRowFirstColumn="0" w:lastRowLastColumn="0"/>
          <w:tblHeader/>
        </w:trPr>
        <w:tc>
          <w:tcPr>
            <w:tcW w:w="3238" w:type="dxa"/>
            <w:tcBorders>
              <w:top w:val="nil"/>
              <w:left w:val="single" w:sz="6" w:space="0" w:color="2F5496" w:themeColor="accent5" w:themeShade="BF"/>
              <w:bottom w:val="nil"/>
            </w:tcBorders>
            <w:vAlign w:val="center"/>
          </w:tcPr>
          <w:p w14:paraId="05C61B5B" w14:textId="77777777" w:rsidR="005A4DE5" w:rsidRPr="00E359BF" w:rsidRDefault="005A4DE5" w:rsidP="00FB1C07">
            <w:pPr>
              <w:pStyle w:val="TableColHeadingCenter"/>
              <w:rPr>
                <w:rFonts w:eastAsia="MS Mincho"/>
              </w:rPr>
            </w:pPr>
            <w:bookmarkStart w:id="209" w:name="SummaryTbl_Elem"/>
            <w:r>
              <w:rPr>
                <w:rFonts w:eastAsia="MS Mincho"/>
              </w:rPr>
              <w:t>Domain/Dimension</w:t>
            </w:r>
          </w:p>
        </w:tc>
        <w:tc>
          <w:tcPr>
            <w:tcW w:w="720" w:type="dxa"/>
            <w:vAlign w:val="center"/>
          </w:tcPr>
          <w:p w14:paraId="1C1416ED" w14:textId="77777777" w:rsidR="005A4DE5" w:rsidRPr="00E359BF" w:rsidRDefault="005A4DE5" w:rsidP="00FB1C07">
            <w:pPr>
              <w:pStyle w:val="TableColHeadingCenter"/>
              <w:rPr>
                <w:rFonts w:eastAsia="MS Mincho"/>
              </w:rPr>
            </w:pPr>
            <w:r w:rsidRPr="00E359BF">
              <w:rPr>
                <w:rFonts w:eastAsia="MS Mincho"/>
              </w:rPr>
              <w:t>Low Range</w:t>
            </w:r>
            <w:r>
              <w:rPr>
                <w:rFonts w:eastAsia="MS Mincho"/>
              </w:rPr>
              <w:t xml:space="preserve"> (1)</w:t>
            </w:r>
          </w:p>
        </w:tc>
        <w:tc>
          <w:tcPr>
            <w:tcW w:w="720" w:type="dxa"/>
            <w:vAlign w:val="center"/>
          </w:tcPr>
          <w:p w14:paraId="49C043A9" w14:textId="77777777" w:rsidR="005A4DE5" w:rsidRPr="00E359BF" w:rsidRDefault="005A4DE5" w:rsidP="00FB1C07">
            <w:pPr>
              <w:pStyle w:val="TableColHeadingCenter"/>
              <w:rPr>
                <w:rFonts w:eastAsia="MS Mincho"/>
              </w:rPr>
            </w:pPr>
            <w:r w:rsidRPr="00E359BF">
              <w:rPr>
                <w:rFonts w:eastAsia="MS Mincho"/>
              </w:rPr>
              <w:t>Low Range</w:t>
            </w:r>
            <w:r>
              <w:rPr>
                <w:rFonts w:eastAsia="MS Mincho"/>
              </w:rPr>
              <w:t xml:space="preserve"> (2)</w:t>
            </w:r>
          </w:p>
        </w:tc>
        <w:tc>
          <w:tcPr>
            <w:tcW w:w="720" w:type="dxa"/>
            <w:vAlign w:val="center"/>
          </w:tcPr>
          <w:p w14:paraId="6FF081C2" w14:textId="77777777" w:rsidR="005A4DE5" w:rsidRPr="00E359BF" w:rsidRDefault="005A4DE5" w:rsidP="00FB1C07">
            <w:pPr>
              <w:pStyle w:val="TableColHeadingCenter"/>
              <w:rPr>
                <w:rFonts w:eastAsia="MS Mincho"/>
              </w:rPr>
            </w:pPr>
            <w:r w:rsidRPr="00E359BF">
              <w:rPr>
                <w:rFonts w:eastAsia="MS Mincho"/>
              </w:rPr>
              <w:t>Middle Range</w:t>
            </w:r>
            <w:r>
              <w:rPr>
                <w:rFonts w:eastAsia="MS Mincho"/>
              </w:rPr>
              <w:t xml:space="preserve"> (3)</w:t>
            </w:r>
          </w:p>
        </w:tc>
        <w:tc>
          <w:tcPr>
            <w:tcW w:w="720" w:type="dxa"/>
            <w:vAlign w:val="center"/>
          </w:tcPr>
          <w:p w14:paraId="78AEE7BC" w14:textId="77777777" w:rsidR="005A4DE5" w:rsidRPr="00E359BF" w:rsidRDefault="005A4DE5" w:rsidP="00FB1C07">
            <w:pPr>
              <w:pStyle w:val="TableColHeadingCenter"/>
              <w:rPr>
                <w:rFonts w:eastAsia="MS Mincho"/>
              </w:rPr>
            </w:pPr>
            <w:r w:rsidRPr="00E359BF">
              <w:rPr>
                <w:rFonts w:eastAsia="MS Mincho"/>
              </w:rPr>
              <w:t>Middle Range</w:t>
            </w:r>
            <w:r>
              <w:rPr>
                <w:rFonts w:eastAsia="MS Mincho"/>
              </w:rPr>
              <w:t xml:space="preserve"> (4)</w:t>
            </w:r>
          </w:p>
        </w:tc>
        <w:tc>
          <w:tcPr>
            <w:tcW w:w="720" w:type="dxa"/>
            <w:vAlign w:val="center"/>
          </w:tcPr>
          <w:p w14:paraId="68FD05AA" w14:textId="77777777" w:rsidR="005A4DE5" w:rsidRPr="00E359BF" w:rsidRDefault="005A4DE5" w:rsidP="00FB1C07">
            <w:pPr>
              <w:pStyle w:val="TableColHeadingCenter"/>
              <w:rPr>
                <w:rFonts w:eastAsia="MS Mincho"/>
              </w:rPr>
            </w:pPr>
            <w:r w:rsidRPr="00E359BF">
              <w:rPr>
                <w:rFonts w:eastAsia="MS Mincho"/>
              </w:rPr>
              <w:t>Middle Range</w:t>
            </w:r>
            <w:r>
              <w:rPr>
                <w:rFonts w:eastAsia="MS Mincho"/>
              </w:rPr>
              <w:t xml:space="preserve"> (5)</w:t>
            </w:r>
          </w:p>
        </w:tc>
        <w:tc>
          <w:tcPr>
            <w:tcW w:w="720" w:type="dxa"/>
            <w:vAlign w:val="center"/>
          </w:tcPr>
          <w:p w14:paraId="4DCF3A07" w14:textId="77777777" w:rsidR="005A4DE5" w:rsidRPr="00E359BF" w:rsidRDefault="005A4DE5" w:rsidP="00FB1C07">
            <w:pPr>
              <w:pStyle w:val="TableColHeadingCenter"/>
              <w:rPr>
                <w:rFonts w:eastAsia="MS Mincho"/>
              </w:rPr>
            </w:pPr>
            <w:r w:rsidRPr="00E359BF">
              <w:rPr>
                <w:rFonts w:eastAsia="MS Mincho"/>
              </w:rPr>
              <w:t>High Range</w:t>
            </w:r>
            <w:r>
              <w:rPr>
                <w:rFonts w:eastAsia="MS Mincho"/>
              </w:rPr>
              <w:t xml:space="preserve"> (6)</w:t>
            </w:r>
          </w:p>
        </w:tc>
        <w:tc>
          <w:tcPr>
            <w:tcW w:w="720" w:type="dxa"/>
            <w:vAlign w:val="center"/>
          </w:tcPr>
          <w:p w14:paraId="21F1EE45" w14:textId="77777777" w:rsidR="005A4DE5" w:rsidRPr="00E359BF" w:rsidRDefault="005A4DE5" w:rsidP="00FB1C07">
            <w:pPr>
              <w:pStyle w:val="TableColHeadingCenter"/>
              <w:rPr>
                <w:rFonts w:eastAsia="MS Mincho"/>
              </w:rPr>
            </w:pPr>
            <w:r w:rsidRPr="00E359BF">
              <w:rPr>
                <w:rFonts w:eastAsia="MS Mincho"/>
              </w:rPr>
              <w:t>High Range</w:t>
            </w:r>
            <w:r>
              <w:rPr>
                <w:rFonts w:eastAsia="MS Mincho"/>
              </w:rPr>
              <w:t xml:space="preserve"> (7)</w:t>
            </w:r>
          </w:p>
        </w:tc>
        <w:tc>
          <w:tcPr>
            <w:tcW w:w="533" w:type="dxa"/>
            <w:tcBorders>
              <w:top w:val="nil"/>
              <w:bottom w:val="nil"/>
            </w:tcBorders>
            <w:vAlign w:val="center"/>
          </w:tcPr>
          <w:p w14:paraId="594E8ABB" w14:textId="77777777" w:rsidR="005A4DE5" w:rsidRPr="00E359BF" w:rsidRDefault="005A4DE5" w:rsidP="00FB1C07">
            <w:pPr>
              <w:pStyle w:val="TableColHeadingCenter"/>
              <w:rPr>
                <w:rFonts w:eastAsia="MS Mincho"/>
              </w:rPr>
            </w:pPr>
            <w:r>
              <w:rPr>
                <w:rFonts w:eastAsia="MS Mincho"/>
              </w:rPr>
              <w:t>n</w:t>
            </w:r>
          </w:p>
        </w:tc>
        <w:tc>
          <w:tcPr>
            <w:tcW w:w="907" w:type="dxa"/>
            <w:tcBorders>
              <w:top w:val="nil"/>
              <w:bottom w:val="nil"/>
              <w:right w:val="single" w:sz="6" w:space="0" w:color="2F5496" w:themeColor="accent5" w:themeShade="BF"/>
            </w:tcBorders>
            <w:vAlign w:val="center"/>
          </w:tcPr>
          <w:p w14:paraId="352D1495" w14:textId="77777777" w:rsidR="005A4DE5" w:rsidRPr="00E359BF" w:rsidRDefault="005A4DE5" w:rsidP="00FB1C07">
            <w:pPr>
              <w:pStyle w:val="TableColHeadingCenter"/>
              <w:rPr>
                <w:rFonts w:eastAsia="MS Mincho"/>
              </w:rPr>
            </w:pPr>
            <w:r w:rsidRPr="00E359BF">
              <w:rPr>
                <w:rFonts w:eastAsia="MS Mincho"/>
              </w:rPr>
              <w:t>Average Scores*</w:t>
            </w:r>
          </w:p>
        </w:tc>
      </w:tr>
      <w:tr w:rsidR="005A4DE5" w:rsidRPr="00E359BF" w14:paraId="67DDB160" w14:textId="77777777">
        <w:trPr>
          <w:cnfStyle w:val="000000100000" w:firstRow="0" w:lastRow="0" w:firstColumn="0" w:lastColumn="0" w:oddVBand="0" w:evenVBand="0" w:oddHBand="1" w:evenHBand="0" w:firstRowFirstColumn="0" w:firstRowLastColumn="0" w:lastRowFirstColumn="0" w:lastRowLastColumn="0"/>
        </w:trPr>
        <w:tc>
          <w:tcPr>
            <w:tcW w:w="3238" w:type="dxa"/>
          </w:tcPr>
          <w:p w14:paraId="203DF1E5" w14:textId="77777777" w:rsidR="005A4DE5" w:rsidRPr="00EB088B" w:rsidRDefault="005A4DE5" w:rsidP="00FB1C07">
            <w:pPr>
              <w:pStyle w:val="TableSubheading"/>
              <w:rPr>
                <w:rFonts w:ascii="Franklin Gothic Book" w:hAnsi="Franklin Gothic Book"/>
                <w:b/>
                <w:bCs/>
              </w:rPr>
            </w:pPr>
            <w:r w:rsidRPr="00EB088B">
              <w:rPr>
                <w:rFonts w:ascii="Franklin Gothic Book" w:hAnsi="Franklin Gothic Book"/>
                <w:b/>
                <w:bCs/>
              </w:rPr>
              <w:t>Emotional Support Domain</w:t>
            </w:r>
          </w:p>
        </w:tc>
        <w:tc>
          <w:tcPr>
            <w:tcW w:w="720" w:type="dxa"/>
          </w:tcPr>
          <w:p w14:paraId="0375975E" w14:textId="77777777" w:rsidR="005A4DE5" w:rsidRPr="00B30BCD" w:rsidRDefault="005A4DE5" w:rsidP="00FB1C07">
            <w:pPr>
              <w:pStyle w:val="TableTextCenteredDemi"/>
              <w:rPr>
                <w:rFonts w:eastAsia="Times New Roman"/>
                <w:b/>
                <w:bCs/>
              </w:rPr>
            </w:pPr>
            <w:r>
              <w:rPr>
                <w:rFonts w:eastAsia="Times New Roman"/>
                <w:b/>
                <w:bCs/>
              </w:rPr>
              <w:t>0</w:t>
            </w:r>
          </w:p>
        </w:tc>
        <w:tc>
          <w:tcPr>
            <w:tcW w:w="720" w:type="dxa"/>
          </w:tcPr>
          <w:p w14:paraId="513C94F7" w14:textId="77777777" w:rsidR="005A4DE5" w:rsidRPr="00B30BCD" w:rsidRDefault="005A4DE5" w:rsidP="00FB1C07">
            <w:pPr>
              <w:pStyle w:val="TableTextCenteredDemi"/>
              <w:rPr>
                <w:rFonts w:eastAsia="Times New Roman"/>
                <w:b/>
                <w:bCs/>
              </w:rPr>
            </w:pPr>
            <w:r>
              <w:rPr>
                <w:rFonts w:eastAsia="Times New Roman"/>
                <w:b/>
                <w:bCs/>
              </w:rPr>
              <w:t>5</w:t>
            </w:r>
          </w:p>
        </w:tc>
        <w:tc>
          <w:tcPr>
            <w:tcW w:w="720" w:type="dxa"/>
          </w:tcPr>
          <w:p w14:paraId="1C2B9AD4" w14:textId="77777777" w:rsidR="005A4DE5" w:rsidRPr="00B30BCD" w:rsidRDefault="005A4DE5" w:rsidP="00FB1C07">
            <w:pPr>
              <w:pStyle w:val="TableTextCenteredDemi"/>
              <w:rPr>
                <w:rFonts w:eastAsia="Times New Roman"/>
                <w:b/>
                <w:bCs/>
              </w:rPr>
            </w:pPr>
            <w:r>
              <w:rPr>
                <w:rFonts w:eastAsia="Times New Roman"/>
                <w:b/>
                <w:bCs/>
              </w:rPr>
              <w:t>11</w:t>
            </w:r>
          </w:p>
        </w:tc>
        <w:tc>
          <w:tcPr>
            <w:tcW w:w="720" w:type="dxa"/>
          </w:tcPr>
          <w:p w14:paraId="4FDF7B59" w14:textId="77777777" w:rsidR="005A4DE5" w:rsidRPr="00B30BCD" w:rsidRDefault="005A4DE5" w:rsidP="00FB1C07">
            <w:pPr>
              <w:pStyle w:val="TableTextCenteredDemi"/>
              <w:rPr>
                <w:rFonts w:eastAsia="Times New Roman"/>
                <w:b/>
                <w:bCs/>
              </w:rPr>
            </w:pPr>
            <w:r>
              <w:rPr>
                <w:rFonts w:eastAsia="Times New Roman"/>
                <w:b/>
                <w:bCs/>
              </w:rPr>
              <w:t>20</w:t>
            </w:r>
          </w:p>
        </w:tc>
        <w:tc>
          <w:tcPr>
            <w:tcW w:w="720" w:type="dxa"/>
          </w:tcPr>
          <w:p w14:paraId="4B8BF859" w14:textId="77777777" w:rsidR="005A4DE5" w:rsidRPr="00B30BCD" w:rsidRDefault="005A4DE5" w:rsidP="00FB1C07">
            <w:pPr>
              <w:pStyle w:val="TableTextCenteredDemi"/>
              <w:rPr>
                <w:rFonts w:eastAsia="Times New Roman"/>
                <w:b/>
                <w:bCs/>
              </w:rPr>
            </w:pPr>
            <w:r>
              <w:rPr>
                <w:rFonts w:eastAsia="Times New Roman"/>
                <w:b/>
                <w:bCs/>
              </w:rPr>
              <w:t>25</w:t>
            </w:r>
          </w:p>
        </w:tc>
        <w:tc>
          <w:tcPr>
            <w:tcW w:w="720" w:type="dxa"/>
          </w:tcPr>
          <w:p w14:paraId="53C34134" w14:textId="77777777" w:rsidR="005A4DE5" w:rsidRPr="00B30BCD" w:rsidRDefault="005A4DE5" w:rsidP="00FB1C07">
            <w:pPr>
              <w:pStyle w:val="TableTextCenteredDemi"/>
              <w:rPr>
                <w:rFonts w:eastAsia="Times New Roman"/>
                <w:b/>
                <w:bCs/>
              </w:rPr>
            </w:pPr>
            <w:r>
              <w:rPr>
                <w:rFonts w:eastAsia="Times New Roman"/>
                <w:b/>
                <w:bCs/>
              </w:rPr>
              <w:t>30</w:t>
            </w:r>
          </w:p>
        </w:tc>
        <w:tc>
          <w:tcPr>
            <w:tcW w:w="720" w:type="dxa"/>
          </w:tcPr>
          <w:p w14:paraId="04A93DB0" w14:textId="77777777" w:rsidR="005A4DE5" w:rsidRPr="00B30BCD" w:rsidRDefault="005A4DE5" w:rsidP="00FB1C07">
            <w:pPr>
              <w:pStyle w:val="TableTextCenteredDemi"/>
              <w:rPr>
                <w:rFonts w:eastAsia="Times New Roman"/>
                <w:b/>
                <w:bCs/>
              </w:rPr>
            </w:pPr>
            <w:r>
              <w:rPr>
                <w:rFonts w:eastAsia="Times New Roman"/>
                <w:b/>
                <w:bCs/>
              </w:rPr>
              <w:t>45</w:t>
            </w:r>
          </w:p>
        </w:tc>
        <w:tc>
          <w:tcPr>
            <w:tcW w:w="533" w:type="dxa"/>
          </w:tcPr>
          <w:p w14:paraId="6BB03B96" w14:textId="77777777" w:rsidR="005A4DE5" w:rsidRPr="00B30BCD" w:rsidRDefault="005A4DE5" w:rsidP="00FB1C07">
            <w:pPr>
              <w:pStyle w:val="TableTextCenteredDemi"/>
              <w:rPr>
                <w:rFonts w:eastAsia="Times New Roman"/>
                <w:b/>
                <w:bCs/>
              </w:rPr>
            </w:pPr>
            <w:r>
              <w:rPr>
                <w:rFonts w:eastAsia="Times New Roman"/>
                <w:b/>
                <w:bCs/>
              </w:rPr>
              <w:t>136</w:t>
            </w:r>
          </w:p>
        </w:tc>
        <w:tc>
          <w:tcPr>
            <w:tcW w:w="907" w:type="dxa"/>
          </w:tcPr>
          <w:p w14:paraId="62EAE19A" w14:textId="77777777" w:rsidR="005A4DE5" w:rsidRPr="00B30BCD" w:rsidRDefault="005A4DE5" w:rsidP="00FB1C07">
            <w:pPr>
              <w:pStyle w:val="TableTextCenteredDemi"/>
              <w:rPr>
                <w:rFonts w:eastAsia="Times New Roman"/>
                <w:b/>
                <w:bCs/>
              </w:rPr>
            </w:pPr>
            <w:r>
              <w:rPr>
                <w:rFonts w:eastAsia="Times New Roman"/>
                <w:b/>
                <w:bCs/>
              </w:rPr>
              <w:t>5.5</w:t>
            </w:r>
          </w:p>
        </w:tc>
      </w:tr>
      <w:tr w:rsidR="005A4DE5" w:rsidRPr="00E359BF" w14:paraId="6E3D5722" w14:textId="77777777" w:rsidTr="00FB1C07">
        <w:tc>
          <w:tcPr>
            <w:tcW w:w="3238" w:type="dxa"/>
          </w:tcPr>
          <w:p w14:paraId="3EEAA750" w14:textId="77777777" w:rsidR="005A4DE5" w:rsidRPr="00EB088B" w:rsidRDefault="005A4DE5" w:rsidP="00FB1C07">
            <w:pPr>
              <w:pStyle w:val="TableText"/>
              <w:ind w:left="204"/>
              <w:rPr>
                <w:rFonts w:ascii="Franklin Gothic Book" w:hAnsi="Franklin Gothic Book"/>
                <w:b/>
                <w:bCs/>
              </w:rPr>
            </w:pPr>
            <w:r w:rsidRPr="00EB088B">
              <w:rPr>
                <w:rFonts w:ascii="Franklin Gothic Book" w:hAnsi="Franklin Gothic Book"/>
              </w:rPr>
              <w:t>Positive Climate</w:t>
            </w:r>
          </w:p>
        </w:tc>
        <w:tc>
          <w:tcPr>
            <w:tcW w:w="720" w:type="dxa"/>
          </w:tcPr>
          <w:p w14:paraId="4B217011" w14:textId="77777777" w:rsidR="005A4DE5" w:rsidRPr="00E359BF" w:rsidRDefault="005A4DE5" w:rsidP="00FB1C07">
            <w:pPr>
              <w:pStyle w:val="TableTextCentered"/>
              <w:rPr>
                <w:rFonts w:eastAsia="Times New Roman"/>
              </w:rPr>
            </w:pPr>
            <w:r>
              <w:rPr>
                <w:rFonts w:eastAsia="Times New Roman"/>
              </w:rPr>
              <w:t>0</w:t>
            </w:r>
          </w:p>
        </w:tc>
        <w:tc>
          <w:tcPr>
            <w:tcW w:w="720" w:type="dxa"/>
          </w:tcPr>
          <w:p w14:paraId="5CD52B5E" w14:textId="77777777" w:rsidR="005A4DE5" w:rsidRPr="00E359BF" w:rsidRDefault="005A4DE5" w:rsidP="00FB1C07">
            <w:pPr>
              <w:pStyle w:val="TableTextCentered"/>
              <w:rPr>
                <w:rFonts w:eastAsia="Times New Roman"/>
              </w:rPr>
            </w:pPr>
            <w:r>
              <w:rPr>
                <w:rFonts w:eastAsia="Times New Roman"/>
              </w:rPr>
              <w:t>0</w:t>
            </w:r>
          </w:p>
        </w:tc>
        <w:tc>
          <w:tcPr>
            <w:tcW w:w="720" w:type="dxa"/>
          </w:tcPr>
          <w:p w14:paraId="78EDA444" w14:textId="77777777" w:rsidR="005A4DE5" w:rsidRPr="00E359BF" w:rsidRDefault="005A4DE5" w:rsidP="00FB1C07">
            <w:pPr>
              <w:pStyle w:val="TableTextCentered"/>
              <w:rPr>
                <w:rFonts w:eastAsia="Times New Roman"/>
              </w:rPr>
            </w:pPr>
            <w:r>
              <w:rPr>
                <w:rFonts w:eastAsia="Times New Roman"/>
              </w:rPr>
              <w:t>2</w:t>
            </w:r>
          </w:p>
        </w:tc>
        <w:tc>
          <w:tcPr>
            <w:tcW w:w="720" w:type="dxa"/>
          </w:tcPr>
          <w:p w14:paraId="4FC3ACDA" w14:textId="77777777" w:rsidR="005A4DE5" w:rsidRPr="00E359BF" w:rsidRDefault="005A4DE5" w:rsidP="00FB1C07">
            <w:pPr>
              <w:pStyle w:val="TableTextCentered"/>
              <w:rPr>
                <w:rFonts w:eastAsia="Times New Roman"/>
              </w:rPr>
            </w:pPr>
            <w:r>
              <w:rPr>
                <w:rFonts w:eastAsia="Times New Roman"/>
              </w:rPr>
              <w:t>6</w:t>
            </w:r>
          </w:p>
        </w:tc>
        <w:tc>
          <w:tcPr>
            <w:tcW w:w="720" w:type="dxa"/>
          </w:tcPr>
          <w:p w14:paraId="20CB139E" w14:textId="77777777" w:rsidR="005A4DE5" w:rsidRPr="00E359BF" w:rsidRDefault="005A4DE5" w:rsidP="00FB1C07">
            <w:pPr>
              <w:pStyle w:val="TableTextCentered"/>
              <w:rPr>
                <w:rFonts w:eastAsia="Times New Roman"/>
              </w:rPr>
            </w:pPr>
            <w:r>
              <w:rPr>
                <w:rFonts w:eastAsia="Times New Roman"/>
              </w:rPr>
              <w:t>10</w:t>
            </w:r>
          </w:p>
        </w:tc>
        <w:tc>
          <w:tcPr>
            <w:tcW w:w="720" w:type="dxa"/>
          </w:tcPr>
          <w:p w14:paraId="29BC67DF" w14:textId="77777777" w:rsidR="005A4DE5" w:rsidRPr="00E359BF" w:rsidRDefault="005A4DE5" w:rsidP="00FB1C07">
            <w:pPr>
              <w:pStyle w:val="TableTextCentered"/>
              <w:rPr>
                <w:rFonts w:eastAsia="Times New Roman"/>
              </w:rPr>
            </w:pPr>
            <w:r>
              <w:rPr>
                <w:rFonts w:eastAsia="Times New Roman"/>
              </w:rPr>
              <w:t>12</w:t>
            </w:r>
          </w:p>
        </w:tc>
        <w:tc>
          <w:tcPr>
            <w:tcW w:w="720" w:type="dxa"/>
          </w:tcPr>
          <w:p w14:paraId="3BE996D3" w14:textId="77777777" w:rsidR="005A4DE5" w:rsidRPr="00E359BF" w:rsidRDefault="005A4DE5" w:rsidP="00FB1C07">
            <w:pPr>
              <w:pStyle w:val="TableTextCentered"/>
              <w:rPr>
                <w:rFonts w:eastAsia="Times New Roman"/>
              </w:rPr>
            </w:pPr>
            <w:r>
              <w:rPr>
                <w:rFonts w:eastAsia="Times New Roman"/>
              </w:rPr>
              <w:t>4</w:t>
            </w:r>
          </w:p>
        </w:tc>
        <w:tc>
          <w:tcPr>
            <w:tcW w:w="533" w:type="dxa"/>
          </w:tcPr>
          <w:p w14:paraId="0B4BFB11" w14:textId="77777777" w:rsidR="005A4DE5" w:rsidRPr="00E359BF" w:rsidRDefault="005A4DE5" w:rsidP="00FB1C07">
            <w:pPr>
              <w:pStyle w:val="TableTextCentered"/>
              <w:rPr>
                <w:rFonts w:eastAsia="Times New Roman"/>
              </w:rPr>
            </w:pPr>
            <w:r>
              <w:rPr>
                <w:rFonts w:eastAsia="Times New Roman"/>
              </w:rPr>
              <w:t>34</w:t>
            </w:r>
          </w:p>
        </w:tc>
        <w:tc>
          <w:tcPr>
            <w:tcW w:w="907" w:type="dxa"/>
          </w:tcPr>
          <w:p w14:paraId="7CEB698E" w14:textId="77777777" w:rsidR="005A4DE5" w:rsidRPr="00E359BF" w:rsidRDefault="005A4DE5" w:rsidP="00FB1C07">
            <w:pPr>
              <w:pStyle w:val="TableTextCentered"/>
              <w:rPr>
                <w:rFonts w:eastAsia="Times New Roman"/>
              </w:rPr>
            </w:pPr>
            <w:r>
              <w:rPr>
                <w:rFonts w:eastAsia="Times New Roman"/>
              </w:rPr>
              <w:t>5.3</w:t>
            </w:r>
          </w:p>
        </w:tc>
      </w:tr>
      <w:tr w:rsidR="005A4DE5" w:rsidRPr="00E359BF" w14:paraId="69D5BC7D" w14:textId="77777777" w:rsidTr="00FB1C07">
        <w:trPr>
          <w:cnfStyle w:val="000000100000" w:firstRow="0" w:lastRow="0" w:firstColumn="0" w:lastColumn="0" w:oddVBand="0" w:evenVBand="0" w:oddHBand="1" w:evenHBand="0" w:firstRowFirstColumn="0" w:firstRowLastColumn="0" w:lastRowFirstColumn="0" w:lastRowLastColumn="0"/>
        </w:trPr>
        <w:tc>
          <w:tcPr>
            <w:tcW w:w="3238" w:type="dxa"/>
          </w:tcPr>
          <w:p w14:paraId="42449894" w14:textId="77777777" w:rsidR="005A4DE5" w:rsidRPr="00EB088B" w:rsidRDefault="005A4DE5" w:rsidP="00FB1C07">
            <w:pPr>
              <w:pStyle w:val="TableText"/>
              <w:ind w:left="204"/>
              <w:rPr>
                <w:rFonts w:ascii="Franklin Gothic Book" w:hAnsi="Franklin Gothic Book"/>
                <w:b/>
                <w:bCs/>
              </w:rPr>
            </w:pPr>
            <w:r w:rsidRPr="00EB088B">
              <w:rPr>
                <w:rFonts w:ascii="Franklin Gothic Book" w:hAnsi="Franklin Gothic Book"/>
              </w:rPr>
              <w:t>Negative Climate**</w:t>
            </w:r>
          </w:p>
        </w:tc>
        <w:tc>
          <w:tcPr>
            <w:tcW w:w="720" w:type="dxa"/>
          </w:tcPr>
          <w:p w14:paraId="5C9E4EE3" w14:textId="77777777" w:rsidR="005A4DE5" w:rsidRPr="00E359BF" w:rsidRDefault="005A4DE5" w:rsidP="00FB1C07">
            <w:pPr>
              <w:pStyle w:val="TableTextCentered"/>
              <w:rPr>
                <w:rFonts w:eastAsia="Times New Roman"/>
              </w:rPr>
            </w:pPr>
            <w:r>
              <w:rPr>
                <w:rFonts w:eastAsia="Times New Roman"/>
              </w:rPr>
              <w:t>0</w:t>
            </w:r>
          </w:p>
        </w:tc>
        <w:tc>
          <w:tcPr>
            <w:tcW w:w="720" w:type="dxa"/>
          </w:tcPr>
          <w:p w14:paraId="40455499" w14:textId="77777777" w:rsidR="005A4DE5" w:rsidRPr="00E359BF" w:rsidRDefault="005A4DE5" w:rsidP="00FB1C07">
            <w:pPr>
              <w:pStyle w:val="TableTextCentered"/>
              <w:rPr>
                <w:rFonts w:eastAsia="Times New Roman"/>
              </w:rPr>
            </w:pPr>
            <w:r>
              <w:rPr>
                <w:rFonts w:eastAsia="Times New Roman"/>
              </w:rPr>
              <w:t>0</w:t>
            </w:r>
          </w:p>
        </w:tc>
        <w:tc>
          <w:tcPr>
            <w:tcW w:w="720" w:type="dxa"/>
          </w:tcPr>
          <w:p w14:paraId="3ECB4E45" w14:textId="77777777" w:rsidR="005A4DE5" w:rsidRPr="00E359BF" w:rsidRDefault="005A4DE5" w:rsidP="00FB1C07">
            <w:pPr>
              <w:pStyle w:val="TableTextCentered"/>
              <w:rPr>
                <w:rFonts w:eastAsia="Times New Roman"/>
              </w:rPr>
            </w:pPr>
            <w:r>
              <w:rPr>
                <w:rFonts w:eastAsia="Times New Roman"/>
              </w:rPr>
              <w:t>0</w:t>
            </w:r>
          </w:p>
        </w:tc>
        <w:tc>
          <w:tcPr>
            <w:tcW w:w="720" w:type="dxa"/>
          </w:tcPr>
          <w:p w14:paraId="18867AFF" w14:textId="77777777" w:rsidR="005A4DE5" w:rsidRPr="00E359BF" w:rsidRDefault="005A4DE5" w:rsidP="00FB1C07">
            <w:pPr>
              <w:pStyle w:val="TableTextCentered"/>
              <w:rPr>
                <w:rFonts w:eastAsia="Times New Roman"/>
              </w:rPr>
            </w:pPr>
            <w:r>
              <w:rPr>
                <w:rFonts w:eastAsia="Times New Roman"/>
              </w:rPr>
              <w:t>0</w:t>
            </w:r>
          </w:p>
        </w:tc>
        <w:tc>
          <w:tcPr>
            <w:tcW w:w="720" w:type="dxa"/>
          </w:tcPr>
          <w:p w14:paraId="7A293883" w14:textId="77777777" w:rsidR="005A4DE5" w:rsidRPr="00E359BF" w:rsidRDefault="005A4DE5" w:rsidP="00FB1C07">
            <w:pPr>
              <w:pStyle w:val="TableTextCentered"/>
              <w:rPr>
                <w:rFonts w:eastAsia="Times New Roman"/>
              </w:rPr>
            </w:pPr>
            <w:r>
              <w:rPr>
                <w:rFonts w:eastAsia="Times New Roman"/>
              </w:rPr>
              <w:t>0</w:t>
            </w:r>
          </w:p>
        </w:tc>
        <w:tc>
          <w:tcPr>
            <w:tcW w:w="720" w:type="dxa"/>
          </w:tcPr>
          <w:p w14:paraId="1A69FC6B" w14:textId="77777777" w:rsidR="005A4DE5" w:rsidRPr="00E359BF" w:rsidRDefault="005A4DE5" w:rsidP="00FB1C07">
            <w:pPr>
              <w:pStyle w:val="TableTextCentered"/>
              <w:rPr>
                <w:rFonts w:eastAsia="Times New Roman"/>
              </w:rPr>
            </w:pPr>
            <w:r>
              <w:rPr>
                <w:rFonts w:eastAsia="Times New Roman"/>
              </w:rPr>
              <w:t>1</w:t>
            </w:r>
          </w:p>
        </w:tc>
        <w:tc>
          <w:tcPr>
            <w:tcW w:w="720" w:type="dxa"/>
          </w:tcPr>
          <w:p w14:paraId="6F054E0A" w14:textId="77777777" w:rsidR="005A4DE5" w:rsidRPr="00E359BF" w:rsidRDefault="005A4DE5" w:rsidP="00FB1C07">
            <w:pPr>
              <w:pStyle w:val="TableTextCentered"/>
              <w:rPr>
                <w:rFonts w:eastAsia="Times New Roman"/>
              </w:rPr>
            </w:pPr>
            <w:r>
              <w:rPr>
                <w:rFonts w:eastAsia="Times New Roman"/>
              </w:rPr>
              <w:t>33</w:t>
            </w:r>
          </w:p>
        </w:tc>
        <w:tc>
          <w:tcPr>
            <w:tcW w:w="533" w:type="dxa"/>
          </w:tcPr>
          <w:p w14:paraId="398FC62D" w14:textId="77777777" w:rsidR="005A4DE5" w:rsidRPr="00E359BF" w:rsidRDefault="005A4DE5" w:rsidP="00FB1C07">
            <w:pPr>
              <w:pStyle w:val="TableTextCentered"/>
              <w:rPr>
                <w:rFonts w:eastAsia="Times New Roman"/>
              </w:rPr>
            </w:pPr>
            <w:r>
              <w:rPr>
                <w:rFonts w:eastAsia="Times New Roman"/>
              </w:rPr>
              <w:t>34</w:t>
            </w:r>
          </w:p>
        </w:tc>
        <w:tc>
          <w:tcPr>
            <w:tcW w:w="907" w:type="dxa"/>
          </w:tcPr>
          <w:p w14:paraId="5BB27F97" w14:textId="77777777" w:rsidR="005A4DE5" w:rsidRPr="00E359BF" w:rsidRDefault="005A4DE5" w:rsidP="00FB1C07">
            <w:pPr>
              <w:pStyle w:val="TableTextCentered"/>
              <w:rPr>
                <w:rFonts w:eastAsia="Times New Roman"/>
              </w:rPr>
            </w:pPr>
            <w:r>
              <w:rPr>
                <w:rFonts w:eastAsia="Times New Roman"/>
              </w:rPr>
              <w:t>7.0</w:t>
            </w:r>
          </w:p>
        </w:tc>
      </w:tr>
      <w:tr w:rsidR="005A4DE5" w:rsidRPr="00E359BF" w14:paraId="78FC51C0" w14:textId="77777777" w:rsidTr="00FB1C07">
        <w:tc>
          <w:tcPr>
            <w:tcW w:w="3238" w:type="dxa"/>
          </w:tcPr>
          <w:p w14:paraId="47ACF22F" w14:textId="77777777" w:rsidR="005A4DE5" w:rsidRPr="00EB088B" w:rsidRDefault="005A4DE5" w:rsidP="00FB1C07">
            <w:pPr>
              <w:pStyle w:val="TableText"/>
              <w:ind w:left="204"/>
              <w:rPr>
                <w:rFonts w:ascii="Franklin Gothic Book" w:hAnsi="Franklin Gothic Book"/>
                <w:b/>
                <w:bCs/>
              </w:rPr>
            </w:pPr>
            <w:r w:rsidRPr="00EB088B">
              <w:rPr>
                <w:rFonts w:ascii="Franklin Gothic Book" w:hAnsi="Franklin Gothic Book"/>
              </w:rPr>
              <w:t>Teacher Sensitivity</w:t>
            </w:r>
          </w:p>
        </w:tc>
        <w:tc>
          <w:tcPr>
            <w:tcW w:w="720" w:type="dxa"/>
          </w:tcPr>
          <w:p w14:paraId="50D3C8B2" w14:textId="77777777" w:rsidR="005A4DE5" w:rsidRPr="00E359BF" w:rsidRDefault="005A4DE5" w:rsidP="00FB1C07">
            <w:pPr>
              <w:pStyle w:val="TableTextCentered"/>
              <w:rPr>
                <w:rFonts w:eastAsia="Times New Roman"/>
              </w:rPr>
            </w:pPr>
            <w:r>
              <w:rPr>
                <w:rFonts w:eastAsia="Times New Roman"/>
              </w:rPr>
              <w:t>0</w:t>
            </w:r>
          </w:p>
        </w:tc>
        <w:tc>
          <w:tcPr>
            <w:tcW w:w="720" w:type="dxa"/>
          </w:tcPr>
          <w:p w14:paraId="67C72369" w14:textId="77777777" w:rsidR="005A4DE5" w:rsidRPr="00E359BF" w:rsidRDefault="005A4DE5" w:rsidP="00FB1C07">
            <w:pPr>
              <w:pStyle w:val="TableTextCentered"/>
              <w:rPr>
                <w:rFonts w:eastAsia="Times New Roman"/>
              </w:rPr>
            </w:pPr>
            <w:r>
              <w:rPr>
                <w:rFonts w:eastAsia="Times New Roman"/>
              </w:rPr>
              <w:t>0</w:t>
            </w:r>
          </w:p>
        </w:tc>
        <w:tc>
          <w:tcPr>
            <w:tcW w:w="720" w:type="dxa"/>
          </w:tcPr>
          <w:p w14:paraId="5DA66FAD" w14:textId="77777777" w:rsidR="005A4DE5" w:rsidRPr="00E359BF" w:rsidRDefault="005A4DE5" w:rsidP="00FB1C07">
            <w:pPr>
              <w:pStyle w:val="TableTextCentered"/>
              <w:rPr>
                <w:rFonts w:eastAsia="Times New Roman"/>
              </w:rPr>
            </w:pPr>
            <w:r>
              <w:rPr>
                <w:rFonts w:eastAsia="Times New Roman"/>
              </w:rPr>
              <w:t>1</w:t>
            </w:r>
          </w:p>
        </w:tc>
        <w:tc>
          <w:tcPr>
            <w:tcW w:w="720" w:type="dxa"/>
          </w:tcPr>
          <w:p w14:paraId="55171557" w14:textId="77777777" w:rsidR="005A4DE5" w:rsidRPr="00E359BF" w:rsidRDefault="005A4DE5" w:rsidP="00FB1C07">
            <w:pPr>
              <w:pStyle w:val="TableTextCentered"/>
              <w:rPr>
                <w:rFonts w:eastAsia="Times New Roman"/>
              </w:rPr>
            </w:pPr>
            <w:r>
              <w:rPr>
                <w:rFonts w:eastAsia="Times New Roman"/>
              </w:rPr>
              <w:t>5</w:t>
            </w:r>
          </w:p>
        </w:tc>
        <w:tc>
          <w:tcPr>
            <w:tcW w:w="720" w:type="dxa"/>
          </w:tcPr>
          <w:p w14:paraId="719A8E1C" w14:textId="77777777" w:rsidR="005A4DE5" w:rsidRPr="00E359BF" w:rsidRDefault="005A4DE5" w:rsidP="00FB1C07">
            <w:pPr>
              <w:pStyle w:val="TableTextCentered"/>
              <w:rPr>
                <w:rFonts w:eastAsia="Times New Roman"/>
              </w:rPr>
            </w:pPr>
            <w:r>
              <w:rPr>
                <w:rFonts w:eastAsia="Times New Roman"/>
              </w:rPr>
              <w:t>6</w:t>
            </w:r>
          </w:p>
        </w:tc>
        <w:tc>
          <w:tcPr>
            <w:tcW w:w="720" w:type="dxa"/>
          </w:tcPr>
          <w:p w14:paraId="514AAA67" w14:textId="77777777" w:rsidR="005A4DE5" w:rsidRPr="00E359BF" w:rsidRDefault="005A4DE5" w:rsidP="00FB1C07">
            <w:pPr>
              <w:pStyle w:val="TableTextCentered"/>
              <w:rPr>
                <w:rFonts w:eastAsia="Times New Roman"/>
              </w:rPr>
            </w:pPr>
            <w:r>
              <w:rPr>
                <w:rFonts w:eastAsia="Times New Roman"/>
              </w:rPr>
              <w:t>14</w:t>
            </w:r>
          </w:p>
        </w:tc>
        <w:tc>
          <w:tcPr>
            <w:tcW w:w="720" w:type="dxa"/>
          </w:tcPr>
          <w:p w14:paraId="3878105A" w14:textId="77777777" w:rsidR="005A4DE5" w:rsidRPr="00E359BF" w:rsidRDefault="005A4DE5" w:rsidP="00FB1C07">
            <w:pPr>
              <w:pStyle w:val="TableTextCentered"/>
              <w:rPr>
                <w:rFonts w:eastAsia="Times New Roman"/>
              </w:rPr>
            </w:pPr>
            <w:r>
              <w:rPr>
                <w:rFonts w:eastAsia="Times New Roman"/>
              </w:rPr>
              <w:t>8</w:t>
            </w:r>
          </w:p>
        </w:tc>
        <w:tc>
          <w:tcPr>
            <w:tcW w:w="533" w:type="dxa"/>
          </w:tcPr>
          <w:p w14:paraId="71182BDA" w14:textId="77777777" w:rsidR="005A4DE5" w:rsidRPr="00E359BF" w:rsidRDefault="005A4DE5" w:rsidP="00FB1C07">
            <w:pPr>
              <w:pStyle w:val="TableTextCentered"/>
              <w:rPr>
                <w:rFonts w:eastAsia="Times New Roman"/>
              </w:rPr>
            </w:pPr>
            <w:r>
              <w:rPr>
                <w:rFonts w:eastAsia="Times New Roman"/>
              </w:rPr>
              <w:t>34</w:t>
            </w:r>
          </w:p>
        </w:tc>
        <w:tc>
          <w:tcPr>
            <w:tcW w:w="907" w:type="dxa"/>
          </w:tcPr>
          <w:p w14:paraId="47573E42" w14:textId="77777777" w:rsidR="005A4DE5" w:rsidRPr="00E359BF" w:rsidRDefault="005A4DE5" w:rsidP="00FB1C07">
            <w:pPr>
              <w:pStyle w:val="TableTextCentered"/>
              <w:rPr>
                <w:rFonts w:eastAsia="Times New Roman"/>
              </w:rPr>
            </w:pPr>
            <w:r>
              <w:rPr>
                <w:rFonts w:eastAsia="Times New Roman"/>
              </w:rPr>
              <w:t>5.7</w:t>
            </w:r>
          </w:p>
        </w:tc>
      </w:tr>
      <w:tr w:rsidR="005A4DE5" w:rsidRPr="00E359BF" w14:paraId="5AD607F6" w14:textId="77777777" w:rsidTr="00FB1C07">
        <w:trPr>
          <w:cnfStyle w:val="000000100000" w:firstRow="0" w:lastRow="0" w:firstColumn="0" w:lastColumn="0" w:oddVBand="0" w:evenVBand="0" w:oddHBand="1" w:evenHBand="0" w:firstRowFirstColumn="0" w:firstRowLastColumn="0" w:lastRowFirstColumn="0" w:lastRowLastColumn="0"/>
        </w:trPr>
        <w:tc>
          <w:tcPr>
            <w:tcW w:w="3238" w:type="dxa"/>
          </w:tcPr>
          <w:p w14:paraId="02D9228C" w14:textId="77777777" w:rsidR="005A4DE5" w:rsidRPr="00EB088B" w:rsidRDefault="005A4DE5" w:rsidP="00FB1C07">
            <w:pPr>
              <w:pStyle w:val="TableText"/>
              <w:ind w:left="204"/>
              <w:rPr>
                <w:rFonts w:ascii="Franklin Gothic Book" w:hAnsi="Franklin Gothic Book"/>
                <w:b/>
                <w:bCs/>
              </w:rPr>
            </w:pPr>
            <w:r w:rsidRPr="00EB088B">
              <w:rPr>
                <w:rFonts w:ascii="Franklin Gothic Book" w:hAnsi="Franklin Gothic Book"/>
              </w:rPr>
              <w:t>Regard for Student Perspectives</w:t>
            </w:r>
          </w:p>
        </w:tc>
        <w:tc>
          <w:tcPr>
            <w:tcW w:w="720" w:type="dxa"/>
          </w:tcPr>
          <w:p w14:paraId="5F0F08A2" w14:textId="77777777" w:rsidR="005A4DE5" w:rsidRPr="00E359BF" w:rsidRDefault="005A4DE5" w:rsidP="00FB1C07">
            <w:pPr>
              <w:pStyle w:val="TableTextCentered"/>
              <w:rPr>
                <w:rFonts w:eastAsia="Times New Roman"/>
              </w:rPr>
            </w:pPr>
            <w:r>
              <w:rPr>
                <w:rFonts w:eastAsia="Times New Roman"/>
              </w:rPr>
              <w:t>0</w:t>
            </w:r>
          </w:p>
        </w:tc>
        <w:tc>
          <w:tcPr>
            <w:tcW w:w="720" w:type="dxa"/>
          </w:tcPr>
          <w:p w14:paraId="5ECB1C66" w14:textId="77777777" w:rsidR="005A4DE5" w:rsidRPr="00E359BF" w:rsidRDefault="005A4DE5" w:rsidP="00FB1C07">
            <w:pPr>
              <w:pStyle w:val="TableTextCentered"/>
              <w:rPr>
                <w:rFonts w:eastAsia="Times New Roman"/>
              </w:rPr>
            </w:pPr>
            <w:r>
              <w:rPr>
                <w:rFonts w:eastAsia="Times New Roman"/>
              </w:rPr>
              <w:t>5</w:t>
            </w:r>
          </w:p>
        </w:tc>
        <w:tc>
          <w:tcPr>
            <w:tcW w:w="720" w:type="dxa"/>
          </w:tcPr>
          <w:p w14:paraId="310D54F7" w14:textId="77777777" w:rsidR="005A4DE5" w:rsidRPr="00E359BF" w:rsidRDefault="005A4DE5" w:rsidP="00FB1C07">
            <w:pPr>
              <w:pStyle w:val="TableTextCentered"/>
              <w:rPr>
                <w:rFonts w:eastAsia="Times New Roman"/>
              </w:rPr>
            </w:pPr>
            <w:r>
              <w:rPr>
                <w:rFonts w:eastAsia="Times New Roman"/>
              </w:rPr>
              <w:t>8</w:t>
            </w:r>
          </w:p>
        </w:tc>
        <w:tc>
          <w:tcPr>
            <w:tcW w:w="720" w:type="dxa"/>
          </w:tcPr>
          <w:p w14:paraId="67814E63" w14:textId="77777777" w:rsidR="005A4DE5" w:rsidRPr="00E359BF" w:rsidRDefault="005A4DE5" w:rsidP="00FB1C07">
            <w:pPr>
              <w:pStyle w:val="TableTextCentered"/>
              <w:rPr>
                <w:rFonts w:eastAsia="Times New Roman"/>
              </w:rPr>
            </w:pPr>
            <w:r>
              <w:rPr>
                <w:rFonts w:eastAsia="Times New Roman"/>
              </w:rPr>
              <w:t>9</w:t>
            </w:r>
          </w:p>
        </w:tc>
        <w:tc>
          <w:tcPr>
            <w:tcW w:w="720" w:type="dxa"/>
          </w:tcPr>
          <w:p w14:paraId="66A910D1" w14:textId="77777777" w:rsidR="005A4DE5" w:rsidRPr="00E359BF" w:rsidRDefault="005A4DE5" w:rsidP="00FB1C07">
            <w:pPr>
              <w:pStyle w:val="TableTextCentered"/>
              <w:rPr>
                <w:rFonts w:eastAsia="Times New Roman"/>
              </w:rPr>
            </w:pPr>
            <w:r>
              <w:rPr>
                <w:rFonts w:eastAsia="Times New Roman"/>
              </w:rPr>
              <w:t>9</w:t>
            </w:r>
          </w:p>
        </w:tc>
        <w:tc>
          <w:tcPr>
            <w:tcW w:w="720" w:type="dxa"/>
          </w:tcPr>
          <w:p w14:paraId="7EF70E7E" w14:textId="77777777" w:rsidR="005A4DE5" w:rsidRPr="00E359BF" w:rsidRDefault="005A4DE5" w:rsidP="00FB1C07">
            <w:pPr>
              <w:pStyle w:val="TableTextCentered"/>
              <w:rPr>
                <w:rFonts w:eastAsia="Times New Roman"/>
              </w:rPr>
            </w:pPr>
            <w:r>
              <w:rPr>
                <w:rFonts w:eastAsia="Times New Roman"/>
              </w:rPr>
              <w:t>3</w:t>
            </w:r>
          </w:p>
        </w:tc>
        <w:tc>
          <w:tcPr>
            <w:tcW w:w="720" w:type="dxa"/>
          </w:tcPr>
          <w:p w14:paraId="66F3FF8B" w14:textId="77777777" w:rsidR="005A4DE5" w:rsidRPr="00E359BF" w:rsidRDefault="005A4DE5" w:rsidP="00FB1C07">
            <w:pPr>
              <w:pStyle w:val="TableTextCentered"/>
              <w:rPr>
                <w:rFonts w:eastAsia="Times New Roman"/>
              </w:rPr>
            </w:pPr>
            <w:r>
              <w:rPr>
                <w:rFonts w:eastAsia="Times New Roman"/>
              </w:rPr>
              <w:t>0</w:t>
            </w:r>
          </w:p>
        </w:tc>
        <w:tc>
          <w:tcPr>
            <w:tcW w:w="533" w:type="dxa"/>
          </w:tcPr>
          <w:p w14:paraId="399F566E" w14:textId="77777777" w:rsidR="005A4DE5" w:rsidRPr="00E359BF" w:rsidRDefault="005A4DE5" w:rsidP="00FB1C07">
            <w:pPr>
              <w:pStyle w:val="TableTextCentered"/>
              <w:rPr>
                <w:rFonts w:eastAsia="Times New Roman"/>
              </w:rPr>
            </w:pPr>
            <w:r>
              <w:rPr>
                <w:rFonts w:eastAsia="Times New Roman"/>
              </w:rPr>
              <w:t>34</w:t>
            </w:r>
          </w:p>
        </w:tc>
        <w:tc>
          <w:tcPr>
            <w:tcW w:w="907" w:type="dxa"/>
          </w:tcPr>
          <w:p w14:paraId="30C3991F" w14:textId="77777777" w:rsidR="005A4DE5" w:rsidRPr="00E359BF" w:rsidRDefault="005A4DE5" w:rsidP="00FB1C07">
            <w:pPr>
              <w:pStyle w:val="TableTextCentered"/>
              <w:rPr>
                <w:rFonts w:eastAsia="Times New Roman"/>
              </w:rPr>
            </w:pPr>
            <w:r>
              <w:rPr>
                <w:rFonts w:eastAsia="Times New Roman"/>
              </w:rPr>
              <w:t>3.9</w:t>
            </w:r>
          </w:p>
        </w:tc>
      </w:tr>
      <w:tr w:rsidR="005A4DE5" w:rsidRPr="00E359BF" w14:paraId="4AAB2D4C" w14:textId="77777777" w:rsidTr="00FB1C07">
        <w:tc>
          <w:tcPr>
            <w:tcW w:w="3238" w:type="dxa"/>
            <w:shd w:val="clear" w:color="auto" w:fill="D9E2F3" w:themeFill="accent5" w:themeFillTint="33"/>
          </w:tcPr>
          <w:p w14:paraId="5FFC5011" w14:textId="77777777" w:rsidR="005A4DE5" w:rsidRPr="00EB088B" w:rsidRDefault="005A4DE5" w:rsidP="00FB1C07">
            <w:pPr>
              <w:pStyle w:val="TableSubheading"/>
              <w:rPr>
                <w:rFonts w:ascii="Franklin Gothic Book" w:hAnsi="Franklin Gothic Book"/>
                <w:b/>
                <w:bCs/>
                <w:szCs w:val="20"/>
              </w:rPr>
            </w:pPr>
            <w:r w:rsidRPr="00EB088B">
              <w:rPr>
                <w:rFonts w:ascii="Franklin Gothic Book" w:hAnsi="Franklin Gothic Book"/>
                <w:b/>
                <w:bCs/>
              </w:rPr>
              <w:t>Classroom Organization Domain</w:t>
            </w:r>
          </w:p>
        </w:tc>
        <w:tc>
          <w:tcPr>
            <w:tcW w:w="720" w:type="dxa"/>
            <w:shd w:val="clear" w:color="auto" w:fill="D9E2F3" w:themeFill="accent5" w:themeFillTint="33"/>
          </w:tcPr>
          <w:p w14:paraId="6D9884FF" w14:textId="77777777" w:rsidR="005A4DE5" w:rsidRPr="00B30BCD" w:rsidRDefault="005A4DE5" w:rsidP="00FB1C07">
            <w:pPr>
              <w:pStyle w:val="TableTextCenteredDemi"/>
              <w:rPr>
                <w:rFonts w:eastAsia="Times New Roman"/>
                <w:b/>
                <w:bCs/>
              </w:rPr>
            </w:pPr>
            <w:r>
              <w:rPr>
                <w:rFonts w:eastAsia="Times New Roman"/>
                <w:b/>
                <w:bCs/>
              </w:rPr>
              <w:t>0</w:t>
            </w:r>
          </w:p>
        </w:tc>
        <w:tc>
          <w:tcPr>
            <w:tcW w:w="720" w:type="dxa"/>
            <w:shd w:val="clear" w:color="auto" w:fill="D9E2F3" w:themeFill="accent5" w:themeFillTint="33"/>
          </w:tcPr>
          <w:p w14:paraId="0F332F43" w14:textId="77777777" w:rsidR="005A4DE5" w:rsidRPr="00B30BCD" w:rsidRDefault="005A4DE5" w:rsidP="00FB1C07">
            <w:pPr>
              <w:pStyle w:val="TableTextCenteredDemi"/>
              <w:rPr>
                <w:rFonts w:eastAsia="Times New Roman"/>
                <w:b/>
                <w:bCs/>
              </w:rPr>
            </w:pPr>
            <w:r>
              <w:rPr>
                <w:rFonts w:eastAsia="Times New Roman"/>
                <w:b/>
                <w:bCs/>
              </w:rPr>
              <w:t>0</w:t>
            </w:r>
          </w:p>
        </w:tc>
        <w:tc>
          <w:tcPr>
            <w:tcW w:w="720" w:type="dxa"/>
            <w:shd w:val="clear" w:color="auto" w:fill="D9E2F3" w:themeFill="accent5" w:themeFillTint="33"/>
          </w:tcPr>
          <w:p w14:paraId="39A8E44C" w14:textId="77777777" w:rsidR="005A4DE5" w:rsidRPr="00B30BCD" w:rsidRDefault="005A4DE5" w:rsidP="00FB1C07">
            <w:pPr>
              <w:pStyle w:val="TableTextCenteredDemi"/>
              <w:rPr>
                <w:rFonts w:eastAsia="Times New Roman"/>
                <w:b/>
                <w:bCs/>
              </w:rPr>
            </w:pPr>
            <w:r>
              <w:rPr>
                <w:rFonts w:eastAsia="Times New Roman"/>
                <w:b/>
                <w:bCs/>
              </w:rPr>
              <w:t>1</w:t>
            </w:r>
          </w:p>
        </w:tc>
        <w:tc>
          <w:tcPr>
            <w:tcW w:w="720" w:type="dxa"/>
            <w:shd w:val="clear" w:color="auto" w:fill="D9E2F3" w:themeFill="accent5" w:themeFillTint="33"/>
          </w:tcPr>
          <w:p w14:paraId="1F4B11FA" w14:textId="77777777" w:rsidR="005A4DE5" w:rsidRPr="00B30BCD" w:rsidRDefault="005A4DE5" w:rsidP="00FB1C07">
            <w:pPr>
              <w:pStyle w:val="TableTextCenteredDemi"/>
              <w:rPr>
                <w:rFonts w:eastAsia="Times New Roman"/>
                <w:b/>
                <w:bCs/>
              </w:rPr>
            </w:pPr>
            <w:r>
              <w:rPr>
                <w:rFonts w:eastAsia="Times New Roman"/>
                <w:b/>
                <w:bCs/>
              </w:rPr>
              <w:t>5</w:t>
            </w:r>
          </w:p>
        </w:tc>
        <w:tc>
          <w:tcPr>
            <w:tcW w:w="720" w:type="dxa"/>
            <w:shd w:val="clear" w:color="auto" w:fill="D9E2F3" w:themeFill="accent5" w:themeFillTint="33"/>
          </w:tcPr>
          <w:p w14:paraId="1DFD598C" w14:textId="77777777" w:rsidR="005A4DE5" w:rsidRPr="00B30BCD" w:rsidRDefault="005A4DE5" w:rsidP="00FB1C07">
            <w:pPr>
              <w:pStyle w:val="TableTextCenteredDemi"/>
              <w:rPr>
                <w:rFonts w:eastAsia="Times New Roman"/>
                <w:b/>
                <w:bCs/>
              </w:rPr>
            </w:pPr>
            <w:r>
              <w:rPr>
                <w:rFonts w:eastAsia="Times New Roman"/>
                <w:b/>
                <w:bCs/>
              </w:rPr>
              <w:t>17</w:t>
            </w:r>
          </w:p>
        </w:tc>
        <w:tc>
          <w:tcPr>
            <w:tcW w:w="720" w:type="dxa"/>
            <w:shd w:val="clear" w:color="auto" w:fill="D9E2F3" w:themeFill="accent5" w:themeFillTint="33"/>
          </w:tcPr>
          <w:p w14:paraId="1B610C67" w14:textId="77777777" w:rsidR="005A4DE5" w:rsidRPr="00B30BCD" w:rsidRDefault="005A4DE5" w:rsidP="00FB1C07">
            <w:pPr>
              <w:pStyle w:val="TableTextCenteredDemi"/>
              <w:rPr>
                <w:rFonts w:eastAsia="Times New Roman"/>
                <w:b/>
                <w:bCs/>
              </w:rPr>
            </w:pPr>
            <w:r>
              <w:rPr>
                <w:rFonts w:eastAsia="Times New Roman"/>
                <w:b/>
                <w:bCs/>
              </w:rPr>
              <w:t>34</w:t>
            </w:r>
          </w:p>
        </w:tc>
        <w:tc>
          <w:tcPr>
            <w:tcW w:w="720" w:type="dxa"/>
            <w:shd w:val="clear" w:color="auto" w:fill="D9E2F3" w:themeFill="accent5" w:themeFillTint="33"/>
          </w:tcPr>
          <w:p w14:paraId="75259C43" w14:textId="77777777" w:rsidR="005A4DE5" w:rsidRPr="00B30BCD" w:rsidRDefault="005A4DE5" w:rsidP="00FB1C07">
            <w:pPr>
              <w:pStyle w:val="TableTextCenteredDemi"/>
              <w:rPr>
                <w:rFonts w:eastAsia="Times New Roman"/>
                <w:b/>
                <w:bCs/>
              </w:rPr>
            </w:pPr>
            <w:r>
              <w:rPr>
                <w:rFonts w:eastAsia="Times New Roman"/>
                <w:b/>
                <w:bCs/>
              </w:rPr>
              <w:t>45</w:t>
            </w:r>
          </w:p>
        </w:tc>
        <w:tc>
          <w:tcPr>
            <w:tcW w:w="533" w:type="dxa"/>
            <w:shd w:val="clear" w:color="auto" w:fill="D9E2F3" w:themeFill="accent5" w:themeFillTint="33"/>
          </w:tcPr>
          <w:p w14:paraId="3EE8B62B" w14:textId="77777777" w:rsidR="005A4DE5" w:rsidRPr="00B30BCD" w:rsidRDefault="005A4DE5" w:rsidP="00FB1C07">
            <w:pPr>
              <w:pStyle w:val="TableTextCenteredDemi"/>
              <w:rPr>
                <w:rFonts w:eastAsia="Times New Roman"/>
                <w:b/>
                <w:bCs/>
              </w:rPr>
            </w:pPr>
            <w:r>
              <w:rPr>
                <w:rFonts w:eastAsia="Times New Roman"/>
                <w:b/>
                <w:bCs/>
              </w:rPr>
              <w:t>102</w:t>
            </w:r>
          </w:p>
        </w:tc>
        <w:tc>
          <w:tcPr>
            <w:tcW w:w="907" w:type="dxa"/>
            <w:shd w:val="clear" w:color="auto" w:fill="D9E2F3" w:themeFill="accent5" w:themeFillTint="33"/>
          </w:tcPr>
          <w:p w14:paraId="00A164F8" w14:textId="77777777" w:rsidR="005A4DE5" w:rsidRPr="00B30BCD" w:rsidRDefault="005A4DE5" w:rsidP="00FB1C07">
            <w:pPr>
              <w:pStyle w:val="TableTextCenteredDemi"/>
              <w:rPr>
                <w:rFonts w:eastAsia="Times New Roman"/>
                <w:b/>
                <w:bCs/>
              </w:rPr>
            </w:pPr>
            <w:r>
              <w:rPr>
                <w:rFonts w:eastAsia="Times New Roman"/>
                <w:b/>
                <w:bCs/>
              </w:rPr>
              <w:t>6.1</w:t>
            </w:r>
          </w:p>
        </w:tc>
      </w:tr>
      <w:tr w:rsidR="005A4DE5" w:rsidRPr="00E359BF" w14:paraId="02FBC963" w14:textId="77777777" w:rsidTr="00FB1C07">
        <w:trPr>
          <w:cnfStyle w:val="000000100000" w:firstRow="0" w:lastRow="0" w:firstColumn="0" w:lastColumn="0" w:oddVBand="0" w:evenVBand="0" w:oddHBand="1" w:evenHBand="0" w:firstRowFirstColumn="0" w:firstRowLastColumn="0" w:lastRowFirstColumn="0" w:lastRowLastColumn="0"/>
        </w:trPr>
        <w:tc>
          <w:tcPr>
            <w:tcW w:w="3238" w:type="dxa"/>
          </w:tcPr>
          <w:p w14:paraId="23F5A716" w14:textId="77777777" w:rsidR="005A4DE5" w:rsidRPr="00EB088B" w:rsidRDefault="005A4DE5" w:rsidP="00FB1C07">
            <w:pPr>
              <w:pStyle w:val="TableText"/>
              <w:ind w:left="204"/>
              <w:rPr>
                <w:rFonts w:ascii="Franklin Gothic Book" w:hAnsi="Franklin Gothic Book"/>
                <w:b/>
                <w:bCs/>
              </w:rPr>
            </w:pPr>
            <w:r w:rsidRPr="00EB088B">
              <w:rPr>
                <w:rFonts w:ascii="Franklin Gothic Book" w:hAnsi="Franklin Gothic Book"/>
              </w:rPr>
              <w:t>Behavior Management</w:t>
            </w:r>
          </w:p>
        </w:tc>
        <w:tc>
          <w:tcPr>
            <w:tcW w:w="720" w:type="dxa"/>
          </w:tcPr>
          <w:p w14:paraId="2217BA34" w14:textId="77777777" w:rsidR="005A4DE5" w:rsidRPr="00E359BF" w:rsidRDefault="005A4DE5" w:rsidP="00FB1C07">
            <w:pPr>
              <w:pStyle w:val="TableTextCentered"/>
              <w:rPr>
                <w:rFonts w:eastAsia="Times New Roman"/>
              </w:rPr>
            </w:pPr>
            <w:r>
              <w:rPr>
                <w:rFonts w:eastAsia="Times New Roman"/>
              </w:rPr>
              <w:t>0</w:t>
            </w:r>
          </w:p>
        </w:tc>
        <w:tc>
          <w:tcPr>
            <w:tcW w:w="720" w:type="dxa"/>
          </w:tcPr>
          <w:p w14:paraId="034F341C" w14:textId="77777777" w:rsidR="005A4DE5" w:rsidRPr="00E359BF" w:rsidRDefault="005A4DE5" w:rsidP="00FB1C07">
            <w:pPr>
              <w:pStyle w:val="TableTextCentered"/>
              <w:rPr>
                <w:rFonts w:eastAsia="Times New Roman"/>
              </w:rPr>
            </w:pPr>
            <w:r>
              <w:rPr>
                <w:rFonts w:eastAsia="Times New Roman"/>
              </w:rPr>
              <w:t>0</w:t>
            </w:r>
          </w:p>
        </w:tc>
        <w:tc>
          <w:tcPr>
            <w:tcW w:w="720" w:type="dxa"/>
          </w:tcPr>
          <w:p w14:paraId="108EDA23" w14:textId="77777777" w:rsidR="005A4DE5" w:rsidRPr="00E359BF" w:rsidRDefault="005A4DE5" w:rsidP="00FB1C07">
            <w:pPr>
              <w:pStyle w:val="TableTextCentered"/>
              <w:rPr>
                <w:rFonts w:eastAsia="Times New Roman"/>
              </w:rPr>
            </w:pPr>
            <w:r>
              <w:rPr>
                <w:rFonts w:eastAsia="Times New Roman"/>
              </w:rPr>
              <w:t>0</w:t>
            </w:r>
          </w:p>
        </w:tc>
        <w:tc>
          <w:tcPr>
            <w:tcW w:w="720" w:type="dxa"/>
          </w:tcPr>
          <w:p w14:paraId="53531A87" w14:textId="77777777" w:rsidR="005A4DE5" w:rsidRPr="00E359BF" w:rsidRDefault="005A4DE5" w:rsidP="00FB1C07">
            <w:pPr>
              <w:pStyle w:val="TableTextCentered"/>
              <w:rPr>
                <w:rFonts w:eastAsia="Times New Roman"/>
              </w:rPr>
            </w:pPr>
            <w:r>
              <w:rPr>
                <w:rFonts w:eastAsia="Times New Roman"/>
              </w:rPr>
              <w:t>1</w:t>
            </w:r>
          </w:p>
        </w:tc>
        <w:tc>
          <w:tcPr>
            <w:tcW w:w="720" w:type="dxa"/>
          </w:tcPr>
          <w:p w14:paraId="362D8529" w14:textId="77777777" w:rsidR="005A4DE5" w:rsidRPr="00E359BF" w:rsidRDefault="005A4DE5" w:rsidP="00FB1C07">
            <w:pPr>
              <w:pStyle w:val="TableTextCentered"/>
              <w:rPr>
                <w:rFonts w:eastAsia="Times New Roman"/>
              </w:rPr>
            </w:pPr>
            <w:r>
              <w:rPr>
                <w:rFonts w:eastAsia="Times New Roman"/>
              </w:rPr>
              <w:t>5</w:t>
            </w:r>
          </w:p>
        </w:tc>
        <w:tc>
          <w:tcPr>
            <w:tcW w:w="720" w:type="dxa"/>
          </w:tcPr>
          <w:p w14:paraId="0B5A40C0" w14:textId="77777777" w:rsidR="005A4DE5" w:rsidRPr="00E359BF" w:rsidRDefault="005A4DE5" w:rsidP="00FB1C07">
            <w:pPr>
              <w:pStyle w:val="TableTextCentered"/>
              <w:rPr>
                <w:rFonts w:eastAsia="Times New Roman"/>
              </w:rPr>
            </w:pPr>
            <w:r>
              <w:rPr>
                <w:rFonts w:eastAsia="Times New Roman"/>
              </w:rPr>
              <w:t>8</w:t>
            </w:r>
          </w:p>
        </w:tc>
        <w:tc>
          <w:tcPr>
            <w:tcW w:w="720" w:type="dxa"/>
          </w:tcPr>
          <w:p w14:paraId="2072CAD6" w14:textId="77777777" w:rsidR="005A4DE5" w:rsidRPr="00E359BF" w:rsidRDefault="005A4DE5" w:rsidP="00FB1C07">
            <w:pPr>
              <w:pStyle w:val="TableTextCentered"/>
              <w:rPr>
                <w:rFonts w:eastAsia="Times New Roman"/>
              </w:rPr>
            </w:pPr>
            <w:r>
              <w:rPr>
                <w:rFonts w:eastAsia="Times New Roman"/>
              </w:rPr>
              <w:t>20</w:t>
            </w:r>
          </w:p>
        </w:tc>
        <w:tc>
          <w:tcPr>
            <w:tcW w:w="533" w:type="dxa"/>
          </w:tcPr>
          <w:p w14:paraId="6EDC3959" w14:textId="77777777" w:rsidR="005A4DE5" w:rsidRPr="00E359BF" w:rsidRDefault="005A4DE5" w:rsidP="00FB1C07">
            <w:pPr>
              <w:pStyle w:val="TableTextCentered"/>
              <w:rPr>
                <w:rFonts w:eastAsia="Times New Roman"/>
              </w:rPr>
            </w:pPr>
            <w:r>
              <w:rPr>
                <w:rFonts w:eastAsia="Times New Roman"/>
              </w:rPr>
              <w:t>34</w:t>
            </w:r>
          </w:p>
        </w:tc>
        <w:tc>
          <w:tcPr>
            <w:tcW w:w="907" w:type="dxa"/>
          </w:tcPr>
          <w:p w14:paraId="119101B9" w14:textId="77777777" w:rsidR="005A4DE5" w:rsidRPr="00E359BF" w:rsidRDefault="005A4DE5" w:rsidP="00FB1C07">
            <w:pPr>
              <w:pStyle w:val="TableTextCentered"/>
              <w:rPr>
                <w:rFonts w:eastAsia="Times New Roman"/>
              </w:rPr>
            </w:pPr>
            <w:r>
              <w:rPr>
                <w:rFonts w:eastAsia="Times New Roman"/>
              </w:rPr>
              <w:t>6.4</w:t>
            </w:r>
          </w:p>
        </w:tc>
      </w:tr>
      <w:tr w:rsidR="005A4DE5" w:rsidRPr="00E359BF" w14:paraId="1104D59F" w14:textId="77777777" w:rsidTr="00FB1C07">
        <w:tc>
          <w:tcPr>
            <w:tcW w:w="3238" w:type="dxa"/>
          </w:tcPr>
          <w:p w14:paraId="106990C4" w14:textId="77777777" w:rsidR="005A4DE5" w:rsidRPr="00EB088B" w:rsidRDefault="005A4DE5" w:rsidP="00FB1C07">
            <w:pPr>
              <w:pStyle w:val="TableText"/>
              <w:ind w:left="204"/>
              <w:rPr>
                <w:rFonts w:ascii="Franklin Gothic Book" w:hAnsi="Franklin Gothic Book"/>
                <w:b/>
                <w:bCs/>
              </w:rPr>
            </w:pPr>
            <w:r w:rsidRPr="00EB088B">
              <w:rPr>
                <w:rFonts w:ascii="Franklin Gothic Book" w:hAnsi="Franklin Gothic Book"/>
              </w:rPr>
              <w:t>Productivity</w:t>
            </w:r>
          </w:p>
        </w:tc>
        <w:tc>
          <w:tcPr>
            <w:tcW w:w="720" w:type="dxa"/>
          </w:tcPr>
          <w:p w14:paraId="3CE372B7" w14:textId="77777777" w:rsidR="005A4DE5" w:rsidRPr="00E359BF" w:rsidRDefault="005A4DE5" w:rsidP="00FB1C07">
            <w:pPr>
              <w:pStyle w:val="TableTextCentered"/>
              <w:rPr>
                <w:rFonts w:eastAsia="Times New Roman"/>
              </w:rPr>
            </w:pPr>
            <w:r>
              <w:rPr>
                <w:rFonts w:eastAsia="Times New Roman"/>
              </w:rPr>
              <w:t>0</w:t>
            </w:r>
          </w:p>
        </w:tc>
        <w:tc>
          <w:tcPr>
            <w:tcW w:w="720" w:type="dxa"/>
          </w:tcPr>
          <w:p w14:paraId="7CB4BA35" w14:textId="77777777" w:rsidR="005A4DE5" w:rsidRPr="00E359BF" w:rsidRDefault="005A4DE5" w:rsidP="00FB1C07">
            <w:pPr>
              <w:pStyle w:val="TableTextCentered"/>
              <w:rPr>
                <w:rFonts w:eastAsia="Times New Roman"/>
              </w:rPr>
            </w:pPr>
            <w:r>
              <w:rPr>
                <w:rFonts w:eastAsia="Times New Roman"/>
              </w:rPr>
              <w:t>0</w:t>
            </w:r>
          </w:p>
        </w:tc>
        <w:tc>
          <w:tcPr>
            <w:tcW w:w="720" w:type="dxa"/>
          </w:tcPr>
          <w:p w14:paraId="3C587A64" w14:textId="77777777" w:rsidR="005A4DE5" w:rsidRPr="00E359BF" w:rsidRDefault="005A4DE5" w:rsidP="00FB1C07">
            <w:pPr>
              <w:pStyle w:val="TableTextCentered"/>
              <w:rPr>
                <w:rFonts w:eastAsia="Times New Roman"/>
              </w:rPr>
            </w:pPr>
            <w:r>
              <w:rPr>
                <w:rFonts w:eastAsia="Times New Roman"/>
              </w:rPr>
              <w:t>0</w:t>
            </w:r>
          </w:p>
        </w:tc>
        <w:tc>
          <w:tcPr>
            <w:tcW w:w="720" w:type="dxa"/>
          </w:tcPr>
          <w:p w14:paraId="295C20FA" w14:textId="77777777" w:rsidR="005A4DE5" w:rsidRPr="00E359BF" w:rsidRDefault="005A4DE5" w:rsidP="00FB1C07">
            <w:pPr>
              <w:pStyle w:val="TableTextCentered"/>
              <w:rPr>
                <w:rFonts w:eastAsia="Times New Roman"/>
              </w:rPr>
            </w:pPr>
            <w:r>
              <w:rPr>
                <w:rFonts w:eastAsia="Times New Roman"/>
              </w:rPr>
              <w:t>0</w:t>
            </w:r>
          </w:p>
        </w:tc>
        <w:tc>
          <w:tcPr>
            <w:tcW w:w="720" w:type="dxa"/>
          </w:tcPr>
          <w:p w14:paraId="4E69D7B5" w14:textId="77777777" w:rsidR="005A4DE5" w:rsidRPr="00E359BF" w:rsidRDefault="005A4DE5" w:rsidP="00FB1C07">
            <w:pPr>
              <w:pStyle w:val="TableTextCentered"/>
              <w:rPr>
                <w:rFonts w:eastAsia="Times New Roman"/>
              </w:rPr>
            </w:pPr>
            <w:r>
              <w:rPr>
                <w:rFonts w:eastAsia="Times New Roman"/>
              </w:rPr>
              <w:t>1</w:t>
            </w:r>
          </w:p>
        </w:tc>
        <w:tc>
          <w:tcPr>
            <w:tcW w:w="720" w:type="dxa"/>
          </w:tcPr>
          <w:p w14:paraId="4D852022" w14:textId="77777777" w:rsidR="005A4DE5" w:rsidRPr="00E359BF" w:rsidRDefault="005A4DE5" w:rsidP="00FB1C07">
            <w:pPr>
              <w:pStyle w:val="TableTextCentered"/>
              <w:rPr>
                <w:rFonts w:eastAsia="Times New Roman"/>
              </w:rPr>
            </w:pPr>
            <w:r>
              <w:rPr>
                <w:rFonts w:eastAsia="Times New Roman"/>
              </w:rPr>
              <w:t>10</w:t>
            </w:r>
          </w:p>
        </w:tc>
        <w:tc>
          <w:tcPr>
            <w:tcW w:w="720" w:type="dxa"/>
          </w:tcPr>
          <w:p w14:paraId="072E88FA" w14:textId="77777777" w:rsidR="005A4DE5" w:rsidRPr="00E359BF" w:rsidRDefault="005A4DE5" w:rsidP="00FB1C07">
            <w:pPr>
              <w:pStyle w:val="TableTextCentered"/>
              <w:rPr>
                <w:rFonts w:eastAsia="Times New Roman"/>
              </w:rPr>
            </w:pPr>
            <w:r>
              <w:rPr>
                <w:rFonts w:eastAsia="Times New Roman"/>
              </w:rPr>
              <w:t>23</w:t>
            </w:r>
          </w:p>
        </w:tc>
        <w:tc>
          <w:tcPr>
            <w:tcW w:w="533" w:type="dxa"/>
          </w:tcPr>
          <w:p w14:paraId="1F49A362" w14:textId="77777777" w:rsidR="005A4DE5" w:rsidRPr="00E359BF" w:rsidRDefault="005A4DE5" w:rsidP="00FB1C07">
            <w:pPr>
              <w:pStyle w:val="TableTextCentered"/>
              <w:rPr>
                <w:rFonts w:eastAsia="Times New Roman"/>
              </w:rPr>
            </w:pPr>
            <w:r>
              <w:rPr>
                <w:rFonts w:eastAsia="Times New Roman"/>
              </w:rPr>
              <w:t>34</w:t>
            </w:r>
          </w:p>
        </w:tc>
        <w:tc>
          <w:tcPr>
            <w:tcW w:w="907" w:type="dxa"/>
          </w:tcPr>
          <w:p w14:paraId="670DA1CB" w14:textId="77777777" w:rsidR="005A4DE5" w:rsidRPr="00E359BF" w:rsidRDefault="005A4DE5" w:rsidP="00FB1C07">
            <w:pPr>
              <w:pStyle w:val="TableTextCentered"/>
              <w:rPr>
                <w:rFonts w:eastAsia="Times New Roman"/>
              </w:rPr>
            </w:pPr>
            <w:r>
              <w:rPr>
                <w:rFonts w:eastAsia="Times New Roman"/>
              </w:rPr>
              <w:t>6.6</w:t>
            </w:r>
          </w:p>
        </w:tc>
      </w:tr>
      <w:tr w:rsidR="005A4DE5" w:rsidRPr="00E359BF" w14:paraId="708010A1" w14:textId="77777777" w:rsidTr="00FB1C07">
        <w:trPr>
          <w:cnfStyle w:val="000000100000" w:firstRow="0" w:lastRow="0" w:firstColumn="0" w:lastColumn="0" w:oddVBand="0" w:evenVBand="0" w:oddHBand="1" w:evenHBand="0" w:firstRowFirstColumn="0" w:firstRowLastColumn="0" w:lastRowFirstColumn="0" w:lastRowLastColumn="0"/>
        </w:trPr>
        <w:tc>
          <w:tcPr>
            <w:tcW w:w="3238" w:type="dxa"/>
          </w:tcPr>
          <w:p w14:paraId="0183E552" w14:textId="77777777" w:rsidR="005A4DE5" w:rsidRPr="00EB088B" w:rsidRDefault="005A4DE5" w:rsidP="00FB1C07">
            <w:pPr>
              <w:pStyle w:val="TableText"/>
              <w:ind w:left="204"/>
              <w:rPr>
                <w:rFonts w:ascii="Franklin Gothic Book" w:hAnsi="Franklin Gothic Book"/>
                <w:b/>
                <w:bCs/>
              </w:rPr>
            </w:pPr>
            <w:r w:rsidRPr="00EB088B">
              <w:rPr>
                <w:rFonts w:ascii="Franklin Gothic Book" w:hAnsi="Franklin Gothic Book"/>
              </w:rPr>
              <w:t>Instructional Learning Formats</w:t>
            </w:r>
            <w:r>
              <w:rPr>
                <w:rFonts w:ascii="Franklin Gothic Book" w:hAnsi="Franklin Gothic Book"/>
              </w:rPr>
              <w:t>***</w:t>
            </w:r>
          </w:p>
        </w:tc>
        <w:tc>
          <w:tcPr>
            <w:tcW w:w="720" w:type="dxa"/>
          </w:tcPr>
          <w:p w14:paraId="3C0122E0" w14:textId="77777777" w:rsidR="005A4DE5" w:rsidRPr="00E359BF" w:rsidRDefault="005A4DE5" w:rsidP="00FB1C07">
            <w:pPr>
              <w:pStyle w:val="TableTextCentered"/>
              <w:rPr>
                <w:rFonts w:eastAsia="Times New Roman"/>
              </w:rPr>
            </w:pPr>
            <w:r>
              <w:rPr>
                <w:rFonts w:eastAsia="Times New Roman"/>
              </w:rPr>
              <w:t>0</w:t>
            </w:r>
          </w:p>
        </w:tc>
        <w:tc>
          <w:tcPr>
            <w:tcW w:w="720" w:type="dxa"/>
          </w:tcPr>
          <w:p w14:paraId="12A3CC09" w14:textId="77777777" w:rsidR="005A4DE5" w:rsidRPr="00E359BF" w:rsidRDefault="005A4DE5" w:rsidP="00FB1C07">
            <w:pPr>
              <w:pStyle w:val="TableTextCentered"/>
              <w:rPr>
                <w:rFonts w:eastAsia="Times New Roman"/>
              </w:rPr>
            </w:pPr>
            <w:r>
              <w:rPr>
                <w:rFonts w:eastAsia="Times New Roman"/>
              </w:rPr>
              <w:t>0</w:t>
            </w:r>
          </w:p>
        </w:tc>
        <w:tc>
          <w:tcPr>
            <w:tcW w:w="720" w:type="dxa"/>
          </w:tcPr>
          <w:p w14:paraId="30D74059" w14:textId="77777777" w:rsidR="005A4DE5" w:rsidRPr="00E359BF" w:rsidRDefault="005A4DE5" w:rsidP="00FB1C07">
            <w:pPr>
              <w:pStyle w:val="TableTextCentered"/>
              <w:rPr>
                <w:rFonts w:eastAsia="Times New Roman"/>
              </w:rPr>
            </w:pPr>
            <w:r>
              <w:rPr>
                <w:rFonts w:eastAsia="Times New Roman"/>
              </w:rPr>
              <w:t>1</w:t>
            </w:r>
          </w:p>
        </w:tc>
        <w:tc>
          <w:tcPr>
            <w:tcW w:w="720" w:type="dxa"/>
          </w:tcPr>
          <w:p w14:paraId="4CCC7052" w14:textId="77777777" w:rsidR="005A4DE5" w:rsidRPr="00E359BF" w:rsidRDefault="005A4DE5" w:rsidP="00FB1C07">
            <w:pPr>
              <w:pStyle w:val="TableTextCentered"/>
              <w:rPr>
                <w:rFonts w:eastAsia="Times New Roman"/>
              </w:rPr>
            </w:pPr>
            <w:r>
              <w:rPr>
                <w:rFonts w:eastAsia="Times New Roman"/>
              </w:rPr>
              <w:t>4</w:t>
            </w:r>
          </w:p>
        </w:tc>
        <w:tc>
          <w:tcPr>
            <w:tcW w:w="720" w:type="dxa"/>
          </w:tcPr>
          <w:p w14:paraId="59FDD965" w14:textId="77777777" w:rsidR="005A4DE5" w:rsidRPr="00E359BF" w:rsidRDefault="005A4DE5" w:rsidP="00FB1C07">
            <w:pPr>
              <w:pStyle w:val="TableTextCentered"/>
              <w:rPr>
                <w:rFonts w:eastAsia="Times New Roman"/>
              </w:rPr>
            </w:pPr>
            <w:r>
              <w:rPr>
                <w:rFonts w:eastAsia="Times New Roman"/>
              </w:rPr>
              <w:t>11</w:t>
            </w:r>
          </w:p>
        </w:tc>
        <w:tc>
          <w:tcPr>
            <w:tcW w:w="720" w:type="dxa"/>
          </w:tcPr>
          <w:p w14:paraId="7A89EF33" w14:textId="77777777" w:rsidR="005A4DE5" w:rsidRPr="00E359BF" w:rsidRDefault="005A4DE5" w:rsidP="00FB1C07">
            <w:pPr>
              <w:pStyle w:val="TableTextCentered"/>
              <w:rPr>
                <w:rFonts w:eastAsia="Times New Roman"/>
              </w:rPr>
            </w:pPr>
            <w:r>
              <w:rPr>
                <w:rFonts w:eastAsia="Times New Roman"/>
              </w:rPr>
              <w:t>16</w:t>
            </w:r>
          </w:p>
        </w:tc>
        <w:tc>
          <w:tcPr>
            <w:tcW w:w="720" w:type="dxa"/>
          </w:tcPr>
          <w:p w14:paraId="18AA6CDE" w14:textId="77777777" w:rsidR="005A4DE5" w:rsidRPr="00E359BF" w:rsidRDefault="005A4DE5" w:rsidP="00FB1C07">
            <w:pPr>
              <w:pStyle w:val="TableTextCentered"/>
              <w:rPr>
                <w:rFonts w:eastAsia="Times New Roman"/>
              </w:rPr>
            </w:pPr>
            <w:r>
              <w:rPr>
                <w:rFonts w:eastAsia="Times New Roman"/>
              </w:rPr>
              <w:t>2</w:t>
            </w:r>
          </w:p>
        </w:tc>
        <w:tc>
          <w:tcPr>
            <w:tcW w:w="533" w:type="dxa"/>
          </w:tcPr>
          <w:p w14:paraId="5D1F4582" w14:textId="77777777" w:rsidR="005A4DE5" w:rsidRPr="00E359BF" w:rsidRDefault="005A4DE5" w:rsidP="00FB1C07">
            <w:pPr>
              <w:pStyle w:val="TableTextCentered"/>
              <w:rPr>
                <w:rFonts w:eastAsia="Times New Roman"/>
              </w:rPr>
            </w:pPr>
            <w:r>
              <w:rPr>
                <w:rFonts w:eastAsia="Times New Roman"/>
              </w:rPr>
              <w:t>34</w:t>
            </w:r>
          </w:p>
        </w:tc>
        <w:tc>
          <w:tcPr>
            <w:tcW w:w="907" w:type="dxa"/>
          </w:tcPr>
          <w:p w14:paraId="13BA634C" w14:textId="77777777" w:rsidR="005A4DE5" w:rsidRPr="00E359BF" w:rsidRDefault="005A4DE5" w:rsidP="00FB1C07">
            <w:pPr>
              <w:pStyle w:val="TableTextCentered"/>
              <w:rPr>
                <w:rFonts w:eastAsia="Times New Roman"/>
              </w:rPr>
            </w:pPr>
            <w:r>
              <w:rPr>
                <w:rFonts w:eastAsia="Times New Roman"/>
              </w:rPr>
              <w:t>5.4</w:t>
            </w:r>
          </w:p>
        </w:tc>
      </w:tr>
      <w:tr w:rsidR="005A4DE5" w:rsidRPr="00E359BF" w14:paraId="3F3D511E" w14:textId="77777777" w:rsidTr="00FB1C07">
        <w:tc>
          <w:tcPr>
            <w:tcW w:w="3238" w:type="dxa"/>
            <w:shd w:val="clear" w:color="auto" w:fill="D9E2F3" w:themeFill="accent5" w:themeFillTint="33"/>
          </w:tcPr>
          <w:p w14:paraId="7C0AEF43" w14:textId="77777777" w:rsidR="005A4DE5" w:rsidRPr="00EB088B" w:rsidRDefault="005A4DE5" w:rsidP="00FB1C07">
            <w:pPr>
              <w:pStyle w:val="TableSubheading"/>
              <w:rPr>
                <w:rFonts w:ascii="Franklin Gothic Book" w:hAnsi="Franklin Gothic Book"/>
                <w:b/>
                <w:bCs/>
                <w:szCs w:val="20"/>
              </w:rPr>
            </w:pPr>
            <w:r w:rsidRPr="00EB088B">
              <w:rPr>
                <w:rFonts w:ascii="Franklin Gothic Book" w:hAnsi="Franklin Gothic Book"/>
                <w:b/>
                <w:bCs/>
              </w:rPr>
              <w:t>Instructional Support Domain</w:t>
            </w:r>
          </w:p>
        </w:tc>
        <w:tc>
          <w:tcPr>
            <w:tcW w:w="720" w:type="dxa"/>
            <w:shd w:val="clear" w:color="auto" w:fill="D9E2F3" w:themeFill="accent5" w:themeFillTint="33"/>
          </w:tcPr>
          <w:p w14:paraId="4A89EA6E" w14:textId="77777777" w:rsidR="005A4DE5" w:rsidRPr="00B30BCD" w:rsidRDefault="005A4DE5" w:rsidP="00FB1C07">
            <w:pPr>
              <w:pStyle w:val="TableTextCenteredDemi"/>
              <w:rPr>
                <w:rFonts w:eastAsia="Times New Roman"/>
                <w:b/>
                <w:bCs/>
              </w:rPr>
            </w:pPr>
            <w:r>
              <w:rPr>
                <w:rFonts w:eastAsia="Times New Roman"/>
                <w:b/>
                <w:bCs/>
              </w:rPr>
              <w:t>1</w:t>
            </w:r>
          </w:p>
        </w:tc>
        <w:tc>
          <w:tcPr>
            <w:tcW w:w="720" w:type="dxa"/>
            <w:shd w:val="clear" w:color="auto" w:fill="D9E2F3" w:themeFill="accent5" w:themeFillTint="33"/>
          </w:tcPr>
          <w:p w14:paraId="27F35900" w14:textId="77777777" w:rsidR="005A4DE5" w:rsidRPr="00B30BCD" w:rsidRDefault="005A4DE5" w:rsidP="00FB1C07">
            <w:pPr>
              <w:pStyle w:val="TableTextCenteredDemi"/>
              <w:rPr>
                <w:rFonts w:eastAsia="Times New Roman"/>
                <w:b/>
                <w:bCs/>
              </w:rPr>
            </w:pPr>
            <w:r>
              <w:rPr>
                <w:rFonts w:eastAsia="Times New Roman"/>
                <w:b/>
                <w:bCs/>
              </w:rPr>
              <w:t>20</w:t>
            </w:r>
          </w:p>
        </w:tc>
        <w:tc>
          <w:tcPr>
            <w:tcW w:w="720" w:type="dxa"/>
            <w:shd w:val="clear" w:color="auto" w:fill="D9E2F3" w:themeFill="accent5" w:themeFillTint="33"/>
          </w:tcPr>
          <w:p w14:paraId="3DAA2313" w14:textId="77777777" w:rsidR="005A4DE5" w:rsidRPr="00B30BCD" w:rsidRDefault="005A4DE5" w:rsidP="00FB1C07">
            <w:pPr>
              <w:pStyle w:val="TableTextCenteredDemi"/>
              <w:rPr>
                <w:rFonts w:eastAsia="Times New Roman"/>
                <w:b/>
                <w:bCs/>
              </w:rPr>
            </w:pPr>
            <w:r>
              <w:rPr>
                <w:rFonts w:eastAsia="Times New Roman"/>
                <w:b/>
                <w:bCs/>
              </w:rPr>
              <w:t>34</w:t>
            </w:r>
          </w:p>
        </w:tc>
        <w:tc>
          <w:tcPr>
            <w:tcW w:w="720" w:type="dxa"/>
            <w:shd w:val="clear" w:color="auto" w:fill="D9E2F3" w:themeFill="accent5" w:themeFillTint="33"/>
          </w:tcPr>
          <w:p w14:paraId="43107415" w14:textId="77777777" w:rsidR="005A4DE5" w:rsidRPr="00B30BCD" w:rsidRDefault="005A4DE5" w:rsidP="00FB1C07">
            <w:pPr>
              <w:pStyle w:val="TableTextCenteredDemi"/>
              <w:rPr>
                <w:rFonts w:eastAsia="Times New Roman"/>
                <w:b/>
                <w:bCs/>
              </w:rPr>
            </w:pPr>
            <w:r>
              <w:rPr>
                <w:rFonts w:eastAsia="Times New Roman"/>
                <w:b/>
                <w:bCs/>
              </w:rPr>
              <w:t>33</w:t>
            </w:r>
          </w:p>
        </w:tc>
        <w:tc>
          <w:tcPr>
            <w:tcW w:w="720" w:type="dxa"/>
            <w:shd w:val="clear" w:color="auto" w:fill="D9E2F3" w:themeFill="accent5" w:themeFillTint="33"/>
          </w:tcPr>
          <w:p w14:paraId="69421DD9" w14:textId="77777777" w:rsidR="005A4DE5" w:rsidRPr="00B30BCD" w:rsidRDefault="005A4DE5" w:rsidP="00FB1C07">
            <w:pPr>
              <w:pStyle w:val="TableTextCenteredDemi"/>
              <w:rPr>
                <w:rFonts w:eastAsia="Times New Roman"/>
                <w:b/>
                <w:bCs/>
              </w:rPr>
            </w:pPr>
            <w:r>
              <w:rPr>
                <w:rFonts w:eastAsia="Times New Roman"/>
                <w:b/>
                <w:bCs/>
              </w:rPr>
              <w:t>22</w:t>
            </w:r>
          </w:p>
        </w:tc>
        <w:tc>
          <w:tcPr>
            <w:tcW w:w="720" w:type="dxa"/>
            <w:shd w:val="clear" w:color="auto" w:fill="D9E2F3" w:themeFill="accent5" w:themeFillTint="33"/>
          </w:tcPr>
          <w:p w14:paraId="287FEDF7" w14:textId="77777777" w:rsidR="005A4DE5" w:rsidRPr="00B30BCD" w:rsidRDefault="005A4DE5" w:rsidP="00FB1C07">
            <w:pPr>
              <w:pStyle w:val="TableTextCenteredDemi"/>
              <w:rPr>
                <w:rFonts w:eastAsia="Times New Roman"/>
                <w:b/>
                <w:bCs/>
              </w:rPr>
            </w:pPr>
            <w:r>
              <w:rPr>
                <w:rFonts w:eastAsia="Times New Roman"/>
                <w:b/>
                <w:bCs/>
              </w:rPr>
              <w:t>3</w:t>
            </w:r>
          </w:p>
        </w:tc>
        <w:tc>
          <w:tcPr>
            <w:tcW w:w="720" w:type="dxa"/>
            <w:shd w:val="clear" w:color="auto" w:fill="D9E2F3" w:themeFill="accent5" w:themeFillTint="33"/>
          </w:tcPr>
          <w:p w14:paraId="4ED8F84B" w14:textId="77777777" w:rsidR="005A4DE5" w:rsidRPr="00B30BCD" w:rsidRDefault="005A4DE5" w:rsidP="00FB1C07">
            <w:pPr>
              <w:pStyle w:val="TableTextCenteredDemi"/>
              <w:rPr>
                <w:rFonts w:eastAsia="Times New Roman"/>
                <w:b/>
                <w:bCs/>
              </w:rPr>
            </w:pPr>
            <w:r>
              <w:rPr>
                <w:rFonts w:eastAsia="Times New Roman"/>
                <w:b/>
                <w:bCs/>
              </w:rPr>
              <w:t>2</w:t>
            </w:r>
          </w:p>
        </w:tc>
        <w:tc>
          <w:tcPr>
            <w:tcW w:w="533" w:type="dxa"/>
            <w:shd w:val="clear" w:color="auto" w:fill="D9E2F3" w:themeFill="accent5" w:themeFillTint="33"/>
          </w:tcPr>
          <w:p w14:paraId="74BA2DBC" w14:textId="77777777" w:rsidR="005A4DE5" w:rsidRPr="00B30BCD" w:rsidRDefault="005A4DE5" w:rsidP="00FB1C07">
            <w:pPr>
              <w:pStyle w:val="TableTextCenteredDemi"/>
              <w:rPr>
                <w:rFonts w:eastAsia="Times New Roman"/>
                <w:b/>
                <w:bCs/>
              </w:rPr>
            </w:pPr>
            <w:r>
              <w:rPr>
                <w:rFonts w:eastAsia="Times New Roman"/>
                <w:b/>
                <w:bCs/>
              </w:rPr>
              <w:t>115</w:t>
            </w:r>
          </w:p>
        </w:tc>
        <w:tc>
          <w:tcPr>
            <w:tcW w:w="907" w:type="dxa"/>
            <w:shd w:val="clear" w:color="auto" w:fill="D9E2F3" w:themeFill="accent5" w:themeFillTint="33"/>
          </w:tcPr>
          <w:p w14:paraId="257972FE" w14:textId="77777777" w:rsidR="005A4DE5" w:rsidRPr="00B30BCD" w:rsidRDefault="005A4DE5" w:rsidP="00FB1C07">
            <w:pPr>
              <w:pStyle w:val="TableTextCenteredDemi"/>
              <w:rPr>
                <w:rFonts w:eastAsia="Times New Roman"/>
                <w:b/>
                <w:bCs/>
              </w:rPr>
            </w:pPr>
            <w:r>
              <w:rPr>
                <w:rFonts w:eastAsia="Times New Roman"/>
                <w:b/>
                <w:bCs/>
              </w:rPr>
              <w:t>3.6</w:t>
            </w:r>
          </w:p>
        </w:tc>
      </w:tr>
      <w:tr w:rsidR="005A4DE5" w:rsidRPr="00E359BF" w14:paraId="512607BE" w14:textId="77777777" w:rsidTr="00FB1C07">
        <w:trPr>
          <w:cnfStyle w:val="000000100000" w:firstRow="0" w:lastRow="0" w:firstColumn="0" w:lastColumn="0" w:oddVBand="0" w:evenVBand="0" w:oddHBand="1" w:evenHBand="0" w:firstRowFirstColumn="0" w:firstRowLastColumn="0" w:lastRowFirstColumn="0" w:lastRowLastColumn="0"/>
        </w:trPr>
        <w:tc>
          <w:tcPr>
            <w:tcW w:w="3238" w:type="dxa"/>
          </w:tcPr>
          <w:p w14:paraId="2E5DB362" w14:textId="77777777" w:rsidR="005A4DE5" w:rsidRPr="00EB088B" w:rsidRDefault="005A4DE5" w:rsidP="00FB1C07">
            <w:pPr>
              <w:pStyle w:val="TableText"/>
              <w:ind w:left="204"/>
              <w:rPr>
                <w:rFonts w:ascii="Franklin Gothic Book" w:hAnsi="Franklin Gothic Book"/>
                <w:b/>
                <w:bCs/>
              </w:rPr>
            </w:pPr>
            <w:r w:rsidRPr="00EB088B">
              <w:rPr>
                <w:rFonts w:ascii="Franklin Gothic Book" w:hAnsi="Franklin Gothic Book"/>
              </w:rPr>
              <w:t>Concept Development (</w:t>
            </w:r>
            <w:r>
              <w:rPr>
                <w:rFonts w:ascii="Franklin Gothic Book" w:hAnsi="Franklin Gothic Book"/>
              </w:rPr>
              <w:t>P</w:t>
            </w:r>
            <w:r w:rsidRPr="00EB088B">
              <w:rPr>
                <w:rFonts w:ascii="Franklin Gothic Book" w:hAnsi="Franklin Gothic Book"/>
              </w:rPr>
              <w:t>K-3 only)</w:t>
            </w:r>
          </w:p>
        </w:tc>
        <w:tc>
          <w:tcPr>
            <w:tcW w:w="720" w:type="dxa"/>
          </w:tcPr>
          <w:p w14:paraId="5BB77504" w14:textId="77777777" w:rsidR="005A4DE5" w:rsidRPr="00E359BF" w:rsidRDefault="005A4DE5" w:rsidP="00FB1C07">
            <w:pPr>
              <w:pStyle w:val="TableTextCentered"/>
              <w:rPr>
                <w:rFonts w:eastAsia="Times New Roman"/>
              </w:rPr>
            </w:pPr>
            <w:r>
              <w:rPr>
                <w:rFonts w:eastAsia="Times New Roman"/>
              </w:rPr>
              <w:t>0</w:t>
            </w:r>
          </w:p>
        </w:tc>
        <w:tc>
          <w:tcPr>
            <w:tcW w:w="720" w:type="dxa"/>
          </w:tcPr>
          <w:p w14:paraId="2811000F" w14:textId="77777777" w:rsidR="005A4DE5" w:rsidRPr="00E359BF" w:rsidRDefault="005A4DE5" w:rsidP="00FB1C07">
            <w:pPr>
              <w:pStyle w:val="TableTextCentered"/>
              <w:rPr>
                <w:rFonts w:eastAsia="Times New Roman"/>
              </w:rPr>
            </w:pPr>
            <w:r>
              <w:rPr>
                <w:rFonts w:eastAsia="Times New Roman"/>
              </w:rPr>
              <w:t>6</w:t>
            </w:r>
          </w:p>
        </w:tc>
        <w:tc>
          <w:tcPr>
            <w:tcW w:w="720" w:type="dxa"/>
          </w:tcPr>
          <w:p w14:paraId="2F3BFE9D" w14:textId="77777777" w:rsidR="005A4DE5" w:rsidRPr="00E359BF" w:rsidRDefault="005A4DE5" w:rsidP="00FB1C07">
            <w:pPr>
              <w:pStyle w:val="TableTextCentered"/>
              <w:rPr>
                <w:rFonts w:eastAsia="Times New Roman"/>
              </w:rPr>
            </w:pPr>
            <w:r>
              <w:rPr>
                <w:rFonts w:eastAsia="Times New Roman"/>
              </w:rPr>
              <w:t>7</w:t>
            </w:r>
          </w:p>
        </w:tc>
        <w:tc>
          <w:tcPr>
            <w:tcW w:w="720" w:type="dxa"/>
          </w:tcPr>
          <w:p w14:paraId="2BA3AB99" w14:textId="77777777" w:rsidR="005A4DE5" w:rsidRPr="00E359BF" w:rsidRDefault="005A4DE5" w:rsidP="00FB1C07">
            <w:pPr>
              <w:pStyle w:val="TableTextCentered"/>
              <w:rPr>
                <w:rFonts w:eastAsia="Times New Roman"/>
              </w:rPr>
            </w:pPr>
            <w:r>
              <w:rPr>
                <w:rFonts w:eastAsia="Times New Roman"/>
              </w:rPr>
              <w:t>3</w:t>
            </w:r>
          </w:p>
        </w:tc>
        <w:tc>
          <w:tcPr>
            <w:tcW w:w="720" w:type="dxa"/>
          </w:tcPr>
          <w:p w14:paraId="40FAC8E6" w14:textId="77777777" w:rsidR="005A4DE5" w:rsidRPr="00E359BF" w:rsidRDefault="005A4DE5" w:rsidP="00FB1C07">
            <w:pPr>
              <w:pStyle w:val="TableTextCentered"/>
              <w:rPr>
                <w:rFonts w:eastAsia="Times New Roman"/>
              </w:rPr>
            </w:pPr>
            <w:r>
              <w:rPr>
                <w:rFonts w:eastAsia="Times New Roman"/>
              </w:rPr>
              <w:t>5</w:t>
            </w:r>
          </w:p>
        </w:tc>
        <w:tc>
          <w:tcPr>
            <w:tcW w:w="720" w:type="dxa"/>
          </w:tcPr>
          <w:p w14:paraId="6FFA01DC" w14:textId="77777777" w:rsidR="005A4DE5" w:rsidRPr="00E359BF" w:rsidRDefault="005A4DE5" w:rsidP="00FB1C07">
            <w:pPr>
              <w:pStyle w:val="TableTextCentered"/>
              <w:rPr>
                <w:rFonts w:eastAsia="Times New Roman"/>
              </w:rPr>
            </w:pPr>
            <w:r>
              <w:rPr>
                <w:rFonts w:eastAsia="Times New Roman"/>
              </w:rPr>
              <w:t>0</w:t>
            </w:r>
          </w:p>
        </w:tc>
        <w:tc>
          <w:tcPr>
            <w:tcW w:w="720" w:type="dxa"/>
          </w:tcPr>
          <w:p w14:paraId="65263ABF" w14:textId="77777777" w:rsidR="005A4DE5" w:rsidRPr="00E359BF" w:rsidRDefault="005A4DE5" w:rsidP="00FB1C07">
            <w:pPr>
              <w:pStyle w:val="TableTextCentered"/>
              <w:rPr>
                <w:rFonts w:eastAsia="Times New Roman"/>
              </w:rPr>
            </w:pPr>
            <w:r>
              <w:rPr>
                <w:rFonts w:eastAsia="Times New Roman"/>
              </w:rPr>
              <w:t>0</w:t>
            </w:r>
          </w:p>
        </w:tc>
        <w:tc>
          <w:tcPr>
            <w:tcW w:w="533" w:type="dxa"/>
          </w:tcPr>
          <w:p w14:paraId="06A8ABE6" w14:textId="77777777" w:rsidR="005A4DE5" w:rsidRPr="00E359BF" w:rsidRDefault="005A4DE5" w:rsidP="00FB1C07">
            <w:pPr>
              <w:pStyle w:val="TableTextCentered"/>
              <w:rPr>
                <w:rFonts w:eastAsia="Times New Roman"/>
              </w:rPr>
            </w:pPr>
            <w:r>
              <w:rPr>
                <w:rFonts w:eastAsia="Times New Roman"/>
              </w:rPr>
              <w:t>21</w:t>
            </w:r>
          </w:p>
        </w:tc>
        <w:tc>
          <w:tcPr>
            <w:tcW w:w="907" w:type="dxa"/>
          </w:tcPr>
          <w:p w14:paraId="0FD7495C" w14:textId="77777777" w:rsidR="005A4DE5" w:rsidRPr="00E359BF" w:rsidRDefault="005A4DE5" w:rsidP="00FB1C07">
            <w:pPr>
              <w:pStyle w:val="TableTextCentered"/>
              <w:rPr>
                <w:rFonts w:eastAsia="Times New Roman"/>
              </w:rPr>
            </w:pPr>
            <w:r>
              <w:rPr>
                <w:rFonts w:eastAsia="Times New Roman"/>
              </w:rPr>
              <w:t>3.3</w:t>
            </w:r>
          </w:p>
        </w:tc>
      </w:tr>
      <w:tr w:rsidR="005A4DE5" w:rsidRPr="00E359BF" w14:paraId="30E81567" w14:textId="77777777" w:rsidTr="00FB1C07">
        <w:trPr>
          <w:trHeight w:val="70"/>
        </w:trPr>
        <w:tc>
          <w:tcPr>
            <w:tcW w:w="3238" w:type="dxa"/>
            <w:vAlign w:val="center"/>
          </w:tcPr>
          <w:p w14:paraId="3B03DC24" w14:textId="77777777" w:rsidR="005A4DE5" w:rsidRPr="00EB088B" w:rsidRDefault="005A4DE5" w:rsidP="00FB1C07">
            <w:pPr>
              <w:pStyle w:val="TableText"/>
              <w:ind w:left="204"/>
              <w:rPr>
                <w:rFonts w:ascii="Franklin Gothic Book" w:hAnsi="Franklin Gothic Book"/>
              </w:rPr>
            </w:pPr>
            <w:r w:rsidRPr="00EB088B">
              <w:rPr>
                <w:rFonts w:ascii="Franklin Gothic Book" w:hAnsi="Franklin Gothic Book"/>
              </w:rPr>
              <w:t>Content Understanding (UE only)</w:t>
            </w:r>
          </w:p>
        </w:tc>
        <w:tc>
          <w:tcPr>
            <w:tcW w:w="720" w:type="dxa"/>
          </w:tcPr>
          <w:p w14:paraId="1E211BEF" w14:textId="77777777" w:rsidR="005A4DE5" w:rsidRPr="00E359BF" w:rsidRDefault="005A4DE5" w:rsidP="00FB1C07">
            <w:pPr>
              <w:pStyle w:val="TableTextCentered"/>
              <w:rPr>
                <w:rFonts w:eastAsia="Times New Roman"/>
              </w:rPr>
            </w:pPr>
            <w:r>
              <w:rPr>
                <w:rFonts w:eastAsia="Times New Roman"/>
              </w:rPr>
              <w:t>0</w:t>
            </w:r>
          </w:p>
        </w:tc>
        <w:tc>
          <w:tcPr>
            <w:tcW w:w="720" w:type="dxa"/>
          </w:tcPr>
          <w:p w14:paraId="773964E8" w14:textId="77777777" w:rsidR="005A4DE5" w:rsidRPr="00E359BF" w:rsidRDefault="005A4DE5" w:rsidP="00FB1C07">
            <w:pPr>
              <w:pStyle w:val="TableTextCentered"/>
              <w:rPr>
                <w:rFonts w:eastAsia="Times New Roman"/>
              </w:rPr>
            </w:pPr>
            <w:r>
              <w:rPr>
                <w:rFonts w:eastAsia="Times New Roman"/>
              </w:rPr>
              <w:t>0</w:t>
            </w:r>
          </w:p>
        </w:tc>
        <w:tc>
          <w:tcPr>
            <w:tcW w:w="720" w:type="dxa"/>
          </w:tcPr>
          <w:p w14:paraId="6FE10440" w14:textId="77777777" w:rsidR="005A4DE5" w:rsidRPr="00E359BF" w:rsidRDefault="005A4DE5" w:rsidP="00FB1C07">
            <w:pPr>
              <w:pStyle w:val="TableTextCentered"/>
              <w:rPr>
                <w:rFonts w:eastAsia="Times New Roman"/>
              </w:rPr>
            </w:pPr>
            <w:r>
              <w:rPr>
                <w:rFonts w:eastAsia="Times New Roman"/>
              </w:rPr>
              <w:t>4</w:t>
            </w:r>
          </w:p>
        </w:tc>
        <w:tc>
          <w:tcPr>
            <w:tcW w:w="720" w:type="dxa"/>
          </w:tcPr>
          <w:p w14:paraId="266D01B7" w14:textId="77777777" w:rsidR="005A4DE5" w:rsidRPr="00E359BF" w:rsidRDefault="005A4DE5" w:rsidP="00FB1C07">
            <w:pPr>
              <w:pStyle w:val="TableTextCentered"/>
              <w:rPr>
                <w:rFonts w:eastAsia="Times New Roman"/>
              </w:rPr>
            </w:pPr>
            <w:r>
              <w:rPr>
                <w:rFonts w:eastAsia="Times New Roman"/>
              </w:rPr>
              <w:t>2</w:t>
            </w:r>
          </w:p>
        </w:tc>
        <w:tc>
          <w:tcPr>
            <w:tcW w:w="720" w:type="dxa"/>
          </w:tcPr>
          <w:p w14:paraId="3EE783B3" w14:textId="77777777" w:rsidR="005A4DE5" w:rsidRPr="00E359BF" w:rsidRDefault="005A4DE5" w:rsidP="00FB1C07">
            <w:pPr>
              <w:pStyle w:val="TableTextCentered"/>
              <w:rPr>
                <w:rFonts w:eastAsia="Times New Roman"/>
              </w:rPr>
            </w:pPr>
            <w:r>
              <w:rPr>
                <w:rFonts w:eastAsia="Times New Roman"/>
              </w:rPr>
              <w:t>3</w:t>
            </w:r>
          </w:p>
        </w:tc>
        <w:tc>
          <w:tcPr>
            <w:tcW w:w="720" w:type="dxa"/>
          </w:tcPr>
          <w:p w14:paraId="52B44909" w14:textId="77777777" w:rsidR="005A4DE5" w:rsidRPr="00E359BF" w:rsidRDefault="005A4DE5" w:rsidP="00FB1C07">
            <w:pPr>
              <w:pStyle w:val="TableTextCentered"/>
              <w:rPr>
                <w:rFonts w:eastAsia="Times New Roman"/>
              </w:rPr>
            </w:pPr>
            <w:r>
              <w:rPr>
                <w:rFonts w:eastAsia="Times New Roman"/>
              </w:rPr>
              <w:t>2</w:t>
            </w:r>
          </w:p>
        </w:tc>
        <w:tc>
          <w:tcPr>
            <w:tcW w:w="720" w:type="dxa"/>
          </w:tcPr>
          <w:p w14:paraId="6962C465" w14:textId="77777777" w:rsidR="005A4DE5" w:rsidRPr="00E359BF" w:rsidRDefault="005A4DE5" w:rsidP="00FB1C07">
            <w:pPr>
              <w:pStyle w:val="TableTextCentered"/>
              <w:rPr>
                <w:rFonts w:eastAsia="Times New Roman"/>
              </w:rPr>
            </w:pPr>
            <w:r>
              <w:rPr>
                <w:rFonts w:eastAsia="Times New Roman"/>
              </w:rPr>
              <w:t>2</w:t>
            </w:r>
          </w:p>
        </w:tc>
        <w:tc>
          <w:tcPr>
            <w:tcW w:w="533" w:type="dxa"/>
          </w:tcPr>
          <w:p w14:paraId="0D1546A3" w14:textId="77777777" w:rsidR="005A4DE5" w:rsidRPr="00E359BF" w:rsidRDefault="005A4DE5" w:rsidP="00FB1C07">
            <w:pPr>
              <w:pStyle w:val="TableTextCentered"/>
              <w:rPr>
                <w:rFonts w:eastAsia="Times New Roman"/>
              </w:rPr>
            </w:pPr>
            <w:r>
              <w:rPr>
                <w:rFonts w:eastAsia="Times New Roman"/>
              </w:rPr>
              <w:t>13</w:t>
            </w:r>
          </w:p>
        </w:tc>
        <w:tc>
          <w:tcPr>
            <w:tcW w:w="907" w:type="dxa"/>
          </w:tcPr>
          <w:p w14:paraId="04439CEE" w14:textId="77777777" w:rsidR="005A4DE5" w:rsidRPr="00E359BF" w:rsidRDefault="005A4DE5" w:rsidP="00FB1C07">
            <w:pPr>
              <w:pStyle w:val="TableTextCentered"/>
              <w:rPr>
                <w:rFonts w:eastAsia="Times New Roman"/>
              </w:rPr>
            </w:pPr>
            <w:r>
              <w:rPr>
                <w:rFonts w:eastAsia="Times New Roman"/>
              </w:rPr>
              <w:t>4.7</w:t>
            </w:r>
          </w:p>
        </w:tc>
      </w:tr>
      <w:tr w:rsidR="005A4DE5" w:rsidRPr="00E359BF" w14:paraId="46F21AD4" w14:textId="77777777" w:rsidTr="00FB1C07">
        <w:trPr>
          <w:cnfStyle w:val="000000100000" w:firstRow="0" w:lastRow="0" w:firstColumn="0" w:lastColumn="0" w:oddVBand="0" w:evenVBand="0" w:oddHBand="1" w:evenHBand="0" w:firstRowFirstColumn="0" w:firstRowLastColumn="0" w:lastRowFirstColumn="0" w:lastRowLastColumn="0"/>
          <w:trHeight w:val="70"/>
        </w:trPr>
        <w:tc>
          <w:tcPr>
            <w:tcW w:w="3238" w:type="dxa"/>
            <w:vAlign w:val="center"/>
          </w:tcPr>
          <w:p w14:paraId="5289DA12" w14:textId="77777777" w:rsidR="005A4DE5" w:rsidRPr="00EB088B" w:rsidRDefault="005A4DE5" w:rsidP="00FB1C07">
            <w:pPr>
              <w:pStyle w:val="TableText"/>
              <w:ind w:left="204"/>
              <w:rPr>
                <w:rFonts w:ascii="Franklin Gothic Book" w:hAnsi="Franklin Gothic Book"/>
              </w:rPr>
            </w:pPr>
            <w:r w:rsidRPr="00EB088B">
              <w:rPr>
                <w:rFonts w:ascii="Franklin Gothic Book" w:hAnsi="Franklin Gothic Book"/>
              </w:rPr>
              <w:t>Analysis and Inquiry (UE only)</w:t>
            </w:r>
          </w:p>
        </w:tc>
        <w:tc>
          <w:tcPr>
            <w:tcW w:w="720" w:type="dxa"/>
          </w:tcPr>
          <w:p w14:paraId="0D7FD396" w14:textId="77777777" w:rsidR="005A4DE5" w:rsidRPr="00E359BF" w:rsidRDefault="005A4DE5" w:rsidP="00FB1C07">
            <w:pPr>
              <w:pStyle w:val="TableTextCentered"/>
              <w:rPr>
                <w:rFonts w:eastAsia="Times New Roman"/>
              </w:rPr>
            </w:pPr>
            <w:r>
              <w:rPr>
                <w:rFonts w:eastAsia="Times New Roman"/>
              </w:rPr>
              <w:t>1</w:t>
            </w:r>
          </w:p>
        </w:tc>
        <w:tc>
          <w:tcPr>
            <w:tcW w:w="720" w:type="dxa"/>
          </w:tcPr>
          <w:p w14:paraId="7BE4DC4F" w14:textId="77777777" w:rsidR="005A4DE5" w:rsidRPr="00E359BF" w:rsidRDefault="005A4DE5" w:rsidP="00FB1C07">
            <w:pPr>
              <w:pStyle w:val="TableTextCentered"/>
              <w:rPr>
                <w:rFonts w:eastAsia="Times New Roman"/>
              </w:rPr>
            </w:pPr>
            <w:r>
              <w:rPr>
                <w:rFonts w:eastAsia="Times New Roman"/>
              </w:rPr>
              <w:t>1</w:t>
            </w:r>
          </w:p>
        </w:tc>
        <w:tc>
          <w:tcPr>
            <w:tcW w:w="720" w:type="dxa"/>
          </w:tcPr>
          <w:p w14:paraId="15E4B318" w14:textId="77777777" w:rsidR="005A4DE5" w:rsidRPr="00E359BF" w:rsidRDefault="005A4DE5" w:rsidP="00FB1C07">
            <w:pPr>
              <w:pStyle w:val="TableTextCentered"/>
              <w:rPr>
                <w:rFonts w:eastAsia="Times New Roman"/>
              </w:rPr>
            </w:pPr>
            <w:r>
              <w:rPr>
                <w:rFonts w:eastAsia="Times New Roman"/>
              </w:rPr>
              <w:t>5</w:t>
            </w:r>
          </w:p>
        </w:tc>
        <w:tc>
          <w:tcPr>
            <w:tcW w:w="720" w:type="dxa"/>
          </w:tcPr>
          <w:p w14:paraId="01B764E2" w14:textId="77777777" w:rsidR="005A4DE5" w:rsidRPr="00E359BF" w:rsidRDefault="005A4DE5" w:rsidP="00FB1C07">
            <w:pPr>
              <w:pStyle w:val="TableTextCentered"/>
              <w:rPr>
                <w:rFonts w:eastAsia="Times New Roman"/>
              </w:rPr>
            </w:pPr>
            <w:r>
              <w:rPr>
                <w:rFonts w:eastAsia="Times New Roman"/>
              </w:rPr>
              <w:t>4</w:t>
            </w:r>
          </w:p>
        </w:tc>
        <w:tc>
          <w:tcPr>
            <w:tcW w:w="720" w:type="dxa"/>
          </w:tcPr>
          <w:p w14:paraId="73A5D850" w14:textId="77777777" w:rsidR="005A4DE5" w:rsidRPr="00E359BF" w:rsidRDefault="005A4DE5" w:rsidP="00FB1C07">
            <w:pPr>
              <w:pStyle w:val="TableTextCentered"/>
              <w:rPr>
                <w:rFonts w:eastAsia="Times New Roman"/>
              </w:rPr>
            </w:pPr>
            <w:r>
              <w:rPr>
                <w:rFonts w:eastAsia="Times New Roman"/>
              </w:rPr>
              <w:t>2</w:t>
            </w:r>
          </w:p>
        </w:tc>
        <w:tc>
          <w:tcPr>
            <w:tcW w:w="720" w:type="dxa"/>
          </w:tcPr>
          <w:p w14:paraId="3C686755" w14:textId="77777777" w:rsidR="005A4DE5" w:rsidRPr="00E359BF" w:rsidRDefault="005A4DE5" w:rsidP="00FB1C07">
            <w:pPr>
              <w:pStyle w:val="TableTextCentered"/>
              <w:rPr>
                <w:rFonts w:eastAsia="Times New Roman"/>
              </w:rPr>
            </w:pPr>
            <w:r>
              <w:rPr>
                <w:rFonts w:eastAsia="Times New Roman"/>
              </w:rPr>
              <w:t>0</w:t>
            </w:r>
          </w:p>
        </w:tc>
        <w:tc>
          <w:tcPr>
            <w:tcW w:w="720" w:type="dxa"/>
          </w:tcPr>
          <w:p w14:paraId="0C50F270" w14:textId="77777777" w:rsidR="005A4DE5" w:rsidRPr="00E359BF" w:rsidRDefault="005A4DE5" w:rsidP="00FB1C07">
            <w:pPr>
              <w:pStyle w:val="TableTextCentered"/>
              <w:rPr>
                <w:rFonts w:eastAsia="Times New Roman"/>
              </w:rPr>
            </w:pPr>
            <w:r>
              <w:rPr>
                <w:rFonts w:eastAsia="Times New Roman"/>
              </w:rPr>
              <w:t>0</w:t>
            </w:r>
          </w:p>
        </w:tc>
        <w:tc>
          <w:tcPr>
            <w:tcW w:w="533" w:type="dxa"/>
          </w:tcPr>
          <w:p w14:paraId="18715BE7" w14:textId="77777777" w:rsidR="005A4DE5" w:rsidRPr="00E359BF" w:rsidRDefault="005A4DE5" w:rsidP="00FB1C07">
            <w:pPr>
              <w:pStyle w:val="TableTextCentered"/>
              <w:rPr>
                <w:rFonts w:eastAsia="Times New Roman"/>
              </w:rPr>
            </w:pPr>
            <w:r>
              <w:rPr>
                <w:rFonts w:eastAsia="Times New Roman"/>
              </w:rPr>
              <w:t>13</w:t>
            </w:r>
          </w:p>
        </w:tc>
        <w:tc>
          <w:tcPr>
            <w:tcW w:w="907" w:type="dxa"/>
          </w:tcPr>
          <w:p w14:paraId="4FDF5CA6" w14:textId="77777777" w:rsidR="005A4DE5" w:rsidRPr="00E359BF" w:rsidRDefault="005A4DE5" w:rsidP="00FB1C07">
            <w:pPr>
              <w:pStyle w:val="TableTextCentered"/>
              <w:rPr>
                <w:rFonts w:eastAsia="Times New Roman"/>
              </w:rPr>
            </w:pPr>
            <w:r>
              <w:rPr>
                <w:rFonts w:eastAsia="Times New Roman"/>
              </w:rPr>
              <w:t>3.4</w:t>
            </w:r>
          </w:p>
        </w:tc>
      </w:tr>
      <w:tr w:rsidR="005A4DE5" w:rsidRPr="00E359BF" w14:paraId="68F2E349" w14:textId="77777777" w:rsidTr="00FB1C07">
        <w:trPr>
          <w:trHeight w:val="70"/>
        </w:trPr>
        <w:tc>
          <w:tcPr>
            <w:tcW w:w="3238" w:type="dxa"/>
          </w:tcPr>
          <w:p w14:paraId="50FC1EA4" w14:textId="77777777" w:rsidR="005A4DE5" w:rsidRPr="00EB088B" w:rsidRDefault="005A4DE5" w:rsidP="00FB1C07">
            <w:pPr>
              <w:pStyle w:val="TableText"/>
              <w:ind w:left="204"/>
              <w:rPr>
                <w:rFonts w:ascii="Franklin Gothic Book" w:hAnsi="Franklin Gothic Book"/>
                <w:b/>
                <w:bCs/>
              </w:rPr>
            </w:pPr>
            <w:r w:rsidRPr="00EB088B">
              <w:rPr>
                <w:rFonts w:ascii="Franklin Gothic Book" w:hAnsi="Franklin Gothic Book"/>
              </w:rPr>
              <w:t>Quality of Feedback</w:t>
            </w:r>
          </w:p>
        </w:tc>
        <w:tc>
          <w:tcPr>
            <w:tcW w:w="720" w:type="dxa"/>
          </w:tcPr>
          <w:p w14:paraId="73305B6F" w14:textId="77777777" w:rsidR="005A4DE5" w:rsidRPr="00E359BF" w:rsidRDefault="005A4DE5" w:rsidP="00FB1C07">
            <w:pPr>
              <w:pStyle w:val="TableTextCentered"/>
              <w:rPr>
                <w:rFonts w:eastAsia="Times New Roman"/>
              </w:rPr>
            </w:pPr>
            <w:r>
              <w:rPr>
                <w:rFonts w:eastAsia="Times New Roman"/>
              </w:rPr>
              <w:t>0</w:t>
            </w:r>
          </w:p>
        </w:tc>
        <w:tc>
          <w:tcPr>
            <w:tcW w:w="720" w:type="dxa"/>
          </w:tcPr>
          <w:p w14:paraId="213093B5" w14:textId="77777777" w:rsidR="005A4DE5" w:rsidRPr="00E359BF" w:rsidRDefault="005A4DE5" w:rsidP="00FB1C07">
            <w:pPr>
              <w:pStyle w:val="TableTextCentered"/>
              <w:rPr>
                <w:rFonts w:eastAsia="Times New Roman"/>
              </w:rPr>
            </w:pPr>
            <w:r>
              <w:rPr>
                <w:rFonts w:eastAsia="Times New Roman"/>
              </w:rPr>
              <w:t>6</w:t>
            </w:r>
          </w:p>
        </w:tc>
        <w:tc>
          <w:tcPr>
            <w:tcW w:w="720" w:type="dxa"/>
          </w:tcPr>
          <w:p w14:paraId="5F9F4D43" w14:textId="77777777" w:rsidR="005A4DE5" w:rsidRPr="00E359BF" w:rsidRDefault="005A4DE5" w:rsidP="00FB1C07">
            <w:pPr>
              <w:pStyle w:val="TableTextCentered"/>
              <w:rPr>
                <w:rFonts w:eastAsia="Times New Roman"/>
              </w:rPr>
            </w:pPr>
            <w:r>
              <w:rPr>
                <w:rFonts w:eastAsia="Times New Roman"/>
              </w:rPr>
              <w:t>9</w:t>
            </w:r>
          </w:p>
        </w:tc>
        <w:tc>
          <w:tcPr>
            <w:tcW w:w="720" w:type="dxa"/>
          </w:tcPr>
          <w:p w14:paraId="7D63DA41" w14:textId="77777777" w:rsidR="005A4DE5" w:rsidRPr="00E359BF" w:rsidRDefault="005A4DE5" w:rsidP="00FB1C07">
            <w:pPr>
              <w:pStyle w:val="TableTextCentered"/>
              <w:rPr>
                <w:rFonts w:eastAsia="Times New Roman"/>
              </w:rPr>
            </w:pPr>
            <w:r>
              <w:rPr>
                <w:rFonts w:eastAsia="Times New Roman"/>
              </w:rPr>
              <w:t>16</w:t>
            </w:r>
          </w:p>
        </w:tc>
        <w:tc>
          <w:tcPr>
            <w:tcW w:w="720" w:type="dxa"/>
          </w:tcPr>
          <w:p w14:paraId="7AB8E46C" w14:textId="77777777" w:rsidR="005A4DE5" w:rsidRPr="00E359BF" w:rsidRDefault="005A4DE5" w:rsidP="00FB1C07">
            <w:pPr>
              <w:pStyle w:val="TableTextCentered"/>
              <w:rPr>
                <w:rFonts w:eastAsia="Times New Roman"/>
              </w:rPr>
            </w:pPr>
            <w:r>
              <w:rPr>
                <w:rFonts w:eastAsia="Times New Roman"/>
              </w:rPr>
              <w:t>3</w:t>
            </w:r>
          </w:p>
        </w:tc>
        <w:tc>
          <w:tcPr>
            <w:tcW w:w="720" w:type="dxa"/>
          </w:tcPr>
          <w:p w14:paraId="22200A55" w14:textId="77777777" w:rsidR="005A4DE5" w:rsidRPr="00E359BF" w:rsidRDefault="005A4DE5" w:rsidP="00FB1C07">
            <w:pPr>
              <w:pStyle w:val="TableTextCentered"/>
              <w:rPr>
                <w:rFonts w:eastAsia="Times New Roman"/>
              </w:rPr>
            </w:pPr>
            <w:r>
              <w:rPr>
                <w:rFonts w:eastAsia="Times New Roman"/>
              </w:rPr>
              <w:t>0</w:t>
            </w:r>
          </w:p>
        </w:tc>
        <w:tc>
          <w:tcPr>
            <w:tcW w:w="720" w:type="dxa"/>
          </w:tcPr>
          <w:p w14:paraId="42392589" w14:textId="77777777" w:rsidR="005A4DE5" w:rsidRPr="00E359BF" w:rsidRDefault="005A4DE5" w:rsidP="00FB1C07">
            <w:pPr>
              <w:pStyle w:val="TableTextCentered"/>
              <w:rPr>
                <w:rFonts w:eastAsia="Times New Roman"/>
              </w:rPr>
            </w:pPr>
            <w:r>
              <w:rPr>
                <w:rFonts w:eastAsia="Times New Roman"/>
              </w:rPr>
              <w:t>0</w:t>
            </w:r>
          </w:p>
        </w:tc>
        <w:tc>
          <w:tcPr>
            <w:tcW w:w="533" w:type="dxa"/>
          </w:tcPr>
          <w:p w14:paraId="2561DDA0" w14:textId="77777777" w:rsidR="005A4DE5" w:rsidRPr="00E359BF" w:rsidRDefault="005A4DE5" w:rsidP="00FB1C07">
            <w:pPr>
              <w:pStyle w:val="TableTextCentered"/>
              <w:rPr>
                <w:rFonts w:eastAsia="Times New Roman"/>
              </w:rPr>
            </w:pPr>
            <w:r>
              <w:rPr>
                <w:rFonts w:eastAsia="Times New Roman"/>
              </w:rPr>
              <w:t>34</w:t>
            </w:r>
          </w:p>
        </w:tc>
        <w:tc>
          <w:tcPr>
            <w:tcW w:w="907" w:type="dxa"/>
          </w:tcPr>
          <w:p w14:paraId="36800955" w14:textId="77777777" w:rsidR="005A4DE5" w:rsidRPr="00E359BF" w:rsidRDefault="005A4DE5" w:rsidP="00FB1C07">
            <w:pPr>
              <w:pStyle w:val="TableTextCentered"/>
              <w:rPr>
                <w:rFonts w:eastAsia="Times New Roman"/>
              </w:rPr>
            </w:pPr>
            <w:r>
              <w:rPr>
                <w:rFonts w:eastAsia="Times New Roman"/>
              </w:rPr>
              <w:t>3.5</w:t>
            </w:r>
          </w:p>
        </w:tc>
      </w:tr>
      <w:tr w:rsidR="005A4DE5" w:rsidRPr="00E359BF" w14:paraId="49C3C0BA" w14:textId="77777777" w:rsidTr="00FB1C07">
        <w:trPr>
          <w:cnfStyle w:val="000000100000" w:firstRow="0" w:lastRow="0" w:firstColumn="0" w:lastColumn="0" w:oddVBand="0" w:evenVBand="0" w:oddHBand="1" w:evenHBand="0" w:firstRowFirstColumn="0" w:firstRowLastColumn="0" w:lastRowFirstColumn="0" w:lastRowLastColumn="0"/>
        </w:trPr>
        <w:tc>
          <w:tcPr>
            <w:tcW w:w="3238" w:type="dxa"/>
          </w:tcPr>
          <w:p w14:paraId="49064674" w14:textId="77777777" w:rsidR="005A4DE5" w:rsidRPr="00EB088B" w:rsidRDefault="005A4DE5" w:rsidP="00FB1C07">
            <w:pPr>
              <w:pStyle w:val="TableText"/>
              <w:ind w:left="204"/>
              <w:rPr>
                <w:rFonts w:ascii="Franklin Gothic Book" w:hAnsi="Franklin Gothic Book"/>
                <w:b/>
                <w:bCs/>
              </w:rPr>
            </w:pPr>
            <w:r w:rsidRPr="00EB088B">
              <w:rPr>
                <w:rFonts w:ascii="Franklin Gothic Book" w:hAnsi="Franklin Gothic Book"/>
              </w:rPr>
              <w:t>Language Modeling (</w:t>
            </w:r>
            <w:r>
              <w:rPr>
                <w:rFonts w:ascii="Franklin Gothic Book" w:hAnsi="Franklin Gothic Book"/>
              </w:rPr>
              <w:t>P</w:t>
            </w:r>
            <w:r w:rsidRPr="00EB088B">
              <w:rPr>
                <w:rFonts w:ascii="Franklin Gothic Book" w:hAnsi="Franklin Gothic Book"/>
              </w:rPr>
              <w:t>K-3 only)</w:t>
            </w:r>
          </w:p>
        </w:tc>
        <w:tc>
          <w:tcPr>
            <w:tcW w:w="720" w:type="dxa"/>
          </w:tcPr>
          <w:p w14:paraId="10C9AF4E" w14:textId="77777777" w:rsidR="005A4DE5" w:rsidRPr="00E359BF" w:rsidRDefault="005A4DE5" w:rsidP="00FB1C07">
            <w:pPr>
              <w:pStyle w:val="TableTextCentered"/>
              <w:rPr>
                <w:rFonts w:eastAsia="Times New Roman"/>
              </w:rPr>
            </w:pPr>
            <w:r>
              <w:rPr>
                <w:rFonts w:eastAsia="Times New Roman"/>
              </w:rPr>
              <w:t>0</w:t>
            </w:r>
          </w:p>
        </w:tc>
        <w:tc>
          <w:tcPr>
            <w:tcW w:w="720" w:type="dxa"/>
          </w:tcPr>
          <w:p w14:paraId="2456EAAD" w14:textId="77777777" w:rsidR="005A4DE5" w:rsidRPr="00E359BF" w:rsidRDefault="005A4DE5" w:rsidP="00FB1C07">
            <w:pPr>
              <w:pStyle w:val="TableTextCentered"/>
              <w:rPr>
                <w:rFonts w:eastAsia="Times New Roman"/>
              </w:rPr>
            </w:pPr>
            <w:r>
              <w:rPr>
                <w:rFonts w:eastAsia="Times New Roman"/>
              </w:rPr>
              <w:t>6</w:t>
            </w:r>
          </w:p>
        </w:tc>
        <w:tc>
          <w:tcPr>
            <w:tcW w:w="720" w:type="dxa"/>
          </w:tcPr>
          <w:p w14:paraId="3575B030" w14:textId="77777777" w:rsidR="005A4DE5" w:rsidRPr="00E359BF" w:rsidRDefault="005A4DE5" w:rsidP="00FB1C07">
            <w:pPr>
              <w:pStyle w:val="TableTextCentered"/>
              <w:rPr>
                <w:rFonts w:eastAsia="Times New Roman"/>
              </w:rPr>
            </w:pPr>
            <w:r>
              <w:rPr>
                <w:rFonts w:eastAsia="Times New Roman"/>
              </w:rPr>
              <w:t>5</w:t>
            </w:r>
          </w:p>
        </w:tc>
        <w:tc>
          <w:tcPr>
            <w:tcW w:w="720" w:type="dxa"/>
          </w:tcPr>
          <w:p w14:paraId="7EF4E3E5" w14:textId="77777777" w:rsidR="005A4DE5" w:rsidRPr="00E359BF" w:rsidRDefault="005A4DE5" w:rsidP="00FB1C07">
            <w:pPr>
              <w:pStyle w:val="TableTextCentered"/>
              <w:rPr>
                <w:rFonts w:eastAsia="Times New Roman"/>
              </w:rPr>
            </w:pPr>
            <w:r>
              <w:rPr>
                <w:rFonts w:eastAsia="Times New Roman"/>
              </w:rPr>
              <w:t>3</w:t>
            </w:r>
          </w:p>
        </w:tc>
        <w:tc>
          <w:tcPr>
            <w:tcW w:w="720" w:type="dxa"/>
          </w:tcPr>
          <w:p w14:paraId="13D7CCD1" w14:textId="77777777" w:rsidR="005A4DE5" w:rsidRPr="00E359BF" w:rsidRDefault="005A4DE5" w:rsidP="00FB1C07">
            <w:pPr>
              <w:pStyle w:val="TableTextCentered"/>
              <w:rPr>
                <w:rFonts w:eastAsia="Times New Roman"/>
              </w:rPr>
            </w:pPr>
            <w:r>
              <w:rPr>
                <w:rFonts w:eastAsia="Times New Roman"/>
              </w:rPr>
              <w:t>7</w:t>
            </w:r>
          </w:p>
        </w:tc>
        <w:tc>
          <w:tcPr>
            <w:tcW w:w="720" w:type="dxa"/>
          </w:tcPr>
          <w:p w14:paraId="58D934E2" w14:textId="77777777" w:rsidR="005A4DE5" w:rsidRPr="00E359BF" w:rsidRDefault="005A4DE5" w:rsidP="00FB1C07">
            <w:pPr>
              <w:pStyle w:val="TableTextCentered"/>
              <w:rPr>
                <w:rFonts w:eastAsia="Times New Roman"/>
              </w:rPr>
            </w:pPr>
            <w:r>
              <w:rPr>
                <w:rFonts w:eastAsia="Times New Roman"/>
              </w:rPr>
              <w:t>0</w:t>
            </w:r>
          </w:p>
        </w:tc>
        <w:tc>
          <w:tcPr>
            <w:tcW w:w="720" w:type="dxa"/>
          </w:tcPr>
          <w:p w14:paraId="1FCE9C78" w14:textId="77777777" w:rsidR="005A4DE5" w:rsidRPr="00E359BF" w:rsidRDefault="005A4DE5" w:rsidP="00FB1C07">
            <w:pPr>
              <w:pStyle w:val="TableTextCentered"/>
              <w:rPr>
                <w:rFonts w:eastAsia="Times New Roman"/>
              </w:rPr>
            </w:pPr>
            <w:r>
              <w:rPr>
                <w:rFonts w:eastAsia="Times New Roman"/>
              </w:rPr>
              <w:t>0</w:t>
            </w:r>
          </w:p>
        </w:tc>
        <w:tc>
          <w:tcPr>
            <w:tcW w:w="533" w:type="dxa"/>
          </w:tcPr>
          <w:p w14:paraId="54555D51" w14:textId="77777777" w:rsidR="005A4DE5" w:rsidRPr="00E359BF" w:rsidRDefault="005A4DE5" w:rsidP="00FB1C07">
            <w:pPr>
              <w:pStyle w:val="TableTextCentered"/>
              <w:rPr>
                <w:rFonts w:eastAsia="Times New Roman"/>
              </w:rPr>
            </w:pPr>
            <w:r>
              <w:rPr>
                <w:rFonts w:eastAsia="Times New Roman"/>
              </w:rPr>
              <w:t>21</w:t>
            </w:r>
          </w:p>
        </w:tc>
        <w:tc>
          <w:tcPr>
            <w:tcW w:w="907" w:type="dxa"/>
          </w:tcPr>
          <w:p w14:paraId="69E9CF54" w14:textId="77777777" w:rsidR="005A4DE5" w:rsidRPr="00E359BF" w:rsidRDefault="005A4DE5" w:rsidP="00FB1C07">
            <w:pPr>
              <w:pStyle w:val="TableTextCentered"/>
              <w:rPr>
                <w:rFonts w:eastAsia="Times New Roman"/>
              </w:rPr>
            </w:pPr>
            <w:r>
              <w:rPr>
                <w:rFonts w:eastAsia="Times New Roman"/>
              </w:rPr>
              <w:t>3.5</w:t>
            </w:r>
          </w:p>
        </w:tc>
      </w:tr>
      <w:tr w:rsidR="005A4DE5" w:rsidRPr="00E359BF" w14:paraId="1694EAAC" w14:textId="77777777" w:rsidTr="00FB1C07">
        <w:tc>
          <w:tcPr>
            <w:tcW w:w="3238" w:type="dxa"/>
            <w:vAlign w:val="center"/>
          </w:tcPr>
          <w:p w14:paraId="75C57908" w14:textId="77777777" w:rsidR="005A4DE5" w:rsidRPr="00EB088B" w:rsidRDefault="005A4DE5" w:rsidP="00FB1C07">
            <w:pPr>
              <w:pStyle w:val="TableText"/>
              <w:ind w:left="204"/>
              <w:rPr>
                <w:rFonts w:ascii="Franklin Gothic Book" w:hAnsi="Franklin Gothic Book"/>
              </w:rPr>
            </w:pPr>
            <w:r w:rsidRPr="00EB088B">
              <w:rPr>
                <w:rFonts w:ascii="Franklin Gothic Book" w:hAnsi="Franklin Gothic Book"/>
              </w:rPr>
              <w:t>Instructional Dialogue (UE only)</w:t>
            </w:r>
          </w:p>
        </w:tc>
        <w:tc>
          <w:tcPr>
            <w:tcW w:w="720" w:type="dxa"/>
          </w:tcPr>
          <w:p w14:paraId="33C12377" w14:textId="77777777" w:rsidR="005A4DE5" w:rsidRPr="00E359BF" w:rsidRDefault="005A4DE5" w:rsidP="00FB1C07">
            <w:pPr>
              <w:pStyle w:val="TableTextCentered"/>
              <w:rPr>
                <w:rFonts w:eastAsia="Times New Roman"/>
              </w:rPr>
            </w:pPr>
            <w:r>
              <w:rPr>
                <w:rFonts w:eastAsia="Times New Roman"/>
              </w:rPr>
              <w:t>0</w:t>
            </w:r>
          </w:p>
        </w:tc>
        <w:tc>
          <w:tcPr>
            <w:tcW w:w="720" w:type="dxa"/>
          </w:tcPr>
          <w:p w14:paraId="137A53F1" w14:textId="77777777" w:rsidR="005A4DE5" w:rsidRPr="00E359BF" w:rsidRDefault="005A4DE5" w:rsidP="00FB1C07">
            <w:pPr>
              <w:pStyle w:val="TableTextCentered"/>
              <w:rPr>
                <w:rFonts w:eastAsia="Times New Roman"/>
              </w:rPr>
            </w:pPr>
            <w:r>
              <w:rPr>
                <w:rFonts w:eastAsia="Times New Roman"/>
              </w:rPr>
              <w:t>1</w:t>
            </w:r>
          </w:p>
        </w:tc>
        <w:tc>
          <w:tcPr>
            <w:tcW w:w="720" w:type="dxa"/>
          </w:tcPr>
          <w:p w14:paraId="56F2F182" w14:textId="77777777" w:rsidR="005A4DE5" w:rsidRPr="00E359BF" w:rsidRDefault="005A4DE5" w:rsidP="00FB1C07">
            <w:pPr>
              <w:pStyle w:val="TableTextCentered"/>
              <w:rPr>
                <w:rFonts w:eastAsia="Times New Roman"/>
              </w:rPr>
            </w:pPr>
            <w:r>
              <w:rPr>
                <w:rFonts w:eastAsia="Times New Roman"/>
              </w:rPr>
              <w:t>4</w:t>
            </w:r>
          </w:p>
        </w:tc>
        <w:tc>
          <w:tcPr>
            <w:tcW w:w="720" w:type="dxa"/>
          </w:tcPr>
          <w:p w14:paraId="4127E177" w14:textId="77777777" w:rsidR="005A4DE5" w:rsidRPr="00E359BF" w:rsidRDefault="005A4DE5" w:rsidP="00FB1C07">
            <w:pPr>
              <w:pStyle w:val="TableTextCentered"/>
              <w:rPr>
                <w:rFonts w:eastAsia="Times New Roman"/>
              </w:rPr>
            </w:pPr>
            <w:r>
              <w:rPr>
                <w:rFonts w:eastAsia="Times New Roman"/>
              </w:rPr>
              <w:t>5</w:t>
            </w:r>
          </w:p>
        </w:tc>
        <w:tc>
          <w:tcPr>
            <w:tcW w:w="720" w:type="dxa"/>
          </w:tcPr>
          <w:p w14:paraId="320178E2" w14:textId="77777777" w:rsidR="005A4DE5" w:rsidRPr="00E359BF" w:rsidRDefault="005A4DE5" w:rsidP="00FB1C07">
            <w:pPr>
              <w:pStyle w:val="TableTextCentered"/>
              <w:rPr>
                <w:rFonts w:eastAsia="Times New Roman"/>
              </w:rPr>
            </w:pPr>
            <w:r>
              <w:rPr>
                <w:rFonts w:eastAsia="Times New Roman"/>
              </w:rPr>
              <w:t>2</w:t>
            </w:r>
          </w:p>
        </w:tc>
        <w:tc>
          <w:tcPr>
            <w:tcW w:w="720" w:type="dxa"/>
          </w:tcPr>
          <w:p w14:paraId="7D874A18" w14:textId="77777777" w:rsidR="005A4DE5" w:rsidRPr="00E359BF" w:rsidRDefault="005A4DE5" w:rsidP="00FB1C07">
            <w:pPr>
              <w:pStyle w:val="TableTextCentered"/>
              <w:rPr>
                <w:rFonts w:eastAsia="Times New Roman"/>
              </w:rPr>
            </w:pPr>
            <w:r>
              <w:rPr>
                <w:rFonts w:eastAsia="Times New Roman"/>
              </w:rPr>
              <w:t>1</w:t>
            </w:r>
          </w:p>
        </w:tc>
        <w:tc>
          <w:tcPr>
            <w:tcW w:w="720" w:type="dxa"/>
          </w:tcPr>
          <w:p w14:paraId="4A326C4F" w14:textId="77777777" w:rsidR="005A4DE5" w:rsidRPr="00E359BF" w:rsidRDefault="005A4DE5" w:rsidP="00FB1C07">
            <w:pPr>
              <w:pStyle w:val="TableTextCentered"/>
              <w:rPr>
                <w:rFonts w:eastAsia="Times New Roman"/>
              </w:rPr>
            </w:pPr>
            <w:r>
              <w:rPr>
                <w:rFonts w:eastAsia="Times New Roman"/>
              </w:rPr>
              <w:t>0</w:t>
            </w:r>
          </w:p>
        </w:tc>
        <w:tc>
          <w:tcPr>
            <w:tcW w:w="533" w:type="dxa"/>
          </w:tcPr>
          <w:p w14:paraId="0B71FAA1" w14:textId="77777777" w:rsidR="005A4DE5" w:rsidRPr="00E359BF" w:rsidRDefault="005A4DE5" w:rsidP="00FB1C07">
            <w:pPr>
              <w:pStyle w:val="TableTextCentered"/>
              <w:rPr>
                <w:rFonts w:eastAsia="Times New Roman"/>
              </w:rPr>
            </w:pPr>
            <w:r>
              <w:rPr>
                <w:rFonts w:eastAsia="Times New Roman"/>
              </w:rPr>
              <w:t>13</w:t>
            </w:r>
          </w:p>
        </w:tc>
        <w:tc>
          <w:tcPr>
            <w:tcW w:w="907" w:type="dxa"/>
          </w:tcPr>
          <w:p w14:paraId="2EA8A37E" w14:textId="77777777" w:rsidR="005A4DE5" w:rsidRPr="00E359BF" w:rsidRDefault="005A4DE5" w:rsidP="00FB1C07">
            <w:pPr>
              <w:pStyle w:val="TableTextCentered"/>
              <w:rPr>
                <w:rFonts w:eastAsia="Times New Roman"/>
              </w:rPr>
            </w:pPr>
            <w:r>
              <w:rPr>
                <w:rFonts w:eastAsia="Times New Roman"/>
              </w:rPr>
              <w:t>3.8</w:t>
            </w:r>
          </w:p>
        </w:tc>
      </w:tr>
      <w:tr w:rsidR="005A4DE5" w:rsidRPr="008461FE" w14:paraId="6D5210D4" w14:textId="77777777">
        <w:trPr>
          <w:cnfStyle w:val="000000100000" w:firstRow="0" w:lastRow="0" w:firstColumn="0" w:lastColumn="0" w:oddVBand="0" w:evenVBand="0" w:oddHBand="1" w:evenHBand="0" w:firstRowFirstColumn="0" w:firstRowLastColumn="0" w:lastRowFirstColumn="0" w:lastRowLastColumn="0"/>
        </w:trPr>
        <w:tc>
          <w:tcPr>
            <w:tcW w:w="3238" w:type="dxa"/>
            <w:vAlign w:val="center"/>
          </w:tcPr>
          <w:p w14:paraId="69FB906A" w14:textId="77777777" w:rsidR="005A4DE5" w:rsidRPr="008461FE" w:rsidRDefault="005A4DE5" w:rsidP="00FB1C07">
            <w:pPr>
              <w:pStyle w:val="TableText"/>
              <w:rPr>
                <w:rFonts w:ascii="Franklin Gothic Book" w:hAnsi="Franklin Gothic Book"/>
                <w:b/>
                <w:bCs/>
              </w:rPr>
            </w:pPr>
            <w:r w:rsidRPr="008461FE">
              <w:rPr>
                <w:rFonts w:ascii="Franklin Gothic Book" w:hAnsi="Franklin Gothic Book"/>
                <w:b/>
                <w:bCs/>
              </w:rPr>
              <w:t>Student Engagement (UE only)</w:t>
            </w:r>
          </w:p>
        </w:tc>
        <w:tc>
          <w:tcPr>
            <w:tcW w:w="720" w:type="dxa"/>
          </w:tcPr>
          <w:p w14:paraId="72E01ABB" w14:textId="77777777" w:rsidR="005A4DE5" w:rsidRPr="008461FE" w:rsidRDefault="005A4DE5" w:rsidP="00FB1C07">
            <w:pPr>
              <w:pStyle w:val="TableTextCentered"/>
              <w:rPr>
                <w:rFonts w:eastAsia="Times New Roman"/>
                <w:b/>
                <w:bCs/>
              </w:rPr>
            </w:pPr>
            <w:r>
              <w:rPr>
                <w:rFonts w:eastAsia="Times New Roman"/>
                <w:b/>
                <w:bCs/>
              </w:rPr>
              <w:t>0</w:t>
            </w:r>
          </w:p>
        </w:tc>
        <w:tc>
          <w:tcPr>
            <w:tcW w:w="720" w:type="dxa"/>
          </w:tcPr>
          <w:p w14:paraId="1A6E6B2D" w14:textId="77777777" w:rsidR="005A4DE5" w:rsidRPr="008461FE" w:rsidRDefault="005A4DE5" w:rsidP="00FB1C07">
            <w:pPr>
              <w:pStyle w:val="TableTextCentered"/>
              <w:rPr>
                <w:rFonts w:eastAsia="Times New Roman"/>
                <w:b/>
                <w:bCs/>
              </w:rPr>
            </w:pPr>
            <w:r>
              <w:rPr>
                <w:rFonts w:eastAsia="Times New Roman"/>
                <w:b/>
                <w:bCs/>
              </w:rPr>
              <w:t>0</w:t>
            </w:r>
          </w:p>
        </w:tc>
        <w:tc>
          <w:tcPr>
            <w:tcW w:w="720" w:type="dxa"/>
          </w:tcPr>
          <w:p w14:paraId="19125EEA" w14:textId="77777777" w:rsidR="005A4DE5" w:rsidRPr="008461FE" w:rsidRDefault="005A4DE5" w:rsidP="00FB1C07">
            <w:pPr>
              <w:pStyle w:val="TableTextCentered"/>
              <w:rPr>
                <w:rFonts w:eastAsia="Times New Roman"/>
                <w:b/>
                <w:bCs/>
              </w:rPr>
            </w:pPr>
            <w:r>
              <w:rPr>
                <w:rFonts w:eastAsia="Times New Roman"/>
                <w:b/>
                <w:bCs/>
              </w:rPr>
              <w:t>0</w:t>
            </w:r>
          </w:p>
        </w:tc>
        <w:tc>
          <w:tcPr>
            <w:tcW w:w="720" w:type="dxa"/>
          </w:tcPr>
          <w:p w14:paraId="70CFE802" w14:textId="77777777" w:rsidR="005A4DE5" w:rsidRPr="008461FE" w:rsidRDefault="005A4DE5" w:rsidP="00FB1C07">
            <w:pPr>
              <w:pStyle w:val="TableTextCentered"/>
              <w:rPr>
                <w:rFonts w:eastAsia="Times New Roman"/>
                <w:b/>
                <w:bCs/>
              </w:rPr>
            </w:pPr>
            <w:r>
              <w:rPr>
                <w:rFonts w:eastAsia="Times New Roman"/>
                <w:b/>
                <w:bCs/>
              </w:rPr>
              <w:t>1</w:t>
            </w:r>
          </w:p>
        </w:tc>
        <w:tc>
          <w:tcPr>
            <w:tcW w:w="720" w:type="dxa"/>
          </w:tcPr>
          <w:p w14:paraId="73048CFC" w14:textId="77777777" w:rsidR="005A4DE5" w:rsidRPr="008461FE" w:rsidRDefault="005A4DE5" w:rsidP="00FB1C07">
            <w:pPr>
              <w:pStyle w:val="TableTextCentered"/>
              <w:rPr>
                <w:rFonts w:eastAsia="Times New Roman"/>
                <w:b/>
                <w:bCs/>
              </w:rPr>
            </w:pPr>
            <w:r>
              <w:rPr>
                <w:rFonts w:eastAsia="Times New Roman"/>
                <w:b/>
                <w:bCs/>
              </w:rPr>
              <w:t>3</w:t>
            </w:r>
          </w:p>
        </w:tc>
        <w:tc>
          <w:tcPr>
            <w:tcW w:w="720" w:type="dxa"/>
          </w:tcPr>
          <w:p w14:paraId="10A18DEB" w14:textId="77777777" w:rsidR="005A4DE5" w:rsidRPr="008461FE" w:rsidRDefault="005A4DE5" w:rsidP="00FB1C07">
            <w:pPr>
              <w:pStyle w:val="TableTextCentered"/>
              <w:rPr>
                <w:rFonts w:eastAsia="Times New Roman"/>
                <w:b/>
                <w:bCs/>
              </w:rPr>
            </w:pPr>
            <w:r>
              <w:rPr>
                <w:rFonts w:eastAsia="Times New Roman"/>
                <w:b/>
                <w:bCs/>
              </w:rPr>
              <w:t>5</w:t>
            </w:r>
          </w:p>
        </w:tc>
        <w:tc>
          <w:tcPr>
            <w:tcW w:w="720" w:type="dxa"/>
          </w:tcPr>
          <w:p w14:paraId="20CE3947" w14:textId="77777777" w:rsidR="005A4DE5" w:rsidRPr="008461FE" w:rsidRDefault="005A4DE5" w:rsidP="00FB1C07">
            <w:pPr>
              <w:pStyle w:val="TableTextCentered"/>
              <w:rPr>
                <w:rFonts w:eastAsia="Times New Roman"/>
                <w:b/>
                <w:bCs/>
              </w:rPr>
            </w:pPr>
            <w:r>
              <w:rPr>
                <w:rFonts w:eastAsia="Times New Roman"/>
                <w:b/>
                <w:bCs/>
              </w:rPr>
              <w:t>4</w:t>
            </w:r>
          </w:p>
        </w:tc>
        <w:tc>
          <w:tcPr>
            <w:tcW w:w="533" w:type="dxa"/>
          </w:tcPr>
          <w:p w14:paraId="22782885" w14:textId="77777777" w:rsidR="005A4DE5" w:rsidRPr="008461FE" w:rsidRDefault="005A4DE5" w:rsidP="00FB1C07">
            <w:pPr>
              <w:pStyle w:val="TableTextCentered"/>
              <w:rPr>
                <w:rFonts w:eastAsia="Times New Roman"/>
                <w:b/>
                <w:bCs/>
              </w:rPr>
            </w:pPr>
            <w:r>
              <w:rPr>
                <w:rFonts w:eastAsia="Times New Roman"/>
                <w:b/>
                <w:bCs/>
              </w:rPr>
              <w:t>13</w:t>
            </w:r>
          </w:p>
        </w:tc>
        <w:tc>
          <w:tcPr>
            <w:tcW w:w="907" w:type="dxa"/>
          </w:tcPr>
          <w:p w14:paraId="76B733FB" w14:textId="77777777" w:rsidR="005A4DE5" w:rsidRPr="008461FE" w:rsidRDefault="005A4DE5" w:rsidP="00FB1C07">
            <w:pPr>
              <w:pStyle w:val="TableTextCentered"/>
              <w:rPr>
                <w:rFonts w:eastAsia="Times New Roman"/>
                <w:b/>
                <w:bCs/>
              </w:rPr>
            </w:pPr>
            <w:r>
              <w:rPr>
                <w:rFonts w:eastAsia="Times New Roman"/>
                <w:b/>
                <w:bCs/>
              </w:rPr>
              <w:t>5.9</w:t>
            </w:r>
          </w:p>
        </w:tc>
      </w:tr>
    </w:tbl>
    <w:bookmarkEnd w:id="209"/>
    <w:p w14:paraId="24CA0808" w14:textId="77777777" w:rsidR="007303EE" w:rsidRPr="00797379" w:rsidRDefault="007303EE" w:rsidP="005E650F">
      <w:pPr>
        <w:pStyle w:val="TableNote"/>
      </w:pPr>
      <w:r w:rsidRPr="00797379">
        <w:t xml:space="preserve">*The district average is an average of the scores. For example, for Positive Climate, the district average is computed as: </w:t>
      </w:r>
      <w:bookmarkStart w:id="210" w:name="Elem_PC_Calc"/>
      <w:r w:rsidRPr="00797379">
        <w:t>([3 x 2] + [4 x 6] + [5 x 10] + [6 x 12] + [7 x 4]) ÷ 34 observations = 5.3</w:t>
      </w:r>
      <w:bookmarkEnd w:id="210"/>
    </w:p>
    <w:p w14:paraId="75A2E468" w14:textId="77777777" w:rsidR="007303EE" w:rsidRPr="00797379" w:rsidRDefault="007303EE" w:rsidP="005E650F">
      <w:pPr>
        <w:pStyle w:val="TableNote"/>
      </w:pPr>
      <w:r w:rsidRPr="00797379">
        <w:t xml:space="preserve">**Negative Climate is rated on an inverse scale. An original score of 1 is given a value of 7. The scoring in the table reflects the normalized adjustment: </w:t>
      </w:r>
      <w:bookmarkStart w:id="211" w:name="Elem_NC_Calc"/>
      <w:r w:rsidRPr="00797379">
        <w:t>([6 x 1] + [7 x 33]) ÷ 34 observations = 7.0</w:t>
      </w:r>
      <w:bookmarkEnd w:id="211"/>
      <w:r w:rsidRPr="00797379">
        <w:t>. In addition, Negative Climate appears in the Classroom Organization Domain for the Upper Elementary Manual.</w:t>
      </w:r>
    </w:p>
    <w:p w14:paraId="77B45128" w14:textId="418A67C5" w:rsidR="005E650F" w:rsidRPr="00797379" w:rsidRDefault="007303EE" w:rsidP="005E650F">
      <w:pPr>
        <w:pStyle w:val="TableNote"/>
      </w:pPr>
      <w:r w:rsidRPr="00797379">
        <w:t>***Instructional Learning Formats appears in the Instructional Support Domain for the Upper Elementary Manual.</w:t>
      </w:r>
      <w:r w:rsidR="005E650F" w:rsidRPr="00797379">
        <w:br w:type="page"/>
      </w:r>
    </w:p>
    <w:p w14:paraId="5B9A50FC" w14:textId="77777777" w:rsidR="007303EE" w:rsidRPr="00797379" w:rsidRDefault="007303EE" w:rsidP="00DB6F03">
      <w:pPr>
        <w:pStyle w:val="Heading2-SIOR"/>
        <w:outlineLvl w:val="2"/>
      </w:pPr>
      <w:bookmarkStart w:id="212" w:name="_Toc220931760"/>
      <w:r w:rsidRPr="00797379">
        <w:t>Summary of Average Ratings: Grades 6–8</w:t>
      </w:r>
      <w:bookmarkEnd w:id="212"/>
    </w:p>
    <w:p w14:paraId="4A21AB4A" w14:textId="77777777" w:rsidR="007303EE" w:rsidRPr="00797379" w:rsidRDefault="007303EE" w:rsidP="005D3040">
      <w:pPr>
        <w:pStyle w:val="TableTitle0"/>
      </w:pPr>
      <w:bookmarkStart w:id="213" w:name="_Toc220932433"/>
      <w:r w:rsidRPr="00797379">
        <w:t>Table 18. Summary Table of Average Ratings for Each Dimension in Grades 6–8</w:t>
      </w:r>
      <w:bookmarkEnd w:id="213"/>
    </w:p>
    <w:tbl>
      <w:tblPr>
        <w:tblStyle w:val="MSVTable1"/>
        <w:tblW w:w="9712" w:type="dxa"/>
        <w:tblLayout w:type="fixed"/>
        <w:tblLook w:val="04A0" w:firstRow="1" w:lastRow="0" w:firstColumn="1" w:lastColumn="0" w:noHBand="0" w:noVBand="1"/>
      </w:tblPr>
      <w:tblGrid>
        <w:gridCol w:w="3232"/>
        <w:gridCol w:w="720"/>
        <w:gridCol w:w="720"/>
        <w:gridCol w:w="720"/>
        <w:gridCol w:w="720"/>
        <w:gridCol w:w="720"/>
        <w:gridCol w:w="720"/>
        <w:gridCol w:w="720"/>
        <w:gridCol w:w="540"/>
        <w:gridCol w:w="900"/>
      </w:tblGrid>
      <w:tr w:rsidR="000711B5" w:rsidRPr="00E359BF" w14:paraId="2ECC72CF" w14:textId="77777777" w:rsidTr="00FB1C07">
        <w:trPr>
          <w:cnfStyle w:val="100000000000" w:firstRow="1" w:lastRow="0" w:firstColumn="0" w:lastColumn="0" w:oddVBand="0" w:evenVBand="0" w:oddHBand="0" w:evenHBand="0" w:firstRowFirstColumn="0" w:firstRowLastColumn="0" w:lastRowFirstColumn="0" w:lastRowLastColumn="0"/>
          <w:tblHeader/>
        </w:trPr>
        <w:tc>
          <w:tcPr>
            <w:tcW w:w="3232" w:type="dxa"/>
            <w:tcBorders>
              <w:top w:val="nil"/>
              <w:left w:val="single" w:sz="6" w:space="0" w:color="2F5496" w:themeColor="accent5" w:themeShade="BF"/>
              <w:bottom w:val="nil"/>
            </w:tcBorders>
            <w:vAlign w:val="center"/>
          </w:tcPr>
          <w:p w14:paraId="01E9D707" w14:textId="77777777" w:rsidR="000711B5" w:rsidRPr="00E359BF" w:rsidRDefault="000711B5" w:rsidP="00FB1C07">
            <w:pPr>
              <w:pStyle w:val="TableColHeadingCenter"/>
              <w:rPr>
                <w:rFonts w:eastAsia="MS Mincho"/>
              </w:rPr>
            </w:pPr>
            <w:bookmarkStart w:id="214" w:name="SummaryTbl_Middle"/>
            <w:r>
              <w:rPr>
                <w:rFonts w:eastAsia="MS Mincho"/>
              </w:rPr>
              <w:t>Domain/Dimension</w:t>
            </w:r>
          </w:p>
        </w:tc>
        <w:tc>
          <w:tcPr>
            <w:tcW w:w="720" w:type="dxa"/>
            <w:vAlign w:val="center"/>
          </w:tcPr>
          <w:p w14:paraId="02EAD0C2" w14:textId="77777777" w:rsidR="000711B5" w:rsidRPr="00E359BF" w:rsidRDefault="000711B5" w:rsidP="00FB1C07">
            <w:pPr>
              <w:pStyle w:val="TableColHeadingCenter"/>
              <w:rPr>
                <w:rFonts w:eastAsia="MS Mincho"/>
              </w:rPr>
            </w:pPr>
            <w:r w:rsidRPr="00E359BF">
              <w:rPr>
                <w:rFonts w:eastAsia="MS Mincho"/>
              </w:rPr>
              <w:t>Low Range</w:t>
            </w:r>
            <w:r>
              <w:rPr>
                <w:rFonts w:eastAsia="MS Mincho"/>
              </w:rPr>
              <w:t xml:space="preserve"> (1)</w:t>
            </w:r>
          </w:p>
        </w:tc>
        <w:tc>
          <w:tcPr>
            <w:tcW w:w="720" w:type="dxa"/>
            <w:vAlign w:val="center"/>
          </w:tcPr>
          <w:p w14:paraId="05575236" w14:textId="77777777" w:rsidR="000711B5" w:rsidRPr="00E359BF" w:rsidRDefault="000711B5" w:rsidP="00FB1C07">
            <w:pPr>
              <w:pStyle w:val="TableColHeadingCenter"/>
              <w:rPr>
                <w:rFonts w:eastAsia="MS Mincho"/>
              </w:rPr>
            </w:pPr>
            <w:r w:rsidRPr="00E359BF">
              <w:rPr>
                <w:rFonts w:eastAsia="MS Mincho"/>
              </w:rPr>
              <w:t>Low Range</w:t>
            </w:r>
            <w:r>
              <w:rPr>
                <w:rFonts w:eastAsia="MS Mincho"/>
              </w:rPr>
              <w:t xml:space="preserve"> (2)</w:t>
            </w:r>
          </w:p>
        </w:tc>
        <w:tc>
          <w:tcPr>
            <w:tcW w:w="720" w:type="dxa"/>
            <w:vAlign w:val="center"/>
          </w:tcPr>
          <w:p w14:paraId="01F9A0C8" w14:textId="77777777" w:rsidR="000711B5" w:rsidRPr="00E359BF" w:rsidRDefault="000711B5" w:rsidP="00FB1C07">
            <w:pPr>
              <w:pStyle w:val="TableColHeadingCenter"/>
              <w:rPr>
                <w:rFonts w:eastAsia="MS Mincho"/>
              </w:rPr>
            </w:pPr>
            <w:r w:rsidRPr="00E359BF">
              <w:rPr>
                <w:rFonts w:eastAsia="MS Mincho"/>
              </w:rPr>
              <w:t>Middle Range</w:t>
            </w:r>
            <w:r>
              <w:rPr>
                <w:rFonts w:eastAsia="MS Mincho"/>
              </w:rPr>
              <w:t xml:space="preserve"> (3)</w:t>
            </w:r>
          </w:p>
        </w:tc>
        <w:tc>
          <w:tcPr>
            <w:tcW w:w="720" w:type="dxa"/>
            <w:vAlign w:val="center"/>
          </w:tcPr>
          <w:p w14:paraId="6099C939" w14:textId="77777777" w:rsidR="000711B5" w:rsidRPr="00E359BF" w:rsidRDefault="000711B5" w:rsidP="00FB1C07">
            <w:pPr>
              <w:pStyle w:val="TableColHeadingCenter"/>
              <w:rPr>
                <w:rFonts w:eastAsia="MS Mincho"/>
              </w:rPr>
            </w:pPr>
            <w:r w:rsidRPr="00E359BF">
              <w:rPr>
                <w:rFonts w:eastAsia="MS Mincho"/>
              </w:rPr>
              <w:t>Middle Range</w:t>
            </w:r>
            <w:r>
              <w:rPr>
                <w:rFonts w:eastAsia="MS Mincho"/>
              </w:rPr>
              <w:t xml:space="preserve"> (4)</w:t>
            </w:r>
          </w:p>
        </w:tc>
        <w:tc>
          <w:tcPr>
            <w:tcW w:w="720" w:type="dxa"/>
            <w:vAlign w:val="center"/>
          </w:tcPr>
          <w:p w14:paraId="06C9750D" w14:textId="77777777" w:rsidR="000711B5" w:rsidRPr="00E359BF" w:rsidRDefault="000711B5" w:rsidP="00FB1C07">
            <w:pPr>
              <w:pStyle w:val="TableColHeadingCenter"/>
              <w:rPr>
                <w:rFonts w:eastAsia="MS Mincho"/>
              </w:rPr>
            </w:pPr>
            <w:r w:rsidRPr="00E359BF">
              <w:rPr>
                <w:rFonts w:eastAsia="MS Mincho"/>
              </w:rPr>
              <w:t>Middle Range</w:t>
            </w:r>
            <w:r>
              <w:rPr>
                <w:rFonts w:eastAsia="MS Mincho"/>
              </w:rPr>
              <w:t xml:space="preserve"> (5)</w:t>
            </w:r>
          </w:p>
        </w:tc>
        <w:tc>
          <w:tcPr>
            <w:tcW w:w="720" w:type="dxa"/>
            <w:vAlign w:val="center"/>
          </w:tcPr>
          <w:p w14:paraId="799C16B6" w14:textId="77777777" w:rsidR="000711B5" w:rsidRPr="00E359BF" w:rsidRDefault="000711B5" w:rsidP="00FB1C07">
            <w:pPr>
              <w:pStyle w:val="TableColHeadingCenter"/>
              <w:rPr>
                <w:rFonts w:eastAsia="MS Mincho"/>
              </w:rPr>
            </w:pPr>
            <w:r w:rsidRPr="00E359BF">
              <w:rPr>
                <w:rFonts w:eastAsia="MS Mincho"/>
              </w:rPr>
              <w:t>High Range</w:t>
            </w:r>
            <w:r>
              <w:rPr>
                <w:rFonts w:eastAsia="MS Mincho"/>
              </w:rPr>
              <w:t xml:space="preserve"> (6)</w:t>
            </w:r>
          </w:p>
        </w:tc>
        <w:tc>
          <w:tcPr>
            <w:tcW w:w="720" w:type="dxa"/>
            <w:vAlign w:val="center"/>
          </w:tcPr>
          <w:p w14:paraId="74203DA6" w14:textId="77777777" w:rsidR="000711B5" w:rsidRPr="00E359BF" w:rsidRDefault="000711B5" w:rsidP="00FB1C07">
            <w:pPr>
              <w:pStyle w:val="TableColHeadingCenter"/>
              <w:rPr>
                <w:rFonts w:eastAsia="MS Mincho"/>
              </w:rPr>
            </w:pPr>
            <w:r w:rsidRPr="00E359BF">
              <w:rPr>
                <w:rFonts w:eastAsia="MS Mincho"/>
              </w:rPr>
              <w:t>High Range</w:t>
            </w:r>
            <w:r>
              <w:rPr>
                <w:rFonts w:eastAsia="MS Mincho"/>
              </w:rPr>
              <w:t xml:space="preserve"> (7)</w:t>
            </w:r>
          </w:p>
        </w:tc>
        <w:tc>
          <w:tcPr>
            <w:tcW w:w="540" w:type="dxa"/>
            <w:tcBorders>
              <w:top w:val="nil"/>
              <w:bottom w:val="nil"/>
            </w:tcBorders>
            <w:vAlign w:val="center"/>
          </w:tcPr>
          <w:p w14:paraId="13E9FB20" w14:textId="77777777" w:rsidR="000711B5" w:rsidRPr="00E359BF" w:rsidRDefault="000711B5" w:rsidP="00FB1C07">
            <w:pPr>
              <w:pStyle w:val="TableColHeadingCenter"/>
              <w:rPr>
                <w:rFonts w:eastAsia="MS Mincho"/>
              </w:rPr>
            </w:pPr>
            <w:r>
              <w:rPr>
                <w:rFonts w:eastAsia="MS Mincho"/>
              </w:rPr>
              <w:t>n</w:t>
            </w:r>
          </w:p>
        </w:tc>
        <w:tc>
          <w:tcPr>
            <w:tcW w:w="900" w:type="dxa"/>
            <w:tcBorders>
              <w:top w:val="nil"/>
              <w:bottom w:val="nil"/>
              <w:right w:val="single" w:sz="6" w:space="0" w:color="2F5496" w:themeColor="accent5" w:themeShade="BF"/>
            </w:tcBorders>
            <w:vAlign w:val="center"/>
          </w:tcPr>
          <w:p w14:paraId="1253AACF" w14:textId="77777777" w:rsidR="000711B5" w:rsidRPr="00E359BF" w:rsidRDefault="000711B5" w:rsidP="00FB1C07">
            <w:pPr>
              <w:pStyle w:val="TableColHeadingCenter"/>
              <w:rPr>
                <w:rFonts w:eastAsia="MS Mincho"/>
              </w:rPr>
            </w:pPr>
            <w:r w:rsidRPr="00E359BF">
              <w:rPr>
                <w:rFonts w:eastAsia="MS Mincho"/>
              </w:rPr>
              <w:t>Average Scores*</w:t>
            </w:r>
          </w:p>
        </w:tc>
      </w:tr>
      <w:tr w:rsidR="000711B5" w:rsidRPr="00E359BF" w14:paraId="4F340AFC" w14:textId="77777777">
        <w:trPr>
          <w:cnfStyle w:val="000000100000" w:firstRow="0" w:lastRow="0" w:firstColumn="0" w:lastColumn="0" w:oddVBand="0" w:evenVBand="0" w:oddHBand="1" w:evenHBand="0" w:firstRowFirstColumn="0" w:firstRowLastColumn="0" w:lastRowFirstColumn="0" w:lastRowLastColumn="0"/>
        </w:trPr>
        <w:tc>
          <w:tcPr>
            <w:tcW w:w="3232" w:type="dxa"/>
            <w:vAlign w:val="center"/>
          </w:tcPr>
          <w:p w14:paraId="745D3E19" w14:textId="77777777" w:rsidR="000711B5" w:rsidRPr="00E359BF" w:rsidRDefault="000711B5" w:rsidP="00FB1C07">
            <w:pPr>
              <w:pStyle w:val="TableSubheading"/>
            </w:pPr>
            <w:r w:rsidRPr="00E359BF">
              <w:t>Emotional Support Domain</w:t>
            </w:r>
          </w:p>
        </w:tc>
        <w:tc>
          <w:tcPr>
            <w:tcW w:w="720" w:type="dxa"/>
          </w:tcPr>
          <w:p w14:paraId="38242930" w14:textId="77777777" w:rsidR="000711B5" w:rsidRPr="00B30BCD" w:rsidRDefault="000711B5" w:rsidP="00FB1C07">
            <w:pPr>
              <w:pStyle w:val="TableTextCenteredDemi"/>
              <w:rPr>
                <w:rFonts w:eastAsia="Times New Roman"/>
                <w:b/>
                <w:bCs/>
              </w:rPr>
            </w:pPr>
            <w:r>
              <w:rPr>
                <w:rFonts w:eastAsia="Times New Roman"/>
                <w:b/>
                <w:bCs/>
              </w:rPr>
              <w:t>0</w:t>
            </w:r>
          </w:p>
        </w:tc>
        <w:tc>
          <w:tcPr>
            <w:tcW w:w="720" w:type="dxa"/>
          </w:tcPr>
          <w:p w14:paraId="5E4CE3B0" w14:textId="77777777" w:rsidR="000711B5" w:rsidRPr="00B30BCD" w:rsidRDefault="000711B5" w:rsidP="00FB1C07">
            <w:pPr>
              <w:pStyle w:val="TableTextCenteredDemi"/>
              <w:rPr>
                <w:rFonts w:eastAsia="Times New Roman"/>
                <w:b/>
                <w:bCs/>
              </w:rPr>
            </w:pPr>
            <w:r>
              <w:rPr>
                <w:rFonts w:eastAsia="Times New Roman"/>
                <w:b/>
                <w:bCs/>
              </w:rPr>
              <w:t>3</w:t>
            </w:r>
          </w:p>
        </w:tc>
        <w:tc>
          <w:tcPr>
            <w:tcW w:w="720" w:type="dxa"/>
          </w:tcPr>
          <w:p w14:paraId="46C7BB31" w14:textId="77777777" w:rsidR="000711B5" w:rsidRPr="00B30BCD" w:rsidRDefault="000711B5" w:rsidP="00FB1C07">
            <w:pPr>
              <w:pStyle w:val="TableTextCenteredDemi"/>
              <w:rPr>
                <w:rFonts w:eastAsia="Times New Roman"/>
                <w:b/>
                <w:bCs/>
              </w:rPr>
            </w:pPr>
            <w:r>
              <w:rPr>
                <w:rFonts w:eastAsia="Times New Roman"/>
                <w:b/>
                <w:bCs/>
              </w:rPr>
              <w:t>4</w:t>
            </w:r>
          </w:p>
        </w:tc>
        <w:tc>
          <w:tcPr>
            <w:tcW w:w="720" w:type="dxa"/>
          </w:tcPr>
          <w:p w14:paraId="776521FC" w14:textId="77777777" w:rsidR="000711B5" w:rsidRPr="00B30BCD" w:rsidRDefault="000711B5" w:rsidP="00FB1C07">
            <w:pPr>
              <w:pStyle w:val="TableTextCenteredDemi"/>
              <w:rPr>
                <w:rFonts w:eastAsia="Times New Roman"/>
                <w:b/>
                <w:bCs/>
              </w:rPr>
            </w:pPr>
            <w:r>
              <w:rPr>
                <w:rFonts w:eastAsia="Times New Roman"/>
                <w:b/>
                <w:bCs/>
              </w:rPr>
              <w:t>10</w:t>
            </w:r>
          </w:p>
        </w:tc>
        <w:tc>
          <w:tcPr>
            <w:tcW w:w="720" w:type="dxa"/>
          </w:tcPr>
          <w:p w14:paraId="7DD5C2EB" w14:textId="77777777" w:rsidR="000711B5" w:rsidRPr="00B30BCD" w:rsidRDefault="000711B5" w:rsidP="00FB1C07">
            <w:pPr>
              <w:pStyle w:val="TableTextCenteredDemi"/>
              <w:rPr>
                <w:rFonts w:eastAsia="Times New Roman"/>
                <w:b/>
                <w:bCs/>
              </w:rPr>
            </w:pPr>
            <w:r>
              <w:rPr>
                <w:rFonts w:eastAsia="Times New Roman"/>
                <w:b/>
                <w:bCs/>
              </w:rPr>
              <w:t>19</w:t>
            </w:r>
          </w:p>
        </w:tc>
        <w:tc>
          <w:tcPr>
            <w:tcW w:w="720" w:type="dxa"/>
            <w:vAlign w:val="center"/>
          </w:tcPr>
          <w:p w14:paraId="0CA3B3AD" w14:textId="77777777" w:rsidR="000711B5" w:rsidRPr="00B30BCD" w:rsidRDefault="000711B5" w:rsidP="00FB1C07">
            <w:pPr>
              <w:pStyle w:val="TableTextCenteredDemi"/>
              <w:rPr>
                <w:rFonts w:eastAsia="Times New Roman"/>
                <w:b/>
                <w:bCs/>
              </w:rPr>
            </w:pPr>
            <w:r>
              <w:rPr>
                <w:rFonts w:eastAsia="Times New Roman"/>
                <w:b/>
                <w:bCs/>
              </w:rPr>
              <w:t>14</w:t>
            </w:r>
          </w:p>
        </w:tc>
        <w:tc>
          <w:tcPr>
            <w:tcW w:w="720" w:type="dxa"/>
            <w:vAlign w:val="center"/>
          </w:tcPr>
          <w:p w14:paraId="7F30A286" w14:textId="77777777" w:rsidR="000711B5" w:rsidRPr="00B30BCD" w:rsidRDefault="000711B5" w:rsidP="00FB1C07">
            <w:pPr>
              <w:pStyle w:val="TableTextCenteredDemi"/>
              <w:rPr>
                <w:rFonts w:eastAsia="Times New Roman"/>
                <w:b/>
                <w:bCs/>
              </w:rPr>
            </w:pPr>
            <w:r>
              <w:rPr>
                <w:rFonts w:eastAsia="Times New Roman"/>
                <w:b/>
                <w:bCs/>
              </w:rPr>
              <w:t>10</w:t>
            </w:r>
          </w:p>
        </w:tc>
        <w:tc>
          <w:tcPr>
            <w:tcW w:w="540" w:type="dxa"/>
          </w:tcPr>
          <w:p w14:paraId="07D7F51B" w14:textId="77777777" w:rsidR="000711B5" w:rsidRPr="00B30BCD" w:rsidRDefault="000711B5" w:rsidP="00FB1C07">
            <w:pPr>
              <w:pStyle w:val="TableTextCenteredDemi"/>
              <w:rPr>
                <w:rFonts w:eastAsia="Times New Roman"/>
                <w:b/>
                <w:bCs/>
              </w:rPr>
            </w:pPr>
            <w:r>
              <w:rPr>
                <w:rFonts w:eastAsia="Times New Roman"/>
                <w:b/>
                <w:bCs/>
              </w:rPr>
              <w:t>60</w:t>
            </w:r>
          </w:p>
        </w:tc>
        <w:tc>
          <w:tcPr>
            <w:tcW w:w="900" w:type="dxa"/>
          </w:tcPr>
          <w:p w14:paraId="02E2BB31" w14:textId="77777777" w:rsidR="000711B5" w:rsidRPr="00B30BCD" w:rsidRDefault="000711B5" w:rsidP="00FB1C07">
            <w:pPr>
              <w:pStyle w:val="TableTextCenteredDemi"/>
              <w:rPr>
                <w:rFonts w:eastAsia="Times New Roman"/>
                <w:b/>
                <w:bCs/>
              </w:rPr>
            </w:pPr>
            <w:r>
              <w:rPr>
                <w:rFonts w:eastAsia="Times New Roman"/>
                <w:b/>
                <w:bCs/>
              </w:rPr>
              <w:t>5.1</w:t>
            </w:r>
          </w:p>
        </w:tc>
      </w:tr>
      <w:tr w:rsidR="000711B5" w:rsidRPr="00E359BF" w14:paraId="3DF76078" w14:textId="77777777" w:rsidTr="00FB1C07">
        <w:tc>
          <w:tcPr>
            <w:tcW w:w="3232" w:type="dxa"/>
            <w:vAlign w:val="center"/>
          </w:tcPr>
          <w:p w14:paraId="1A964AA1" w14:textId="77777777" w:rsidR="000711B5" w:rsidRPr="00E359BF" w:rsidRDefault="000711B5" w:rsidP="00FB1C07">
            <w:pPr>
              <w:pStyle w:val="TableText"/>
              <w:ind w:left="204"/>
              <w:rPr>
                <w:b/>
                <w:bCs/>
              </w:rPr>
            </w:pPr>
            <w:r w:rsidRPr="00E359BF">
              <w:t>Positive Climate</w:t>
            </w:r>
          </w:p>
        </w:tc>
        <w:tc>
          <w:tcPr>
            <w:tcW w:w="720" w:type="dxa"/>
          </w:tcPr>
          <w:p w14:paraId="12B9CE3E" w14:textId="77777777" w:rsidR="000711B5" w:rsidRPr="00E359BF" w:rsidRDefault="000711B5" w:rsidP="00FB1C07">
            <w:pPr>
              <w:pStyle w:val="TableTextCentered"/>
              <w:rPr>
                <w:rFonts w:eastAsia="Times New Roman"/>
              </w:rPr>
            </w:pPr>
            <w:r>
              <w:rPr>
                <w:rFonts w:eastAsia="Times New Roman"/>
              </w:rPr>
              <w:t>0</w:t>
            </w:r>
          </w:p>
        </w:tc>
        <w:tc>
          <w:tcPr>
            <w:tcW w:w="720" w:type="dxa"/>
          </w:tcPr>
          <w:p w14:paraId="7D29EC7F" w14:textId="77777777" w:rsidR="000711B5" w:rsidRPr="00E359BF" w:rsidRDefault="000711B5" w:rsidP="00FB1C07">
            <w:pPr>
              <w:pStyle w:val="TableTextCentered"/>
              <w:rPr>
                <w:rFonts w:eastAsia="Times New Roman"/>
              </w:rPr>
            </w:pPr>
            <w:r>
              <w:rPr>
                <w:rFonts w:eastAsia="Times New Roman"/>
              </w:rPr>
              <w:t>0</w:t>
            </w:r>
          </w:p>
        </w:tc>
        <w:tc>
          <w:tcPr>
            <w:tcW w:w="720" w:type="dxa"/>
          </w:tcPr>
          <w:p w14:paraId="4C62CB62" w14:textId="77777777" w:rsidR="000711B5" w:rsidRPr="00E359BF" w:rsidRDefault="000711B5" w:rsidP="00FB1C07">
            <w:pPr>
              <w:pStyle w:val="TableTextCentered"/>
              <w:rPr>
                <w:rFonts w:eastAsia="Times New Roman"/>
              </w:rPr>
            </w:pPr>
            <w:r>
              <w:rPr>
                <w:rFonts w:eastAsia="Times New Roman"/>
              </w:rPr>
              <w:t>0</w:t>
            </w:r>
          </w:p>
        </w:tc>
        <w:tc>
          <w:tcPr>
            <w:tcW w:w="720" w:type="dxa"/>
          </w:tcPr>
          <w:p w14:paraId="05214333" w14:textId="77777777" w:rsidR="000711B5" w:rsidRPr="00E359BF" w:rsidRDefault="000711B5" w:rsidP="00FB1C07">
            <w:pPr>
              <w:pStyle w:val="TableTextCentered"/>
              <w:rPr>
                <w:rFonts w:eastAsia="Times New Roman"/>
              </w:rPr>
            </w:pPr>
            <w:r>
              <w:rPr>
                <w:rFonts w:eastAsia="Times New Roman"/>
              </w:rPr>
              <w:t>3</w:t>
            </w:r>
          </w:p>
        </w:tc>
        <w:tc>
          <w:tcPr>
            <w:tcW w:w="720" w:type="dxa"/>
          </w:tcPr>
          <w:p w14:paraId="681BB1C6" w14:textId="77777777" w:rsidR="000711B5" w:rsidRPr="00E359BF" w:rsidRDefault="000711B5" w:rsidP="00FB1C07">
            <w:pPr>
              <w:pStyle w:val="TableTextCentered"/>
              <w:rPr>
                <w:rFonts w:eastAsia="Times New Roman"/>
              </w:rPr>
            </w:pPr>
            <w:r>
              <w:rPr>
                <w:rFonts w:eastAsia="Times New Roman"/>
              </w:rPr>
              <w:t>9</w:t>
            </w:r>
          </w:p>
        </w:tc>
        <w:tc>
          <w:tcPr>
            <w:tcW w:w="720" w:type="dxa"/>
            <w:vAlign w:val="center"/>
          </w:tcPr>
          <w:p w14:paraId="097FE641" w14:textId="77777777" w:rsidR="000711B5" w:rsidRPr="00E359BF" w:rsidRDefault="000711B5" w:rsidP="00FB1C07">
            <w:pPr>
              <w:pStyle w:val="TableTextCentered"/>
              <w:rPr>
                <w:rFonts w:eastAsia="Times New Roman"/>
              </w:rPr>
            </w:pPr>
            <w:r>
              <w:rPr>
                <w:rFonts w:eastAsia="Times New Roman"/>
              </w:rPr>
              <w:t>7</w:t>
            </w:r>
          </w:p>
        </w:tc>
        <w:tc>
          <w:tcPr>
            <w:tcW w:w="720" w:type="dxa"/>
            <w:vAlign w:val="center"/>
          </w:tcPr>
          <w:p w14:paraId="0AB0FF9E" w14:textId="77777777" w:rsidR="000711B5" w:rsidRPr="00E359BF" w:rsidRDefault="000711B5" w:rsidP="00FB1C07">
            <w:pPr>
              <w:pStyle w:val="TableTextCentered"/>
              <w:rPr>
                <w:rFonts w:eastAsia="Times New Roman"/>
              </w:rPr>
            </w:pPr>
            <w:r>
              <w:rPr>
                <w:rFonts w:eastAsia="Times New Roman"/>
              </w:rPr>
              <w:t>1</w:t>
            </w:r>
          </w:p>
        </w:tc>
        <w:tc>
          <w:tcPr>
            <w:tcW w:w="540" w:type="dxa"/>
          </w:tcPr>
          <w:p w14:paraId="434B061F" w14:textId="77777777" w:rsidR="000711B5" w:rsidRPr="00E359BF" w:rsidRDefault="000711B5" w:rsidP="00FB1C07">
            <w:pPr>
              <w:pStyle w:val="TableTextCentered"/>
              <w:rPr>
                <w:rFonts w:eastAsia="Times New Roman"/>
              </w:rPr>
            </w:pPr>
            <w:r>
              <w:rPr>
                <w:rFonts w:eastAsia="Times New Roman"/>
              </w:rPr>
              <w:t>20</w:t>
            </w:r>
          </w:p>
        </w:tc>
        <w:tc>
          <w:tcPr>
            <w:tcW w:w="900" w:type="dxa"/>
          </w:tcPr>
          <w:p w14:paraId="3036B62B" w14:textId="77777777" w:rsidR="000711B5" w:rsidRPr="00E359BF" w:rsidRDefault="000711B5" w:rsidP="00FB1C07">
            <w:pPr>
              <w:pStyle w:val="TableTextCentered"/>
              <w:rPr>
                <w:rFonts w:eastAsia="Times New Roman"/>
              </w:rPr>
            </w:pPr>
            <w:r>
              <w:rPr>
                <w:rFonts w:eastAsia="Times New Roman"/>
              </w:rPr>
              <w:t>5.3</w:t>
            </w:r>
          </w:p>
        </w:tc>
      </w:tr>
      <w:tr w:rsidR="000711B5" w:rsidRPr="00E359BF" w14:paraId="2AA95569" w14:textId="77777777" w:rsidTr="00FB1C07">
        <w:trPr>
          <w:cnfStyle w:val="000000100000" w:firstRow="0" w:lastRow="0" w:firstColumn="0" w:lastColumn="0" w:oddVBand="0" w:evenVBand="0" w:oddHBand="1" w:evenHBand="0" w:firstRowFirstColumn="0" w:firstRowLastColumn="0" w:lastRowFirstColumn="0" w:lastRowLastColumn="0"/>
        </w:trPr>
        <w:tc>
          <w:tcPr>
            <w:tcW w:w="3232" w:type="dxa"/>
            <w:vAlign w:val="center"/>
          </w:tcPr>
          <w:p w14:paraId="563CB50F" w14:textId="77777777" w:rsidR="000711B5" w:rsidRPr="00E359BF" w:rsidRDefault="000711B5" w:rsidP="00FB1C07">
            <w:pPr>
              <w:pStyle w:val="TableText"/>
              <w:ind w:left="204"/>
              <w:rPr>
                <w:b/>
                <w:bCs/>
              </w:rPr>
            </w:pPr>
            <w:r w:rsidRPr="00E359BF">
              <w:t>Teacher Sensitivity</w:t>
            </w:r>
          </w:p>
        </w:tc>
        <w:tc>
          <w:tcPr>
            <w:tcW w:w="720" w:type="dxa"/>
          </w:tcPr>
          <w:p w14:paraId="71FAD5A4" w14:textId="77777777" w:rsidR="000711B5" w:rsidRPr="00E359BF" w:rsidRDefault="000711B5" w:rsidP="00FB1C07">
            <w:pPr>
              <w:pStyle w:val="TableTextCentered"/>
              <w:rPr>
                <w:rFonts w:eastAsia="Times New Roman"/>
              </w:rPr>
            </w:pPr>
            <w:r>
              <w:rPr>
                <w:rFonts w:eastAsia="Times New Roman"/>
              </w:rPr>
              <w:t>0</w:t>
            </w:r>
          </w:p>
        </w:tc>
        <w:tc>
          <w:tcPr>
            <w:tcW w:w="720" w:type="dxa"/>
          </w:tcPr>
          <w:p w14:paraId="3EE2E293" w14:textId="77777777" w:rsidR="000711B5" w:rsidRPr="00E359BF" w:rsidRDefault="000711B5" w:rsidP="00FB1C07">
            <w:pPr>
              <w:pStyle w:val="TableTextCentered"/>
              <w:rPr>
                <w:rFonts w:eastAsia="Times New Roman"/>
              </w:rPr>
            </w:pPr>
            <w:r>
              <w:rPr>
                <w:rFonts w:eastAsia="Times New Roman"/>
              </w:rPr>
              <w:t>0</w:t>
            </w:r>
          </w:p>
        </w:tc>
        <w:tc>
          <w:tcPr>
            <w:tcW w:w="720" w:type="dxa"/>
          </w:tcPr>
          <w:p w14:paraId="211AEDC2" w14:textId="77777777" w:rsidR="000711B5" w:rsidRPr="00E359BF" w:rsidRDefault="000711B5" w:rsidP="00FB1C07">
            <w:pPr>
              <w:pStyle w:val="TableTextCentered"/>
              <w:rPr>
                <w:rFonts w:eastAsia="Times New Roman"/>
              </w:rPr>
            </w:pPr>
            <w:r>
              <w:rPr>
                <w:rFonts w:eastAsia="Times New Roman"/>
              </w:rPr>
              <w:t>0</w:t>
            </w:r>
          </w:p>
        </w:tc>
        <w:tc>
          <w:tcPr>
            <w:tcW w:w="720" w:type="dxa"/>
          </w:tcPr>
          <w:p w14:paraId="211FE27A" w14:textId="77777777" w:rsidR="000711B5" w:rsidRPr="00E359BF" w:rsidRDefault="000711B5" w:rsidP="00FB1C07">
            <w:pPr>
              <w:pStyle w:val="TableTextCentered"/>
              <w:rPr>
                <w:rFonts w:eastAsia="Times New Roman"/>
              </w:rPr>
            </w:pPr>
            <w:r>
              <w:rPr>
                <w:rFonts w:eastAsia="Times New Roman"/>
              </w:rPr>
              <w:t>2</w:t>
            </w:r>
          </w:p>
        </w:tc>
        <w:tc>
          <w:tcPr>
            <w:tcW w:w="720" w:type="dxa"/>
          </w:tcPr>
          <w:p w14:paraId="5F40223C" w14:textId="77777777" w:rsidR="000711B5" w:rsidRPr="00E359BF" w:rsidRDefault="000711B5" w:rsidP="00FB1C07">
            <w:pPr>
              <w:pStyle w:val="TableTextCentered"/>
              <w:rPr>
                <w:rFonts w:eastAsia="Times New Roman"/>
              </w:rPr>
            </w:pPr>
            <w:r>
              <w:rPr>
                <w:rFonts w:eastAsia="Times New Roman"/>
              </w:rPr>
              <w:t>5</w:t>
            </w:r>
          </w:p>
        </w:tc>
        <w:tc>
          <w:tcPr>
            <w:tcW w:w="720" w:type="dxa"/>
            <w:vAlign w:val="center"/>
          </w:tcPr>
          <w:p w14:paraId="3A6E2F50" w14:textId="77777777" w:rsidR="000711B5" w:rsidRPr="00E359BF" w:rsidRDefault="000711B5" w:rsidP="00FB1C07">
            <w:pPr>
              <w:pStyle w:val="TableTextCentered"/>
              <w:rPr>
                <w:rFonts w:eastAsia="Times New Roman"/>
              </w:rPr>
            </w:pPr>
            <w:r>
              <w:rPr>
                <w:rFonts w:eastAsia="Times New Roman"/>
              </w:rPr>
              <w:t>4</w:t>
            </w:r>
          </w:p>
        </w:tc>
        <w:tc>
          <w:tcPr>
            <w:tcW w:w="720" w:type="dxa"/>
            <w:vAlign w:val="center"/>
          </w:tcPr>
          <w:p w14:paraId="3019EFE6" w14:textId="77777777" w:rsidR="000711B5" w:rsidRPr="00E359BF" w:rsidRDefault="000711B5" w:rsidP="00FB1C07">
            <w:pPr>
              <w:pStyle w:val="TableTextCentered"/>
              <w:rPr>
                <w:rFonts w:eastAsia="Times New Roman"/>
              </w:rPr>
            </w:pPr>
            <w:r>
              <w:rPr>
                <w:rFonts w:eastAsia="Times New Roman"/>
              </w:rPr>
              <w:t>9</w:t>
            </w:r>
          </w:p>
        </w:tc>
        <w:tc>
          <w:tcPr>
            <w:tcW w:w="540" w:type="dxa"/>
          </w:tcPr>
          <w:p w14:paraId="6E150A3E" w14:textId="77777777" w:rsidR="000711B5" w:rsidRPr="00E359BF" w:rsidRDefault="000711B5" w:rsidP="00FB1C07">
            <w:pPr>
              <w:pStyle w:val="TableTextCentered"/>
              <w:rPr>
                <w:rFonts w:eastAsia="Times New Roman"/>
              </w:rPr>
            </w:pPr>
            <w:r>
              <w:rPr>
                <w:rFonts w:eastAsia="Times New Roman"/>
              </w:rPr>
              <w:t>20</w:t>
            </w:r>
          </w:p>
        </w:tc>
        <w:tc>
          <w:tcPr>
            <w:tcW w:w="900" w:type="dxa"/>
          </w:tcPr>
          <w:p w14:paraId="3836D580" w14:textId="77777777" w:rsidR="000711B5" w:rsidRPr="00E359BF" w:rsidRDefault="000711B5" w:rsidP="00FB1C07">
            <w:pPr>
              <w:pStyle w:val="TableTextCentered"/>
              <w:rPr>
                <w:rFonts w:eastAsia="Times New Roman"/>
              </w:rPr>
            </w:pPr>
            <w:r>
              <w:rPr>
                <w:rFonts w:eastAsia="Times New Roman"/>
              </w:rPr>
              <w:t>6.0</w:t>
            </w:r>
          </w:p>
        </w:tc>
      </w:tr>
      <w:tr w:rsidR="000711B5" w:rsidRPr="00E359BF" w14:paraId="0B8CD3B1" w14:textId="77777777" w:rsidTr="00FB1C07">
        <w:tc>
          <w:tcPr>
            <w:tcW w:w="3232" w:type="dxa"/>
            <w:vAlign w:val="center"/>
          </w:tcPr>
          <w:p w14:paraId="3D3E62AE" w14:textId="77777777" w:rsidR="000711B5" w:rsidRPr="00E359BF" w:rsidRDefault="000711B5" w:rsidP="00FB1C07">
            <w:pPr>
              <w:pStyle w:val="TableText"/>
              <w:ind w:left="204"/>
              <w:rPr>
                <w:b/>
                <w:bCs/>
              </w:rPr>
            </w:pPr>
            <w:r w:rsidRPr="00E359BF">
              <w:t>Regard for Student Perspectives</w:t>
            </w:r>
          </w:p>
        </w:tc>
        <w:tc>
          <w:tcPr>
            <w:tcW w:w="720" w:type="dxa"/>
          </w:tcPr>
          <w:p w14:paraId="1D5C7645" w14:textId="77777777" w:rsidR="000711B5" w:rsidRPr="00E359BF" w:rsidRDefault="000711B5" w:rsidP="00FB1C07">
            <w:pPr>
              <w:pStyle w:val="TableTextCentered"/>
              <w:rPr>
                <w:rFonts w:eastAsia="Times New Roman"/>
              </w:rPr>
            </w:pPr>
            <w:r>
              <w:rPr>
                <w:rFonts w:eastAsia="Times New Roman"/>
              </w:rPr>
              <w:t>0</w:t>
            </w:r>
          </w:p>
        </w:tc>
        <w:tc>
          <w:tcPr>
            <w:tcW w:w="720" w:type="dxa"/>
          </w:tcPr>
          <w:p w14:paraId="7F31EC5C" w14:textId="77777777" w:rsidR="000711B5" w:rsidRPr="00E359BF" w:rsidRDefault="000711B5" w:rsidP="00FB1C07">
            <w:pPr>
              <w:pStyle w:val="TableTextCentered"/>
              <w:rPr>
                <w:rFonts w:eastAsia="Times New Roman"/>
              </w:rPr>
            </w:pPr>
            <w:r>
              <w:rPr>
                <w:rFonts w:eastAsia="Times New Roman"/>
              </w:rPr>
              <w:t>3</w:t>
            </w:r>
          </w:p>
        </w:tc>
        <w:tc>
          <w:tcPr>
            <w:tcW w:w="720" w:type="dxa"/>
          </w:tcPr>
          <w:p w14:paraId="39458793" w14:textId="77777777" w:rsidR="000711B5" w:rsidRPr="00E359BF" w:rsidRDefault="000711B5" w:rsidP="00FB1C07">
            <w:pPr>
              <w:pStyle w:val="TableTextCentered"/>
              <w:rPr>
                <w:rFonts w:eastAsia="Times New Roman"/>
              </w:rPr>
            </w:pPr>
            <w:r>
              <w:rPr>
                <w:rFonts w:eastAsia="Times New Roman"/>
              </w:rPr>
              <w:t>4</w:t>
            </w:r>
          </w:p>
        </w:tc>
        <w:tc>
          <w:tcPr>
            <w:tcW w:w="720" w:type="dxa"/>
          </w:tcPr>
          <w:p w14:paraId="3B6ED983" w14:textId="77777777" w:rsidR="000711B5" w:rsidRPr="00E359BF" w:rsidRDefault="000711B5" w:rsidP="00FB1C07">
            <w:pPr>
              <w:pStyle w:val="TableTextCentered"/>
              <w:rPr>
                <w:rFonts w:eastAsia="Times New Roman"/>
              </w:rPr>
            </w:pPr>
            <w:r>
              <w:rPr>
                <w:rFonts w:eastAsia="Times New Roman"/>
              </w:rPr>
              <w:t>5</w:t>
            </w:r>
          </w:p>
        </w:tc>
        <w:tc>
          <w:tcPr>
            <w:tcW w:w="720" w:type="dxa"/>
          </w:tcPr>
          <w:p w14:paraId="269B3887" w14:textId="77777777" w:rsidR="000711B5" w:rsidRPr="00E359BF" w:rsidRDefault="000711B5" w:rsidP="00FB1C07">
            <w:pPr>
              <w:pStyle w:val="TableTextCentered"/>
              <w:rPr>
                <w:rFonts w:eastAsia="Times New Roman"/>
              </w:rPr>
            </w:pPr>
            <w:r>
              <w:rPr>
                <w:rFonts w:eastAsia="Times New Roman"/>
              </w:rPr>
              <w:t>5</w:t>
            </w:r>
          </w:p>
        </w:tc>
        <w:tc>
          <w:tcPr>
            <w:tcW w:w="720" w:type="dxa"/>
            <w:vAlign w:val="center"/>
          </w:tcPr>
          <w:p w14:paraId="2BD466E4" w14:textId="77777777" w:rsidR="000711B5" w:rsidRPr="00E359BF" w:rsidRDefault="000711B5" w:rsidP="00FB1C07">
            <w:pPr>
              <w:pStyle w:val="TableTextCentered"/>
              <w:rPr>
                <w:rFonts w:eastAsia="Times New Roman"/>
              </w:rPr>
            </w:pPr>
            <w:r>
              <w:rPr>
                <w:rFonts w:eastAsia="Times New Roman"/>
              </w:rPr>
              <w:t>3</w:t>
            </w:r>
          </w:p>
        </w:tc>
        <w:tc>
          <w:tcPr>
            <w:tcW w:w="720" w:type="dxa"/>
            <w:vAlign w:val="center"/>
          </w:tcPr>
          <w:p w14:paraId="0E7BF61F" w14:textId="77777777" w:rsidR="000711B5" w:rsidRPr="00E359BF" w:rsidRDefault="000711B5" w:rsidP="00FB1C07">
            <w:pPr>
              <w:pStyle w:val="TableTextCentered"/>
              <w:rPr>
                <w:rFonts w:eastAsia="Times New Roman"/>
              </w:rPr>
            </w:pPr>
            <w:r>
              <w:rPr>
                <w:rFonts w:eastAsia="Times New Roman"/>
              </w:rPr>
              <w:t>0</w:t>
            </w:r>
          </w:p>
        </w:tc>
        <w:tc>
          <w:tcPr>
            <w:tcW w:w="540" w:type="dxa"/>
          </w:tcPr>
          <w:p w14:paraId="449DCD11" w14:textId="77777777" w:rsidR="000711B5" w:rsidRPr="00E359BF" w:rsidRDefault="000711B5" w:rsidP="00FB1C07">
            <w:pPr>
              <w:pStyle w:val="TableTextCentered"/>
              <w:rPr>
                <w:rFonts w:eastAsia="Times New Roman"/>
              </w:rPr>
            </w:pPr>
            <w:r>
              <w:rPr>
                <w:rFonts w:eastAsia="Times New Roman"/>
              </w:rPr>
              <w:t>20</w:t>
            </w:r>
          </w:p>
        </w:tc>
        <w:tc>
          <w:tcPr>
            <w:tcW w:w="900" w:type="dxa"/>
          </w:tcPr>
          <w:p w14:paraId="74D0DBCA" w14:textId="77777777" w:rsidR="000711B5" w:rsidRPr="00E359BF" w:rsidRDefault="000711B5" w:rsidP="00FB1C07">
            <w:pPr>
              <w:pStyle w:val="TableTextCentered"/>
              <w:rPr>
                <w:rFonts w:eastAsia="Times New Roman"/>
              </w:rPr>
            </w:pPr>
            <w:r>
              <w:rPr>
                <w:rFonts w:eastAsia="Times New Roman"/>
              </w:rPr>
              <w:t>4.1</w:t>
            </w:r>
          </w:p>
        </w:tc>
      </w:tr>
      <w:tr w:rsidR="000711B5" w:rsidRPr="00E359BF" w14:paraId="326FD83B" w14:textId="77777777">
        <w:trPr>
          <w:cnfStyle w:val="000000100000" w:firstRow="0" w:lastRow="0" w:firstColumn="0" w:lastColumn="0" w:oddVBand="0" w:evenVBand="0" w:oddHBand="1" w:evenHBand="0" w:firstRowFirstColumn="0" w:firstRowLastColumn="0" w:lastRowFirstColumn="0" w:lastRowLastColumn="0"/>
        </w:trPr>
        <w:tc>
          <w:tcPr>
            <w:tcW w:w="3232" w:type="dxa"/>
            <w:vAlign w:val="center"/>
          </w:tcPr>
          <w:p w14:paraId="34A1D1CB" w14:textId="77777777" w:rsidR="000711B5" w:rsidRPr="00E359BF" w:rsidRDefault="000711B5" w:rsidP="00FB1C07">
            <w:pPr>
              <w:pStyle w:val="TableSubheading"/>
              <w:rPr>
                <w:szCs w:val="20"/>
              </w:rPr>
            </w:pPr>
            <w:r w:rsidRPr="00E359BF">
              <w:t>Classroom Organization Domain</w:t>
            </w:r>
          </w:p>
        </w:tc>
        <w:tc>
          <w:tcPr>
            <w:tcW w:w="720" w:type="dxa"/>
          </w:tcPr>
          <w:p w14:paraId="3EFA1DD5" w14:textId="77777777" w:rsidR="000711B5" w:rsidRPr="00B30BCD" w:rsidRDefault="000711B5" w:rsidP="00FB1C07">
            <w:pPr>
              <w:pStyle w:val="TableTextCenteredDemi"/>
              <w:rPr>
                <w:rFonts w:eastAsia="Times New Roman"/>
                <w:b/>
                <w:bCs/>
              </w:rPr>
            </w:pPr>
            <w:r>
              <w:rPr>
                <w:rFonts w:eastAsia="Times New Roman"/>
                <w:b/>
                <w:bCs/>
              </w:rPr>
              <w:t>0</w:t>
            </w:r>
          </w:p>
        </w:tc>
        <w:tc>
          <w:tcPr>
            <w:tcW w:w="720" w:type="dxa"/>
          </w:tcPr>
          <w:p w14:paraId="1C5739FD" w14:textId="77777777" w:rsidR="000711B5" w:rsidRPr="00B30BCD" w:rsidRDefault="000711B5" w:rsidP="00FB1C07">
            <w:pPr>
              <w:pStyle w:val="TableTextCenteredDemi"/>
              <w:rPr>
                <w:rFonts w:eastAsia="Times New Roman"/>
                <w:b/>
                <w:bCs/>
              </w:rPr>
            </w:pPr>
            <w:r>
              <w:rPr>
                <w:rFonts w:eastAsia="Times New Roman"/>
                <w:b/>
                <w:bCs/>
              </w:rPr>
              <w:t>0</w:t>
            </w:r>
          </w:p>
        </w:tc>
        <w:tc>
          <w:tcPr>
            <w:tcW w:w="720" w:type="dxa"/>
          </w:tcPr>
          <w:p w14:paraId="59586EEF" w14:textId="77777777" w:rsidR="000711B5" w:rsidRPr="00B30BCD" w:rsidRDefault="000711B5" w:rsidP="00FB1C07">
            <w:pPr>
              <w:pStyle w:val="TableTextCenteredDemi"/>
              <w:rPr>
                <w:rFonts w:eastAsia="Times New Roman"/>
                <w:b/>
                <w:bCs/>
              </w:rPr>
            </w:pPr>
            <w:r>
              <w:rPr>
                <w:rFonts w:eastAsia="Times New Roman"/>
                <w:b/>
                <w:bCs/>
              </w:rPr>
              <w:t>0</w:t>
            </w:r>
          </w:p>
        </w:tc>
        <w:tc>
          <w:tcPr>
            <w:tcW w:w="720" w:type="dxa"/>
          </w:tcPr>
          <w:p w14:paraId="30A4A05D" w14:textId="77777777" w:rsidR="000711B5" w:rsidRPr="00B30BCD" w:rsidRDefault="000711B5" w:rsidP="00FB1C07">
            <w:pPr>
              <w:pStyle w:val="TableTextCenteredDemi"/>
              <w:rPr>
                <w:rFonts w:eastAsia="Times New Roman"/>
                <w:b/>
                <w:bCs/>
              </w:rPr>
            </w:pPr>
            <w:r>
              <w:rPr>
                <w:rFonts w:eastAsia="Times New Roman"/>
                <w:b/>
                <w:bCs/>
              </w:rPr>
              <w:t>2</w:t>
            </w:r>
          </w:p>
        </w:tc>
        <w:tc>
          <w:tcPr>
            <w:tcW w:w="720" w:type="dxa"/>
          </w:tcPr>
          <w:p w14:paraId="36A8EBF3" w14:textId="77777777" w:rsidR="000711B5" w:rsidRPr="00B30BCD" w:rsidRDefault="000711B5" w:rsidP="00FB1C07">
            <w:pPr>
              <w:pStyle w:val="TableTextCenteredDemi"/>
              <w:rPr>
                <w:rFonts w:eastAsia="Times New Roman"/>
                <w:b/>
                <w:bCs/>
              </w:rPr>
            </w:pPr>
            <w:r>
              <w:rPr>
                <w:rFonts w:eastAsia="Times New Roman"/>
                <w:b/>
                <w:bCs/>
              </w:rPr>
              <w:t>7</w:t>
            </w:r>
          </w:p>
        </w:tc>
        <w:tc>
          <w:tcPr>
            <w:tcW w:w="720" w:type="dxa"/>
            <w:vAlign w:val="center"/>
          </w:tcPr>
          <w:p w14:paraId="09708CCB" w14:textId="77777777" w:rsidR="000711B5" w:rsidRPr="00B30BCD" w:rsidRDefault="000711B5" w:rsidP="00FB1C07">
            <w:pPr>
              <w:pStyle w:val="TableTextCenteredDemi"/>
              <w:rPr>
                <w:rFonts w:eastAsia="Times New Roman"/>
                <w:b/>
                <w:bCs/>
              </w:rPr>
            </w:pPr>
            <w:r>
              <w:rPr>
                <w:rFonts w:eastAsia="Times New Roman"/>
                <w:b/>
                <w:bCs/>
              </w:rPr>
              <w:t>14</w:t>
            </w:r>
          </w:p>
        </w:tc>
        <w:tc>
          <w:tcPr>
            <w:tcW w:w="720" w:type="dxa"/>
            <w:vAlign w:val="center"/>
          </w:tcPr>
          <w:p w14:paraId="3DD5EE1C" w14:textId="77777777" w:rsidR="000711B5" w:rsidRPr="00B30BCD" w:rsidRDefault="000711B5" w:rsidP="00FB1C07">
            <w:pPr>
              <w:pStyle w:val="TableTextCenteredDemi"/>
              <w:rPr>
                <w:rFonts w:eastAsia="Times New Roman"/>
                <w:b/>
                <w:bCs/>
              </w:rPr>
            </w:pPr>
            <w:r>
              <w:rPr>
                <w:rFonts w:eastAsia="Times New Roman"/>
                <w:b/>
                <w:bCs/>
              </w:rPr>
              <w:t>37</w:t>
            </w:r>
          </w:p>
        </w:tc>
        <w:tc>
          <w:tcPr>
            <w:tcW w:w="540" w:type="dxa"/>
          </w:tcPr>
          <w:p w14:paraId="531C8203" w14:textId="77777777" w:rsidR="000711B5" w:rsidRPr="00B30BCD" w:rsidRDefault="000711B5" w:rsidP="00FB1C07">
            <w:pPr>
              <w:pStyle w:val="TableTextCenteredDemi"/>
              <w:rPr>
                <w:rFonts w:eastAsia="Times New Roman"/>
                <w:b/>
                <w:bCs/>
              </w:rPr>
            </w:pPr>
            <w:r>
              <w:rPr>
                <w:rFonts w:eastAsia="Times New Roman"/>
                <w:b/>
                <w:bCs/>
              </w:rPr>
              <w:t>60</w:t>
            </w:r>
          </w:p>
        </w:tc>
        <w:tc>
          <w:tcPr>
            <w:tcW w:w="900" w:type="dxa"/>
          </w:tcPr>
          <w:p w14:paraId="07B47EC4" w14:textId="77777777" w:rsidR="000711B5" w:rsidRPr="00B30BCD" w:rsidRDefault="000711B5" w:rsidP="00FB1C07">
            <w:pPr>
              <w:pStyle w:val="TableTextCenteredDemi"/>
              <w:rPr>
                <w:rFonts w:eastAsia="Times New Roman"/>
                <w:b/>
                <w:bCs/>
              </w:rPr>
            </w:pPr>
            <w:r>
              <w:rPr>
                <w:rFonts w:eastAsia="Times New Roman"/>
                <w:b/>
                <w:bCs/>
              </w:rPr>
              <w:t>6.4</w:t>
            </w:r>
          </w:p>
        </w:tc>
      </w:tr>
      <w:tr w:rsidR="000711B5" w:rsidRPr="00E359BF" w14:paraId="05B9F7F7" w14:textId="77777777" w:rsidTr="00FB1C07">
        <w:tc>
          <w:tcPr>
            <w:tcW w:w="3232" w:type="dxa"/>
            <w:vAlign w:val="center"/>
          </w:tcPr>
          <w:p w14:paraId="07C71DAA" w14:textId="77777777" w:rsidR="000711B5" w:rsidRPr="00E359BF" w:rsidRDefault="000711B5" w:rsidP="00FB1C07">
            <w:pPr>
              <w:pStyle w:val="TableText"/>
              <w:ind w:left="204"/>
              <w:rPr>
                <w:b/>
                <w:bCs/>
              </w:rPr>
            </w:pPr>
            <w:r w:rsidRPr="00E359BF">
              <w:t>Behavior Management</w:t>
            </w:r>
          </w:p>
        </w:tc>
        <w:tc>
          <w:tcPr>
            <w:tcW w:w="720" w:type="dxa"/>
          </w:tcPr>
          <w:p w14:paraId="7CC9A825" w14:textId="77777777" w:rsidR="000711B5" w:rsidRPr="00E359BF" w:rsidRDefault="000711B5" w:rsidP="00FB1C07">
            <w:pPr>
              <w:pStyle w:val="TableTextCentered"/>
              <w:rPr>
                <w:rFonts w:eastAsia="Times New Roman"/>
              </w:rPr>
            </w:pPr>
            <w:r>
              <w:rPr>
                <w:rFonts w:eastAsia="Times New Roman"/>
              </w:rPr>
              <w:t>0</w:t>
            </w:r>
          </w:p>
        </w:tc>
        <w:tc>
          <w:tcPr>
            <w:tcW w:w="720" w:type="dxa"/>
          </w:tcPr>
          <w:p w14:paraId="5F4485C8" w14:textId="77777777" w:rsidR="000711B5" w:rsidRPr="00E359BF" w:rsidRDefault="000711B5" w:rsidP="00FB1C07">
            <w:pPr>
              <w:pStyle w:val="TableTextCentered"/>
              <w:rPr>
                <w:rFonts w:eastAsia="Times New Roman"/>
              </w:rPr>
            </w:pPr>
            <w:r>
              <w:rPr>
                <w:rFonts w:eastAsia="Times New Roman"/>
              </w:rPr>
              <w:t>0</w:t>
            </w:r>
          </w:p>
        </w:tc>
        <w:tc>
          <w:tcPr>
            <w:tcW w:w="720" w:type="dxa"/>
          </w:tcPr>
          <w:p w14:paraId="62CD2AB0" w14:textId="77777777" w:rsidR="000711B5" w:rsidRPr="00E359BF" w:rsidRDefault="000711B5" w:rsidP="00FB1C07">
            <w:pPr>
              <w:pStyle w:val="TableTextCentered"/>
              <w:rPr>
                <w:rFonts w:eastAsia="Times New Roman"/>
              </w:rPr>
            </w:pPr>
            <w:r>
              <w:rPr>
                <w:rFonts w:eastAsia="Times New Roman"/>
              </w:rPr>
              <w:t>0</w:t>
            </w:r>
          </w:p>
        </w:tc>
        <w:tc>
          <w:tcPr>
            <w:tcW w:w="720" w:type="dxa"/>
          </w:tcPr>
          <w:p w14:paraId="73EB8464" w14:textId="77777777" w:rsidR="000711B5" w:rsidRPr="00E359BF" w:rsidRDefault="000711B5" w:rsidP="00FB1C07">
            <w:pPr>
              <w:pStyle w:val="TableTextCentered"/>
              <w:rPr>
                <w:rFonts w:eastAsia="Times New Roman"/>
              </w:rPr>
            </w:pPr>
            <w:r>
              <w:rPr>
                <w:rFonts w:eastAsia="Times New Roman"/>
              </w:rPr>
              <w:t>2</w:t>
            </w:r>
          </w:p>
        </w:tc>
        <w:tc>
          <w:tcPr>
            <w:tcW w:w="720" w:type="dxa"/>
          </w:tcPr>
          <w:p w14:paraId="2D42E418" w14:textId="77777777" w:rsidR="000711B5" w:rsidRPr="00E359BF" w:rsidRDefault="000711B5" w:rsidP="00FB1C07">
            <w:pPr>
              <w:pStyle w:val="TableTextCentered"/>
              <w:rPr>
                <w:rFonts w:eastAsia="Times New Roman"/>
              </w:rPr>
            </w:pPr>
            <w:r>
              <w:rPr>
                <w:rFonts w:eastAsia="Times New Roman"/>
              </w:rPr>
              <w:t>5</w:t>
            </w:r>
          </w:p>
        </w:tc>
        <w:tc>
          <w:tcPr>
            <w:tcW w:w="720" w:type="dxa"/>
            <w:vAlign w:val="center"/>
          </w:tcPr>
          <w:p w14:paraId="7A35389E" w14:textId="77777777" w:rsidR="000711B5" w:rsidRPr="00E359BF" w:rsidRDefault="000711B5" w:rsidP="00FB1C07">
            <w:pPr>
              <w:pStyle w:val="TableTextCentered"/>
              <w:rPr>
                <w:rFonts w:eastAsia="Times New Roman"/>
              </w:rPr>
            </w:pPr>
            <w:r>
              <w:rPr>
                <w:rFonts w:eastAsia="Times New Roman"/>
              </w:rPr>
              <w:t>3</w:t>
            </w:r>
          </w:p>
        </w:tc>
        <w:tc>
          <w:tcPr>
            <w:tcW w:w="720" w:type="dxa"/>
            <w:vAlign w:val="center"/>
          </w:tcPr>
          <w:p w14:paraId="66CA05AC" w14:textId="77777777" w:rsidR="000711B5" w:rsidRPr="00E359BF" w:rsidRDefault="000711B5" w:rsidP="00FB1C07">
            <w:pPr>
              <w:pStyle w:val="TableTextCentered"/>
              <w:rPr>
                <w:rFonts w:eastAsia="Times New Roman"/>
              </w:rPr>
            </w:pPr>
            <w:r>
              <w:rPr>
                <w:rFonts w:eastAsia="Times New Roman"/>
              </w:rPr>
              <w:t>10</w:t>
            </w:r>
          </w:p>
        </w:tc>
        <w:tc>
          <w:tcPr>
            <w:tcW w:w="540" w:type="dxa"/>
          </w:tcPr>
          <w:p w14:paraId="6F48967C" w14:textId="77777777" w:rsidR="000711B5" w:rsidRPr="00E359BF" w:rsidRDefault="000711B5" w:rsidP="00FB1C07">
            <w:pPr>
              <w:pStyle w:val="TableTextCentered"/>
              <w:rPr>
                <w:rFonts w:eastAsia="Times New Roman"/>
              </w:rPr>
            </w:pPr>
            <w:r>
              <w:rPr>
                <w:rFonts w:eastAsia="Times New Roman"/>
              </w:rPr>
              <w:t>20</w:t>
            </w:r>
          </w:p>
        </w:tc>
        <w:tc>
          <w:tcPr>
            <w:tcW w:w="900" w:type="dxa"/>
          </w:tcPr>
          <w:p w14:paraId="4EC20EAE" w14:textId="77777777" w:rsidR="000711B5" w:rsidRPr="00E359BF" w:rsidRDefault="000711B5" w:rsidP="00FB1C07">
            <w:pPr>
              <w:pStyle w:val="TableTextCentered"/>
              <w:rPr>
                <w:rFonts w:eastAsia="Times New Roman"/>
              </w:rPr>
            </w:pPr>
            <w:r>
              <w:rPr>
                <w:rFonts w:eastAsia="Times New Roman"/>
              </w:rPr>
              <w:t>6.1</w:t>
            </w:r>
          </w:p>
        </w:tc>
      </w:tr>
      <w:tr w:rsidR="000711B5" w:rsidRPr="00E359BF" w14:paraId="61D36B55" w14:textId="77777777" w:rsidTr="00FB1C07">
        <w:trPr>
          <w:cnfStyle w:val="000000100000" w:firstRow="0" w:lastRow="0" w:firstColumn="0" w:lastColumn="0" w:oddVBand="0" w:evenVBand="0" w:oddHBand="1" w:evenHBand="0" w:firstRowFirstColumn="0" w:firstRowLastColumn="0" w:lastRowFirstColumn="0" w:lastRowLastColumn="0"/>
        </w:trPr>
        <w:tc>
          <w:tcPr>
            <w:tcW w:w="3232" w:type="dxa"/>
            <w:vAlign w:val="center"/>
          </w:tcPr>
          <w:p w14:paraId="4A6A6E89" w14:textId="77777777" w:rsidR="000711B5" w:rsidRPr="00E359BF" w:rsidRDefault="000711B5" w:rsidP="00FB1C07">
            <w:pPr>
              <w:pStyle w:val="TableText"/>
              <w:ind w:left="204"/>
              <w:rPr>
                <w:b/>
                <w:bCs/>
              </w:rPr>
            </w:pPr>
            <w:r w:rsidRPr="00E359BF">
              <w:t>Productivity</w:t>
            </w:r>
          </w:p>
        </w:tc>
        <w:tc>
          <w:tcPr>
            <w:tcW w:w="720" w:type="dxa"/>
          </w:tcPr>
          <w:p w14:paraId="701F5343" w14:textId="77777777" w:rsidR="000711B5" w:rsidRPr="00E359BF" w:rsidRDefault="000711B5" w:rsidP="00FB1C07">
            <w:pPr>
              <w:pStyle w:val="TableTextCentered"/>
              <w:rPr>
                <w:rFonts w:eastAsia="Times New Roman"/>
              </w:rPr>
            </w:pPr>
            <w:r>
              <w:rPr>
                <w:rFonts w:eastAsia="Times New Roman"/>
              </w:rPr>
              <w:t>0</w:t>
            </w:r>
          </w:p>
        </w:tc>
        <w:tc>
          <w:tcPr>
            <w:tcW w:w="720" w:type="dxa"/>
          </w:tcPr>
          <w:p w14:paraId="7CCA14D7" w14:textId="77777777" w:rsidR="000711B5" w:rsidRPr="00E359BF" w:rsidRDefault="000711B5" w:rsidP="00FB1C07">
            <w:pPr>
              <w:pStyle w:val="TableTextCentered"/>
              <w:rPr>
                <w:rFonts w:eastAsia="Times New Roman"/>
              </w:rPr>
            </w:pPr>
            <w:r>
              <w:rPr>
                <w:rFonts w:eastAsia="Times New Roman"/>
              </w:rPr>
              <w:t>0</w:t>
            </w:r>
          </w:p>
        </w:tc>
        <w:tc>
          <w:tcPr>
            <w:tcW w:w="720" w:type="dxa"/>
          </w:tcPr>
          <w:p w14:paraId="6F8E84B2" w14:textId="77777777" w:rsidR="000711B5" w:rsidRPr="00E359BF" w:rsidRDefault="000711B5" w:rsidP="00FB1C07">
            <w:pPr>
              <w:pStyle w:val="TableTextCentered"/>
              <w:rPr>
                <w:rFonts w:eastAsia="Times New Roman"/>
              </w:rPr>
            </w:pPr>
            <w:r>
              <w:rPr>
                <w:rFonts w:eastAsia="Times New Roman"/>
              </w:rPr>
              <w:t>0</w:t>
            </w:r>
          </w:p>
        </w:tc>
        <w:tc>
          <w:tcPr>
            <w:tcW w:w="720" w:type="dxa"/>
          </w:tcPr>
          <w:p w14:paraId="4985A5F6" w14:textId="77777777" w:rsidR="000711B5" w:rsidRPr="00E359BF" w:rsidRDefault="000711B5" w:rsidP="00FB1C07">
            <w:pPr>
              <w:pStyle w:val="TableTextCentered"/>
              <w:rPr>
                <w:rFonts w:eastAsia="Times New Roman"/>
              </w:rPr>
            </w:pPr>
            <w:r>
              <w:rPr>
                <w:rFonts w:eastAsia="Times New Roman"/>
              </w:rPr>
              <w:t>0</w:t>
            </w:r>
          </w:p>
        </w:tc>
        <w:tc>
          <w:tcPr>
            <w:tcW w:w="720" w:type="dxa"/>
          </w:tcPr>
          <w:p w14:paraId="273CAD9A" w14:textId="77777777" w:rsidR="000711B5" w:rsidRPr="00E359BF" w:rsidRDefault="000711B5" w:rsidP="00FB1C07">
            <w:pPr>
              <w:pStyle w:val="TableTextCentered"/>
              <w:rPr>
                <w:rFonts w:eastAsia="Times New Roman"/>
              </w:rPr>
            </w:pPr>
            <w:r>
              <w:rPr>
                <w:rFonts w:eastAsia="Times New Roman"/>
              </w:rPr>
              <w:t>2</w:t>
            </w:r>
          </w:p>
        </w:tc>
        <w:tc>
          <w:tcPr>
            <w:tcW w:w="720" w:type="dxa"/>
            <w:vAlign w:val="center"/>
          </w:tcPr>
          <w:p w14:paraId="5DDCC19D" w14:textId="77777777" w:rsidR="000711B5" w:rsidRPr="00E359BF" w:rsidRDefault="000711B5" w:rsidP="00FB1C07">
            <w:pPr>
              <w:pStyle w:val="TableTextCentered"/>
              <w:rPr>
                <w:rFonts w:eastAsia="Times New Roman"/>
              </w:rPr>
            </w:pPr>
            <w:r>
              <w:rPr>
                <w:rFonts w:eastAsia="Times New Roman"/>
              </w:rPr>
              <w:t>10</w:t>
            </w:r>
          </w:p>
        </w:tc>
        <w:tc>
          <w:tcPr>
            <w:tcW w:w="720" w:type="dxa"/>
            <w:vAlign w:val="center"/>
          </w:tcPr>
          <w:p w14:paraId="78FC879D" w14:textId="77777777" w:rsidR="000711B5" w:rsidRPr="00E359BF" w:rsidRDefault="000711B5" w:rsidP="00FB1C07">
            <w:pPr>
              <w:pStyle w:val="TableTextCentered"/>
              <w:rPr>
                <w:rFonts w:eastAsia="Times New Roman"/>
              </w:rPr>
            </w:pPr>
            <w:r>
              <w:rPr>
                <w:rFonts w:eastAsia="Times New Roman"/>
              </w:rPr>
              <w:t>8</w:t>
            </w:r>
          </w:p>
        </w:tc>
        <w:tc>
          <w:tcPr>
            <w:tcW w:w="540" w:type="dxa"/>
          </w:tcPr>
          <w:p w14:paraId="0AEB7B3D" w14:textId="77777777" w:rsidR="000711B5" w:rsidRPr="00E359BF" w:rsidRDefault="000711B5" w:rsidP="00FB1C07">
            <w:pPr>
              <w:pStyle w:val="TableTextCentered"/>
              <w:rPr>
                <w:rFonts w:eastAsia="Times New Roman"/>
              </w:rPr>
            </w:pPr>
            <w:r>
              <w:rPr>
                <w:rFonts w:eastAsia="Times New Roman"/>
              </w:rPr>
              <w:t>20</w:t>
            </w:r>
          </w:p>
        </w:tc>
        <w:tc>
          <w:tcPr>
            <w:tcW w:w="900" w:type="dxa"/>
          </w:tcPr>
          <w:p w14:paraId="06E3878A" w14:textId="77777777" w:rsidR="000711B5" w:rsidRPr="00E359BF" w:rsidRDefault="000711B5" w:rsidP="00FB1C07">
            <w:pPr>
              <w:pStyle w:val="TableTextCentered"/>
              <w:rPr>
                <w:rFonts w:eastAsia="Times New Roman"/>
              </w:rPr>
            </w:pPr>
            <w:r>
              <w:rPr>
                <w:rFonts w:eastAsia="Times New Roman"/>
              </w:rPr>
              <w:t>6.3</w:t>
            </w:r>
          </w:p>
        </w:tc>
      </w:tr>
      <w:tr w:rsidR="000711B5" w:rsidRPr="00E359BF" w14:paraId="2EC27D7B" w14:textId="77777777" w:rsidTr="00FB1C07">
        <w:tc>
          <w:tcPr>
            <w:tcW w:w="3232" w:type="dxa"/>
            <w:vAlign w:val="center"/>
          </w:tcPr>
          <w:p w14:paraId="06C9908C" w14:textId="77777777" w:rsidR="000711B5" w:rsidRPr="00E359BF" w:rsidRDefault="000711B5" w:rsidP="00FB1C07">
            <w:pPr>
              <w:pStyle w:val="TableText"/>
              <w:ind w:left="204"/>
              <w:rPr>
                <w:b/>
                <w:bCs/>
              </w:rPr>
            </w:pPr>
            <w:r w:rsidRPr="00D931E1">
              <w:t>Negative Climate</w:t>
            </w:r>
            <w:r>
              <w:t>**</w:t>
            </w:r>
          </w:p>
        </w:tc>
        <w:tc>
          <w:tcPr>
            <w:tcW w:w="720" w:type="dxa"/>
          </w:tcPr>
          <w:p w14:paraId="7DBAF737" w14:textId="77777777" w:rsidR="000711B5" w:rsidRPr="00E359BF" w:rsidRDefault="000711B5" w:rsidP="00FB1C07">
            <w:pPr>
              <w:pStyle w:val="TableTextCentered"/>
              <w:rPr>
                <w:rFonts w:eastAsia="Times New Roman"/>
              </w:rPr>
            </w:pPr>
            <w:r>
              <w:rPr>
                <w:rFonts w:eastAsia="Times New Roman"/>
              </w:rPr>
              <w:t>0</w:t>
            </w:r>
          </w:p>
        </w:tc>
        <w:tc>
          <w:tcPr>
            <w:tcW w:w="720" w:type="dxa"/>
          </w:tcPr>
          <w:p w14:paraId="08AAE734" w14:textId="77777777" w:rsidR="000711B5" w:rsidRPr="00E359BF" w:rsidRDefault="000711B5" w:rsidP="00FB1C07">
            <w:pPr>
              <w:pStyle w:val="TableTextCentered"/>
              <w:rPr>
                <w:rFonts w:eastAsia="Times New Roman"/>
              </w:rPr>
            </w:pPr>
            <w:r>
              <w:rPr>
                <w:rFonts w:eastAsia="Times New Roman"/>
              </w:rPr>
              <w:t>0</w:t>
            </w:r>
          </w:p>
        </w:tc>
        <w:tc>
          <w:tcPr>
            <w:tcW w:w="720" w:type="dxa"/>
          </w:tcPr>
          <w:p w14:paraId="1F7470DD" w14:textId="77777777" w:rsidR="000711B5" w:rsidRPr="00E359BF" w:rsidRDefault="000711B5" w:rsidP="00FB1C07">
            <w:pPr>
              <w:pStyle w:val="TableTextCentered"/>
              <w:rPr>
                <w:rFonts w:eastAsia="Times New Roman"/>
              </w:rPr>
            </w:pPr>
            <w:r>
              <w:rPr>
                <w:rFonts w:eastAsia="Times New Roman"/>
              </w:rPr>
              <w:t>0</w:t>
            </w:r>
          </w:p>
        </w:tc>
        <w:tc>
          <w:tcPr>
            <w:tcW w:w="720" w:type="dxa"/>
          </w:tcPr>
          <w:p w14:paraId="511A7FE3" w14:textId="77777777" w:rsidR="000711B5" w:rsidRPr="00E359BF" w:rsidRDefault="000711B5" w:rsidP="00FB1C07">
            <w:pPr>
              <w:pStyle w:val="TableTextCentered"/>
              <w:rPr>
                <w:rFonts w:eastAsia="Times New Roman"/>
              </w:rPr>
            </w:pPr>
            <w:r>
              <w:rPr>
                <w:rFonts w:eastAsia="Times New Roman"/>
              </w:rPr>
              <w:t>0</w:t>
            </w:r>
          </w:p>
        </w:tc>
        <w:tc>
          <w:tcPr>
            <w:tcW w:w="720" w:type="dxa"/>
          </w:tcPr>
          <w:p w14:paraId="00A90AC0" w14:textId="77777777" w:rsidR="000711B5" w:rsidRPr="00E359BF" w:rsidRDefault="000711B5" w:rsidP="00FB1C07">
            <w:pPr>
              <w:pStyle w:val="TableTextCentered"/>
              <w:rPr>
                <w:rFonts w:eastAsia="Times New Roman"/>
              </w:rPr>
            </w:pPr>
            <w:r>
              <w:rPr>
                <w:rFonts w:eastAsia="Times New Roman"/>
              </w:rPr>
              <w:t>0</w:t>
            </w:r>
          </w:p>
        </w:tc>
        <w:tc>
          <w:tcPr>
            <w:tcW w:w="720" w:type="dxa"/>
            <w:vAlign w:val="center"/>
          </w:tcPr>
          <w:p w14:paraId="700E0EB6" w14:textId="77777777" w:rsidR="000711B5" w:rsidRPr="00E359BF" w:rsidRDefault="000711B5" w:rsidP="00FB1C07">
            <w:pPr>
              <w:pStyle w:val="TableTextCentered"/>
              <w:rPr>
                <w:rFonts w:eastAsia="Times New Roman"/>
              </w:rPr>
            </w:pPr>
            <w:r>
              <w:rPr>
                <w:rFonts w:eastAsia="Times New Roman"/>
              </w:rPr>
              <w:t>1</w:t>
            </w:r>
          </w:p>
        </w:tc>
        <w:tc>
          <w:tcPr>
            <w:tcW w:w="720" w:type="dxa"/>
            <w:vAlign w:val="center"/>
          </w:tcPr>
          <w:p w14:paraId="66574757" w14:textId="77777777" w:rsidR="000711B5" w:rsidRPr="00E359BF" w:rsidRDefault="000711B5" w:rsidP="00FB1C07">
            <w:pPr>
              <w:pStyle w:val="TableTextCentered"/>
              <w:rPr>
                <w:rFonts w:eastAsia="Times New Roman"/>
              </w:rPr>
            </w:pPr>
            <w:r>
              <w:rPr>
                <w:rFonts w:eastAsia="Times New Roman"/>
              </w:rPr>
              <w:t>19</w:t>
            </w:r>
          </w:p>
        </w:tc>
        <w:tc>
          <w:tcPr>
            <w:tcW w:w="540" w:type="dxa"/>
          </w:tcPr>
          <w:p w14:paraId="3D58B749" w14:textId="77777777" w:rsidR="000711B5" w:rsidRPr="00E359BF" w:rsidRDefault="000711B5" w:rsidP="00FB1C07">
            <w:pPr>
              <w:pStyle w:val="TableTextCentered"/>
              <w:rPr>
                <w:rFonts w:eastAsia="Times New Roman"/>
              </w:rPr>
            </w:pPr>
            <w:r>
              <w:rPr>
                <w:rFonts w:eastAsia="Times New Roman"/>
              </w:rPr>
              <w:t>20</w:t>
            </w:r>
          </w:p>
        </w:tc>
        <w:tc>
          <w:tcPr>
            <w:tcW w:w="900" w:type="dxa"/>
          </w:tcPr>
          <w:p w14:paraId="0F7C4DD4" w14:textId="77777777" w:rsidR="000711B5" w:rsidRPr="00E359BF" w:rsidRDefault="000711B5" w:rsidP="00FB1C07">
            <w:pPr>
              <w:pStyle w:val="TableTextCentered"/>
              <w:rPr>
                <w:rFonts w:eastAsia="Times New Roman"/>
              </w:rPr>
            </w:pPr>
            <w:r>
              <w:rPr>
                <w:rFonts w:eastAsia="Times New Roman"/>
              </w:rPr>
              <w:t>7.0</w:t>
            </w:r>
          </w:p>
        </w:tc>
      </w:tr>
      <w:tr w:rsidR="000711B5" w:rsidRPr="00E359BF" w14:paraId="11C3B01B" w14:textId="77777777">
        <w:trPr>
          <w:cnfStyle w:val="000000100000" w:firstRow="0" w:lastRow="0" w:firstColumn="0" w:lastColumn="0" w:oddVBand="0" w:evenVBand="0" w:oddHBand="1" w:evenHBand="0" w:firstRowFirstColumn="0" w:firstRowLastColumn="0" w:lastRowFirstColumn="0" w:lastRowLastColumn="0"/>
        </w:trPr>
        <w:tc>
          <w:tcPr>
            <w:tcW w:w="3232" w:type="dxa"/>
            <w:vAlign w:val="center"/>
          </w:tcPr>
          <w:p w14:paraId="7654ABC0" w14:textId="77777777" w:rsidR="000711B5" w:rsidRPr="00E359BF" w:rsidRDefault="000711B5" w:rsidP="00FB1C07">
            <w:pPr>
              <w:pStyle w:val="TableSubheading"/>
              <w:rPr>
                <w:szCs w:val="20"/>
              </w:rPr>
            </w:pPr>
            <w:r w:rsidRPr="00E359BF">
              <w:t>Instructional Support Domain</w:t>
            </w:r>
          </w:p>
        </w:tc>
        <w:tc>
          <w:tcPr>
            <w:tcW w:w="720" w:type="dxa"/>
          </w:tcPr>
          <w:p w14:paraId="294DDD50" w14:textId="77777777" w:rsidR="000711B5" w:rsidRPr="00B30BCD" w:rsidRDefault="000711B5" w:rsidP="00FB1C07">
            <w:pPr>
              <w:pStyle w:val="TableTextCenteredDemi"/>
              <w:rPr>
                <w:rFonts w:eastAsia="Times New Roman"/>
                <w:b/>
                <w:bCs/>
              </w:rPr>
            </w:pPr>
            <w:r>
              <w:rPr>
                <w:rFonts w:eastAsia="Times New Roman"/>
                <w:b/>
                <w:bCs/>
              </w:rPr>
              <w:t>6</w:t>
            </w:r>
          </w:p>
        </w:tc>
        <w:tc>
          <w:tcPr>
            <w:tcW w:w="720" w:type="dxa"/>
          </w:tcPr>
          <w:p w14:paraId="2B300395" w14:textId="77777777" w:rsidR="000711B5" w:rsidRPr="00B30BCD" w:rsidRDefault="000711B5" w:rsidP="00FB1C07">
            <w:pPr>
              <w:pStyle w:val="TableTextCenteredDemi"/>
              <w:rPr>
                <w:rFonts w:eastAsia="Times New Roman"/>
                <w:b/>
                <w:bCs/>
              </w:rPr>
            </w:pPr>
            <w:r>
              <w:rPr>
                <w:rFonts w:eastAsia="Times New Roman"/>
                <w:b/>
                <w:bCs/>
              </w:rPr>
              <w:t>20</w:t>
            </w:r>
          </w:p>
        </w:tc>
        <w:tc>
          <w:tcPr>
            <w:tcW w:w="720" w:type="dxa"/>
          </w:tcPr>
          <w:p w14:paraId="6C062379" w14:textId="77777777" w:rsidR="000711B5" w:rsidRPr="00B30BCD" w:rsidRDefault="000711B5" w:rsidP="00FB1C07">
            <w:pPr>
              <w:pStyle w:val="TableTextCenteredDemi"/>
              <w:rPr>
                <w:rFonts w:eastAsia="Times New Roman"/>
                <w:b/>
                <w:bCs/>
              </w:rPr>
            </w:pPr>
            <w:r>
              <w:rPr>
                <w:rFonts w:eastAsia="Times New Roman"/>
                <w:b/>
                <w:bCs/>
              </w:rPr>
              <w:t>23</w:t>
            </w:r>
          </w:p>
        </w:tc>
        <w:tc>
          <w:tcPr>
            <w:tcW w:w="720" w:type="dxa"/>
          </w:tcPr>
          <w:p w14:paraId="428BC993" w14:textId="77777777" w:rsidR="000711B5" w:rsidRPr="00B30BCD" w:rsidRDefault="000711B5" w:rsidP="00FB1C07">
            <w:pPr>
              <w:pStyle w:val="TableTextCenteredDemi"/>
              <w:rPr>
                <w:rFonts w:eastAsia="Times New Roman"/>
                <w:b/>
                <w:bCs/>
              </w:rPr>
            </w:pPr>
            <w:r>
              <w:rPr>
                <w:rFonts w:eastAsia="Times New Roman"/>
                <w:b/>
                <w:bCs/>
              </w:rPr>
              <w:t>22</w:t>
            </w:r>
          </w:p>
        </w:tc>
        <w:tc>
          <w:tcPr>
            <w:tcW w:w="720" w:type="dxa"/>
          </w:tcPr>
          <w:p w14:paraId="07C0E68B" w14:textId="77777777" w:rsidR="000711B5" w:rsidRPr="00B30BCD" w:rsidRDefault="000711B5" w:rsidP="00FB1C07">
            <w:pPr>
              <w:pStyle w:val="TableTextCenteredDemi"/>
              <w:rPr>
                <w:rFonts w:eastAsia="Times New Roman"/>
                <w:b/>
                <w:bCs/>
              </w:rPr>
            </w:pPr>
            <w:r>
              <w:rPr>
                <w:rFonts w:eastAsia="Times New Roman"/>
                <w:b/>
                <w:bCs/>
              </w:rPr>
              <w:t>15</w:t>
            </w:r>
          </w:p>
        </w:tc>
        <w:tc>
          <w:tcPr>
            <w:tcW w:w="720" w:type="dxa"/>
            <w:vAlign w:val="center"/>
          </w:tcPr>
          <w:p w14:paraId="0E5929AE" w14:textId="77777777" w:rsidR="000711B5" w:rsidRPr="00B30BCD" w:rsidRDefault="000711B5" w:rsidP="00FB1C07">
            <w:pPr>
              <w:pStyle w:val="TableTextCenteredDemi"/>
              <w:rPr>
                <w:rFonts w:eastAsia="Times New Roman"/>
                <w:b/>
                <w:bCs/>
              </w:rPr>
            </w:pPr>
            <w:r>
              <w:rPr>
                <w:rFonts w:eastAsia="Times New Roman"/>
                <w:b/>
                <w:bCs/>
              </w:rPr>
              <w:t>9</w:t>
            </w:r>
          </w:p>
        </w:tc>
        <w:tc>
          <w:tcPr>
            <w:tcW w:w="720" w:type="dxa"/>
            <w:vAlign w:val="center"/>
          </w:tcPr>
          <w:p w14:paraId="0DA0C11F" w14:textId="77777777" w:rsidR="000711B5" w:rsidRPr="00B30BCD" w:rsidRDefault="000711B5" w:rsidP="00FB1C07">
            <w:pPr>
              <w:pStyle w:val="TableTextCenteredDemi"/>
              <w:rPr>
                <w:rFonts w:eastAsia="Times New Roman"/>
                <w:b/>
                <w:bCs/>
              </w:rPr>
            </w:pPr>
            <w:r>
              <w:rPr>
                <w:rFonts w:eastAsia="Times New Roman"/>
                <w:b/>
                <w:bCs/>
              </w:rPr>
              <w:t>5</w:t>
            </w:r>
          </w:p>
        </w:tc>
        <w:tc>
          <w:tcPr>
            <w:tcW w:w="540" w:type="dxa"/>
          </w:tcPr>
          <w:p w14:paraId="6B1D6B9F" w14:textId="77777777" w:rsidR="000711B5" w:rsidRPr="00B30BCD" w:rsidRDefault="000711B5" w:rsidP="00FB1C07">
            <w:pPr>
              <w:pStyle w:val="TableTextCenteredDemi"/>
              <w:rPr>
                <w:rFonts w:eastAsia="Times New Roman"/>
                <w:b/>
                <w:bCs/>
              </w:rPr>
            </w:pPr>
            <w:r>
              <w:rPr>
                <w:rFonts w:eastAsia="Times New Roman"/>
                <w:b/>
                <w:bCs/>
              </w:rPr>
              <w:t>100</w:t>
            </w:r>
          </w:p>
        </w:tc>
        <w:tc>
          <w:tcPr>
            <w:tcW w:w="900" w:type="dxa"/>
          </w:tcPr>
          <w:p w14:paraId="62B696CA" w14:textId="77777777" w:rsidR="000711B5" w:rsidRPr="00B30BCD" w:rsidRDefault="000711B5" w:rsidP="00FB1C07">
            <w:pPr>
              <w:pStyle w:val="TableTextCenteredDemi"/>
              <w:rPr>
                <w:rFonts w:eastAsia="Times New Roman"/>
                <w:b/>
                <w:bCs/>
              </w:rPr>
            </w:pPr>
            <w:r>
              <w:rPr>
                <w:rFonts w:eastAsia="Times New Roman"/>
                <w:b/>
                <w:bCs/>
              </w:rPr>
              <w:t>3.7</w:t>
            </w:r>
          </w:p>
        </w:tc>
      </w:tr>
      <w:tr w:rsidR="000711B5" w:rsidRPr="00E359BF" w14:paraId="685DC2B9" w14:textId="77777777" w:rsidTr="00FB1C07">
        <w:tc>
          <w:tcPr>
            <w:tcW w:w="3232" w:type="dxa"/>
            <w:vAlign w:val="center"/>
          </w:tcPr>
          <w:p w14:paraId="1B47C4CB" w14:textId="77777777" w:rsidR="000711B5" w:rsidRPr="00E359BF" w:rsidRDefault="000711B5" w:rsidP="00FB1C07">
            <w:pPr>
              <w:pStyle w:val="TableText"/>
              <w:ind w:left="204"/>
              <w:rPr>
                <w:b/>
                <w:bCs/>
              </w:rPr>
            </w:pPr>
            <w:r w:rsidRPr="00D931E1">
              <w:t>Instructional Learning Formats</w:t>
            </w:r>
          </w:p>
        </w:tc>
        <w:tc>
          <w:tcPr>
            <w:tcW w:w="720" w:type="dxa"/>
          </w:tcPr>
          <w:p w14:paraId="2B555014" w14:textId="77777777" w:rsidR="000711B5" w:rsidRPr="00E359BF" w:rsidRDefault="000711B5" w:rsidP="00FB1C07">
            <w:pPr>
              <w:pStyle w:val="TableTextCentered"/>
              <w:rPr>
                <w:rFonts w:eastAsia="Times New Roman"/>
              </w:rPr>
            </w:pPr>
            <w:r>
              <w:rPr>
                <w:rFonts w:eastAsia="Times New Roman"/>
              </w:rPr>
              <w:t>0</w:t>
            </w:r>
          </w:p>
        </w:tc>
        <w:tc>
          <w:tcPr>
            <w:tcW w:w="720" w:type="dxa"/>
          </w:tcPr>
          <w:p w14:paraId="02EDC8D1" w14:textId="77777777" w:rsidR="000711B5" w:rsidRPr="00E359BF" w:rsidRDefault="000711B5" w:rsidP="00FB1C07">
            <w:pPr>
              <w:pStyle w:val="TableTextCentered"/>
              <w:rPr>
                <w:rFonts w:eastAsia="Times New Roman"/>
              </w:rPr>
            </w:pPr>
            <w:r>
              <w:rPr>
                <w:rFonts w:eastAsia="Times New Roman"/>
              </w:rPr>
              <w:t>1</w:t>
            </w:r>
          </w:p>
        </w:tc>
        <w:tc>
          <w:tcPr>
            <w:tcW w:w="720" w:type="dxa"/>
          </w:tcPr>
          <w:p w14:paraId="773D9A38" w14:textId="77777777" w:rsidR="000711B5" w:rsidRPr="00E359BF" w:rsidRDefault="000711B5" w:rsidP="00FB1C07">
            <w:pPr>
              <w:pStyle w:val="TableTextCentered"/>
              <w:rPr>
                <w:rFonts w:eastAsia="Times New Roman"/>
              </w:rPr>
            </w:pPr>
            <w:r>
              <w:rPr>
                <w:rFonts w:eastAsia="Times New Roman"/>
              </w:rPr>
              <w:t>2</w:t>
            </w:r>
          </w:p>
        </w:tc>
        <w:tc>
          <w:tcPr>
            <w:tcW w:w="720" w:type="dxa"/>
          </w:tcPr>
          <w:p w14:paraId="11523B34" w14:textId="77777777" w:rsidR="000711B5" w:rsidRPr="00E359BF" w:rsidRDefault="000711B5" w:rsidP="00FB1C07">
            <w:pPr>
              <w:pStyle w:val="TableTextCentered"/>
              <w:rPr>
                <w:rFonts w:eastAsia="Times New Roman"/>
              </w:rPr>
            </w:pPr>
            <w:r>
              <w:rPr>
                <w:rFonts w:eastAsia="Times New Roman"/>
              </w:rPr>
              <w:t>9</w:t>
            </w:r>
          </w:p>
        </w:tc>
        <w:tc>
          <w:tcPr>
            <w:tcW w:w="720" w:type="dxa"/>
          </w:tcPr>
          <w:p w14:paraId="1AB5F0D1" w14:textId="77777777" w:rsidR="000711B5" w:rsidRPr="00E359BF" w:rsidRDefault="000711B5" w:rsidP="00FB1C07">
            <w:pPr>
              <w:pStyle w:val="TableTextCentered"/>
              <w:rPr>
                <w:rFonts w:eastAsia="Times New Roman"/>
              </w:rPr>
            </w:pPr>
            <w:r>
              <w:rPr>
                <w:rFonts w:eastAsia="Times New Roman"/>
              </w:rPr>
              <w:t>6</w:t>
            </w:r>
          </w:p>
        </w:tc>
        <w:tc>
          <w:tcPr>
            <w:tcW w:w="720" w:type="dxa"/>
            <w:vAlign w:val="center"/>
          </w:tcPr>
          <w:p w14:paraId="50E43ADF" w14:textId="77777777" w:rsidR="000711B5" w:rsidRPr="00E359BF" w:rsidRDefault="000711B5" w:rsidP="00FB1C07">
            <w:pPr>
              <w:pStyle w:val="TableTextCentered"/>
              <w:rPr>
                <w:rFonts w:eastAsia="Times New Roman"/>
              </w:rPr>
            </w:pPr>
            <w:r>
              <w:rPr>
                <w:rFonts w:eastAsia="Times New Roman"/>
              </w:rPr>
              <w:t>2</w:t>
            </w:r>
          </w:p>
        </w:tc>
        <w:tc>
          <w:tcPr>
            <w:tcW w:w="720" w:type="dxa"/>
            <w:vAlign w:val="center"/>
          </w:tcPr>
          <w:p w14:paraId="5EB358A6" w14:textId="77777777" w:rsidR="000711B5" w:rsidRPr="00E359BF" w:rsidRDefault="000711B5" w:rsidP="00FB1C07">
            <w:pPr>
              <w:pStyle w:val="TableTextCentered"/>
              <w:rPr>
                <w:rFonts w:eastAsia="Times New Roman"/>
              </w:rPr>
            </w:pPr>
            <w:r>
              <w:rPr>
                <w:rFonts w:eastAsia="Times New Roman"/>
              </w:rPr>
              <w:t>0</w:t>
            </w:r>
          </w:p>
        </w:tc>
        <w:tc>
          <w:tcPr>
            <w:tcW w:w="540" w:type="dxa"/>
          </w:tcPr>
          <w:p w14:paraId="215CB7C4" w14:textId="77777777" w:rsidR="000711B5" w:rsidRPr="00E359BF" w:rsidRDefault="000711B5" w:rsidP="00FB1C07">
            <w:pPr>
              <w:pStyle w:val="TableTextCentered"/>
              <w:rPr>
                <w:rFonts w:eastAsia="Times New Roman"/>
              </w:rPr>
            </w:pPr>
            <w:r>
              <w:rPr>
                <w:rFonts w:eastAsia="Times New Roman"/>
              </w:rPr>
              <w:t>20</w:t>
            </w:r>
          </w:p>
        </w:tc>
        <w:tc>
          <w:tcPr>
            <w:tcW w:w="900" w:type="dxa"/>
          </w:tcPr>
          <w:p w14:paraId="7D029D69" w14:textId="77777777" w:rsidR="000711B5" w:rsidRPr="00E359BF" w:rsidRDefault="000711B5" w:rsidP="00FB1C07">
            <w:pPr>
              <w:pStyle w:val="TableTextCentered"/>
              <w:rPr>
                <w:rFonts w:eastAsia="Times New Roman"/>
              </w:rPr>
            </w:pPr>
            <w:r>
              <w:rPr>
                <w:rFonts w:eastAsia="Times New Roman"/>
              </w:rPr>
              <w:t>4.3</w:t>
            </w:r>
          </w:p>
        </w:tc>
      </w:tr>
      <w:tr w:rsidR="000711B5" w:rsidRPr="00E359BF" w14:paraId="2D4B8DFC" w14:textId="77777777" w:rsidTr="00FB1C07">
        <w:trPr>
          <w:cnfStyle w:val="000000100000" w:firstRow="0" w:lastRow="0" w:firstColumn="0" w:lastColumn="0" w:oddVBand="0" w:evenVBand="0" w:oddHBand="1" w:evenHBand="0" w:firstRowFirstColumn="0" w:firstRowLastColumn="0" w:lastRowFirstColumn="0" w:lastRowLastColumn="0"/>
          <w:trHeight w:val="70"/>
        </w:trPr>
        <w:tc>
          <w:tcPr>
            <w:tcW w:w="3232" w:type="dxa"/>
            <w:vAlign w:val="center"/>
          </w:tcPr>
          <w:p w14:paraId="70041D87" w14:textId="77777777" w:rsidR="000711B5" w:rsidRPr="00E359BF" w:rsidRDefault="000711B5" w:rsidP="00FB1C07">
            <w:pPr>
              <w:pStyle w:val="TableText"/>
              <w:ind w:left="204"/>
              <w:rPr>
                <w:b/>
                <w:bCs/>
              </w:rPr>
            </w:pPr>
            <w:r w:rsidRPr="00D931E1">
              <w:t>Content Understanding</w:t>
            </w:r>
          </w:p>
        </w:tc>
        <w:tc>
          <w:tcPr>
            <w:tcW w:w="720" w:type="dxa"/>
          </w:tcPr>
          <w:p w14:paraId="68EDBA94" w14:textId="77777777" w:rsidR="000711B5" w:rsidRPr="00E359BF" w:rsidRDefault="000711B5" w:rsidP="00FB1C07">
            <w:pPr>
              <w:pStyle w:val="TableTextCentered"/>
              <w:rPr>
                <w:rFonts w:eastAsia="Times New Roman"/>
              </w:rPr>
            </w:pPr>
            <w:r>
              <w:rPr>
                <w:rFonts w:eastAsia="Times New Roman"/>
              </w:rPr>
              <w:t>0</w:t>
            </w:r>
          </w:p>
        </w:tc>
        <w:tc>
          <w:tcPr>
            <w:tcW w:w="720" w:type="dxa"/>
          </w:tcPr>
          <w:p w14:paraId="031BA765" w14:textId="77777777" w:rsidR="000711B5" w:rsidRPr="00E359BF" w:rsidRDefault="000711B5" w:rsidP="00FB1C07">
            <w:pPr>
              <w:pStyle w:val="TableTextCentered"/>
              <w:rPr>
                <w:rFonts w:eastAsia="Times New Roman"/>
              </w:rPr>
            </w:pPr>
            <w:r>
              <w:rPr>
                <w:rFonts w:eastAsia="Times New Roman"/>
              </w:rPr>
              <w:t>3</w:t>
            </w:r>
          </w:p>
        </w:tc>
        <w:tc>
          <w:tcPr>
            <w:tcW w:w="720" w:type="dxa"/>
          </w:tcPr>
          <w:p w14:paraId="56F1892F" w14:textId="77777777" w:rsidR="000711B5" w:rsidRPr="00E359BF" w:rsidRDefault="000711B5" w:rsidP="00FB1C07">
            <w:pPr>
              <w:pStyle w:val="TableTextCentered"/>
              <w:rPr>
                <w:rFonts w:eastAsia="Times New Roman"/>
              </w:rPr>
            </w:pPr>
            <w:r>
              <w:rPr>
                <w:rFonts w:eastAsia="Times New Roman"/>
              </w:rPr>
              <w:t>3</w:t>
            </w:r>
          </w:p>
        </w:tc>
        <w:tc>
          <w:tcPr>
            <w:tcW w:w="720" w:type="dxa"/>
          </w:tcPr>
          <w:p w14:paraId="0B28B276" w14:textId="77777777" w:rsidR="000711B5" w:rsidRPr="00E359BF" w:rsidRDefault="000711B5" w:rsidP="00FB1C07">
            <w:pPr>
              <w:pStyle w:val="TableTextCentered"/>
              <w:rPr>
                <w:rFonts w:eastAsia="Times New Roman"/>
              </w:rPr>
            </w:pPr>
            <w:r>
              <w:rPr>
                <w:rFonts w:eastAsia="Times New Roman"/>
              </w:rPr>
              <w:t>2</w:t>
            </w:r>
          </w:p>
        </w:tc>
        <w:tc>
          <w:tcPr>
            <w:tcW w:w="720" w:type="dxa"/>
          </w:tcPr>
          <w:p w14:paraId="33530FF1" w14:textId="77777777" w:rsidR="000711B5" w:rsidRPr="00E359BF" w:rsidRDefault="000711B5" w:rsidP="00FB1C07">
            <w:pPr>
              <w:pStyle w:val="TableTextCentered"/>
              <w:rPr>
                <w:rFonts w:eastAsia="Times New Roman"/>
              </w:rPr>
            </w:pPr>
            <w:r>
              <w:rPr>
                <w:rFonts w:eastAsia="Times New Roman"/>
              </w:rPr>
              <w:t>4</w:t>
            </w:r>
          </w:p>
        </w:tc>
        <w:tc>
          <w:tcPr>
            <w:tcW w:w="720" w:type="dxa"/>
            <w:vAlign w:val="center"/>
          </w:tcPr>
          <w:p w14:paraId="14975770" w14:textId="77777777" w:rsidR="000711B5" w:rsidRPr="00E359BF" w:rsidRDefault="000711B5" w:rsidP="00FB1C07">
            <w:pPr>
              <w:pStyle w:val="TableTextCentered"/>
              <w:rPr>
                <w:rFonts w:eastAsia="Times New Roman"/>
              </w:rPr>
            </w:pPr>
            <w:r>
              <w:rPr>
                <w:rFonts w:eastAsia="Times New Roman"/>
              </w:rPr>
              <w:t>3</w:t>
            </w:r>
          </w:p>
        </w:tc>
        <w:tc>
          <w:tcPr>
            <w:tcW w:w="720" w:type="dxa"/>
            <w:vAlign w:val="center"/>
          </w:tcPr>
          <w:p w14:paraId="0D0210B9" w14:textId="77777777" w:rsidR="000711B5" w:rsidRPr="00E359BF" w:rsidRDefault="000711B5" w:rsidP="00FB1C07">
            <w:pPr>
              <w:pStyle w:val="TableTextCentered"/>
              <w:rPr>
                <w:rFonts w:eastAsia="Times New Roman"/>
              </w:rPr>
            </w:pPr>
            <w:r>
              <w:rPr>
                <w:rFonts w:eastAsia="Times New Roman"/>
              </w:rPr>
              <w:t>5</w:t>
            </w:r>
          </w:p>
        </w:tc>
        <w:tc>
          <w:tcPr>
            <w:tcW w:w="540" w:type="dxa"/>
          </w:tcPr>
          <w:p w14:paraId="2348430E" w14:textId="77777777" w:rsidR="000711B5" w:rsidRPr="00E359BF" w:rsidRDefault="000711B5" w:rsidP="00FB1C07">
            <w:pPr>
              <w:pStyle w:val="TableTextCentered"/>
              <w:rPr>
                <w:rFonts w:eastAsia="Times New Roman"/>
              </w:rPr>
            </w:pPr>
            <w:r>
              <w:rPr>
                <w:rFonts w:eastAsia="Times New Roman"/>
              </w:rPr>
              <w:t>20</w:t>
            </w:r>
          </w:p>
        </w:tc>
        <w:tc>
          <w:tcPr>
            <w:tcW w:w="900" w:type="dxa"/>
          </w:tcPr>
          <w:p w14:paraId="26412C41" w14:textId="77777777" w:rsidR="000711B5" w:rsidRPr="00E359BF" w:rsidRDefault="000711B5" w:rsidP="00FB1C07">
            <w:pPr>
              <w:pStyle w:val="TableTextCentered"/>
              <w:rPr>
                <w:rFonts w:eastAsia="Times New Roman"/>
              </w:rPr>
            </w:pPr>
            <w:r>
              <w:rPr>
                <w:rFonts w:eastAsia="Times New Roman"/>
              </w:rPr>
              <w:t>4.8</w:t>
            </w:r>
          </w:p>
        </w:tc>
      </w:tr>
      <w:tr w:rsidR="000711B5" w:rsidRPr="00E359BF" w14:paraId="34E75F29" w14:textId="77777777" w:rsidTr="00FB1C07">
        <w:tc>
          <w:tcPr>
            <w:tcW w:w="3232" w:type="dxa"/>
            <w:vAlign w:val="center"/>
          </w:tcPr>
          <w:p w14:paraId="4692C441" w14:textId="77777777" w:rsidR="000711B5" w:rsidRPr="00E359BF" w:rsidRDefault="000711B5" w:rsidP="00FB1C07">
            <w:pPr>
              <w:pStyle w:val="TableText"/>
              <w:ind w:left="204"/>
              <w:rPr>
                <w:b/>
                <w:bCs/>
              </w:rPr>
            </w:pPr>
            <w:r w:rsidRPr="00D931E1">
              <w:t>Analysis and Inquiry</w:t>
            </w:r>
          </w:p>
        </w:tc>
        <w:tc>
          <w:tcPr>
            <w:tcW w:w="720" w:type="dxa"/>
          </w:tcPr>
          <w:p w14:paraId="077FC4F0" w14:textId="77777777" w:rsidR="000711B5" w:rsidRPr="00E359BF" w:rsidRDefault="000711B5" w:rsidP="00FB1C07">
            <w:pPr>
              <w:pStyle w:val="TableTextCentered"/>
              <w:rPr>
                <w:rFonts w:eastAsia="Times New Roman"/>
              </w:rPr>
            </w:pPr>
            <w:r>
              <w:rPr>
                <w:rFonts w:eastAsia="Times New Roman"/>
              </w:rPr>
              <w:t>5</w:t>
            </w:r>
          </w:p>
        </w:tc>
        <w:tc>
          <w:tcPr>
            <w:tcW w:w="720" w:type="dxa"/>
          </w:tcPr>
          <w:p w14:paraId="4BB2DE10" w14:textId="77777777" w:rsidR="000711B5" w:rsidRPr="00E359BF" w:rsidRDefault="000711B5" w:rsidP="00FB1C07">
            <w:pPr>
              <w:pStyle w:val="TableTextCentered"/>
              <w:rPr>
                <w:rFonts w:eastAsia="Times New Roman"/>
              </w:rPr>
            </w:pPr>
            <w:r>
              <w:rPr>
                <w:rFonts w:eastAsia="Times New Roman"/>
              </w:rPr>
              <w:t>5</w:t>
            </w:r>
          </w:p>
        </w:tc>
        <w:tc>
          <w:tcPr>
            <w:tcW w:w="720" w:type="dxa"/>
          </w:tcPr>
          <w:p w14:paraId="27FDF277" w14:textId="77777777" w:rsidR="000711B5" w:rsidRPr="00E359BF" w:rsidRDefault="000711B5" w:rsidP="00FB1C07">
            <w:pPr>
              <w:pStyle w:val="TableTextCentered"/>
              <w:rPr>
                <w:rFonts w:eastAsia="Times New Roman"/>
              </w:rPr>
            </w:pPr>
            <w:r>
              <w:rPr>
                <w:rFonts w:eastAsia="Times New Roman"/>
              </w:rPr>
              <w:t>6</w:t>
            </w:r>
          </w:p>
        </w:tc>
        <w:tc>
          <w:tcPr>
            <w:tcW w:w="720" w:type="dxa"/>
          </w:tcPr>
          <w:p w14:paraId="544B9339" w14:textId="77777777" w:rsidR="000711B5" w:rsidRPr="00E359BF" w:rsidRDefault="000711B5" w:rsidP="00FB1C07">
            <w:pPr>
              <w:pStyle w:val="TableTextCentered"/>
              <w:rPr>
                <w:rFonts w:eastAsia="Times New Roman"/>
              </w:rPr>
            </w:pPr>
            <w:r>
              <w:rPr>
                <w:rFonts w:eastAsia="Times New Roman"/>
              </w:rPr>
              <w:t>2</w:t>
            </w:r>
          </w:p>
        </w:tc>
        <w:tc>
          <w:tcPr>
            <w:tcW w:w="720" w:type="dxa"/>
          </w:tcPr>
          <w:p w14:paraId="725BE34C" w14:textId="77777777" w:rsidR="000711B5" w:rsidRPr="00E359BF" w:rsidRDefault="000711B5" w:rsidP="00FB1C07">
            <w:pPr>
              <w:pStyle w:val="TableTextCentered"/>
              <w:rPr>
                <w:rFonts w:eastAsia="Times New Roman"/>
              </w:rPr>
            </w:pPr>
            <w:r>
              <w:rPr>
                <w:rFonts w:eastAsia="Times New Roman"/>
              </w:rPr>
              <w:t>1</w:t>
            </w:r>
          </w:p>
        </w:tc>
        <w:tc>
          <w:tcPr>
            <w:tcW w:w="720" w:type="dxa"/>
            <w:vAlign w:val="center"/>
          </w:tcPr>
          <w:p w14:paraId="4A2BC289" w14:textId="77777777" w:rsidR="000711B5" w:rsidRPr="00E359BF" w:rsidRDefault="000711B5" w:rsidP="00FB1C07">
            <w:pPr>
              <w:pStyle w:val="TableTextCentered"/>
              <w:rPr>
                <w:rFonts w:eastAsia="Times New Roman"/>
              </w:rPr>
            </w:pPr>
            <w:r>
              <w:rPr>
                <w:rFonts w:eastAsia="Times New Roman"/>
              </w:rPr>
              <w:t>1</w:t>
            </w:r>
          </w:p>
        </w:tc>
        <w:tc>
          <w:tcPr>
            <w:tcW w:w="720" w:type="dxa"/>
            <w:vAlign w:val="center"/>
          </w:tcPr>
          <w:p w14:paraId="0BD2D937" w14:textId="77777777" w:rsidR="000711B5" w:rsidRPr="00E359BF" w:rsidRDefault="000711B5" w:rsidP="00FB1C07">
            <w:pPr>
              <w:pStyle w:val="TableTextCentered"/>
              <w:rPr>
                <w:rFonts w:eastAsia="Times New Roman"/>
              </w:rPr>
            </w:pPr>
            <w:r>
              <w:rPr>
                <w:rFonts w:eastAsia="Times New Roman"/>
              </w:rPr>
              <w:t>0</w:t>
            </w:r>
          </w:p>
        </w:tc>
        <w:tc>
          <w:tcPr>
            <w:tcW w:w="540" w:type="dxa"/>
          </w:tcPr>
          <w:p w14:paraId="32E3C57C" w14:textId="77777777" w:rsidR="000711B5" w:rsidRPr="00E359BF" w:rsidRDefault="000711B5" w:rsidP="00FB1C07">
            <w:pPr>
              <w:pStyle w:val="TableTextCentered"/>
              <w:rPr>
                <w:rFonts w:eastAsia="Times New Roman"/>
              </w:rPr>
            </w:pPr>
            <w:r>
              <w:rPr>
                <w:rFonts w:eastAsia="Times New Roman"/>
              </w:rPr>
              <w:t>20</w:t>
            </w:r>
          </w:p>
        </w:tc>
        <w:tc>
          <w:tcPr>
            <w:tcW w:w="900" w:type="dxa"/>
          </w:tcPr>
          <w:p w14:paraId="671BE9DB" w14:textId="77777777" w:rsidR="000711B5" w:rsidRPr="00E359BF" w:rsidRDefault="000711B5" w:rsidP="00FB1C07">
            <w:pPr>
              <w:pStyle w:val="TableTextCentered"/>
              <w:rPr>
                <w:rFonts w:eastAsia="Times New Roman"/>
              </w:rPr>
            </w:pPr>
            <w:r>
              <w:rPr>
                <w:rFonts w:eastAsia="Times New Roman"/>
              </w:rPr>
              <w:t>2.6</w:t>
            </w:r>
          </w:p>
        </w:tc>
      </w:tr>
      <w:tr w:rsidR="000711B5" w:rsidRPr="00E359BF" w14:paraId="314A0BD5" w14:textId="77777777" w:rsidTr="00FB1C07">
        <w:trPr>
          <w:cnfStyle w:val="000000100000" w:firstRow="0" w:lastRow="0" w:firstColumn="0" w:lastColumn="0" w:oddVBand="0" w:evenVBand="0" w:oddHBand="1" w:evenHBand="0" w:firstRowFirstColumn="0" w:firstRowLastColumn="0" w:lastRowFirstColumn="0" w:lastRowLastColumn="0"/>
        </w:trPr>
        <w:tc>
          <w:tcPr>
            <w:tcW w:w="3232" w:type="dxa"/>
            <w:vAlign w:val="center"/>
          </w:tcPr>
          <w:p w14:paraId="2B3A7140" w14:textId="77777777" w:rsidR="000711B5" w:rsidRPr="00D931E1" w:rsidRDefault="000711B5" w:rsidP="00FB1C07">
            <w:pPr>
              <w:pStyle w:val="TableText"/>
              <w:ind w:left="204"/>
              <w:rPr>
                <w:b/>
                <w:bCs/>
              </w:rPr>
            </w:pPr>
            <w:r w:rsidRPr="00D931E1">
              <w:t>Quality of Feedback</w:t>
            </w:r>
          </w:p>
        </w:tc>
        <w:tc>
          <w:tcPr>
            <w:tcW w:w="720" w:type="dxa"/>
          </w:tcPr>
          <w:p w14:paraId="7C17776B" w14:textId="77777777" w:rsidR="000711B5" w:rsidRPr="00E359BF" w:rsidRDefault="000711B5" w:rsidP="00FB1C07">
            <w:pPr>
              <w:pStyle w:val="TableTextCentered"/>
              <w:rPr>
                <w:rFonts w:eastAsia="Times New Roman"/>
              </w:rPr>
            </w:pPr>
            <w:r>
              <w:rPr>
                <w:rFonts w:eastAsia="Times New Roman"/>
              </w:rPr>
              <w:t>0</w:t>
            </w:r>
          </w:p>
        </w:tc>
        <w:tc>
          <w:tcPr>
            <w:tcW w:w="720" w:type="dxa"/>
          </w:tcPr>
          <w:p w14:paraId="2B4D358A" w14:textId="77777777" w:rsidR="000711B5" w:rsidRPr="00E359BF" w:rsidRDefault="000711B5" w:rsidP="00FB1C07">
            <w:pPr>
              <w:pStyle w:val="TableTextCentered"/>
              <w:rPr>
                <w:rFonts w:eastAsia="Times New Roman"/>
              </w:rPr>
            </w:pPr>
            <w:r>
              <w:rPr>
                <w:rFonts w:eastAsia="Times New Roman"/>
              </w:rPr>
              <w:t>7</w:t>
            </w:r>
          </w:p>
        </w:tc>
        <w:tc>
          <w:tcPr>
            <w:tcW w:w="720" w:type="dxa"/>
          </w:tcPr>
          <w:p w14:paraId="4C0BB7BD" w14:textId="77777777" w:rsidR="000711B5" w:rsidRPr="00E359BF" w:rsidRDefault="000711B5" w:rsidP="00FB1C07">
            <w:pPr>
              <w:pStyle w:val="TableTextCentered"/>
              <w:rPr>
                <w:rFonts w:eastAsia="Times New Roman"/>
              </w:rPr>
            </w:pPr>
            <w:r>
              <w:rPr>
                <w:rFonts w:eastAsia="Times New Roman"/>
              </w:rPr>
              <w:t>6</w:t>
            </w:r>
          </w:p>
        </w:tc>
        <w:tc>
          <w:tcPr>
            <w:tcW w:w="720" w:type="dxa"/>
          </w:tcPr>
          <w:p w14:paraId="7894A7DF" w14:textId="77777777" w:rsidR="000711B5" w:rsidRPr="00E359BF" w:rsidRDefault="000711B5" w:rsidP="00FB1C07">
            <w:pPr>
              <w:pStyle w:val="TableTextCentered"/>
              <w:rPr>
                <w:rFonts w:eastAsia="Times New Roman"/>
              </w:rPr>
            </w:pPr>
            <w:r>
              <w:rPr>
                <w:rFonts w:eastAsia="Times New Roman"/>
              </w:rPr>
              <w:t>6</w:t>
            </w:r>
          </w:p>
        </w:tc>
        <w:tc>
          <w:tcPr>
            <w:tcW w:w="720" w:type="dxa"/>
          </w:tcPr>
          <w:p w14:paraId="79F90A86" w14:textId="77777777" w:rsidR="000711B5" w:rsidRPr="00E359BF" w:rsidRDefault="000711B5" w:rsidP="00FB1C07">
            <w:pPr>
              <w:pStyle w:val="TableTextCentered"/>
              <w:rPr>
                <w:rFonts w:eastAsia="Times New Roman"/>
              </w:rPr>
            </w:pPr>
            <w:r>
              <w:rPr>
                <w:rFonts w:eastAsia="Times New Roman"/>
              </w:rPr>
              <w:t>0</w:t>
            </w:r>
          </w:p>
        </w:tc>
        <w:tc>
          <w:tcPr>
            <w:tcW w:w="720" w:type="dxa"/>
            <w:vAlign w:val="center"/>
          </w:tcPr>
          <w:p w14:paraId="6215A1E6" w14:textId="77777777" w:rsidR="000711B5" w:rsidRPr="00E359BF" w:rsidRDefault="000711B5" w:rsidP="00FB1C07">
            <w:pPr>
              <w:pStyle w:val="TableTextCentered"/>
              <w:rPr>
                <w:rFonts w:eastAsia="Times New Roman"/>
              </w:rPr>
            </w:pPr>
            <w:r>
              <w:rPr>
                <w:rFonts w:eastAsia="Times New Roman"/>
              </w:rPr>
              <w:t>1</w:t>
            </w:r>
          </w:p>
        </w:tc>
        <w:tc>
          <w:tcPr>
            <w:tcW w:w="720" w:type="dxa"/>
            <w:vAlign w:val="center"/>
          </w:tcPr>
          <w:p w14:paraId="72F0F20F" w14:textId="77777777" w:rsidR="000711B5" w:rsidRPr="00E359BF" w:rsidRDefault="000711B5" w:rsidP="00FB1C07">
            <w:pPr>
              <w:pStyle w:val="TableTextCentered"/>
              <w:rPr>
                <w:rFonts w:eastAsia="Times New Roman"/>
              </w:rPr>
            </w:pPr>
            <w:r>
              <w:rPr>
                <w:rFonts w:eastAsia="Times New Roman"/>
              </w:rPr>
              <w:t>0</w:t>
            </w:r>
          </w:p>
        </w:tc>
        <w:tc>
          <w:tcPr>
            <w:tcW w:w="540" w:type="dxa"/>
          </w:tcPr>
          <w:p w14:paraId="20830CCE" w14:textId="77777777" w:rsidR="000711B5" w:rsidRPr="00E359BF" w:rsidRDefault="000711B5" w:rsidP="00FB1C07">
            <w:pPr>
              <w:pStyle w:val="TableTextCentered"/>
              <w:rPr>
                <w:rFonts w:eastAsia="Times New Roman"/>
              </w:rPr>
            </w:pPr>
            <w:r>
              <w:rPr>
                <w:rFonts w:eastAsia="Times New Roman"/>
              </w:rPr>
              <w:t>20</w:t>
            </w:r>
          </w:p>
        </w:tc>
        <w:tc>
          <w:tcPr>
            <w:tcW w:w="900" w:type="dxa"/>
          </w:tcPr>
          <w:p w14:paraId="5E8F0F47" w14:textId="77777777" w:rsidR="000711B5" w:rsidRPr="00E359BF" w:rsidRDefault="000711B5" w:rsidP="00FB1C07">
            <w:pPr>
              <w:pStyle w:val="TableTextCentered"/>
              <w:rPr>
                <w:rFonts w:eastAsia="Times New Roman"/>
              </w:rPr>
            </w:pPr>
            <w:r>
              <w:rPr>
                <w:rFonts w:eastAsia="Times New Roman"/>
              </w:rPr>
              <w:t>3.1</w:t>
            </w:r>
          </w:p>
        </w:tc>
      </w:tr>
      <w:tr w:rsidR="000711B5" w:rsidRPr="00E359BF" w14:paraId="0B59E6BC" w14:textId="77777777" w:rsidTr="00FB1C07">
        <w:tc>
          <w:tcPr>
            <w:tcW w:w="3232" w:type="dxa"/>
            <w:vAlign w:val="center"/>
          </w:tcPr>
          <w:p w14:paraId="00B4B995" w14:textId="77777777" w:rsidR="000711B5" w:rsidRPr="00D931E1" w:rsidRDefault="000711B5" w:rsidP="00FB1C07">
            <w:pPr>
              <w:pStyle w:val="TableText"/>
              <w:ind w:left="204"/>
              <w:rPr>
                <w:b/>
                <w:bCs/>
              </w:rPr>
            </w:pPr>
            <w:r w:rsidRPr="00D931E1">
              <w:t>Instructional Dialogue</w:t>
            </w:r>
          </w:p>
        </w:tc>
        <w:tc>
          <w:tcPr>
            <w:tcW w:w="720" w:type="dxa"/>
          </w:tcPr>
          <w:p w14:paraId="30403C62" w14:textId="77777777" w:rsidR="000711B5" w:rsidRPr="00E359BF" w:rsidRDefault="000711B5" w:rsidP="00FB1C07">
            <w:pPr>
              <w:pStyle w:val="TableTextCentered"/>
              <w:rPr>
                <w:rFonts w:eastAsia="Times New Roman"/>
              </w:rPr>
            </w:pPr>
            <w:r>
              <w:rPr>
                <w:rFonts w:eastAsia="Times New Roman"/>
              </w:rPr>
              <w:t>1</w:t>
            </w:r>
          </w:p>
        </w:tc>
        <w:tc>
          <w:tcPr>
            <w:tcW w:w="720" w:type="dxa"/>
          </w:tcPr>
          <w:p w14:paraId="2B59385F" w14:textId="77777777" w:rsidR="000711B5" w:rsidRPr="00E359BF" w:rsidRDefault="000711B5" w:rsidP="00FB1C07">
            <w:pPr>
              <w:pStyle w:val="TableTextCentered"/>
              <w:rPr>
                <w:rFonts w:eastAsia="Times New Roman"/>
              </w:rPr>
            </w:pPr>
            <w:r>
              <w:rPr>
                <w:rFonts w:eastAsia="Times New Roman"/>
              </w:rPr>
              <w:t>4</w:t>
            </w:r>
          </w:p>
        </w:tc>
        <w:tc>
          <w:tcPr>
            <w:tcW w:w="720" w:type="dxa"/>
          </w:tcPr>
          <w:p w14:paraId="18D45F68" w14:textId="77777777" w:rsidR="000711B5" w:rsidRPr="00E359BF" w:rsidRDefault="000711B5" w:rsidP="00FB1C07">
            <w:pPr>
              <w:pStyle w:val="TableTextCentered"/>
              <w:rPr>
                <w:rFonts w:eastAsia="Times New Roman"/>
              </w:rPr>
            </w:pPr>
            <w:r>
              <w:rPr>
                <w:rFonts w:eastAsia="Times New Roman"/>
              </w:rPr>
              <w:t>6</w:t>
            </w:r>
          </w:p>
        </w:tc>
        <w:tc>
          <w:tcPr>
            <w:tcW w:w="720" w:type="dxa"/>
          </w:tcPr>
          <w:p w14:paraId="265CCE2B" w14:textId="77777777" w:rsidR="000711B5" w:rsidRPr="00E359BF" w:rsidRDefault="000711B5" w:rsidP="00FB1C07">
            <w:pPr>
              <w:pStyle w:val="TableTextCentered"/>
              <w:rPr>
                <w:rFonts w:eastAsia="Times New Roman"/>
              </w:rPr>
            </w:pPr>
            <w:r>
              <w:rPr>
                <w:rFonts w:eastAsia="Times New Roman"/>
              </w:rPr>
              <w:t>3</w:t>
            </w:r>
          </w:p>
        </w:tc>
        <w:tc>
          <w:tcPr>
            <w:tcW w:w="720" w:type="dxa"/>
          </w:tcPr>
          <w:p w14:paraId="515E1E5A" w14:textId="77777777" w:rsidR="000711B5" w:rsidRPr="00E359BF" w:rsidRDefault="000711B5" w:rsidP="00FB1C07">
            <w:pPr>
              <w:pStyle w:val="TableTextCentered"/>
              <w:rPr>
                <w:rFonts w:eastAsia="Times New Roman"/>
              </w:rPr>
            </w:pPr>
            <w:r>
              <w:rPr>
                <w:rFonts w:eastAsia="Times New Roman"/>
              </w:rPr>
              <w:t>4</w:t>
            </w:r>
          </w:p>
        </w:tc>
        <w:tc>
          <w:tcPr>
            <w:tcW w:w="720" w:type="dxa"/>
            <w:vAlign w:val="center"/>
          </w:tcPr>
          <w:p w14:paraId="22BF32E8" w14:textId="77777777" w:rsidR="000711B5" w:rsidRPr="00E359BF" w:rsidRDefault="000711B5" w:rsidP="00FB1C07">
            <w:pPr>
              <w:pStyle w:val="TableTextCentered"/>
              <w:rPr>
                <w:rFonts w:eastAsia="Times New Roman"/>
              </w:rPr>
            </w:pPr>
            <w:r>
              <w:rPr>
                <w:rFonts w:eastAsia="Times New Roman"/>
              </w:rPr>
              <w:t>2</w:t>
            </w:r>
          </w:p>
        </w:tc>
        <w:tc>
          <w:tcPr>
            <w:tcW w:w="720" w:type="dxa"/>
            <w:vAlign w:val="center"/>
          </w:tcPr>
          <w:p w14:paraId="1C10C61A" w14:textId="77777777" w:rsidR="000711B5" w:rsidRPr="00E359BF" w:rsidRDefault="000711B5" w:rsidP="00FB1C07">
            <w:pPr>
              <w:pStyle w:val="TableTextCentered"/>
              <w:rPr>
                <w:rFonts w:eastAsia="Times New Roman"/>
              </w:rPr>
            </w:pPr>
            <w:r>
              <w:rPr>
                <w:rFonts w:eastAsia="Times New Roman"/>
              </w:rPr>
              <w:t>0</w:t>
            </w:r>
          </w:p>
        </w:tc>
        <w:tc>
          <w:tcPr>
            <w:tcW w:w="540" w:type="dxa"/>
          </w:tcPr>
          <w:p w14:paraId="4A8C826D" w14:textId="77777777" w:rsidR="000711B5" w:rsidRPr="00E359BF" w:rsidRDefault="000711B5" w:rsidP="00FB1C07">
            <w:pPr>
              <w:pStyle w:val="TableTextCentered"/>
              <w:rPr>
                <w:rFonts w:eastAsia="Times New Roman"/>
              </w:rPr>
            </w:pPr>
            <w:r>
              <w:rPr>
                <w:rFonts w:eastAsia="Times New Roman"/>
              </w:rPr>
              <w:t>20</w:t>
            </w:r>
          </w:p>
        </w:tc>
        <w:tc>
          <w:tcPr>
            <w:tcW w:w="900" w:type="dxa"/>
          </w:tcPr>
          <w:p w14:paraId="0B74652B" w14:textId="77777777" w:rsidR="000711B5" w:rsidRPr="00E359BF" w:rsidRDefault="000711B5" w:rsidP="00FB1C07">
            <w:pPr>
              <w:pStyle w:val="TableTextCentered"/>
              <w:rPr>
                <w:rFonts w:eastAsia="Times New Roman"/>
              </w:rPr>
            </w:pPr>
            <w:r>
              <w:rPr>
                <w:rFonts w:eastAsia="Times New Roman"/>
              </w:rPr>
              <w:t>3.6</w:t>
            </w:r>
          </w:p>
        </w:tc>
      </w:tr>
      <w:tr w:rsidR="000711B5" w:rsidRPr="00E359BF" w14:paraId="3A0BCB6D" w14:textId="77777777">
        <w:trPr>
          <w:cnfStyle w:val="000000100000" w:firstRow="0" w:lastRow="0" w:firstColumn="0" w:lastColumn="0" w:oddVBand="0" w:evenVBand="0" w:oddHBand="1" w:evenHBand="0" w:firstRowFirstColumn="0" w:firstRowLastColumn="0" w:lastRowFirstColumn="0" w:lastRowLastColumn="0"/>
        </w:trPr>
        <w:tc>
          <w:tcPr>
            <w:tcW w:w="3232" w:type="dxa"/>
            <w:vAlign w:val="center"/>
          </w:tcPr>
          <w:p w14:paraId="12F5720C" w14:textId="77777777" w:rsidR="000711B5" w:rsidRPr="00A34856" w:rsidRDefault="000711B5" w:rsidP="00FB1C07">
            <w:pPr>
              <w:pStyle w:val="TableSubheading"/>
            </w:pPr>
            <w:r w:rsidRPr="00A34856">
              <w:t>Student Engagement</w:t>
            </w:r>
          </w:p>
        </w:tc>
        <w:tc>
          <w:tcPr>
            <w:tcW w:w="720" w:type="dxa"/>
          </w:tcPr>
          <w:p w14:paraId="6D24EF3A" w14:textId="77777777" w:rsidR="000711B5" w:rsidRPr="00B30BCD" w:rsidRDefault="000711B5" w:rsidP="00FB1C07">
            <w:pPr>
              <w:pStyle w:val="TableTextCenteredDemi"/>
              <w:rPr>
                <w:rFonts w:eastAsia="Times New Roman"/>
                <w:b/>
              </w:rPr>
            </w:pPr>
            <w:r>
              <w:rPr>
                <w:rFonts w:eastAsia="Times New Roman"/>
                <w:b/>
              </w:rPr>
              <w:t>0</w:t>
            </w:r>
          </w:p>
        </w:tc>
        <w:tc>
          <w:tcPr>
            <w:tcW w:w="720" w:type="dxa"/>
          </w:tcPr>
          <w:p w14:paraId="3CFA7F1A" w14:textId="77777777" w:rsidR="000711B5" w:rsidRPr="00B30BCD" w:rsidRDefault="000711B5" w:rsidP="00FB1C07">
            <w:pPr>
              <w:pStyle w:val="TableTextCenteredDemi"/>
              <w:rPr>
                <w:rFonts w:eastAsia="Times New Roman"/>
                <w:b/>
              </w:rPr>
            </w:pPr>
            <w:r>
              <w:rPr>
                <w:rFonts w:eastAsia="Times New Roman"/>
                <w:b/>
              </w:rPr>
              <w:t>0</w:t>
            </w:r>
          </w:p>
        </w:tc>
        <w:tc>
          <w:tcPr>
            <w:tcW w:w="720" w:type="dxa"/>
          </w:tcPr>
          <w:p w14:paraId="70EAEC2C" w14:textId="77777777" w:rsidR="000711B5" w:rsidRPr="00B30BCD" w:rsidRDefault="000711B5" w:rsidP="00FB1C07">
            <w:pPr>
              <w:pStyle w:val="TableTextCenteredDemi"/>
              <w:rPr>
                <w:rFonts w:eastAsia="Times New Roman"/>
                <w:b/>
              </w:rPr>
            </w:pPr>
            <w:r>
              <w:rPr>
                <w:rFonts w:eastAsia="Times New Roman"/>
                <w:b/>
              </w:rPr>
              <w:t>0</w:t>
            </w:r>
          </w:p>
        </w:tc>
        <w:tc>
          <w:tcPr>
            <w:tcW w:w="720" w:type="dxa"/>
          </w:tcPr>
          <w:p w14:paraId="7F734B1E" w14:textId="77777777" w:rsidR="000711B5" w:rsidRPr="00B30BCD" w:rsidRDefault="000711B5" w:rsidP="00FB1C07">
            <w:pPr>
              <w:pStyle w:val="TableTextCenteredDemi"/>
              <w:rPr>
                <w:rFonts w:eastAsia="Times New Roman"/>
                <w:b/>
              </w:rPr>
            </w:pPr>
            <w:r>
              <w:rPr>
                <w:rFonts w:eastAsia="Times New Roman"/>
                <w:b/>
              </w:rPr>
              <w:t>3</w:t>
            </w:r>
          </w:p>
        </w:tc>
        <w:tc>
          <w:tcPr>
            <w:tcW w:w="720" w:type="dxa"/>
          </w:tcPr>
          <w:p w14:paraId="0515B6E9" w14:textId="77777777" w:rsidR="000711B5" w:rsidRPr="00B30BCD" w:rsidRDefault="000711B5" w:rsidP="00FB1C07">
            <w:pPr>
              <w:pStyle w:val="TableTextCenteredDemi"/>
              <w:rPr>
                <w:rFonts w:eastAsia="Times New Roman"/>
                <w:b/>
              </w:rPr>
            </w:pPr>
            <w:r>
              <w:rPr>
                <w:rFonts w:eastAsia="Times New Roman"/>
                <w:b/>
              </w:rPr>
              <w:t>6</w:t>
            </w:r>
          </w:p>
        </w:tc>
        <w:tc>
          <w:tcPr>
            <w:tcW w:w="720" w:type="dxa"/>
            <w:vAlign w:val="center"/>
          </w:tcPr>
          <w:p w14:paraId="2D16C99C" w14:textId="77777777" w:rsidR="000711B5" w:rsidRPr="00B30BCD" w:rsidRDefault="000711B5" w:rsidP="00FB1C07">
            <w:pPr>
              <w:pStyle w:val="TableTextCenteredDemi"/>
              <w:rPr>
                <w:rFonts w:eastAsia="Times New Roman"/>
                <w:b/>
              </w:rPr>
            </w:pPr>
            <w:r>
              <w:rPr>
                <w:rFonts w:eastAsia="Times New Roman"/>
                <w:b/>
              </w:rPr>
              <w:t>8</w:t>
            </w:r>
          </w:p>
        </w:tc>
        <w:tc>
          <w:tcPr>
            <w:tcW w:w="720" w:type="dxa"/>
            <w:vAlign w:val="center"/>
          </w:tcPr>
          <w:p w14:paraId="5E412BA7" w14:textId="77777777" w:rsidR="000711B5" w:rsidRPr="00B30BCD" w:rsidRDefault="000711B5" w:rsidP="00FB1C07">
            <w:pPr>
              <w:pStyle w:val="TableTextCenteredDemi"/>
              <w:rPr>
                <w:rFonts w:eastAsia="Times New Roman"/>
                <w:b/>
              </w:rPr>
            </w:pPr>
            <w:r>
              <w:rPr>
                <w:rFonts w:eastAsia="Times New Roman"/>
                <w:b/>
              </w:rPr>
              <w:t>3</w:t>
            </w:r>
          </w:p>
        </w:tc>
        <w:tc>
          <w:tcPr>
            <w:tcW w:w="540" w:type="dxa"/>
          </w:tcPr>
          <w:p w14:paraId="05349889" w14:textId="77777777" w:rsidR="000711B5" w:rsidRPr="00B30BCD" w:rsidRDefault="000711B5" w:rsidP="00FB1C07">
            <w:pPr>
              <w:pStyle w:val="TableTextCenteredDemi"/>
              <w:rPr>
                <w:rFonts w:eastAsia="Times New Roman"/>
                <w:b/>
              </w:rPr>
            </w:pPr>
            <w:r>
              <w:rPr>
                <w:rFonts w:eastAsia="Times New Roman"/>
                <w:b/>
              </w:rPr>
              <w:t>20</w:t>
            </w:r>
          </w:p>
        </w:tc>
        <w:tc>
          <w:tcPr>
            <w:tcW w:w="900" w:type="dxa"/>
          </w:tcPr>
          <w:p w14:paraId="4DCC84B4" w14:textId="77777777" w:rsidR="000711B5" w:rsidRPr="00B30BCD" w:rsidRDefault="000711B5" w:rsidP="00FB1C07">
            <w:pPr>
              <w:pStyle w:val="TableTextCenteredDemi"/>
              <w:rPr>
                <w:rFonts w:eastAsia="Times New Roman"/>
                <w:b/>
              </w:rPr>
            </w:pPr>
            <w:r>
              <w:rPr>
                <w:rFonts w:eastAsia="Times New Roman"/>
                <w:b/>
              </w:rPr>
              <w:t>5.6</w:t>
            </w:r>
          </w:p>
        </w:tc>
      </w:tr>
    </w:tbl>
    <w:bookmarkEnd w:id="214"/>
    <w:p w14:paraId="4F47AC19" w14:textId="77777777" w:rsidR="007303EE" w:rsidRPr="00797379" w:rsidRDefault="007303EE" w:rsidP="005D3040">
      <w:pPr>
        <w:pStyle w:val="TableNote"/>
      </w:pPr>
      <w:r w:rsidRPr="00797379">
        <w:t xml:space="preserve">*The district average is an average of the scores. For example, for Positive Climate, the district average is computed as: </w:t>
      </w:r>
      <w:bookmarkStart w:id="215" w:name="Middle_PC_Calc"/>
      <w:r w:rsidRPr="00797379">
        <w:t>([4 x 3] + [5 x 9] + [6 x 7] + [7 x 1]) ÷ 20 observations = 5.3</w:t>
      </w:r>
      <w:bookmarkEnd w:id="215"/>
    </w:p>
    <w:p w14:paraId="63BEB6C4" w14:textId="64E8DFDD" w:rsidR="007303EE" w:rsidRPr="00797379" w:rsidRDefault="007303EE" w:rsidP="005D3040">
      <w:pPr>
        <w:pStyle w:val="TableNote"/>
      </w:pPr>
      <w:r w:rsidRPr="00797379">
        <w:t xml:space="preserve">**Negative Climate is rated on an inverse scale. An original score of 1 is given a value of 7. The scoring in the table reflects the normalized adjustment: </w:t>
      </w:r>
      <w:bookmarkStart w:id="216" w:name="Middle_NC_Calc"/>
      <w:r w:rsidRPr="00797379">
        <w:t>([6 x 1] + [7 x 19]) ÷ 20 observations = 7.0</w:t>
      </w:r>
      <w:bookmarkEnd w:id="216"/>
      <w:r w:rsidRPr="00797379">
        <w:br w:type="page"/>
      </w:r>
    </w:p>
    <w:p w14:paraId="26767504" w14:textId="77777777" w:rsidR="007303EE" w:rsidRPr="00797379" w:rsidRDefault="007303EE" w:rsidP="00DB6F03">
      <w:pPr>
        <w:pStyle w:val="Heading2-SIOR"/>
        <w:outlineLvl w:val="2"/>
      </w:pPr>
      <w:bookmarkStart w:id="217" w:name="_Toc220931761"/>
      <w:r w:rsidRPr="00797379">
        <w:t>Summary of Average Ratings: Grades 9–12</w:t>
      </w:r>
      <w:bookmarkEnd w:id="217"/>
    </w:p>
    <w:p w14:paraId="2973DEF0" w14:textId="77777777" w:rsidR="007303EE" w:rsidRPr="00797379" w:rsidRDefault="007303EE" w:rsidP="005D3040">
      <w:pPr>
        <w:pStyle w:val="TableTitle0"/>
      </w:pPr>
      <w:bookmarkStart w:id="218" w:name="_Toc220932434"/>
      <w:r w:rsidRPr="00797379">
        <w:t>Table 19. Summary Table of Average Ratings for Each Dimension in Grades 9–12</w:t>
      </w:r>
      <w:bookmarkEnd w:id="218"/>
    </w:p>
    <w:tbl>
      <w:tblPr>
        <w:tblStyle w:val="MSVTable1"/>
        <w:tblW w:w="9719" w:type="dxa"/>
        <w:tblLayout w:type="fixed"/>
        <w:tblLook w:val="04A0" w:firstRow="1" w:lastRow="0" w:firstColumn="1" w:lastColumn="0" w:noHBand="0" w:noVBand="1"/>
      </w:tblPr>
      <w:tblGrid>
        <w:gridCol w:w="3232"/>
        <w:gridCol w:w="720"/>
        <w:gridCol w:w="720"/>
        <w:gridCol w:w="720"/>
        <w:gridCol w:w="720"/>
        <w:gridCol w:w="720"/>
        <w:gridCol w:w="720"/>
        <w:gridCol w:w="720"/>
        <w:gridCol w:w="547"/>
        <w:gridCol w:w="900"/>
      </w:tblGrid>
      <w:tr w:rsidR="00AC5072" w:rsidRPr="00E359BF" w14:paraId="750DB1DC" w14:textId="77777777" w:rsidTr="00FB1C07">
        <w:trPr>
          <w:cnfStyle w:val="100000000000" w:firstRow="1" w:lastRow="0" w:firstColumn="0" w:lastColumn="0" w:oddVBand="0" w:evenVBand="0" w:oddHBand="0" w:evenHBand="0" w:firstRowFirstColumn="0" w:firstRowLastColumn="0" w:lastRowFirstColumn="0" w:lastRowLastColumn="0"/>
          <w:tblHeader/>
        </w:trPr>
        <w:tc>
          <w:tcPr>
            <w:tcW w:w="3232" w:type="dxa"/>
            <w:tcBorders>
              <w:top w:val="nil"/>
              <w:left w:val="single" w:sz="6" w:space="0" w:color="2F5496" w:themeColor="accent5" w:themeShade="BF"/>
              <w:bottom w:val="nil"/>
            </w:tcBorders>
            <w:vAlign w:val="center"/>
          </w:tcPr>
          <w:p w14:paraId="6ED698C7" w14:textId="77777777" w:rsidR="00AC5072" w:rsidRPr="00E359BF" w:rsidRDefault="00AC5072" w:rsidP="00FB1C07">
            <w:pPr>
              <w:pStyle w:val="TableColHeadingCenter"/>
              <w:rPr>
                <w:rFonts w:eastAsia="MS Mincho"/>
              </w:rPr>
            </w:pPr>
            <w:bookmarkStart w:id="219" w:name="SummaryTbl_High"/>
            <w:r>
              <w:rPr>
                <w:rFonts w:eastAsia="MS Mincho"/>
              </w:rPr>
              <w:t>Domain/Dimension</w:t>
            </w:r>
          </w:p>
        </w:tc>
        <w:tc>
          <w:tcPr>
            <w:tcW w:w="720" w:type="dxa"/>
            <w:vAlign w:val="center"/>
          </w:tcPr>
          <w:p w14:paraId="39AFEAE0" w14:textId="77777777" w:rsidR="00AC5072" w:rsidRPr="00E359BF" w:rsidRDefault="00AC5072" w:rsidP="00FB1C07">
            <w:pPr>
              <w:pStyle w:val="TableColHeadingCenter"/>
              <w:rPr>
                <w:rFonts w:eastAsia="MS Mincho"/>
              </w:rPr>
            </w:pPr>
            <w:r w:rsidRPr="00E359BF">
              <w:rPr>
                <w:rFonts w:eastAsia="MS Mincho"/>
              </w:rPr>
              <w:t>Low Range</w:t>
            </w:r>
            <w:r>
              <w:rPr>
                <w:rFonts w:eastAsia="MS Mincho"/>
              </w:rPr>
              <w:t xml:space="preserve"> (1)</w:t>
            </w:r>
          </w:p>
        </w:tc>
        <w:tc>
          <w:tcPr>
            <w:tcW w:w="720" w:type="dxa"/>
            <w:vAlign w:val="center"/>
          </w:tcPr>
          <w:p w14:paraId="2CD27276" w14:textId="77777777" w:rsidR="00AC5072" w:rsidRPr="00E359BF" w:rsidRDefault="00AC5072" w:rsidP="00FB1C07">
            <w:pPr>
              <w:pStyle w:val="TableColHeadingCenter"/>
              <w:rPr>
                <w:rFonts w:eastAsia="MS Mincho"/>
              </w:rPr>
            </w:pPr>
            <w:r w:rsidRPr="00E359BF">
              <w:rPr>
                <w:rFonts w:eastAsia="MS Mincho"/>
              </w:rPr>
              <w:t>Low Range</w:t>
            </w:r>
            <w:r>
              <w:rPr>
                <w:rFonts w:eastAsia="MS Mincho"/>
              </w:rPr>
              <w:t xml:space="preserve"> (2)</w:t>
            </w:r>
          </w:p>
        </w:tc>
        <w:tc>
          <w:tcPr>
            <w:tcW w:w="720" w:type="dxa"/>
            <w:vAlign w:val="center"/>
          </w:tcPr>
          <w:p w14:paraId="207DDF9A" w14:textId="77777777" w:rsidR="00AC5072" w:rsidRPr="00E359BF" w:rsidRDefault="00AC5072" w:rsidP="00FB1C07">
            <w:pPr>
              <w:pStyle w:val="TableColHeadingCenter"/>
              <w:rPr>
                <w:rFonts w:eastAsia="MS Mincho"/>
              </w:rPr>
            </w:pPr>
            <w:r w:rsidRPr="00E359BF">
              <w:rPr>
                <w:rFonts w:eastAsia="MS Mincho"/>
              </w:rPr>
              <w:t>Middle Range</w:t>
            </w:r>
            <w:r>
              <w:rPr>
                <w:rFonts w:eastAsia="MS Mincho"/>
              </w:rPr>
              <w:t xml:space="preserve"> (3)</w:t>
            </w:r>
          </w:p>
        </w:tc>
        <w:tc>
          <w:tcPr>
            <w:tcW w:w="720" w:type="dxa"/>
            <w:vAlign w:val="center"/>
          </w:tcPr>
          <w:p w14:paraId="17F7DC68" w14:textId="77777777" w:rsidR="00AC5072" w:rsidRPr="00E359BF" w:rsidRDefault="00AC5072" w:rsidP="00FB1C07">
            <w:pPr>
              <w:pStyle w:val="TableColHeadingCenter"/>
              <w:rPr>
                <w:rFonts w:eastAsia="MS Mincho"/>
              </w:rPr>
            </w:pPr>
            <w:r w:rsidRPr="00E359BF">
              <w:rPr>
                <w:rFonts w:eastAsia="MS Mincho"/>
              </w:rPr>
              <w:t>Middle Range</w:t>
            </w:r>
            <w:r>
              <w:rPr>
                <w:rFonts w:eastAsia="MS Mincho"/>
              </w:rPr>
              <w:t xml:space="preserve"> (4)</w:t>
            </w:r>
          </w:p>
        </w:tc>
        <w:tc>
          <w:tcPr>
            <w:tcW w:w="720" w:type="dxa"/>
            <w:vAlign w:val="center"/>
          </w:tcPr>
          <w:p w14:paraId="1ACF43DF" w14:textId="77777777" w:rsidR="00AC5072" w:rsidRPr="00E359BF" w:rsidRDefault="00AC5072" w:rsidP="00FB1C07">
            <w:pPr>
              <w:pStyle w:val="TableColHeadingCenter"/>
              <w:rPr>
                <w:rFonts w:eastAsia="MS Mincho"/>
              </w:rPr>
            </w:pPr>
            <w:r w:rsidRPr="00E359BF">
              <w:rPr>
                <w:rFonts w:eastAsia="MS Mincho"/>
              </w:rPr>
              <w:t>Middle Range</w:t>
            </w:r>
            <w:r>
              <w:rPr>
                <w:rFonts w:eastAsia="MS Mincho"/>
              </w:rPr>
              <w:t xml:space="preserve"> (5)</w:t>
            </w:r>
          </w:p>
        </w:tc>
        <w:tc>
          <w:tcPr>
            <w:tcW w:w="720" w:type="dxa"/>
            <w:vAlign w:val="center"/>
          </w:tcPr>
          <w:p w14:paraId="1C6B7D6F" w14:textId="77777777" w:rsidR="00AC5072" w:rsidRPr="00E359BF" w:rsidRDefault="00AC5072" w:rsidP="00FB1C07">
            <w:pPr>
              <w:pStyle w:val="TableColHeadingCenter"/>
              <w:rPr>
                <w:rFonts w:eastAsia="MS Mincho"/>
              </w:rPr>
            </w:pPr>
            <w:r w:rsidRPr="00E359BF">
              <w:rPr>
                <w:rFonts w:eastAsia="MS Mincho"/>
              </w:rPr>
              <w:t>High Range</w:t>
            </w:r>
            <w:r>
              <w:rPr>
                <w:rFonts w:eastAsia="MS Mincho"/>
              </w:rPr>
              <w:t xml:space="preserve"> (6)</w:t>
            </w:r>
          </w:p>
        </w:tc>
        <w:tc>
          <w:tcPr>
            <w:tcW w:w="720" w:type="dxa"/>
            <w:vAlign w:val="center"/>
          </w:tcPr>
          <w:p w14:paraId="62B7C05F" w14:textId="77777777" w:rsidR="00AC5072" w:rsidRPr="00E359BF" w:rsidRDefault="00AC5072" w:rsidP="00FB1C07">
            <w:pPr>
              <w:pStyle w:val="TableColHeadingCenter"/>
              <w:rPr>
                <w:rFonts w:eastAsia="MS Mincho"/>
              </w:rPr>
            </w:pPr>
            <w:r w:rsidRPr="00E359BF">
              <w:rPr>
                <w:rFonts w:eastAsia="MS Mincho"/>
              </w:rPr>
              <w:t>High Range</w:t>
            </w:r>
            <w:r>
              <w:rPr>
                <w:rFonts w:eastAsia="MS Mincho"/>
              </w:rPr>
              <w:t xml:space="preserve"> (7)</w:t>
            </w:r>
          </w:p>
        </w:tc>
        <w:tc>
          <w:tcPr>
            <w:tcW w:w="547" w:type="dxa"/>
            <w:tcBorders>
              <w:top w:val="nil"/>
              <w:bottom w:val="nil"/>
            </w:tcBorders>
            <w:vAlign w:val="center"/>
          </w:tcPr>
          <w:p w14:paraId="3E5BED6E" w14:textId="77777777" w:rsidR="00AC5072" w:rsidRPr="00E359BF" w:rsidRDefault="00AC5072" w:rsidP="00FB1C07">
            <w:pPr>
              <w:pStyle w:val="TableColHeadingCenter"/>
              <w:rPr>
                <w:rFonts w:eastAsia="MS Mincho"/>
              </w:rPr>
            </w:pPr>
            <w:r>
              <w:rPr>
                <w:rFonts w:eastAsia="MS Mincho"/>
              </w:rPr>
              <w:t>n</w:t>
            </w:r>
          </w:p>
        </w:tc>
        <w:tc>
          <w:tcPr>
            <w:tcW w:w="900" w:type="dxa"/>
            <w:tcBorders>
              <w:top w:val="nil"/>
              <w:bottom w:val="nil"/>
              <w:right w:val="single" w:sz="6" w:space="0" w:color="2F5496" w:themeColor="accent5" w:themeShade="BF"/>
            </w:tcBorders>
            <w:vAlign w:val="center"/>
          </w:tcPr>
          <w:p w14:paraId="67B06488" w14:textId="77777777" w:rsidR="00AC5072" w:rsidRPr="00E359BF" w:rsidRDefault="00AC5072" w:rsidP="00FB1C07">
            <w:pPr>
              <w:pStyle w:val="TableColHeadingCenter"/>
              <w:rPr>
                <w:rFonts w:eastAsia="MS Mincho"/>
              </w:rPr>
            </w:pPr>
            <w:r w:rsidRPr="00E359BF">
              <w:rPr>
                <w:rFonts w:eastAsia="MS Mincho"/>
              </w:rPr>
              <w:t>Average Scores*</w:t>
            </w:r>
          </w:p>
        </w:tc>
      </w:tr>
      <w:tr w:rsidR="00AC5072" w:rsidRPr="00E359BF" w14:paraId="5EC88508" w14:textId="77777777">
        <w:trPr>
          <w:cnfStyle w:val="000000100000" w:firstRow="0" w:lastRow="0" w:firstColumn="0" w:lastColumn="0" w:oddVBand="0" w:evenVBand="0" w:oddHBand="1" w:evenHBand="0" w:firstRowFirstColumn="0" w:firstRowLastColumn="0" w:lastRowFirstColumn="0" w:lastRowLastColumn="0"/>
        </w:trPr>
        <w:tc>
          <w:tcPr>
            <w:tcW w:w="3232" w:type="dxa"/>
            <w:vAlign w:val="center"/>
          </w:tcPr>
          <w:p w14:paraId="296D39D0" w14:textId="77777777" w:rsidR="00AC5072" w:rsidRPr="00E359BF" w:rsidRDefault="00AC5072" w:rsidP="00FB1C07">
            <w:pPr>
              <w:pStyle w:val="TableSubheading"/>
            </w:pPr>
            <w:r w:rsidRPr="00E359BF">
              <w:t>Emotional Support Domain</w:t>
            </w:r>
          </w:p>
        </w:tc>
        <w:tc>
          <w:tcPr>
            <w:tcW w:w="720" w:type="dxa"/>
          </w:tcPr>
          <w:p w14:paraId="5E4FA1D3" w14:textId="77777777" w:rsidR="00AC5072" w:rsidRPr="00B30BCD" w:rsidRDefault="00AC5072" w:rsidP="00FB1C07">
            <w:pPr>
              <w:pStyle w:val="TableTextCenteredDemi"/>
              <w:rPr>
                <w:rFonts w:eastAsia="Times New Roman"/>
                <w:b/>
                <w:bCs/>
              </w:rPr>
            </w:pPr>
            <w:r>
              <w:rPr>
                <w:rFonts w:eastAsia="Times New Roman"/>
                <w:b/>
                <w:bCs/>
              </w:rPr>
              <w:t>1</w:t>
            </w:r>
          </w:p>
        </w:tc>
        <w:tc>
          <w:tcPr>
            <w:tcW w:w="720" w:type="dxa"/>
          </w:tcPr>
          <w:p w14:paraId="2FFFFD83" w14:textId="77777777" w:rsidR="00AC5072" w:rsidRPr="00B30BCD" w:rsidRDefault="00AC5072" w:rsidP="00FB1C07">
            <w:pPr>
              <w:pStyle w:val="TableTextCenteredDemi"/>
              <w:rPr>
                <w:rFonts w:eastAsia="Times New Roman"/>
                <w:b/>
                <w:bCs/>
              </w:rPr>
            </w:pPr>
            <w:r>
              <w:rPr>
                <w:rFonts w:eastAsia="Times New Roman"/>
                <w:b/>
                <w:bCs/>
              </w:rPr>
              <w:t>9</w:t>
            </w:r>
          </w:p>
        </w:tc>
        <w:tc>
          <w:tcPr>
            <w:tcW w:w="720" w:type="dxa"/>
          </w:tcPr>
          <w:p w14:paraId="0AAD469C" w14:textId="77777777" w:rsidR="00AC5072" w:rsidRPr="00B30BCD" w:rsidRDefault="00AC5072" w:rsidP="00FB1C07">
            <w:pPr>
              <w:pStyle w:val="TableTextCenteredDemi"/>
              <w:rPr>
                <w:rFonts w:eastAsia="Times New Roman"/>
                <w:b/>
                <w:bCs/>
              </w:rPr>
            </w:pPr>
            <w:r>
              <w:rPr>
                <w:rFonts w:eastAsia="Times New Roman"/>
                <w:b/>
                <w:bCs/>
              </w:rPr>
              <w:t>18</w:t>
            </w:r>
          </w:p>
        </w:tc>
        <w:tc>
          <w:tcPr>
            <w:tcW w:w="720" w:type="dxa"/>
          </w:tcPr>
          <w:p w14:paraId="347A951B" w14:textId="77777777" w:rsidR="00AC5072" w:rsidRPr="00B30BCD" w:rsidRDefault="00AC5072" w:rsidP="00FB1C07">
            <w:pPr>
              <w:pStyle w:val="TableTextCenteredDemi"/>
              <w:rPr>
                <w:rFonts w:eastAsia="Times New Roman"/>
                <w:b/>
                <w:bCs/>
              </w:rPr>
            </w:pPr>
            <w:r>
              <w:rPr>
                <w:rFonts w:eastAsia="Times New Roman"/>
                <w:b/>
                <w:bCs/>
              </w:rPr>
              <w:t>10</w:t>
            </w:r>
          </w:p>
        </w:tc>
        <w:tc>
          <w:tcPr>
            <w:tcW w:w="720" w:type="dxa"/>
          </w:tcPr>
          <w:p w14:paraId="5DB6FCC1" w14:textId="77777777" w:rsidR="00AC5072" w:rsidRPr="00B30BCD" w:rsidRDefault="00AC5072" w:rsidP="00FB1C07">
            <w:pPr>
              <w:pStyle w:val="TableTextCenteredDemi"/>
              <w:rPr>
                <w:rFonts w:eastAsia="Times New Roman"/>
                <w:b/>
                <w:bCs/>
              </w:rPr>
            </w:pPr>
            <w:r>
              <w:rPr>
                <w:rFonts w:eastAsia="Times New Roman"/>
                <w:b/>
                <w:bCs/>
              </w:rPr>
              <w:t>7</w:t>
            </w:r>
          </w:p>
        </w:tc>
        <w:tc>
          <w:tcPr>
            <w:tcW w:w="720" w:type="dxa"/>
            <w:vAlign w:val="center"/>
          </w:tcPr>
          <w:p w14:paraId="500B710C" w14:textId="77777777" w:rsidR="00AC5072" w:rsidRPr="00B30BCD" w:rsidRDefault="00AC5072" w:rsidP="00FB1C07">
            <w:pPr>
              <w:pStyle w:val="TableTextCenteredDemi"/>
              <w:rPr>
                <w:rFonts w:eastAsia="Times New Roman"/>
                <w:b/>
                <w:bCs/>
              </w:rPr>
            </w:pPr>
            <w:r>
              <w:rPr>
                <w:rFonts w:eastAsia="Times New Roman"/>
                <w:b/>
                <w:bCs/>
              </w:rPr>
              <w:t>5</w:t>
            </w:r>
          </w:p>
        </w:tc>
        <w:tc>
          <w:tcPr>
            <w:tcW w:w="720" w:type="dxa"/>
            <w:vAlign w:val="center"/>
          </w:tcPr>
          <w:p w14:paraId="61FCB9A4" w14:textId="77777777" w:rsidR="00AC5072" w:rsidRPr="00B30BCD" w:rsidRDefault="00AC5072" w:rsidP="00FB1C07">
            <w:pPr>
              <w:pStyle w:val="TableTextCenteredDemi"/>
              <w:rPr>
                <w:rFonts w:eastAsia="Times New Roman"/>
                <w:b/>
                <w:bCs/>
              </w:rPr>
            </w:pPr>
            <w:r>
              <w:rPr>
                <w:rFonts w:eastAsia="Times New Roman"/>
                <w:b/>
                <w:bCs/>
              </w:rPr>
              <w:t>10</w:t>
            </w:r>
          </w:p>
        </w:tc>
        <w:tc>
          <w:tcPr>
            <w:tcW w:w="547" w:type="dxa"/>
          </w:tcPr>
          <w:p w14:paraId="376AB214" w14:textId="77777777" w:rsidR="00AC5072" w:rsidRPr="00B30BCD" w:rsidRDefault="00AC5072" w:rsidP="00FB1C07">
            <w:pPr>
              <w:pStyle w:val="TableTextCenteredDemi"/>
              <w:rPr>
                <w:rFonts w:eastAsia="Times New Roman"/>
                <w:b/>
                <w:bCs/>
              </w:rPr>
            </w:pPr>
            <w:r>
              <w:rPr>
                <w:rFonts w:eastAsia="Times New Roman"/>
                <w:b/>
                <w:bCs/>
              </w:rPr>
              <w:t>60</w:t>
            </w:r>
          </w:p>
        </w:tc>
        <w:tc>
          <w:tcPr>
            <w:tcW w:w="900" w:type="dxa"/>
          </w:tcPr>
          <w:p w14:paraId="133E7984" w14:textId="77777777" w:rsidR="00AC5072" w:rsidRPr="00B30BCD" w:rsidRDefault="00AC5072" w:rsidP="00FB1C07">
            <w:pPr>
              <w:pStyle w:val="TableTextCenteredDemi"/>
              <w:rPr>
                <w:rFonts w:eastAsia="Times New Roman"/>
                <w:b/>
                <w:bCs/>
              </w:rPr>
            </w:pPr>
            <w:r>
              <w:rPr>
                <w:rFonts w:eastAsia="Times New Roman"/>
                <w:b/>
                <w:bCs/>
              </w:rPr>
              <w:t>4.1</w:t>
            </w:r>
          </w:p>
        </w:tc>
      </w:tr>
      <w:tr w:rsidR="00AC5072" w:rsidRPr="00E359BF" w14:paraId="2AD04B48" w14:textId="77777777" w:rsidTr="00FB1C07">
        <w:tc>
          <w:tcPr>
            <w:tcW w:w="3232" w:type="dxa"/>
            <w:vAlign w:val="center"/>
          </w:tcPr>
          <w:p w14:paraId="4DA47A11" w14:textId="77777777" w:rsidR="00AC5072" w:rsidRPr="00E359BF" w:rsidRDefault="00AC5072" w:rsidP="00FB1C07">
            <w:pPr>
              <w:pStyle w:val="TableText"/>
              <w:ind w:left="204"/>
              <w:rPr>
                <w:b/>
                <w:bCs/>
              </w:rPr>
            </w:pPr>
            <w:r w:rsidRPr="00E359BF">
              <w:t>Positive Climate</w:t>
            </w:r>
          </w:p>
        </w:tc>
        <w:tc>
          <w:tcPr>
            <w:tcW w:w="720" w:type="dxa"/>
          </w:tcPr>
          <w:p w14:paraId="39EBC92D" w14:textId="77777777" w:rsidR="00AC5072" w:rsidRPr="00E359BF" w:rsidRDefault="00AC5072" w:rsidP="00FB1C07">
            <w:pPr>
              <w:pStyle w:val="TableTextCentered"/>
              <w:rPr>
                <w:rFonts w:eastAsia="Times New Roman"/>
              </w:rPr>
            </w:pPr>
            <w:r>
              <w:rPr>
                <w:rFonts w:eastAsia="Times New Roman"/>
              </w:rPr>
              <w:t>0</w:t>
            </w:r>
          </w:p>
        </w:tc>
        <w:tc>
          <w:tcPr>
            <w:tcW w:w="720" w:type="dxa"/>
          </w:tcPr>
          <w:p w14:paraId="25918583" w14:textId="77777777" w:rsidR="00AC5072" w:rsidRPr="00E359BF" w:rsidRDefault="00AC5072" w:rsidP="00FB1C07">
            <w:pPr>
              <w:pStyle w:val="TableTextCentered"/>
              <w:rPr>
                <w:rFonts w:eastAsia="Times New Roman"/>
              </w:rPr>
            </w:pPr>
            <w:r>
              <w:rPr>
                <w:rFonts w:eastAsia="Times New Roman"/>
              </w:rPr>
              <w:t>0</w:t>
            </w:r>
          </w:p>
        </w:tc>
        <w:tc>
          <w:tcPr>
            <w:tcW w:w="720" w:type="dxa"/>
          </w:tcPr>
          <w:p w14:paraId="5ABBB4FA" w14:textId="77777777" w:rsidR="00AC5072" w:rsidRPr="00E359BF" w:rsidRDefault="00AC5072" w:rsidP="00FB1C07">
            <w:pPr>
              <w:pStyle w:val="TableTextCentered"/>
              <w:rPr>
                <w:rFonts w:eastAsia="Times New Roman"/>
              </w:rPr>
            </w:pPr>
            <w:r>
              <w:rPr>
                <w:rFonts w:eastAsia="Times New Roman"/>
              </w:rPr>
              <w:t>7</w:t>
            </w:r>
          </w:p>
        </w:tc>
        <w:tc>
          <w:tcPr>
            <w:tcW w:w="720" w:type="dxa"/>
          </w:tcPr>
          <w:p w14:paraId="6E1AB21C" w14:textId="77777777" w:rsidR="00AC5072" w:rsidRPr="00E359BF" w:rsidRDefault="00AC5072" w:rsidP="00FB1C07">
            <w:pPr>
              <w:pStyle w:val="TableTextCentered"/>
              <w:rPr>
                <w:rFonts w:eastAsia="Times New Roman"/>
              </w:rPr>
            </w:pPr>
            <w:r>
              <w:rPr>
                <w:rFonts w:eastAsia="Times New Roman"/>
              </w:rPr>
              <w:t>6</w:t>
            </w:r>
          </w:p>
        </w:tc>
        <w:tc>
          <w:tcPr>
            <w:tcW w:w="720" w:type="dxa"/>
          </w:tcPr>
          <w:p w14:paraId="112FCD77" w14:textId="77777777" w:rsidR="00AC5072" w:rsidRPr="00E359BF" w:rsidRDefault="00AC5072" w:rsidP="00FB1C07">
            <w:pPr>
              <w:pStyle w:val="TableTextCentered"/>
              <w:rPr>
                <w:rFonts w:eastAsia="Times New Roman"/>
              </w:rPr>
            </w:pPr>
            <w:r>
              <w:rPr>
                <w:rFonts w:eastAsia="Times New Roman"/>
              </w:rPr>
              <w:t>4</w:t>
            </w:r>
          </w:p>
        </w:tc>
        <w:tc>
          <w:tcPr>
            <w:tcW w:w="720" w:type="dxa"/>
            <w:vAlign w:val="center"/>
          </w:tcPr>
          <w:p w14:paraId="71EA1A48" w14:textId="77777777" w:rsidR="00AC5072" w:rsidRPr="00E359BF" w:rsidRDefault="00AC5072" w:rsidP="00FB1C07">
            <w:pPr>
              <w:pStyle w:val="TableTextCentered"/>
              <w:rPr>
                <w:rFonts w:eastAsia="Times New Roman"/>
              </w:rPr>
            </w:pPr>
            <w:r>
              <w:rPr>
                <w:rFonts w:eastAsia="Times New Roman"/>
              </w:rPr>
              <w:t>2</w:t>
            </w:r>
          </w:p>
        </w:tc>
        <w:tc>
          <w:tcPr>
            <w:tcW w:w="720" w:type="dxa"/>
            <w:vAlign w:val="center"/>
          </w:tcPr>
          <w:p w14:paraId="3CFF2402" w14:textId="77777777" w:rsidR="00AC5072" w:rsidRPr="00E359BF" w:rsidRDefault="00AC5072" w:rsidP="00FB1C07">
            <w:pPr>
              <w:pStyle w:val="TableTextCentered"/>
              <w:rPr>
                <w:rFonts w:eastAsia="Times New Roman"/>
              </w:rPr>
            </w:pPr>
            <w:r>
              <w:rPr>
                <w:rFonts w:eastAsia="Times New Roman"/>
              </w:rPr>
              <w:t>1</w:t>
            </w:r>
          </w:p>
        </w:tc>
        <w:tc>
          <w:tcPr>
            <w:tcW w:w="547" w:type="dxa"/>
          </w:tcPr>
          <w:p w14:paraId="23153147" w14:textId="77777777" w:rsidR="00AC5072" w:rsidRPr="00E359BF" w:rsidRDefault="00AC5072" w:rsidP="00FB1C07">
            <w:pPr>
              <w:pStyle w:val="TableTextCentered"/>
              <w:rPr>
                <w:rFonts w:eastAsia="Times New Roman"/>
              </w:rPr>
            </w:pPr>
            <w:r>
              <w:rPr>
                <w:rFonts w:eastAsia="Times New Roman"/>
              </w:rPr>
              <w:t>20</w:t>
            </w:r>
          </w:p>
        </w:tc>
        <w:tc>
          <w:tcPr>
            <w:tcW w:w="900" w:type="dxa"/>
          </w:tcPr>
          <w:p w14:paraId="7F102E61" w14:textId="77777777" w:rsidR="00AC5072" w:rsidRPr="00E359BF" w:rsidRDefault="00AC5072" w:rsidP="00FB1C07">
            <w:pPr>
              <w:pStyle w:val="TableTextCentered"/>
              <w:rPr>
                <w:rFonts w:eastAsia="Times New Roman"/>
              </w:rPr>
            </w:pPr>
            <w:r>
              <w:rPr>
                <w:rFonts w:eastAsia="Times New Roman"/>
              </w:rPr>
              <w:t>4.2</w:t>
            </w:r>
          </w:p>
        </w:tc>
      </w:tr>
      <w:tr w:rsidR="00AC5072" w:rsidRPr="00E359BF" w14:paraId="3E4289DD" w14:textId="77777777" w:rsidTr="00FB1C07">
        <w:trPr>
          <w:cnfStyle w:val="000000100000" w:firstRow="0" w:lastRow="0" w:firstColumn="0" w:lastColumn="0" w:oddVBand="0" w:evenVBand="0" w:oddHBand="1" w:evenHBand="0" w:firstRowFirstColumn="0" w:firstRowLastColumn="0" w:lastRowFirstColumn="0" w:lastRowLastColumn="0"/>
        </w:trPr>
        <w:tc>
          <w:tcPr>
            <w:tcW w:w="3232" w:type="dxa"/>
            <w:vAlign w:val="center"/>
          </w:tcPr>
          <w:p w14:paraId="13E4CF5E" w14:textId="77777777" w:rsidR="00AC5072" w:rsidRPr="00E359BF" w:rsidRDefault="00AC5072" w:rsidP="00FB1C07">
            <w:pPr>
              <w:pStyle w:val="TableText"/>
              <w:ind w:left="204"/>
              <w:rPr>
                <w:b/>
                <w:bCs/>
              </w:rPr>
            </w:pPr>
            <w:r w:rsidRPr="00E359BF">
              <w:t>Teacher Sensitivity</w:t>
            </w:r>
          </w:p>
        </w:tc>
        <w:tc>
          <w:tcPr>
            <w:tcW w:w="720" w:type="dxa"/>
          </w:tcPr>
          <w:p w14:paraId="4BF40431" w14:textId="77777777" w:rsidR="00AC5072" w:rsidRPr="00E359BF" w:rsidRDefault="00AC5072" w:rsidP="00FB1C07">
            <w:pPr>
              <w:pStyle w:val="TableTextCentered"/>
              <w:rPr>
                <w:rFonts w:eastAsia="Times New Roman"/>
              </w:rPr>
            </w:pPr>
            <w:r>
              <w:rPr>
                <w:rFonts w:eastAsia="Times New Roman"/>
              </w:rPr>
              <w:t>0</w:t>
            </w:r>
          </w:p>
        </w:tc>
        <w:tc>
          <w:tcPr>
            <w:tcW w:w="720" w:type="dxa"/>
          </w:tcPr>
          <w:p w14:paraId="6B51AABC" w14:textId="77777777" w:rsidR="00AC5072" w:rsidRPr="00E359BF" w:rsidRDefault="00AC5072" w:rsidP="00FB1C07">
            <w:pPr>
              <w:pStyle w:val="TableTextCentered"/>
              <w:rPr>
                <w:rFonts w:eastAsia="Times New Roman"/>
              </w:rPr>
            </w:pPr>
            <w:r>
              <w:rPr>
                <w:rFonts w:eastAsia="Times New Roman"/>
              </w:rPr>
              <w:t>1</w:t>
            </w:r>
          </w:p>
        </w:tc>
        <w:tc>
          <w:tcPr>
            <w:tcW w:w="720" w:type="dxa"/>
          </w:tcPr>
          <w:p w14:paraId="370FCD75" w14:textId="77777777" w:rsidR="00AC5072" w:rsidRPr="00E359BF" w:rsidRDefault="00AC5072" w:rsidP="00FB1C07">
            <w:pPr>
              <w:pStyle w:val="TableTextCentered"/>
              <w:rPr>
                <w:rFonts w:eastAsia="Times New Roman"/>
              </w:rPr>
            </w:pPr>
            <w:r>
              <w:rPr>
                <w:rFonts w:eastAsia="Times New Roman"/>
              </w:rPr>
              <w:t>2</w:t>
            </w:r>
          </w:p>
        </w:tc>
        <w:tc>
          <w:tcPr>
            <w:tcW w:w="720" w:type="dxa"/>
          </w:tcPr>
          <w:p w14:paraId="7449CF5A" w14:textId="77777777" w:rsidR="00AC5072" w:rsidRPr="00E359BF" w:rsidRDefault="00AC5072" w:rsidP="00FB1C07">
            <w:pPr>
              <w:pStyle w:val="TableTextCentered"/>
              <w:rPr>
                <w:rFonts w:eastAsia="Times New Roman"/>
              </w:rPr>
            </w:pPr>
            <w:r>
              <w:rPr>
                <w:rFonts w:eastAsia="Times New Roman"/>
              </w:rPr>
              <w:t>3</w:t>
            </w:r>
          </w:p>
        </w:tc>
        <w:tc>
          <w:tcPr>
            <w:tcW w:w="720" w:type="dxa"/>
          </w:tcPr>
          <w:p w14:paraId="4EA4A555" w14:textId="77777777" w:rsidR="00AC5072" w:rsidRPr="00E359BF" w:rsidRDefault="00AC5072" w:rsidP="00FB1C07">
            <w:pPr>
              <w:pStyle w:val="TableTextCentered"/>
              <w:rPr>
                <w:rFonts w:eastAsia="Times New Roman"/>
              </w:rPr>
            </w:pPr>
            <w:r>
              <w:rPr>
                <w:rFonts w:eastAsia="Times New Roman"/>
              </w:rPr>
              <w:t>2</w:t>
            </w:r>
          </w:p>
        </w:tc>
        <w:tc>
          <w:tcPr>
            <w:tcW w:w="720" w:type="dxa"/>
            <w:vAlign w:val="center"/>
          </w:tcPr>
          <w:p w14:paraId="1D678E9D" w14:textId="77777777" w:rsidR="00AC5072" w:rsidRPr="00E359BF" w:rsidRDefault="00AC5072" w:rsidP="00FB1C07">
            <w:pPr>
              <w:pStyle w:val="TableTextCentered"/>
              <w:rPr>
                <w:rFonts w:eastAsia="Times New Roman"/>
              </w:rPr>
            </w:pPr>
            <w:r>
              <w:rPr>
                <w:rFonts w:eastAsia="Times New Roman"/>
              </w:rPr>
              <w:t>3</w:t>
            </w:r>
          </w:p>
        </w:tc>
        <w:tc>
          <w:tcPr>
            <w:tcW w:w="720" w:type="dxa"/>
            <w:vAlign w:val="center"/>
          </w:tcPr>
          <w:p w14:paraId="28D6E39F" w14:textId="77777777" w:rsidR="00AC5072" w:rsidRPr="00E359BF" w:rsidRDefault="00AC5072" w:rsidP="00FB1C07">
            <w:pPr>
              <w:pStyle w:val="TableTextCentered"/>
              <w:rPr>
                <w:rFonts w:eastAsia="Times New Roman"/>
              </w:rPr>
            </w:pPr>
            <w:r>
              <w:rPr>
                <w:rFonts w:eastAsia="Times New Roman"/>
              </w:rPr>
              <w:t>9</w:t>
            </w:r>
          </w:p>
        </w:tc>
        <w:tc>
          <w:tcPr>
            <w:tcW w:w="547" w:type="dxa"/>
          </w:tcPr>
          <w:p w14:paraId="56E70248" w14:textId="77777777" w:rsidR="00AC5072" w:rsidRPr="00E359BF" w:rsidRDefault="00AC5072" w:rsidP="00FB1C07">
            <w:pPr>
              <w:pStyle w:val="TableTextCentered"/>
              <w:rPr>
                <w:rFonts w:eastAsia="Times New Roman"/>
              </w:rPr>
            </w:pPr>
            <w:r>
              <w:rPr>
                <w:rFonts w:eastAsia="Times New Roman"/>
              </w:rPr>
              <w:t>20</w:t>
            </w:r>
          </w:p>
        </w:tc>
        <w:tc>
          <w:tcPr>
            <w:tcW w:w="900" w:type="dxa"/>
          </w:tcPr>
          <w:p w14:paraId="774F74D8" w14:textId="77777777" w:rsidR="00AC5072" w:rsidRPr="00E359BF" w:rsidRDefault="00AC5072" w:rsidP="00FB1C07">
            <w:pPr>
              <w:pStyle w:val="TableTextCentered"/>
              <w:rPr>
                <w:rFonts w:eastAsia="Times New Roman"/>
              </w:rPr>
            </w:pPr>
            <w:r>
              <w:rPr>
                <w:rFonts w:eastAsia="Times New Roman"/>
              </w:rPr>
              <w:t>5.6</w:t>
            </w:r>
          </w:p>
        </w:tc>
      </w:tr>
      <w:tr w:rsidR="00AC5072" w:rsidRPr="00E359BF" w14:paraId="1CA1E55A" w14:textId="77777777" w:rsidTr="00FB1C07">
        <w:tc>
          <w:tcPr>
            <w:tcW w:w="3232" w:type="dxa"/>
            <w:vAlign w:val="center"/>
          </w:tcPr>
          <w:p w14:paraId="19AFC5D2" w14:textId="77777777" w:rsidR="00AC5072" w:rsidRPr="00E359BF" w:rsidRDefault="00AC5072" w:rsidP="00FB1C07">
            <w:pPr>
              <w:pStyle w:val="TableText"/>
              <w:ind w:left="204"/>
              <w:rPr>
                <w:b/>
                <w:bCs/>
              </w:rPr>
            </w:pPr>
            <w:r w:rsidRPr="00E359BF">
              <w:t>Regard for Student Perspectives</w:t>
            </w:r>
          </w:p>
        </w:tc>
        <w:tc>
          <w:tcPr>
            <w:tcW w:w="720" w:type="dxa"/>
          </w:tcPr>
          <w:p w14:paraId="0744B74C" w14:textId="77777777" w:rsidR="00AC5072" w:rsidRPr="00E359BF" w:rsidRDefault="00AC5072" w:rsidP="00FB1C07">
            <w:pPr>
              <w:pStyle w:val="TableTextCentered"/>
              <w:rPr>
                <w:rFonts w:eastAsia="Times New Roman"/>
              </w:rPr>
            </w:pPr>
            <w:r>
              <w:rPr>
                <w:rFonts w:eastAsia="Times New Roman"/>
              </w:rPr>
              <w:t>1</w:t>
            </w:r>
          </w:p>
        </w:tc>
        <w:tc>
          <w:tcPr>
            <w:tcW w:w="720" w:type="dxa"/>
          </w:tcPr>
          <w:p w14:paraId="7238A650" w14:textId="77777777" w:rsidR="00AC5072" w:rsidRPr="00E359BF" w:rsidRDefault="00AC5072" w:rsidP="00FB1C07">
            <w:pPr>
              <w:pStyle w:val="TableTextCentered"/>
              <w:rPr>
                <w:rFonts w:eastAsia="Times New Roman"/>
              </w:rPr>
            </w:pPr>
            <w:r>
              <w:rPr>
                <w:rFonts w:eastAsia="Times New Roman"/>
              </w:rPr>
              <w:t>8</w:t>
            </w:r>
          </w:p>
        </w:tc>
        <w:tc>
          <w:tcPr>
            <w:tcW w:w="720" w:type="dxa"/>
          </w:tcPr>
          <w:p w14:paraId="025144C0" w14:textId="77777777" w:rsidR="00AC5072" w:rsidRPr="00E359BF" w:rsidRDefault="00AC5072" w:rsidP="00FB1C07">
            <w:pPr>
              <w:pStyle w:val="TableTextCentered"/>
              <w:rPr>
                <w:rFonts w:eastAsia="Times New Roman"/>
              </w:rPr>
            </w:pPr>
            <w:r>
              <w:rPr>
                <w:rFonts w:eastAsia="Times New Roman"/>
              </w:rPr>
              <w:t>9</w:t>
            </w:r>
          </w:p>
        </w:tc>
        <w:tc>
          <w:tcPr>
            <w:tcW w:w="720" w:type="dxa"/>
          </w:tcPr>
          <w:p w14:paraId="02C72CA1" w14:textId="77777777" w:rsidR="00AC5072" w:rsidRPr="00E359BF" w:rsidRDefault="00AC5072" w:rsidP="00FB1C07">
            <w:pPr>
              <w:pStyle w:val="TableTextCentered"/>
              <w:rPr>
                <w:rFonts w:eastAsia="Times New Roman"/>
              </w:rPr>
            </w:pPr>
            <w:r>
              <w:rPr>
                <w:rFonts w:eastAsia="Times New Roman"/>
              </w:rPr>
              <w:t>1</w:t>
            </w:r>
          </w:p>
        </w:tc>
        <w:tc>
          <w:tcPr>
            <w:tcW w:w="720" w:type="dxa"/>
          </w:tcPr>
          <w:p w14:paraId="2E07DCC8" w14:textId="77777777" w:rsidR="00AC5072" w:rsidRPr="00E359BF" w:rsidRDefault="00AC5072" w:rsidP="00FB1C07">
            <w:pPr>
              <w:pStyle w:val="TableTextCentered"/>
              <w:rPr>
                <w:rFonts w:eastAsia="Times New Roman"/>
              </w:rPr>
            </w:pPr>
            <w:r>
              <w:rPr>
                <w:rFonts w:eastAsia="Times New Roman"/>
              </w:rPr>
              <w:t>1</w:t>
            </w:r>
          </w:p>
        </w:tc>
        <w:tc>
          <w:tcPr>
            <w:tcW w:w="720" w:type="dxa"/>
            <w:vAlign w:val="center"/>
          </w:tcPr>
          <w:p w14:paraId="7EADA948" w14:textId="77777777" w:rsidR="00AC5072" w:rsidRPr="00E359BF" w:rsidRDefault="00AC5072" w:rsidP="00FB1C07">
            <w:pPr>
              <w:pStyle w:val="TableTextCentered"/>
              <w:rPr>
                <w:rFonts w:eastAsia="Times New Roman"/>
              </w:rPr>
            </w:pPr>
            <w:r>
              <w:rPr>
                <w:rFonts w:eastAsia="Times New Roman"/>
              </w:rPr>
              <w:t>0</w:t>
            </w:r>
          </w:p>
        </w:tc>
        <w:tc>
          <w:tcPr>
            <w:tcW w:w="720" w:type="dxa"/>
            <w:vAlign w:val="center"/>
          </w:tcPr>
          <w:p w14:paraId="67443666" w14:textId="77777777" w:rsidR="00AC5072" w:rsidRPr="00E359BF" w:rsidRDefault="00AC5072" w:rsidP="00FB1C07">
            <w:pPr>
              <w:pStyle w:val="TableTextCentered"/>
              <w:rPr>
                <w:rFonts w:eastAsia="Times New Roman"/>
              </w:rPr>
            </w:pPr>
            <w:r>
              <w:rPr>
                <w:rFonts w:eastAsia="Times New Roman"/>
              </w:rPr>
              <w:t>0</w:t>
            </w:r>
          </w:p>
        </w:tc>
        <w:tc>
          <w:tcPr>
            <w:tcW w:w="547" w:type="dxa"/>
          </w:tcPr>
          <w:p w14:paraId="3EE7E203" w14:textId="77777777" w:rsidR="00AC5072" w:rsidRPr="00E359BF" w:rsidRDefault="00AC5072" w:rsidP="00FB1C07">
            <w:pPr>
              <w:pStyle w:val="TableTextCentered"/>
              <w:rPr>
                <w:rFonts w:eastAsia="Times New Roman"/>
              </w:rPr>
            </w:pPr>
            <w:r>
              <w:rPr>
                <w:rFonts w:eastAsia="Times New Roman"/>
              </w:rPr>
              <w:t>20</w:t>
            </w:r>
          </w:p>
        </w:tc>
        <w:tc>
          <w:tcPr>
            <w:tcW w:w="900" w:type="dxa"/>
          </w:tcPr>
          <w:p w14:paraId="60D669B3" w14:textId="77777777" w:rsidR="00AC5072" w:rsidRPr="00E359BF" w:rsidRDefault="00AC5072" w:rsidP="00FB1C07">
            <w:pPr>
              <w:pStyle w:val="TableTextCentered"/>
              <w:rPr>
                <w:rFonts w:eastAsia="Times New Roman"/>
              </w:rPr>
            </w:pPr>
            <w:r>
              <w:rPr>
                <w:rFonts w:eastAsia="Times New Roman"/>
              </w:rPr>
              <w:t>2.7</w:t>
            </w:r>
          </w:p>
        </w:tc>
      </w:tr>
      <w:tr w:rsidR="00AC5072" w:rsidRPr="00E359BF" w14:paraId="39B758EE" w14:textId="77777777">
        <w:trPr>
          <w:cnfStyle w:val="000000100000" w:firstRow="0" w:lastRow="0" w:firstColumn="0" w:lastColumn="0" w:oddVBand="0" w:evenVBand="0" w:oddHBand="1" w:evenHBand="0" w:firstRowFirstColumn="0" w:firstRowLastColumn="0" w:lastRowFirstColumn="0" w:lastRowLastColumn="0"/>
        </w:trPr>
        <w:tc>
          <w:tcPr>
            <w:tcW w:w="3232" w:type="dxa"/>
            <w:vAlign w:val="center"/>
          </w:tcPr>
          <w:p w14:paraId="09E861B3" w14:textId="77777777" w:rsidR="00AC5072" w:rsidRPr="00E359BF" w:rsidRDefault="00AC5072" w:rsidP="00FB1C07">
            <w:pPr>
              <w:pStyle w:val="TableSubheading"/>
              <w:rPr>
                <w:szCs w:val="20"/>
              </w:rPr>
            </w:pPr>
            <w:r w:rsidRPr="00E359BF">
              <w:t>Classroom Organization Domain</w:t>
            </w:r>
          </w:p>
        </w:tc>
        <w:tc>
          <w:tcPr>
            <w:tcW w:w="720" w:type="dxa"/>
          </w:tcPr>
          <w:p w14:paraId="32F8C5C1" w14:textId="77777777" w:rsidR="00AC5072" w:rsidRPr="00B30BCD" w:rsidRDefault="00AC5072" w:rsidP="00FB1C07">
            <w:pPr>
              <w:pStyle w:val="TableTextCenteredDemi"/>
              <w:rPr>
                <w:rFonts w:eastAsia="Times New Roman"/>
                <w:b/>
                <w:bCs/>
              </w:rPr>
            </w:pPr>
            <w:r>
              <w:rPr>
                <w:rFonts w:eastAsia="Times New Roman"/>
                <w:b/>
                <w:bCs/>
              </w:rPr>
              <w:t>0</w:t>
            </w:r>
          </w:p>
        </w:tc>
        <w:tc>
          <w:tcPr>
            <w:tcW w:w="720" w:type="dxa"/>
          </w:tcPr>
          <w:p w14:paraId="0CC739A9" w14:textId="77777777" w:rsidR="00AC5072" w:rsidRPr="00B30BCD" w:rsidRDefault="00AC5072" w:rsidP="00FB1C07">
            <w:pPr>
              <w:pStyle w:val="TableTextCenteredDemi"/>
              <w:rPr>
                <w:rFonts w:eastAsia="Times New Roman"/>
                <w:b/>
                <w:bCs/>
              </w:rPr>
            </w:pPr>
            <w:r>
              <w:rPr>
                <w:rFonts w:eastAsia="Times New Roman"/>
                <w:b/>
                <w:bCs/>
              </w:rPr>
              <w:t>0</w:t>
            </w:r>
          </w:p>
        </w:tc>
        <w:tc>
          <w:tcPr>
            <w:tcW w:w="720" w:type="dxa"/>
          </w:tcPr>
          <w:p w14:paraId="51FBB2E1" w14:textId="77777777" w:rsidR="00AC5072" w:rsidRPr="00B30BCD" w:rsidRDefault="00AC5072" w:rsidP="00FB1C07">
            <w:pPr>
              <w:pStyle w:val="TableTextCenteredDemi"/>
              <w:rPr>
                <w:rFonts w:eastAsia="Times New Roman"/>
                <w:b/>
                <w:bCs/>
              </w:rPr>
            </w:pPr>
            <w:r>
              <w:rPr>
                <w:rFonts w:eastAsia="Times New Roman"/>
                <w:b/>
                <w:bCs/>
              </w:rPr>
              <w:t>0</w:t>
            </w:r>
          </w:p>
        </w:tc>
        <w:tc>
          <w:tcPr>
            <w:tcW w:w="720" w:type="dxa"/>
          </w:tcPr>
          <w:p w14:paraId="400A3B34" w14:textId="77777777" w:rsidR="00AC5072" w:rsidRPr="00B30BCD" w:rsidRDefault="00AC5072" w:rsidP="00FB1C07">
            <w:pPr>
              <w:pStyle w:val="TableTextCenteredDemi"/>
              <w:rPr>
                <w:rFonts w:eastAsia="Times New Roman"/>
                <w:b/>
                <w:bCs/>
              </w:rPr>
            </w:pPr>
            <w:r>
              <w:rPr>
                <w:rFonts w:eastAsia="Times New Roman"/>
                <w:b/>
                <w:bCs/>
              </w:rPr>
              <w:t>0</w:t>
            </w:r>
          </w:p>
        </w:tc>
        <w:tc>
          <w:tcPr>
            <w:tcW w:w="720" w:type="dxa"/>
          </w:tcPr>
          <w:p w14:paraId="638E0F15" w14:textId="77777777" w:rsidR="00AC5072" w:rsidRPr="00B30BCD" w:rsidRDefault="00AC5072" w:rsidP="00FB1C07">
            <w:pPr>
              <w:pStyle w:val="TableTextCenteredDemi"/>
              <w:rPr>
                <w:rFonts w:eastAsia="Times New Roman"/>
                <w:b/>
                <w:bCs/>
              </w:rPr>
            </w:pPr>
            <w:r>
              <w:rPr>
                <w:rFonts w:eastAsia="Times New Roman"/>
                <w:b/>
                <w:bCs/>
              </w:rPr>
              <w:t>1</w:t>
            </w:r>
          </w:p>
        </w:tc>
        <w:tc>
          <w:tcPr>
            <w:tcW w:w="720" w:type="dxa"/>
            <w:vAlign w:val="center"/>
          </w:tcPr>
          <w:p w14:paraId="5BE5869F" w14:textId="77777777" w:rsidR="00AC5072" w:rsidRPr="00B30BCD" w:rsidRDefault="00AC5072" w:rsidP="00FB1C07">
            <w:pPr>
              <w:pStyle w:val="TableTextCenteredDemi"/>
              <w:rPr>
                <w:rFonts w:eastAsia="Times New Roman"/>
                <w:b/>
                <w:bCs/>
              </w:rPr>
            </w:pPr>
            <w:r>
              <w:rPr>
                <w:rFonts w:eastAsia="Times New Roman"/>
                <w:b/>
                <w:bCs/>
              </w:rPr>
              <w:t>1</w:t>
            </w:r>
          </w:p>
        </w:tc>
        <w:tc>
          <w:tcPr>
            <w:tcW w:w="720" w:type="dxa"/>
            <w:vAlign w:val="center"/>
          </w:tcPr>
          <w:p w14:paraId="0F6A747B" w14:textId="77777777" w:rsidR="00AC5072" w:rsidRPr="00B30BCD" w:rsidRDefault="00AC5072" w:rsidP="00FB1C07">
            <w:pPr>
              <w:pStyle w:val="TableTextCenteredDemi"/>
              <w:rPr>
                <w:rFonts w:eastAsia="Times New Roman"/>
                <w:b/>
                <w:bCs/>
              </w:rPr>
            </w:pPr>
            <w:r>
              <w:rPr>
                <w:rFonts w:eastAsia="Times New Roman"/>
                <w:b/>
                <w:bCs/>
              </w:rPr>
              <w:t>58</w:t>
            </w:r>
          </w:p>
        </w:tc>
        <w:tc>
          <w:tcPr>
            <w:tcW w:w="547" w:type="dxa"/>
          </w:tcPr>
          <w:p w14:paraId="020349AF" w14:textId="77777777" w:rsidR="00AC5072" w:rsidRPr="00B30BCD" w:rsidRDefault="00AC5072" w:rsidP="00FB1C07">
            <w:pPr>
              <w:pStyle w:val="TableTextCenteredDemi"/>
              <w:rPr>
                <w:rFonts w:eastAsia="Times New Roman"/>
                <w:b/>
                <w:bCs/>
              </w:rPr>
            </w:pPr>
            <w:r>
              <w:rPr>
                <w:rFonts w:eastAsia="Times New Roman"/>
                <w:b/>
                <w:bCs/>
              </w:rPr>
              <w:t>60</w:t>
            </w:r>
          </w:p>
        </w:tc>
        <w:tc>
          <w:tcPr>
            <w:tcW w:w="900" w:type="dxa"/>
          </w:tcPr>
          <w:p w14:paraId="532E7E7D" w14:textId="77777777" w:rsidR="00AC5072" w:rsidRPr="00B30BCD" w:rsidRDefault="00AC5072" w:rsidP="00FB1C07">
            <w:pPr>
              <w:pStyle w:val="TableTextCenteredDemi"/>
              <w:rPr>
                <w:rFonts w:eastAsia="Times New Roman"/>
                <w:b/>
                <w:bCs/>
              </w:rPr>
            </w:pPr>
            <w:r>
              <w:rPr>
                <w:rFonts w:eastAsia="Times New Roman"/>
                <w:b/>
                <w:bCs/>
              </w:rPr>
              <w:t>7.0</w:t>
            </w:r>
          </w:p>
        </w:tc>
      </w:tr>
      <w:tr w:rsidR="00AC5072" w:rsidRPr="00E359BF" w14:paraId="4D3136F0" w14:textId="77777777" w:rsidTr="00FB1C07">
        <w:tc>
          <w:tcPr>
            <w:tcW w:w="3232" w:type="dxa"/>
            <w:vAlign w:val="center"/>
          </w:tcPr>
          <w:p w14:paraId="49DB72EF" w14:textId="77777777" w:rsidR="00AC5072" w:rsidRPr="00E359BF" w:rsidRDefault="00AC5072" w:rsidP="00FB1C07">
            <w:pPr>
              <w:pStyle w:val="TableText"/>
              <w:ind w:left="204"/>
              <w:rPr>
                <w:b/>
                <w:bCs/>
              </w:rPr>
            </w:pPr>
            <w:r w:rsidRPr="00E359BF">
              <w:t>Behavior Management</w:t>
            </w:r>
          </w:p>
        </w:tc>
        <w:tc>
          <w:tcPr>
            <w:tcW w:w="720" w:type="dxa"/>
          </w:tcPr>
          <w:p w14:paraId="02D517D0" w14:textId="77777777" w:rsidR="00AC5072" w:rsidRPr="00E359BF" w:rsidRDefault="00AC5072" w:rsidP="00FB1C07">
            <w:pPr>
              <w:pStyle w:val="TableTextCentered"/>
              <w:rPr>
                <w:rFonts w:eastAsia="Times New Roman"/>
              </w:rPr>
            </w:pPr>
            <w:r>
              <w:rPr>
                <w:rFonts w:eastAsia="Times New Roman"/>
              </w:rPr>
              <w:t>0</w:t>
            </w:r>
          </w:p>
        </w:tc>
        <w:tc>
          <w:tcPr>
            <w:tcW w:w="720" w:type="dxa"/>
          </w:tcPr>
          <w:p w14:paraId="43FF4A00" w14:textId="77777777" w:rsidR="00AC5072" w:rsidRPr="00E359BF" w:rsidRDefault="00AC5072" w:rsidP="00FB1C07">
            <w:pPr>
              <w:pStyle w:val="TableTextCentered"/>
              <w:rPr>
                <w:rFonts w:eastAsia="Times New Roman"/>
              </w:rPr>
            </w:pPr>
            <w:r>
              <w:rPr>
                <w:rFonts w:eastAsia="Times New Roman"/>
              </w:rPr>
              <w:t>0</w:t>
            </w:r>
          </w:p>
        </w:tc>
        <w:tc>
          <w:tcPr>
            <w:tcW w:w="720" w:type="dxa"/>
          </w:tcPr>
          <w:p w14:paraId="33C6A7C3" w14:textId="77777777" w:rsidR="00AC5072" w:rsidRPr="00E359BF" w:rsidRDefault="00AC5072" w:rsidP="00FB1C07">
            <w:pPr>
              <w:pStyle w:val="TableTextCentered"/>
              <w:rPr>
                <w:rFonts w:eastAsia="Times New Roman"/>
              </w:rPr>
            </w:pPr>
            <w:r>
              <w:rPr>
                <w:rFonts w:eastAsia="Times New Roman"/>
              </w:rPr>
              <w:t>0</w:t>
            </w:r>
          </w:p>
        </w:tc>
        <w:tc>
          <w:tcPr>
            <w:tcW w:w="720" w:type="dxa"/>
          </w:tcPr>
          <w:p w14:paraId="671EB270" w14:textId="77777777" w:rsidR="00AC5072" w:rsidRPr="00E359BF" w:rsidRDefault="00AC5072" w:rsidP="00FB1C07">
            <w:pPr>
              <w:pStyle w:val="TableTextCentered"/>
              <w:rPr>
                <w:rFonts w:eastAsia="Times New Roman"/>
              </w:rPr>
            </w:pPr>
            <w:r>
              <w:rPr>
                <w:rFonts w:eastAsia="Times New Roman"/>
              </w:rPr>
              <w:t>0</w:t>
            </w:r>
          </w:p>
        </w:tc>
        <w:tc>
          <w:tcPr>
            <w:tcW w:w="720" w:type="dxa"/>
          </w:tcPr>
          <w:p w14:paraId="1FB06149" w14:textId="77777777" w:rsidR="00AC5072" w:rsidRPr="00E359BF" w:rsidRDefault="00AC5072" w:rsidP="00FB1C07">
            <w:pPr>
              <w:pStyle w:val="TableTextCentered"/>
              <w:rPr>
                <w:rFonts w:eastAsia="Times New Roman"/>
              </w:rPr>
            </w:pPr>
            <w:r>
              <w:rPr>
                <w:rFonts w:eastAsia="Times New Roman"/>
              </w:rPr>
              <w:t>0</w:t>
            </w:r>
          </w:p>
        </w:tc>
        <w:tc>
          <w:tcPr>
            <w:tcW w:w="720" w:type="dxa"/>
            <w:vAlign w:val="center"/>
          </w:tcPr>
          <w:p w14:paraId="4C90E4E4" w14:textId="77777777" w:rsidR="00AC5072" w:rsidRPr="00E359BF" w:rsidRDefault="00AC5072" w:rsidP="00FB1C07">
            <w:pPr>
              <w:pStyle w:val="TableTextCentered"/>
              <w:rPr>
                <w:rFonts w:eastAsia="Times New Roman"/>
              </w:rPr>
            </w:pPr>
            <w:r>
              <w:rPr>
                <w:rFonts w:eastAsia="Times New Roman"/>
              </w:rPr>
              <w:t>1</w:t>
            </w:r>
          </w:p>
        </w:tc>
        <w:tc>
          <w:tcPr>
            <w:tcW w:w="720" w:type="dxa"/>
            <w:vAlign w:val="center"/>
          </w:tcPr>
          <w:p w14:paraId="6DA9E195" w14:textId="77777777" w:rsidR="00AC5072" w:rsidRPr="00E359BF" w:rsidRDefault="00AC5072" w:rsidP="00FB1C07">
            <w:pPr>
              <w:pStyle w:val="TableTextCentered"/>
              <w:rPr>
                <w:rFonts w:eastAsia="Times New Roman"/>
              </w:rPr>
            </w:pPr>
            <w:r>
              <w:rPr>
                <w:rFonts w:eastAsia="Times New Roman"/>
              </w:rPr>
              <w:t>19</w:t>
            </w:r>
          </w:p>
        </w:tc>
        <w:tc>
          <w:tcPr>
            <w:tcW w:w="547" w:type="dxa"/>
          </w:tcPr>
          <w:p w14:paraId="293FFA68" w14:textId="77777777" w:rsidR="00AC5072" w:rsidRPr="00E359BF" w:rsidRDefault="00AC5072" w:rsidP="00FB1C07">
            <w:pPr>
              <w:pStyle w:val="TableTextCentered"/>
              <w:rPr>
                <w:rFonts w:eastAsia="Times New Roman"/>
              </w:rPr>
            </w:pPr>
            <w:r>
              <w:rPr>
                <w:rFonts w:eastAsia="Times New Roman"/>
              </w:rPr>
              <w:t>20</w:t>
            </w:r>
          </w:p>
        </w:tc>
        <w:tc>
          <w:tcPr>
            <w:tcW w:w="900" w:type="dxa"/>
          </w:tcPr>
          <w:p w14:paraId="16762334" w14:textId="77777777" w:rsidR="00AC5072" w:rsidRPr="00E359BF" w:rsidRDefault="00AC5072" w:rsidP="00FB1C07">
            <w:pPr>
              <w:pStyle w:val="TableTextCentered"/>
              <w:rPr>
                <w:rFonts w:eastAsia="Times New Roman"/>
              </w:rPr>
            </w:pPr>
            <w:r>
              <w:rPr>
                <w:rFonts w:eastAsia="Times New Roman"/>
              </w:rPr>
              <w:t>7.0</w:t>
            </w:r>
          </w:p>
        </w:tc>
      </w:tr>
      <w:tr w:rsidR="00AC5072" w:rsidRPr="00E359BF" w14:paraId="5F9EC845" w14:textId="77777777" w:rsidTr="00FB1C07">
        <w:trPr>
          <w:cnfStyle w:val="000000100000" w:firstRow="0" w:lastRow="0" w:firstColumn="0" w:lastColumn="0" w:oddVBand="0" w:evenVBand="0" w:oddHBand="1" w:evenHBand="0" w:firstRowFirstColumn="0" w:firstRowLastColumn="0" w:lastRowFirstColumn="0" w:lastRowLastColumn="0"/>
        </w:trPr>
        <w:tc>
          <w:tcPr>
            <w:tcW w:w="3232" w:type="dxa"/>
            <w:vAlign w:val="center"/>
          </w:tcPr>
          <w:p w14:paraId="7415861A" w14:textId="77777777" w:rsidR="00AC5072" w:rsidRPr="00E359BF" w:rsidRDefault="00AC5072" w:rsidP="00FB1C07">
            <w:pPr>
              <w:pStyle w:val="TableText"/>
              <w:ind w:left="204"/>
              <w:rPr>
                <w:b/>
                <w:bCs/>
              </w:rPr>
            </w:pPr>
            <w:r w:rsidRPr="00E359BF">
              <w:t>Productivity</w:t>
            </w:r>
          </w:p>
        </w:tc>
        <w:tc>
          <w:tcPr>
            <w:tcW w:w="720" w:type="dxa"/>
          </w:tcPr>
          <w:p w14:paraId="78C68961" w14:textId="77777777" w:rsidR="00AC5072" w:rsidRPr="00E359BF" w:rsidRDefault="00AC5072" w:rsidP="00FB1C07">
            <w:pPr>
              <w:pStyle w:val="TableTextCentered"/>
              <w:rPr>
                <w:rFonts w:eastAsia="Times New Roman"/>
              </w:rPr>
            </w:pPr>
            <w:r>
              <w:rPr>
                <w:rFonts w:eastAsia="Times New Roman"/>
              </w:rPr>
              <w:t>0</w:t>
            </w:r>
          </w:p>
        </w:tc>
        <w:tc>
          <w:tcPr>
            <w:tcW w:w="720" w:type="dxa"/>
          </w:tcPr>
          <w:p w14:paraId="73914AD7" w14:textId="77777777" w:rsidR="00AC5072" w:rsidRPr="00E359BF" w:rsidRDefault="00AC5072" w:rsidP="00FB1C07">
            <w:pPr>
              <w:pStyle w:val="TableTextCentered"/>
              <w:rPr>
                <w:rFonts w:eastAsia="Times New Roman"/>
              </w:rPr>
            </w:pPr>
            <w:r>
              <w:rPr>
                <w:rFonts w:eastAsia="Times New Roman"/>
              </w:rPr>
              <w:t>0</w:t>
            </w:r>
          </w:p>
        </w:tc>
        <w:tc>
          <w:tcPr>
            <w:tcW w:w="720" w:type="dxa"/>
          </w:tcPr>
          <w:p w14:paraId="27F11D02" w14:textId="77777777" w:rsidR="00AC5072" w:rsidRPr="00E359BF" w:rsidRDefault="00AC5072" w:rsidP="00FB1C07">
            <w:pPr>
              <w:pStyle w:val="TableTextCentered"/>
              <w:rPr>
                <w:rFonts w:eastAsia="Times New Roman"/>
              </w:rPr>
            </w:pPr>
            <w:r>
              <w:rPr>
                <w:rFonts w:eastAsia="Times New Roman"/>
              </w:rPr>
              <w:t>0</w:t>
            </w:r>
          </w:p>
        </w:tc>
        <w:tc>
          <w:tcPr>
            <w:tcW w:w="720" w:type="dxa"/>
          </w:tcPr>
          <w:p w14:paraId="67F295CA" w14:textId="77777777" w:rsidR="00AC5072" w:rsidRPr="00E359BF" w:rsidRDefault="00AC5072" w:rsidP="00FB1C07">
            <w:pPr>
              <w:pStyle w:val="TableTextCentered"/>
              <w:rPr>
                <w:rFonts w:eastAsia="Times New Roman"/>
              </w:rPr>
            </w:pPr>
            <w:r>
              <w:rPr>
                <w:rFonts w:eastAsia="Times New Roman"/>
              </w:rPr>
              <w:t>0</w:t>
            </w:r>
          </w:p>
        </w:tc>
        <w:tc>
          <w:tcPr>
            <w:tcW w:w="720" w:type="dxa"/>
          </w:tcPr>
          <w:p w14:paraId="60694BD6" w14:textId="77777777" w:rsidR="00AC5072" w:rsidRPr="00E359BF" w:rsidRDefault="00AC5072" w:rsidP="00FB1C07">
            <w:pPr>
              <w:pStyle w:val="TableTextCentered"/>
              <w:rPr>
                <w:rFonts w:eastAsia="Times New Roman"/>
              </w:rPr>
            </w:pPr>
            <w:r>
              <w:rPr>
                <w:rFonts w:eastAsia="Times New Roman"/>
              </w:rPr>
              <w:t>0</w:t>
            </w:r>
          </w:p>
        </w:tc>
        <w:tc>
          <w:tcPr>
            <w:tcW w:w="720" w:type="dxa"/>
            <w:vAlign w:val="center"/>
          </w:tcPr>
          <w:p w14:paraId="428F2855" w14:textId="77777777" w:rsidR="00AC5072" w:rsidRPr="00E359BF" w:rsidRDefault="00AC5072" w:rsidP="00FB1C07">
            <w:pPr>
              <w:pStyle w:val="TableTextCentered"/>
              <w:rPr>
                <w:rFonts w:eastAsia="Times New Roman"/>
              </w:rPr>
            </w:pPr>
            <w:r>
              <w:rPr>
                <w:rFonts w:eastAsia="Times New Roman"/>
              </w:rPr>
              <w:t>0</w:t>
            </w:r>
          </w:p>
        </w:tc>
        <w:tc>
          <w:tcPr>
            <w:tcW w:w="720" w:type="dxa"/>
            <w:vAlign w:val="center"/>
          </w:tcPr>
          <w:p w14:paraId="090B2BAF" w14:textId="77777777" w:rsidR="00AC5072" w:rsidRPr="00E359BF" w:rsidRDefault="00AC5072" w:rsidP="00FB1C07">
            <w:pPr>
              <w:pStyle w:val="TableTextCentered"/>
              <w:rPr>
                <w:rFonts w:eastAsia="Times New Roman"/>
              </w:rPr>
            </w:pPr>
            <w:r>
              <w:rPr>
                <w:rFonts w:eastAsia="Times New Roman"/>
              </w:rPr>
              <w:t>20</w:t>
            </w:r>
          </w:p>
        </w:tc>
        <w:tc>
          <w:tcPr>
            <w:tcW w:w="547" w:type="dxa"/>
          </w:tcPr>
          <w:p w14:paraId="0C979425" w14:textId="77777777" w:rsidR="00AC5072" w:rsidRPr="00E359BF" w:rsidRDefault="00AC5072" w:rsidP="00FB1C07">
            <w:pPr>
              <w:pStyle w:val="TableTextCentered"/>
              <w:rPr>
                <w:rFonts w:eastAsia="Times New Roman"/>
              </w:rPr>
            </w:pPr>
            <w:r>
              <w:rPr>
                <w:rFonts w:eastAsia="Times New Roman"/>
              </w:rPr>
              <w:t>20</w:t>
            </w:r>
          </w:p>
        </w:tc>
        <w:tc>
          <w:tcPr>
            <w:tcW w:w="900" w:type="dxa"/>
          </w:tcPr>
          <w:p w14:paraId="2E1B126E" w14:textId="77777777" w:rsidR="00AC5072" w:rsidRPr="00E359BF" w:rsidRDefault="00AC5072" w:rsidP="00FB1C07">
            <w:pPr>
              <w:pStyle w:val="TableTextCentered"/>
              <w:rPr>
                <w:rFonts w:eastAsia="Times New Roman"/>
              </w:rPr>
            </w:pPr>
            <w:r>
              <w:rPr>
                <w:rFonts w:eastAsia="Times New Roman"/>
              </w:rPr>
              <w:t>7.0</w:t>
            </w:r>
          </w:p>
        </w:tc>
      </w:tr>
      <w:tr w:rsidR="00AC5072" w:rsidRPr="00E359BF" w14:paraId="2D968693" w14:textId="77777777" w:rsidTr="00FB1C07">
        <w:tc>
          <w:tcPr>
            <w:tcW w:w="3232" w:type="dxa"/>
            <w:vAlign w:val="center"/>
          </w:tcPr>
          <w:p w14:paraId="6975F5C0" w14:textId="77777777" w:rsidR="00AC5072" w:rsidRPr="00E359BF" w:rsidRDefault="00AC5072" w:rsidP="00FB1C07">
            <w:pPr>
              <w:pStyle w:val="TableText"/>
              <w:ind w:left="204"/>
              <w:rPr>
                <w:b/>
                <w:bCs/>
              </w:rPr>
            </w:pPr>
            <w:r w:rsidRPr="00D931E1">
              <w:t>Negative Climate</w:t>
            </w:r>
            <w:r>
              <w:t>**</w:t>
            </w:r>
          </w:p>
        </w:tc>
        <w:tc>
          <w:tcPr>
            <w:tcW w:w="720" w:type="dxa"/>
          </w:tcPr>
          <w:p w14:paraId="6D61BC29" w14:textId="77777777" w:rsidR="00AC5072" w:rsidRPr="00E359BF" w:rsidRDefault="00AC5072" w:rsidP="00FB1C07">
            <w:pPr>
              <w:pStyle w:val="TableTextCentered"/>
              <w:rPr>
                <w:rFonts w:eastAsia="Times New Roman"/>
              </w:rPr>
            </w:pPr>
            <w:r>
              <w:rPr>
                <w:rFonts w:eastAsia="Times New Roman"/>
              </w:rPr>
              <w:t>0</w:t>
            </w:r>
          </w:p>
        </w:tc>
        <w:tc>
          <w:tcPr>
            <w:tcW w:w="720" w:type="dxa"/>
          </w:tcPr>
          <w:p w14:paraId="597C62EF" w14:textId="77777777" w:rsidR="00AC5072" w:rsidRPr="00E359BF" w:rsidRDefault="00AC5072" w:rsidP="00FB1C07">
            <w:pPr>
              <w:pStyle w:val="TableTextCentered"/>
              <w:rPr>
                <w:rFonts w:eastAsia="Times New Roman"/>
              </w:rPr>
            </w:pPr>
            <w:r>
              <w:rPr>
                <w:rFonts w:eastAsia="Times New Roman"/>
              </w:rPr>
              <w:t>0</w:t>
            </w:r>
          </w:p>
        </w:tc>
        <w:tc>
          <w:tcPr>
            <w:tcW w:w="720" w:type="dxa"/>
          </w:tcPr>
          <w:p w14:paraId="13EC5659" w14:textId="77777777" w:rsidR="00AC5072" w:rsidRPr="00E359BF" w:rsidRDefault="00AC5072" w:rsidP="00FB1C07">
            <w:pPr>
              <w:pStyle w:val="TableTextCentered"/>
              <w:rPr>
                <w:rFonts w:eastAsia="Times New Roman"/>
              </w:rPr>
            </w:pPr>
            <w:r>
              <w:rPr>
                <w:rFonts w:eastAsia="Times New Roman"/>
              </w:rPr>
              <w:t>0</w:t>
            </w:r>
          </w:p>
        </w:tc>
        <w:tc>
          <w:tcPr>
            <w:tcW w:w="720" w:type="dxa"/>
          </w:tcPr>
          <w:p w14:paraId="6CB960E8" w14:textId="77777777" w:rsidR="00AC5072" w:rsidRPr="00E359BF" w:rsidRDefault="00AC5072" w:rsidP="00FB1C07">
            <w:pPr>
              <w:pStyle w:val="TableTextCentered"/>
              <w:rPr>
                <w:rFonts w:eastAsia="Times New Roman"/>
              </w:rPr>
            </w:pPr>
            <w:r>
              <w:rPr>
                <w:rFonts w:eastAsia="Times New Roman"/>
              </w:rPr>
              <w:t>0</w:t>
            </w:r>
          </w:p>
        </w:tc>
        <w:tc>
          <w:tcPr>
            <w:tcW w:w="720" w:type="dxa"/>
          </w:tcPr>
          <w:p w14:paraId="1EC7968D" w14:textId="77777777" w:rsidR="00AC5072" w:rsidRPr="00E359BF" w:rsidRDefault="00AC5072" w:rsidP="00FB1C07">
            <w:pPr>
              <w:pStyle w:val="TableTextCentered"/>
              <w:rPr>
                <w:rFonts w:eastAsia="Times New Roman"/>
              </w:rPr>
            </w:pPr>
            <w:r>
              <w:rPr>
                <w:rFonts w:eastAsia="Times New Roman"/>
              </w:rPr>
              <w:t>1</w:t>
            </w:r>
          </w:p>
        </w:tc>
        <w:tc>
          <w:tcPr>
            <w:tcW w:w="720" w:type="dxa"/>
            <w:vAlign w:val="center"/>
          </w:tcPr>
          <w:p w14:paraId="69E752D9" w14:textId="77777777" w:rsidR="00AC5072" w:rsidRPr="00E359BF" w:rsidRDefault="00AC5072" w:rsidP="00FB1C07">
            <w:pPr>
              <w:pStyle w:val="TableTextCentered"/>
              <w:rPr>
                <w:rFonts w:eastAsia="Times New Roman"/>
              </w:rPr>
            </w:pPr>
            <w:r>
              <w:rPr>
                <w:rFonts w:eastAsia="Times New Roman"/>
              </w:rPr>
              <w:t>0</w:t>
            </w:r>
          </w:p>
        </w:tc>
        <w:tc>
          <w:tcPr>
            <w:tcW w:w="720" w:type="dxa"/>
            <w:vAlign w:val="center"/>
          </w:tcPr>
          <w:p w14:paraId="6A622E70" w14:textId="77777777" w:rsidR="00AC5072" w:rsidRPr="00E359BF" w:rsidRDefault="00AC5072" w:rsidP="00FB1C07">
            <w:pPr>
              <w:pStyle w:val="TableTextCentered"/>
              <w:rPr>
                <w:rFonts w:eastAsia="Times New Roman"/>
              </w:rPr>
            </w:pPr>
            <w:r>
              <w:rPr>
                <w:rFonts w:eastAsia="Times New Roman"/>
              </w:rPr>
              <w:t>19</w:t>
            </w:r>
          </w:p>
        </w:tc>
        <w:tc>
          <w:tcPr>
            <w:tcW w:w="547" w:type="dxa"/>
          </w:tcPr>
          <w:p w14:paraId="539C7632" w14:textId="77777777" w:rsidR="00AC5072" w:rsidRPr="00E359BF" w:rsidRDefault="00AC5072" w:rsidP="00FB1C07">
            <w:pPr>
              <w:pStyle w:val="TableTextCentered"/>
              <w:rPr>
                <w:rFonts w:eastAsia="Times New Roman"/>
              </w:rPr>
            </w:pPr>
            <w:r>
              <w:rPr>
                <w:rFonts w:eastAsia="Times New Roman"/>
              </w:rPr>
              <w:t>20</w:t>
            </w:r>
          </w:p>
        </w:tc>
        <w:tc>
          <w:tcPr>
            <w:tcW w:w="900" w:type="dxa"/>
          </w:tcPr>
          <w:p w14:paraId="346F5181" w14:textId="77777777" w:rsidR="00AC5072" w:rsidRPr="00E359BF" w:rsidRDefault="00AC5072" w:rsidP="00FB1C07">
            <w:pPr>
              <w:pStyle w:val="TableTextCentered"/>
              <w:rPr>
                <w:rFonts w:eastAsia="Times New Roman"/>
              </w:rPr>
            </w:pPr>
            <w:r>
              <w:rPr>
                <w:rFonts w:eastAsia="Times New Roman"/>
              </w:rPr>
              <w:t>6.9</w:t>
            </w:r>
          </w:p>
        </w:tc>
      </w:tr>
      <w:tr w:rsidR="00AC5072" w:rsidRPr="00E359BF" w14:paraId="468CB69C" w14:textId="77777777">
        <w:trPr>
          <w:cnfStyle w:val="000000100000" w:firstRow="0" w:lastRow="0" w:firstColumn="0" w:lastColumn="0" w:oddVBand="0" w:evenVBand="0" w:oddHBand="1" w:evenHBand="0" w:firstRowFirstColumn="0" w:firstRowLastColumn="0" w:lastRowFirstColumn="0" w:lastRowLastColumn="0"/>
        </w:trPr>
        <w:tc>
          <w:tcPr>
            <w:tcW w:w="3232" w:type="dxa"/>
            <w:vAlign w:val="center"/>
          </w:tcPr>
          <w:p w14:paraId="02B57E89" w14:textId="77777777" w:rsidR="00AC5072" w:rsidRPr="00E359BF" w:rsidRDefault="00AC5072" w:rsidP="00FB1C07">
            <w:pPr>
              <w:pStyle w:val="TableSubheading"/>
              <w:rPr>
                <w:szCs w:val="20"/>
              </w:rPr>
            </w:pPr>
            <w:r w:rsidRPr="00E359BF">
              <w:t>Instructional Support Domain</w:t>
            </w:r>
          </w:p>
        </w:tc>
        <w:tc>
          <w:tcPr>
            <w:tcW w:w="720" w:type="dxa"/>
          </w:tcPr>
          <w:p w14:paraId="07C40C0A" w14:textId="77777777" w:rsidR="00AC5072" w:rsidRPr="00B30BCD" w:rsidRDefault="00AC5072" w:rsidP="00FB1C07">
            <w:pPr>
              <w:pStyle w:val="TableTextCenteredDemi"/>
              <w:rPr>
                <w:rFonts w:eastAsia="Times New Roman"/>
                <w:b/>
                <w:bCs/>
              </w:rPr>
            </w:pPr>
            <w:r>
              <w:rPr>
                <w:rFonts w:eastAsia="Times New Roman"/>
                <w:b/>
                <w:bCs/>
              </w:rPr>
              <w:t>7</w:t>
            </w:r>
          </w:p>
        </w:tc>
        <w:tc>
          <w:tcPr>
            <w:tcW w:w="720" w:type="dxa"/>
          </w:tcPr>
          <w:p w14:paraId="070E8CF1" w14:textId="77777777" w:rsidR="00AC5072" w:rsidRPr="00B30BCD" w:rsidRDefault="00AC5072" w:rsidP="00FB1C07">
            <w:pPr>
              <w:pStyle w:val="TableTextCenteredDemi"/>
              <w:rPr>
                <w:rFonts w:eastAsia="Times New Roman"/>
                <w:b/>
                <w:bCs/>
              </w:rPr>
            </w:pPr>
            <w:r>
              <w:rPr>
                <w:rFonts w:eastAsia="Times New Roman"/>
                <w:b/>
                <w:bCs/>
              </w:rPr>
              <w:t>22</w:t>
            </w:r>
          </w:p>
        </w:tc>
        <w:tc>
          <w:tcPr>
            <w:tcW w:w="720" w:type="dxa"/>
          </w:tcPr>
          <w:p w14:paraId="5441B196" w14:textId="77777777" w:rsidR="00AC5072" w:rsidRPr="00B30BCD" w:rsidRDefault="00AC5072" w:rsidP="00FB1C07">
            <w:pPr>
              <w:pStyle w:val="TableTextCenteredDemi"/>
              <w:rPr>
                <w:rFonts w:eastAsia="Times New Roman"/>
                <w:b/>
                <w:bCs/>
              </w:rPr>
            </w:pPr>
            <w:r>
              <w:rPr>
                <w:rFonts w:eastAsia="Times New Roman"/>
                <w:b/>
                <w:bCs/>
              </w:rPr>
              <w:t>22</w:t>
            </w:r>
          </w:p>
        </w:tc>
        <w:tc>
          <w:tcPr>
            <w:tcW w:w="720" w:type="dxa"/>
          </w:tcPr>
          <w:p w14:paraId="7746B357" w14:textId="77777777" w:rsidR="00AC5072" w:rsidRPr="00B30BCD" w:rsidRDefault="00AC5072" w:rsidP="00FB1C07">
            <w:pPr>
              <w:pStyle w:val="TableTextCenteredDemi"/>
              <w:rPr>
                <w:rFonts w:eastAsia="Times New Roman"/>
                <w:b/>
                <w:bCs/>
              </w:rPr>
            </w:pPr>
            <w:r>
              <w:rPr>
                <w:rFonts w:eastAsia="Times New Roman"/>
                <w:b/>
                <w:bCs/>
              </w:rPr>
              <w:t>18</w:t>
            </w:r>
          </w:p>
        </w:tc>
        <w:tc>
          <w:tcPr>
            <w:tcW w:w="720" w:type="dxa"/>
          </w:tcPr>
          <w:p w14:paraId="6E5B0079" w14:textId="77777777" w:rsidR="00AC5072" w:rsidRPr="00B30BCD" w:rsidRDefault="00AC5072" w:rsidP="00FB1C07">
            <w:pPr>
              <w:pStyle w:val="TableTextCenteredDemi"/>
              <w:rPr>
                <w:rFonts w:eastAsia="Times New Roman"/>
                <w:b/>
                <w:bCs/>
              </w:rPr>
            </w:pPr>
            <w:r>
              <w:rPr>
                <w:rFonts w:eastAsia="Times New Roman"/>
                <w:b/>
                <w:bCs/>
              </w:rPr>
              <w:t>22</w:t>
            </w:r>
          </w:p>
        </w:tc>
        <w:tc>
          <w:tcPr>
            <w:tcW w:w="720" w:type="dxa"/>
            <w:vAlign w:val="center"/>
          </w:tcPr>
          <w:p w14:paraId="342E0324" w14:textId="77777777" w:rsidR="00AC5072" w:rsidRPr="00B30BCD" w:rsidRDefault="00AC5072" w:rsidP="00FB1C07">
            <w:pPr>
              <w:pStyle w:val="TableTextCenteredDemi"/>
              <w:rPr>
                <w:rFonts w:eastAsia="Times New Roman"/>
                <w:b/>
                <w:bCs/>
              </w:rPr>
            </w:pPr>
            <w:r>
              <w:rPr>
                <w:rFonts w:eastAsia="Times New Roman"/>
                <w:b/>
                <w:bCs/>
              </w:rPr>
              <w:t>5</w:t>
            </w:r>
          </w:p>
        </w:tc>
        <w:tc>
          <w:tcPr>
            <w:tcW w:w="720" w:type="dxa"/>
            <w:vAlign w:val="center"/>
          </w:tcPr>
          <w:p w14:paraId="643B462E" w14:textId="77777777" w:rsidR="00AC5072" w:rsidRPr="00B30BCD" w:rsidRDefault="00AC5072" w:rsidP="00FB1C07">
            <w:pPr>
              <w:pStyle w:val="TableTextCenteredDemi"/>
              <w:rPr>
                <w:rFonts w:eastAsia="Times New Roman"/>
                <w:b/>
                <w:bCs/>
              </w:rPr>
            </w:pPr>
            <w:r>
              <w:rPr>
                <w:rFonts w:eastAsia="Times New Roman"/>
                <w:b/>
                <w:bCs/>
              </w:rPr>
              <w:t>4</w:t>
            </w:r>
          </w:p>
        </w:tc>
        <w:tc>
          <w:tcPr>
            <w:tcW w:w="547" w:type="dxa"/>
          </w:tcPr>
          <w:p w14:paraId="51004533" w14:textId="77777777" w:rsidR="00AC5072" w:rsidRPr="00B30BCD" w:rsidRDefault="00AC5072" w:rsidP="00FB1C07">
            <w:pPr>
              <w:pStyle w:val="TableTextCenteredDemi"/>
              <w:rPr>
                <w:rFonts w:eastAsia="Times New Roman"/>
                <w:b/>
                <w:bCs/>
              </w:rPr>
            </w:pPr>
            <w:r>
              <w:rPr>
                <w:rFonts w:eastAsia="Times New Roman"/>
                <w:b/>
                <w:bCs/>
              </w:rPr>
              <w:t>100</w:t>
            </w:r>
          </w:p>
        </w:tc>
        <w:tc>
          <w:tcPr>
            <w:tcW w:w="900" w:type="dxa"/>
          </w:tcPr>
          <w:p w14:paraId="126BA459" w14:textId="77777777" w:rsidR="00AC5072" w:rsidRPr="00B30BCD" w:rsidRDefault="00AC5072" w:rsidP="00FB1C07">
            <w:pPr>
              <w:pStyle w:val="TableTextCenteredDemi"/>
              <w:rPr>
                <w:rFonts w:eastAsia="Times New Roman"/>
                <w:b/>
                <w:bCs/>
              </w:rPr>
            </w:pPr>
            <w:r>
              <w:rPr>
                <w:rFonts w:eastAsia="Times New Roman"/>
                <w:b/>
                <w:bCs/>
              </w:rPr>
              <w:t>3.6</w:t>
            </w:r>
          </w:p>
        </w:tc>
      </w:tr>
      <w:tr w:rsidR="00AC5072" w:rsidRPr="00E359BF" w14:paraId="1E0FF349" w14:textId="77777777" w:rsidTr="00FB1C07">
        <w:tc>
          <w:tcPr>
            <w:tcW w:w="3232" w:type="dxa"/>
            <w:vAlign w:val="center"/>
          </w:tcPr>
          <w:p w14:paraId="1F465511" w14:textId="77777777" w:rsidR="00AC5072" w:rsidRPr="00E359BF" w:rsidRDefault="00AC5072" w:rsidP="00FB1C07">
            <w:pPr>
              <w:pStyle w:val="TableText"/>
              <w:ind w:left="204"/>
              <w:rPr>
                <w:b/>
                <w:bCs/>
              </w:rPr>
            </w:pPr>
            <w:r w:rsidRPr="00D931E1">
              <w:t>Instructional Learning Formats</w:t>
            </w:r>
          </w:p>
        </w:tc>
        <w:tc>
          <w:tcPr>
            <w:tcW w:w="720" w:type="dxa"/>
          </w:tcPr>
          <w:p w14:paraId="683A3135" w14:textId="77777777" w:rsidR="00AC5072" w:rsidRPr="00E359BF" w:rsidRDefault="00AC5072" w:rsidP="00FB1C07">
            <w:pPr>
              <w:pStyle w:val="TableTextCentered"/>
              <w:rPr>
                <w:rFonts w:eastAsia="Times New Roman"/>
              </w:rPr>
            </w:pPr>
            <w:r>
              <w:rPr>
                <w:rFonts w:eastAsia="Times New Roman"/>
              </w:rPr>
              <w:t>0</w:t>
            </w:r>
          </w:p>
        </w:tc>
        <w:tc>
          <w:tcPr>
            <w:tcW w:w="720" w:type="dxa"/>
          </w:tcPr>
          <w:p w14:paraId="1B7EBBC3" w14:textId="77777777" w:rsidR="00AC5072" w:rsidRPr="00E359BF" w:rsidRDefault="00AC5072" w:rsidP="00FB1C07">
            <w:pPr>
              <w:pStyle w:val="TableTextCentered"/>
              <w:rPr>
                <w:rFonts w:eastAsia="Times New Roman"/>
              </w:rPr>
            </w:pPr>
            <w:r>
              <w:rPr>
                <w:rFonts w:eastAsia="Times New Roman"/>
              </w:rPr>
              <w:t>1</w:t>
            </w:r>
          </w:p>
        </w:tc>
        <w:tc>
          <w:tcPr>
            <w:tcW w:w="720" w:type="dxa"/>
          </w:tcPr>
          <w:p w14:paraId="67F5E4D4" w14:textId="77777777" w:rsidR="00AC5072" w:rsidRPr="00E359BF" w:rsidRDefault="00AC5072" w:rsidP="00FB1C07">
            <w:pPr>
              <w:pStyle w:val="TableTextCentered"/>
              <w:rPr>
                <w:rFonts w:eastAsia="Times New Roman"/>
              </w:rPr>
            </w:pPr>
            <w:r>
              <w:rPr>
                <w:rFonts w:eastAsia="Times New Roman"/>
              </w:rPr>
              <w:t>4</w:t>
            </w:r>
          </w:p>
        </w:tc>
        <w:tc>
          <w:tcPr>
            <w:tcW w:w="720" w:type="dxa"/>
          </w:tcPr>
          <w:p w14:paraId="5F5893AC" w14:textId="77777777" w:rsidR="00AC5072" w:rsidRPr="00E359BF" w:rsidRDefault="00AC5072" w:rsidP="00FB1C07">
            <w:pPr>
              <w:pStyle w:val="TableTextCentered"/>
              <w:rPr>
                <w:rFonts w:eastAsia="Times New Roman"/>
              </w:rPr>
            </w:pPr>
            <w:r>
              <w:rPr>
                <w:rFonts w:eastAsia="Times New Roman"/>
              </w:rPr>
              <w:t>7</w:t>
            </w:r>
          </w:p>
        </w:tc>
        <w:tc>
          <w:tcPr>
            <w:tcW w:w="720" w:type="dxa"/>
          </w:tcPr>
          <w:p w14:paraId="64261495" w14:textId="77777777" w:rsidR="00AC5072" w:rsidRPr="00E359BF" w:rsidRDefault="00AC5072" w:rsidP="00FB1C07">
            <w:pPr>
              <w:pStyle w:val="TableTextCentered"/>
              <w:rPr>
                <w:rFonts w:eastAsia="Times New Roman"/>
              </w:rPr>
            </w:pPr>
            <w:r>
              <w:rPr>
                <w:rFonts w:eastAsia="Times New Roman"/>
              </w:rPr>
              <w:t>5</w:t>
            </w:r>
          </w:p>
        </w:tc>
        <w:tc>
          <w:tcPr>
            <w:tcW w:w="720" w:type="dxa"/>
            <w:vAlign w:val="center"/>
          </w:tcPr>
          <w:p w14:paraId="23F095EF" w14:textId="77777777" w:rsidR="00AC5072" w:rsidRPr="00E359BF" w:rsidRDefault="00AC5072" w:rsidP="00FB1C07">
            <w:pPr>
              <w:pStyle w:val="TableTextCentered"/>
              <w:rPr>
                <w:rFonts w:eastAsia="Times New Roman"/>
              </w:rPr>
            </w:pPr>
            <w:r>
              <w:rPr>
                <w:rFonts w:eastAsia="Times New Roman"/>
              </w:rPr>
              <w:t>3</w:t>
            </w:r>
          </w:p>
        </w:tc>
        <w:tc>
          <w:tcPr>
            <w:tcW w:w="720" w:type="dxa"/>
            <w:vAlign w:val="center"/>
          </w:tcPr>
          <w:p w14:paraId="5FB4CAB0" w14:textId="77777777" w:rsidR="00AC5072" w:rsidRPr="00E359BF" w:rsidRDefault="00AC5072" w:rsidP="00FB1C07">
            <w:pPr>
              <w:pStyle w:val="TableTextCentered"/>
              <w:rPr>
                <w:rFonts w:eastAsia="Times New Roman"/>
              </w:rPr>
            </w:pPr>
            <w:r>
              <w:rPr>
                <w:rFonts w:eastAsia="Times New Roman"/>
              </w:rPr>
              <w:t>0</w:t>
            </w:r>
          </w:p>
        </w:tc>
        <w:tc>
          <w:tcPr>
            <w:tcW w:w="547" w:type="dxa"/>
          </w:tcPr>
          <w:p w14:paraId="35D0AC1D" w14:textId="77777777" w:rsidR="00AC5072" w:rsidRPr="00E359BF" w:rsidRDefault="00AC5072" w:rsidP="00FB1C07">
            <w:pPr>
              <w:pStyle w:val="TableTextCentered"/>
              <w:rPr>
                <w:rFonts w:eastAsia="Times New Roman"/>
              </w:rPr>
            </w:pPr>
            <w:r>
              <w:rPr>
                <w:rFonts w:eastAsia="Times New Roman"/>
              </w:rPr>
              <w:t>20</w:t>
            </w:r>
          </w:p>
        </w:tc>
        <w:tc>
          <w:tcPr>
            <w:tcW w:w="900" w:type="dxa"/>
          </w:tcPr>
          <w:p w14:paraId="216796C6" w14:textId="77777777" w:rsidR="00AC5072" w:rsidRPr="00E359BF" w:rsidRDefault="00AC5072" w:rsidP="00FB1C07">
            <w:pPr>
              <w:pStyle w:val="TableTextCentered"/>
              <w:rPr>
                <w:rFonts w:eastAsia="Times New Roman"/>
              </w:rPr>
            </w:pPr>
            <w:r>
              <w:rPr>
                <w:rFonts w:eastAsia="Times New Roman"/>
              </w:rPr>
              <w:t>4.3</w:t>
            </w:r>
          </w:p>
        </w:tc>
      </w:tr>
      <w:tr w:rsidR="00AC5072" w:rsidRPr="00E359BF" w14:paraId="517C8C54" w14:textId="77777777" w:rsidTr="00FB1C07">
        <w:trPr>
          <w:cnfStyle w:val="000000100000" w:firstRow="0" w:lastRow="0" w:firstColumn="0" w:lastColumn="0" w:oddVBand="0" w:evenVBand="0" w:oddHBand="1" w:evenHBand="0" w:firstRowFirstColumn="0" w:firstRowLastColumn="0" w:lastRowFirstColumn="0" w:lastRowLastColumn="0"/>
          <w:trHeight w:val="70"/>
        </w:trPr>
        <w:tc>
          <w:tcPr>
            <w:tcW w:w="3232" w:type="dxa"/>
            <w:vAlign w:val="center"/>
          </w:tcPr>
          <w:p w14:paraId="64F50AB0" w14:textId="77777777" w:rsidR="00AC5072" w:rsidRPr="00E359BF" w:rsidRDefault="00AC5072" w:rsidP="00FB1C07">
            <w:pPr>
              <w:pStyle w:val="TableText"/>
              <w:ind w:left="204"/>
              <w:rPr>
                <w:b/>
                <w:bCs/>
              </w:rPr>
            </w:pPr>
            <w:r w:rsidRPr="00D931E1">
              <w:t>Content Understanding</w:t>
            </w:r>
          </w:p>
        </w:tc>
        <w:tc>
          <w:tcPr>
            <w:tcW w:w="720" w:type="dxa"/>
          </w:tcPr>
          <w:p w14:paraId="27A7F39B" w14:textId="77777777" w:rsidR="00AC5072" w:rsidRPr="00E359BF" w:rsidRDefault="00AC5072" w:rsidP="00FB1C07">
            <w:pPr>
              <w:pStyle w:val="TableTextCentered"/>
              <w:rPr>
                <w:rFonts w:eastAsia="Times New Roman"/>
              </w:rPr>
            </w:pPr>
            <w:r>
              <w:rPr>
                <w:rFonts w:eastAsia="Times New Roman"/>
              </w:rPr>
              <w:t>0</w:t>
            </w:r>
          </w:p>
        </w:tc>
        <w:tc>
          <w:tcPr>
            <w:tcW w:w="720" w:type="dxa"/>
          </w:tcPr>
          <w:p w14:paraId="713949D6" w14:textId="77777777" w:rsidR="00AC5072" w:rsidRPr="00E359BF" w:rsidRDefault="00AC5072" w:rsidP="00FB1C07">
            <w:pPr>
              <w:pStyle w:val="TableTextCentered"/>
              <w:rPr>
                <w:rFonts w:eastAsia="Times New Roman"/>
              </w:rPr>
            </w:pPr>
            <w:r>
              <w:rPr>
                <w:rFonts w:eastAsia="Times New Roman"/>
              </w:rPr>
              <w:t>1</w:t>
            </w:r>
          </w:p>
        </w:tc>
        <w:tc>
          <w:tcPr>
            <w:tcW w:w="720" w:type="dxa"/>
          </w:tcPr>
          <w:p w14:paraId="3DD2905A" w14:textId="77777777" w:rsidR="00AC5072" w:rsidRPr="00E359BF" w:rsidRDefault="00AC5072" w:rsidP="00FB1C07">
            <w:pPr>
              <w:pStyle w:val="TableTextCentered"/>
              <w:rPr>
                <w:rFonts w:eastAsia="Times New Roman"/>
              </w:rPr>
            </w:pPr>
            <w:r>
              <w:rPr>
                <w:rFonts w:eastAsia="Times New Roman"/>
              </w:rPr>
              <w:t>3</w:t>
            </w:r>
          </w:p>
        </w:tc>
        <w:tc>
          <w:tcPr>
            <w:tcW w:w="720" w:type="dxa"/>
          </w:tcPr>
          <w:p w14:paraId="51F89F0A" w14:textId="77777777" w:rsidR="00AC5072" w:rsidRPr="00E359BF" w:rsidRDefault="00AC5072" w:rsidP="00FB1C07">
            <w:pPr>
              <w:pStyle w:val="TableTextCentered"/>
              <w:rPr>
                <w:rFonts w:eastAsia="Times New Roman"/>
              </w:rPr>
            </w:pPr>
            <w:r>
              <w:rPr>
                <w:rFonts w:eastAsia="Times New Roman"/>
              </w:rPr>
              <w:t>4</w:t>
            </w:r>
          </w:p>
        </w:tc>
        <w:tc>
          <w:tcPr>
            <w:tcW w:w="720" w:type="dxa"/>
          </w:tcPr>
          <w:p w14:paraId="49FA3460" w14:textId="77777777" w:rsidR="00AC5072" w:rsidRPr="00E359BF" w:rsidRDefault="00AC5072" w:rsidP="00FB1C07">
            <w:pPr>
              <w:pStyle w:val="TableTextCentered"/>
              <w:rPr>
                <w:rFonts w:eastAsia="Times New Roman"/>
              </w:rPr>
            </w:pPr>
            <w:r>
              <w:rPr>
                <w:rFonts w:eastAsia="Times New Roman"/>
              </w:rPr>
              <w:t>6</w:t>
            </w:r>
          </w:p>
        </w:tc>
        <w:tc>
          <w:tcPr>
            <w:tcW w:w="720" w:type="dxa"/>
            <w:vAlign w:val="center"/>
          </w:tcPr>
          <w:p w14:paraId="1EB81660" w14:textId="77777777" w:rsidR="00AC5072" w:rsidRPr="00E359BF" w:rsidRDefault="00AC5072" w:rsidP="00FB1C07">
            <w:pPr>
              <w:pStyle w:val="TableTextCentered"/>
              <w:rPr>
                <w:rFonts w:eastAsia="Times New Roman"/>
              </w:rPr>
            </w:pPr>
            <w:r>
              <w:rPr>
                <w:rFonts w:eastAsia="Times New Roman"/>
              </w:rPr>
              <w:t>2</w:t>
            </w:r>
          </w:p>
        </w:tc>
        <w:tc>
          <w:tcPr>
            <w:tcW w:w="720" w:type="dxa"/>
            <w:vAlign w:val="center"/>
          </w:tcPr>
          <w:p w14:paraId="173F3001" w14:textId="77777777" w:rsidR="00AC5072" w:rsidRPr="00E359BF" w:rsidRDefault="00AC5072" w:rsidP="00FB1C07">
            <w:pPr>
              <w:pStyle w:val="TableTextCentered"/>
              <w:rPr>
                <w:rFonts w:eastAsia="Times New Roman"/>
              </w:rPr>
            </w:pPr>
            <w:r>
              <w:rPr>
                <w:rFonts w:eastAsia="Times New Roman"/>
              </w:rPr>
              <w:t>4</w:t>
            </w:r>
          </w:p>
        </w:tc>
        <w:tc>
          <w:tcPr>
            <w:tcW w:w="547" w:type="dxa"/>
          </w:tcPr>
          <w:p w14:paraId="6E2142A5" w14:textId="77777777" w:rsidR="00AC5072" w:rsidRPr="00E359BF" w:rsidRDefault="00AC5072" w:rsidP="00FB1C07">
            <w:pPr>
              <w:pStyle w:val="TableTextCentered"/>
              <w:rPr>
                <w:rFonts w:eastAsia="Times New Roman"/>
              </w:rPr>
            </w:pPr>
            <w:r>
              <w:rPr>
                <w:rFonts w:eastAsia="Times New Roman"/>
              </w:rPr>
              <w:t>20</w:t>
            </w:r>
          </w:p>
        </w:tc>
        <w:tc>
          <w:tcPr>
            <w:tcW w:w="900" w:type="dxa"/>
          </w:tcPr>
          <w:p w14:paraId="0D069B32" w14:textId="77777777" w:rsidR="00AC5072" w:rsidRPr="00E359BF" w:rsidRDefault="00AC5072" w:rsidP="00FB1C07">
            <w:pPr>
              <w:pStyle w:val="TableTextCentered"/>
              <w:rPr>
                <w:rFonts w:eastAsia="Times New Roman"/>
              </w:rPr>
            </w:pPr>
            <w:r>
              <w:rPr>
                <w:rFonts w:eastAsia="Times New Roman"/>
              </w:rPr>
              <w:t>4.9</w:t>
            </w:r>
          </w:p>
        </w:tc>
      </w:tr>
      <w:tr w:rsidR="00AC5072" w:rsidRPr="00E359BF" w14:paraId="255E5371" w14:textId="77777777" w:rsidTr="00FB1C07">
        <w:tc>
          <w:tcPr>
            <w:tcW w:w="3232" w:type="dxa"/>
            <w:vAlign w:val="center"/>
          </w:tcPr>
          <w:p w14:paraId="32205114" w14:textId="77777777" w:rsidR="00AC5072" w:rsidRPr="00E359BF" w:rsidRDefault="00AC5072" w:rsidP="00FB1C07">
            <w:pPr>
              <w:pStyle w:val="TableText"/>
              <w:ind w:left="204"/>
              <w:rPr>
                <w:b/>
                <w:bCs/>
              </w:rPr>
            </w:pPr>
            <w:r w:rsidRPr="00D931E1">
              <w:t>Analysis and Inquiry</w:t>
            </w:r>
          </w:p>
        </w:tc>
        <w:tc>
          <w:tcPr>
            <w:tcW w:w="720" w:type="dxa"/>
          </w:tcPr>
          <w:p w14:paraId="1CD32896" w14:textId="77777777" w:rsidR="00AC5072" w:rsidRPr="00E359BF" w:rsidRDefault="00AC5072" w:rsidP="00FB1C07">
            <w:pPr>
              <w:pStyle w:val="TableTextCentered"/>
              <w:rPr>
                <w:rFonts w:eastAsia="Times New Roman"/>
              </w:rPr>
            </w:pPr>
            <w:r>
              <w:rPr>
                <w:rFonts w:eastAsia="Times New Roman"/>
              </w:rPr>
              <w:t>2</w:t>
            </w:r>
          </w:p>
        </w:tc>
        <w:tc>
          <w:tcPr>
            <w:tcW w:w="720" w:type="dxa"/>
          </w:tcPr>
          <w:p w14:paraId="6BC8BE6F" w14:textId="77777777" w:rsidR="00AC5072" w:rsidRPr="00E359BF" w:rsidRDefault="00AC5072" w:rsidP="00FB1C07">
            <w:pPr>
              <w:pStyle w:val="TableTextCentered"/>
              <w:rPr>
                <w:rFonts w:eastAsia="Times New Roman"/>
              </w:rPr>
            </w:pPr>
            <w:r>
              <w:rPr>
                <w:rFonts w:eastAsia="Times New Roman"/>
              </w:rPr>
              <w:t>8</w:t>
            </w:r>
          </w:p>
        </w:tc>
        <w:tc>
          <w:tcPr>
            <w:tcW w:w="720" w:type="dxa"/>
          </w:tcPr>
          <w:p w14:paraId="0F3E8E28" w14:textId="77777777" w:rsidR="00AC5072" w:rsidRPr="00E359BF" w:rsidRDefault="00AC5072" w:rsidP="00FB1C07">
            <w:pPr>
              <w:pStyle w:val="TableTextCentered"/>
              <w:rPr>
                <w:rFonts w:eastAsia="Times New Roman"/>
              </w:rPr>
            </w:pPr>
            <w:r>
              <w:rPr>
                <w:rFonts w:eastAsia="Times New Roman"/>
              </w:rPr>
              <w:t>6</w:t>
            </w:r>
          </w:p>
        </w:tc>
        <w:tc>
          <w:tcPr>
            <w:tcW w:w="720" w:type="dxa"/>
          </w:tcPr>
          <w:p w14:paraId="6DE0424F" w14:textId="77777777" w:rsidR="00AC5072" w:rsidRPr="00E359BF" w:rsidRDefault="00AC5072" w:rsidP="00FB1C07">
            <w:pPr>
              <w:pStyle w:val="TableTextCentered"/>
              <w:rPr>
                <w:rFonts w:eastAsia="Times New Roman"/>
              </w:rPr>
            </w:pPr>
            <w:r>
              <w:rPr>
                <w:rFonts w:eastAsia="Times New Roman"/>
              </w:rPr>
              <w:t>2</w:t>
            </w:r>
          </w:p>
        </w:tc>
        <w:tc>
          <w:tcPr>
            <w:tcW w:w="720" w:type="dxa"/>
          </w:tcPr>
          <w:p w14:paraId="4F5CD03A" w14:textId="77777777" w:rsidR="00AC5072" w:rsidRPr="00E359BF" w:rsidRDefault="00AC5072" w:rsidP="00FB1C07">
            <w:pPr>
              <w:pStyle w:val="TableTextCentered"/>
              <w:rPr>
                <w:rFonts w:eastAsia="Times New Roman"/>
              </w:rPr>
            </w:pPr>
            <w:r>
              <w:rPr>
                <w:rFonts w:eastAsia="Times New Roman"/>
              </w:rPr>
              <w:t>2</w:t>
            </w:r>
          </w:p>
        </w:tc>
        <w:tc>
          <w:tcPr>
            <w:tcW w:w="720" w:type="dxa"/>
            <w:vAlign w:val="center"/>
          </w:tcPr>
          <w:p w14:paraId="36AD20E8" w14:textId="77777777" w:rsidR="00AC5072" w:rsidRPr="00E359BF" w:rsidRDefault="00AC5072" w:rsidP="00FB1C07">
            <w:pPr>
              <w:pStyle w:val="TableTextCentered"/>
              <w:rPr>
                <w:rFonts w:eastAsia="Times New Roman"/>
              </w:rPr>
            </w:pPr>
            <w:r>
              <w:rPr>
                <w:rFonts w:eastAsia="Times New Roman"/>
              </w:rPr>
              <w:t>0</w:t>
            </w:r>
          </w:p>
        </w:tc>
        <w:tc>
          <w:tcPr>
            <w:tcW w:w="720" w:type="dxa"/>
            <w:vAlign w:val="center"/>
          </w:tcPr>
          <w:p w14:paraId="2AD423F9" w14:textId="77777777" w:rsidR="00AC5072" w:rsidRPr="00E359BF" w:rsidRDefault="00AC5072" w:rsidP="00FB1C07">
            <w:pPr>
              <w:pStyle w:val="TableTextCentered"/>
              <w:rPr>
                <w:rFonts w:eastAsia="Times New Roman"/>
              </w:rPr>
            </w:pPr>
            <w:r>
              <w:rPr>
                <w:rFonts w:eastAsia="Times New Roman"/>
              </w:rPr>
              <w:t>0</w:t>
            </w:r>
          </w:p>
        </w:tc>
        <w:tc>
          <w:tcPr>
            <w:tcW w:w="547" w:type="dxa"/>
          </w:tcPr>
          <w:p w14:paraId="2774CA12" w14:textId="77777777" w:rsidR="00AC5072" w:rsidRPr="00E359BF" w:rsidRDefault="00AC5072" w:rsidP="00FB1C07">
            <w:pPr>
              <w:pStyle w:val="TableTextCentered"/>
              <w:rPr>
                <w:rFonts w:eastAsia="Times New Roman"/>
              </w:rPr>
            </w:pPr>
            <w:r>
              <w:rPr>
                <w:rFonts w:eastAsia="Times New Roman"/>
              </w:rPr>
              <w:t>20</w:t>
            </w:r>
          </w:p>
        </w:tc>
        <w:tc>
          <w:tcPr>
            <w:tcW w:w="900" w:type="dxa"/>
          </w:tcPr>
          <w:p w14:paraId="4678DA5F" w14:textId="77777777" w:rsidR="00AC5072" w:rsidRPr="00E359BF" w:rsidRDefault="00AC5072" w:rsidP="00FB1C07">
            <w:pPr>
              <w:pStyle w:val="TableTextCentered"/>
              <w:rPr>
                <w:rFonts w:eastAsia="Times New Roman"/>
              </w:rPr>
            </w:pPr>
            <w:r>
              <w:rPr>
                <w:rFonts w:eastAsia="Times New Roman"/>
              </w:rPr>
              <w:t>2.7</w:t>
            </w:r>
          </w:p>
        </w:tc>
      </w:tr>
      <w:tr w:rsidR="00AC5072" w:rsidRPr="00E359BF" w14:paraId="56B51978" w14:textId="77777777" w:rsidTr="00FB1C07">
        <w:trPr>
          <w:cnfStyle w:val="000000100000" w:firstRow="0" w:lastRow="0" w:firstColumn="0" w:lastColumn="0" w:oddVBand="0" w:evenVBand="0" w:oddHBand="1" w:evenHBand="0" w:firstRowFirstColumn="0" w:firstRowLastColumn="0" w:lastRowFirstColumn="0" w:lastRowLastColumn="0"/>
        </w:trPr>
        <w:tc>
          <w:tcPr>
            <w:tcW w:w="3232" w:type="dxa"/>
            <w:vAlign w:val="center"/>
          </w:tcPr>
          <w:p w14:paraId="2EB3E33A" w14:textId="77777777" w:rsidR="00AC5072" w:rsidRPr="00D931E1" w:rsidRDefault="00AC5072" w:rsidP="00FB1C07">
            <w:pPr>
              <w:pStyle w:val="TableText"/>
              <w:ind w:left="204"/>
              <w:rPr>
                <w:b/>
                <w:bCs/>
              </w:rPr>
            </w:pPr>
            <w:r w:rsidRPr="00D931E1">
              <w:t>Quality of Feedback</w:t>
            </w:r>
          </w:p>
        </w:tc>
        <w:tc>
          <w:tcPr>
            <w:tcW w:w="720" w:type="dxa"/>
          </w:tcPr>
          <w:p w14:paraId="4621055B" w14:textId="77777777" w:rsidR="00AC5072" w:rsidRPr="00E359BF" w:rsidRDefault="00AC5072" w:rsidP="00FB1C07">
            <w:pPr>
              <w:pStyle w:val="TableTextCentered"/>
              <w:rPr>
                <w:rFonts w:eastAsia="Times New Roman"/>
              </w:rPr>
            </w:pPr>
            <w:r>
              <w:rPr>
                <w:rFonts w:eastAsia="Times New Roman"/>
              </w:rPr>
              <w:t>4</w:t>
            </w:r>
          </w:p>
        </w:tc>
        <w:tc>
          <w:tcPr>
            <w:tcW w:w="720" w:type="dxa"/>
          </w:tcPr>
          <w:p w14:paraId="7BD7535D" w14:textId="77777777" w:rsidR="00AC5072" w:rsidRPr="00E359BF" w:rsidRDefault="00AC5072" w:rsidP="00FB1C07">
            <w:pPr>
              <w:pStyle w:val="TableTextCentered"/>
              <w:rPr>
                <w:rFonts w:eastAsia="Times New Roman"/>
              </w:rPr>
            </w:pPr>
            <w:r>
              <w:rPr>
                <w:rFonts w:eastAsia="Times New Roman"/>
              </w:rPr>
              <w:t>4</w:t>
            </w:r>
          </w:p>
        </w:tc>
        <w:tc>
          <w:tcPr>
            <w:tcW w:w="720" w:type="dxa"/>
          </w:tcPr>
          <w:p w14:paraId="0EA618CA" w14:textId="77777777" w:rsidR="00AC5072" w:rsidRPr="00E359BF" w:rsidRDefault="00AC5072" w:rsidP="00FB1C07">
            <w:pPr>
              <w:pStyle w:val="TableTextCentered"/>
              <w:rPr>
                <w:rFonts w:eastAsia="Times New Roman"/>
              </w:rPr>
            </w:pPr>
            <w:r>
              <w:rPr>
                <w:rFonts w:eastAsia="Times New Roman"/>
              </w:rPr>
              <w:t>5</w:t>
            </w:r>
          </w:p>
        </w:tc>
        <w:tc>
          <w:tcPr>
            <w:tcW w:w="720" w:type="dxa"/>
          </w:tcPr>
          <w:p w14:paraId="1511B68E" w14:textId="77777777" w:rsidR="00AC5072" w:rsidRPr="00E359BF" w:rsidRDefault="00AC5072" w:rsidP="00FB1C07">
            <w:pPr>
              <w:pStyle w:val="TableTextCentered"/>
              <w:rPr>
                <w:rFonts w:eastAsia="Times New Roman"/>
              </w:rPr>
            </w:pPr>
            <w:r>
              <w:rPr>
                <w:rFonts w:eastAsia="Times New Roman"/>
              </w:rPr>
              <w:t>3</w:t>
            </w:r>
          </w:p>
        </w:tc>
        <w:tc>
          <w:tcPr>
            <w:tcW w:w="720" w:type="dxa"/>
          </w:tcPr>
          <w:p w14:paraId="63952FC3" w14:textId="77777777" w:rsidR="00AC5072" w:rsidRPr="00E359BF" w:rsidRDefault="00AC5072" w:rsidP="00FB1C07">
            <w:pPr>
              <w:pStyle w:val="TableTextCentered"/>
              <w:rPr>
                <w:rFonts w:eastAsia="Times New Roman"/>
              </w:rPr>
            </w:pPr>
            <w:r>
              <w:rPr>
                <w:rFonts w:eastAsia="Times New Roman"/>
              </w:rPr>
              <w:t>4</w:t>
            </w:r>
          </w:p>
        </w:tc>
        <w:tc>
          <w:tcPr>
            <w:tcW w:w="720" w:type="dxa"/>
            <w:vAlign w:val="center"/>
          </w:tcPr>
          <w:p w14:paraId="6D56454C" w14:textId="77777777" w:rsidR="00AC5072" w:rsidRPr="00E359BF" w:rsidRDefault="00AC5072" w:rsidP="00FB1C07">
            <w:pPr>
              <w:pStyle w:val="TableTextCentered"/>
              <w:rPr>
                <w:rFonts w:eastAsia="Times New Roman"/>
              </w:rPr>
            </w:pPr>
            <w:r>
              <w:rPr>
                <w:rFonts w:eastAsia="Times New Roman"/>
              </w:rPr>
              <w:t>0</w:t>
            </w:r>
          </w:p>
        </w:tc>
        <w:tc>
          <w:tcPr>
            <w:tcW w:w="720" w:type="dxa"/>
            <w:vAlign w:val="center"/>
          </w:tcPr>
          <w:p w14:paraId="21AD5F4F" w14:textId="77777777" w:rsidR="00AC5072" w:rsidRPr="00E359BF" w:rsidRDefault="00AC5072" w:rsidP="00FB1C07">
            <w:pPr>
              <w:pStyle w:val="TableTextCentered"/>
              <w:rPr>
                <w:rFonts w:eastAsia="Times New Roman"/>
              </w:rPr>
            </w:pPr>
            <w:r>
              <w:rPr>
                <w:rFonts w:eastAsia="Times New Roman"/>
              </w:rPr>
              <w:t>0</w:t>
            </w:r>
          </w:p>
        </w:tc>
        <w:tc>
          <w:tcPr>
            <w:tcW w:w="547" w:type="dxa"/>
          </w:tcPr>
          <w:p w14:paraId="132E265B" w14:textId="77777777" w:rsidR="00AC5072" w:rsidRPr="00E359BF" w:rsidRDefault="00AC5072" w:rsidP="00FB1C07">
            <w:pPr>
              <w:pStyle w:val="TableTextCentered"/>
              <w:rPr>
                <w:rFonts w:eastAsia="Times New Roman"/>
              </w:rPr>
            </w:pPr>
            <w:r>
              <w:rPr>
                <w:rFonts w:eastAsia="Times New Roman"/>
              </w:rPr>
              <w:t>20</w:t>
            </w:r>
          </w:p>
        </w:tc>
        <w:tc>
          <w:tcPr>
            <w:tcW w:w="900" w:type="dxa"/>
          </w:tcPr>
          <w:p w14:paraId="6C821D90" w14:textId="77777777" w:rsidR="00AC5072" w:rsidRPr="00E359BF" w:rsidRDefault="00AC5072" w:rsidP="00FB1C07">
            <w:pPr>
              <w:pStyle w:val="TableTextCentered"/>
              <w:rPr>
                <w:rFonts w:eastAsia="Times New Roman"/>
              </w:rPr>
            </w:pPr>
            <w:r>
              <w:rPr>
                <w:rFonts w:eastAsia="Times New Roman"/>
              </w:rPr>
              <w:t>3.0</w:t>
            </w:r>
          </w:p>
        </w:tc>
      </w:tr>
      <w:tr w:rsidR="00AC5072" w:rsidRPr="00E359BF" w14:paraId="26EFD999" w14:textId="77777777" w:rsidTr="00FB1C07">
        <w:tc>
          <w:tcPr>
            <w:tcW w:w="3232" w:type="dxa"/>
            <w:vAlign w:val="center"/>
          </w:tcPr>
          <w:p w14:paraId="7C9EE9AE" w14:textId="77777777" w:rsidR="00AC5072" w:rsidRPr="00D931E1" w:rsidRDefault="00AC5072" w:rsidP="00FB1C07">
            <w:pPr>
              <w:pStyle w:val="TableText"/>
              <w:ind w:left="204"/>
              <w:rPr>
                <w:b/>
                <w:bCs/>
              </w:rPr>
            </w:pPr>
            <w:r w:rsidRPr="00D931E1">
              <w:t>Instructional Dialogue</w:t>
            </w:r>
          </w:p>
        </w:tc>
        <w:tc>
          <w:tcPr>
            <w:tcW w:w="720" w:type="dxa"/>
          </w:tcPr>
          <w:p w14:paraId="7777B749" w14:textId="77777777" w:rsidR="00AC5072" w:rsidRPr="00E359BF" w:rsidRDefault="00AC5072" w:rsidP="00FB1C07">
            <w:pPr>
              <w:pStyle w:val="TableTextCentered"/>
              <w:rPr>
                <w:rFonts w:eastAsia="Times New Roman"/>
              </w:rPr>
            </w:pPr>
            <w:r>
              <w:rPr>
                <w:rFonts w:eastAsia="Times New Roman"/>
              </w:rPr>
              <w:t>1</w:t>
            </w:r>
          </w:p>
        </w:tc>
        <w:tc>
          <w:tcPr>
            <w:tcW w:w="720" w:type="dxa"/>
          </w:tcPr>
          <w:p w14:paraId="46BF6E1F" w14:textId="77777777" w:rsidR="00AC5072" w:rsidRPr="00E359BF" w:rsidRDefault="00AC5072" w:rsidP="00FB1C07">
            <w:pPr>
              <w:pStyle w:val="TableTextCentered"/>
              <w:rPr>
                <w:rFonts w:eastAsia="Times New Roman"/>
              </w:rPr>
            </w:pPr>
            <w:r>
              <w:rPr>
                <w:rFonts w:eastAsia="Times New Roman"/>
              </w:rPr>
              <w:t>8</w:t>
            </w:r>
          </w:p>
        </w:tc>
        <w:tc>
          <w:tcPr>
            <w:tcW w:w="720" w:type="dxa"/>
          </w:tcPr>
          <w:p w14:paraId="38F065D1" w14:textId="77777777" w:rsidR="00AC5072" w:rsidRPr="00E359BF" w:rsidRDefault="00AC5072" w:rsidP="00FB1C07">
            <w:pPr>
              <w:pStyle w:val="TableTextCentered"/>
              <w:rPr>
                <w:rFonts w:eastAsia="Times New Roman"/>
              </w:rPr>
            </w:pPr>
            <w:r>
              <w:rPr>
                <w:rFonts w:eastAsia="Times New Roman"/>
              </w:rPr>
              <w:t>4</w:t>
            </w:r>
          </w:p>
        </w:tc>
        <w:tc>
          <w:tcPr>
            <w:tcW w:w="720" w:type="dxa"/>
          </w:tcPr>
          <w:p w14:paraId="797ED27F" w14:textId="77777777" w:rsidR="00AC5072" w:rsidRPr="00E359BF" w:rsidRDefault="00AC5072" w:rsidP="00FB1C07">
            <w:pPr>
              <w:pStyle w:val="TableTextCentered"/>
              <w:rPr>
                <w:rFonts w:eastAsia="Times New Roman"/>
              </w:rPr>
            </w:pPr>
            <w:r>
              <w:rPr>
                <w:rFonts w:eastAsia="Times New Roman"/>
              </w:rPr>
              <w:t>2</w:t>
            </w:r>
          </w:p>
        </w:tc>
        <w:tc>
          <w:tcPr>
            <w:tcW w:w="720" w:type="dxa"/>
          </w:tcPr>
          <w:p w14:paraId="115E4E99" w14:textId="77777777" w:rsidR="00AC5072" w:rsidRPr="00E359BF" w:rsidRDefault="00AC5072" w:rsidP="00FB1C07">
            <w:pPr>
              <w:pStyle w:val="TableTextCentered"/>
              <w:rPr>
                <w:rFonts w:eastAsia="Times New Roman"/>
              </w:rPr>
            </w:pPr>
            <w:r>
              <w:rPr>
                <w:rFonts w:eastAsia="Times New Roman"/>
              </w:rPr>
              <w:t>5</w:t>
            </w:r>
          </w:p>
        </w:tc>
        <w:tc>
          <w:tcPr>
            <w:tcW w:w="720" w:type="dxa"/>
            <w:vAlign w:val="center"/>
          </w:tcPr>
          <w:p w14:paraId="69F9EBD1" w14:textId="77777777" w:rsidR="00AC5072" w:rsidRPr="00E359BF" w:rsidRDefault="00AC5072" w:rsidP="00FB1C07">
            <w:pPr>
              <w:pStyle w:val="TableTextCentered"/>
              <w:rPr>
                <w:rFonts w:eastAsia="Times New Roman"/>
              </w:rPr>
            </w:pPr>
            <w:r>
              <w:rPr>
                <w:rFonts w:eastAsia="Times New Roman"/>
              </w:rPr>
              <w:t>0</w:t>
            </w:r>
          </w:p>
        </w:tc>
        <w:tc>
          <w:tcPr>
            <w:tcW w:w="720" w:type="dxa"/>
            <w:vAlign w:val="center"/>
          </w:tcPr>
          <w:p w14:paraId="33D89F85" w14:textId="77777777" w:rsidR="00AC5072" w:rsidRPr="00E359BF" w:rsidRDefault="00AC5072" w:rsidP="00FB1C07">
            <w:pPr>
              <w:pStyle w:val="TableTextCentered"/>
              <w:rPr>
                <w:rFonts w:eastAsia="Times New Roman"/>
              </w:rPr>
            </w:pPr>
            <w:r>
              <w:rPr>
                <w:rFonts w:eastAsia="Times New Roman"/>
              </w:rPr>
              <w:t>0</w:t>
            </w:r>
          </w:p>
        </w:tc>
        <w:tc>
          <w:tcPr>
            <w:tcW w:w="547" w:type="dxa"/>
          </w:tcPr>
          <w:p w14:paraId="186C8F0E" w14:textId="77777777" w:rsidR="00AC5072" w:rsidRPr="00E359BF" w:rsidRDefault="00AC5072" w:rsidP="00FB1C07">
            <w:pPr>
              <w:pStyle w:val="TableTextCentered"/>
              <w:rPr>
                <w:rFonts w:eastAsia="Times New Roman"/>
              </w:rPr>
            </w:pPr>
            <w:r>
              <w:rPr>
                <w:rFonts w:eastAsia="Times New Roman"/>
              </w:rPr>
              <w:t>20</w:t>
            </w:r>
          </w:p>
        </w:tc>
        <w:tc>
          <w:tcPr>
            <w:tcW w:w="900" w:type="dxa"/>
          </w:tcPr>
          <w:p w14:paraId="17B8C87B" w14:textId="77777777" w:rsidR="00AC5072" w:rsidRPr="00E359BF" w:rsidRDefault="00AC5072" w:rsidP="00FB1C07">
            <w:pPr>
              <w:pStyle w:val="TableTextCentered"/>
              <w:rPr>
                <w:rFonts w:eastAsia="Times New Roman"/>
              </w:rPr>
            </w:pPr>
            <w:r>
              <w:rPr>
                <w:rFonts w:eastAsia="Times New Roman"/>
              </w:rPr>
              <w:t>3.1</w:t>
            </w:r>
          </w:p>
        </w:tc>
      </w:tr>
      <w:tr w:rsidR="00AC5072" w:rsidRPr="009A0F07" w14:paraId="104E75A3" w14:textId="77777777">
        <w:trPr>
          <w:cnfStyle w:val="000000100000" w:firstRow="0" w:lastRow="0" w:firstColumn="0" w:lastColumn="0" w:oddVBand="0" w:evenVBand="0" w:oddHBand="1" w:evenHBand="0" w:firstRowFirstColumn="0" w:firstRowLastColumn="0" w:lastRowFirstColumn="0" w:lastRowLastColumn="0"/>
        </w:trPr>
        <w:tc>
          <w:tcPr>
            <w:tcW w:w="3232" w:type="dxa"/>
            <w:vAlign w:val="center"/>
          </w:tcPr>
          <w:p w14:paraId="5A7B7DED" w14:textId="77777777" w:rsidR="00AC5072" w:rsidRPr="00A34856" w:rsidRDefault="00AC5072" w:rsidP="00FB1C07">
            <w:pPr>
              <w:pStyle w:val="TableSubheading"/>
            </w:pPr>
            <w:r w:rsidRPr="00A34856">
              <w:t>Student Engagement</w:t>
            </w:r>
          </w:p>
        </w:tc>
        <w:tc>
          <w:tcPr>
            <w:tcW w:w="720" w:type="dxa"/>
          </w:tcPr>
          <w:p w14:paraId="4E9AC18B" w14:textId="77777777" w:rsidR="00AC5072" w:rsidRPr="00B30BCD" w:rsidRDefault="00AC5072" w:rsidP="00FB1C07">
            <w:pPr>
              <w:pStyle w:val="TableTextCenteredDemi"/>
              <w:rPr>
                <w:rFonts w:eastAsia="Times New Roman"/>
                <w:b/>
              </w:rPr>
            </w:pPr>
            <w:r>
              <w:rPr>
                <w:rFonts w:eastAsia="Times New Roman"/>
                <w:b/>
              </w:rPr>
              <w:t>0</w:t>
            </w:r>
          </w:p>
        </w:tc>
        <w:tc>
          <w:tcPr>
            <w:tcW w:w="720" w:type="dxa"/>
          </w:tcPr>
          <w:p w14:paraId="21FFC02C" w14:textId="77777777" w:rsidR="00AC5072" w:rsidRPr="00B30BCD" w:rsidRDefault="00AC5072" w:rsidP="00FB1C07">
            <w:pPr>
              <w:pStyle w:val="TableTextCenteredDemi"/>
              <w:rPr>
                <w:rFonts w:eastAsia="Times New Roman"/>
                <w:b/>
              </w:rPr>
            </w:pPr>
            <w:r>
              <w:rPr>
                <w:rFonts w:eastAsia="Times New Roman"/>
                <w:b/>
              </w:rPr>
              <w:t>1</w:t>
            </w:r>
          </w:p>
        </w:tc>
        <w:tc>
          <w:tcPr>
            <w:tcW w:w="720" w:type="dxa"/>
          </w:tcPr>
          <w:p w14:paraId="6B7C272E" w14:textId="77777777" w:rsidR="00AC5072" w:rsidRPr="00B30BCD" w:rsidRDefault="00AC5072" w:rsidP="00FB1C07">
            <w:pPr>
              <w:pStyle w:val="TableTextCenteredDemi"/>
              <w:rPr>
                <w:rFonts w:eastAsia="Times New Roman"/>
                <w:b/>
              </w:rPr>
            </w:pPr>
            <w:r>
              <w:rPr>
                <w:rFonts w:eastAsia="Times New Roman"/>
                <w:b/>
              </w:rPr>
              <w:t>2</w:t>
            </w:r>
          </w:p>
        </w:tc>
        <w:tc>
          <w:tcPr>
            <w:tcW w:w="720" w:type="dxa"/>
          </w:tcPr>
          <w:p w14:paraId="14F80FB1" w14:textId="77777777" w:rsidR="00AC5072" w:rsidRPr="00B30BCD" w:rsidRDefault="00AC5072" w:rsidP="00FB1C07">
            <w:pPr>
              <w:pStyle w:val="TableTextCenteredDemi"/>
              <w:rPr>
                <w:rFonts w:eastAsia="Times New Roman"/>
                <w:b/>
              </w:rPr>
            </w:pPr>
            <w:r>
              <w:rPr>
                <w:rFonts w:eastAsia="Times New Roman"/>
                <w:b/>
              </w:rPr>
              <w:t>5</w:t>
            </w:r>
          </w:p>
        </w:tc>
        <w:tc>
          <w:tcPr>
            <w:tcW w:w="720" w:type="dxa"/>
          </w:tcPr>
          <w:p w14:paraId="0B7EB612" w14:textId="77777777" w:rsidR="00AC5072" w:rsidRPr="00B30BCD" w:rsidRDefault="00AC5072" w:rsidP="00FB1C07">
            <w:pPr>
              <w:pStyle w:val="TableTextCenteredDemi"/>
              <w:rPr>
                <w:rFonts w:eastAsia="Times New Roman"/>
                <w:b/>
              </w:rPr>
            </w:pPr>
            <w:r>
              <w:rPr>
                <w:rFonts w:eastAsia="Times New Roman"/>
                <w:b/>
              </w:rPr>
              <w:t>8</w:t>
            </w:r>
          </w:p>
        </w:tc>
        <w:tc>
          <w:tcPr>
            <w:tcW w:w="720" w:type="dxa"/>
            <w:vAlign w:val="center"/>
          </w:tcPr>
          <w:p w14:paraId="171B8FEE" w14:textId="77777777" w:rsidR="00AC5072" w:rsidRPr="00B30BCD" w:rsidRDefault="00AC5072" w:rsidP="00FB1C07">
            <w:pPr>
              <w:pStyle w:val="TableTextCenteredDemi"/>
              <w:rPr>
                <w:rFonts w:eastAsia="Times New Roman"/>
                <w:b/>
              </w:rPr>
            </w:pPr>
            <w:r>
              <w:rPr>
                <w:rFonts w:eastAsia="Times New Roman"/>
                <w:b/>
              </w:rPr>
              <w:t>3</w:t>
            </w:r>
          </w:p>
        </w:tc>
        <w:tc>
          <w:tcPr>
            <w:tcW w:w="720" w:type="dxa"/>
            <w:vAlign w:val="center"/>
          </w:tcPr>
          <w:p w14:paraId="176D6A91" w14:textId="77777777" w:rsidR="00AC5072" w:rsidRPr="00B30BCD" w:rsidRDefault="00AC5072" w:rsidP="00FB1C07">
            <w:pPr>
              <w:pStyle w:val="TableTextCenteredDemi"/>
              <w:rPr>
                <w:rFonts w:eastAsia="Times New Roman"/>
                <w:b/>
              </w:rPr>
            </w:pPr>
            <w:r>
              <w:rPr>
                <w:rFonts w:eastAsia="Times New Roman"/>
                <w:b/>
              </w:rPr>
              <w:t>1</w:t>
            </w:r>
          </w:p>
        </w:tc>
        <w:tc>
          <w:tcPr>
            <w:tcW w:w="547" w:type="dxa"/>
          </w:tcPr>
          <w:p w14:paraId="5B9DECA1" w14:textId="77777777" w:rsidR="00AC5072" w:rsidRPr="00B30BCD" w:rsidRDefault="00AC5072" w:rsidP="00FB1C07">
            <w:pPr>
              <w:pStyle w:val="TableTextCenteredDemi"/>
              <w:rPr>
                <w:rFonts w:eastAsia="Times New Roman"/>
                <w:b/>
              </w:rPr>
            </w:pPr>
            <w:r>
              <w:rPr>
                <w:rFonts w:eastAsia="Times New Roman"/>
                <w:b/>
              </w:rPr>
              <w:t>20</w:t>
            </w:r>
          </w:p>
        </w:tc>
        <w:tc>
          <w:tcPr>
            <w:tcW w:w="900" w:type="dxa"/>
          </w:tcPr>
          <w:p w14:paraId="548BBFEB" w14:textId="77777777" w:rsidR="00AC5072" w:rsidRPr="00B30BCD" w:rsidRDefault="00AC5072" w:rsidP="00FB1C07">
            <w:pPr>
              <w:pStyle w:val="TableTextCenteredDemi"/>
              <w:rPr>
                <w:rFonts w:eastAsia="Times New Roman"/>
                <w:b/>
              </w:rPr>
            </w:pPr>
            <w:r>
              <w:rPr>
                <w:rFonts w:eastAsia="Times New Roman"/>
                <w:b/>
              </w:rPr>
              <w:t>4.7</w:t>
            </w:r>
          </w:p>
        </w:tc>
      </w:tr>
    </w:tbl>
    <w:bookmarkEnd w:id="219"/>
    <w:p w14:paraId="3CBEA781" w14:textId="77777777" w:rsidR="007303EE" w:rsidRPr="00797379" w:rsidRDefault="007303EE" w:rsidP="005D3040">
      <w:pPr>
        <w:pStyle w:val="TableNote"/>
      </w:pPr>
      <w:r w:rsidRPr="00797379">
        <w:t xml:space="preserve">*The district average is an average of the scores. For example, for Positive Climate, the district average is computed as: </w:t>
      </w:r>
      <w:bookmarkStart w:id="220" w:name="High_PC_Calc"/>
      <w:r w:rsidRPr="00797379">
        <w:t>([3 x 7] + [4 x 6] + [5 x 4] + [6 x 2] + [7 x 1]) ÷ 20 observations = 4.2</w:t>
      </w:r>
      <w:bookmarkEnd w:id="220"/>
    </w:p>
    <w:p w14:paraId="49CDD2DF" w14:textId="47306667" w:rsidR="005D3040" w:rsidRPr="00797379" w:rsidRDefault="007303EE" w:rsidP="005D3040">
      <w:pPr>
        <w:pStyle w:val="TableNote"/>
      </w:pPr>
      <w:r w:rsidRPr="00797379">
        <w:t xml:space="preserve">**Negative Climate is rated on an inverse scale. An original score of 1 is given a value of 7. The scoring in the table reflects the normalized adjustment: </w:t>
      </w:r>
      <w:bookmarkStart w:id="221" w:name="High_NC_Calc"/>
      <w:r w:rsidRPr="00797379">
        <w:t>([5 x 1] + [7 x 19]) ÷ 20 observations = 6.9</w:t>
      </w:r>
      <w:bookmarkEnd w:id="221"/>
      <w:r w:rsidR="005D3040" w:rsidRPr="00797379">
        <w:br w:type="page"/>
      </w:r>
    </w:p>
    <w:p w14:paraId="781F900C" w14:textId="77777777" w:rsidR="007303EE" w:rsidRPr="00797379" w:rsidRDefault="007303EE" w:rsidP="00DB6F03">
      <w:pPr>
        <w:pStyle w:val="Heading2-SIOR"/>
        <w:outlineLvl w:val="2"/>
      </w:pPr>
      <w:bookmarkStart w:id="222" w:name="_Toc430114891"/>
      <w:bookmarkStart w:id="223" w:name="_Toc496109993"/>
      <w:bookmarkStart w:id="224" w:name="_Toc220931762"/>
      <w:r w:rsidRPr="00797379">
        <w:t>References</w:t>
      </w:r>
      <w:bookmarkEnd w:id="222"/>
      <w:bookmarkEnd w:id="223"/>
      <w:bookmarkEnd w:id="224"/>
    </w:p>
    <w:p w14:paraId="6DE610CC" w14:textId="05EC40E2" w:rsidR="007303EE" w:rsidRPr="00797379" w:rsidRDefault="007303EE">
      <w:pPr>
        <w:pStyle w:val="Reference"/>
        <w:rPr>
          <w:rStyle w:val="Hyperlink"/>
          <w:rFonts w:eastAsiaTheme="minorEastAsia"/>
        </w:rPr>
      </w:pPr>
      <w:r w:rsidRPr="00797379">
        <w:t xml:space="preserve">Center for Advanced Study of Teaching and Learning. (n.d.). </w:t>
      </w:r>
      <w:r w:rsidRPr="00797379">
        <w:rPr>
          <w:i/>
        </w:rPr>
        <w:t>Measuring and improving teacher</w:t>
      </w:r>
      <w:r w:rsidRPr="00797379">
        <w:rPr>
          <w:i/>
        </w:rPr>
        <w:noBreakHyphen/>
        <w:t>student interactions in PK−12 settings to enhance students’ learning</w:t>
      </w:r>
      <w:r w:rsidRPr="00797379">
        <w:t xml:space="preserve">. Charlottesville, VA: University of Virginia. Retrieved from </w:t>
      </w:r>
      <w:hyperlink r:id="rId39" w:history="1">
        <w:r w:rsidRPr="00797379">
          <w:rPr>
            <w:rStyle w:val="Hyperlink"/>
            <w:rFonts w:eastAsiaTheme="minorEastAsia"/>
          </w:rPr>
          <w:t>http://www.teachstone.com/wp-content/uploads/2011/05/class-mtp-pk-12-brief.pdf</w:t>
        </w:r>
      </w:hyperlink>
    </w:p>
    <w:p w14:paraId="2E1F4671" w14:textId="77777777" w:rsidR="007303EE" w:rsidRPr="00797379" w:rsidRDefault="007303EE">
      <w:pPr>
        <w:pStyle w:val="Reference"/>
        <w:rPr>
          <w:rStyle w:val="Hyperlink"/>
          <w:rFonts w:eastAsiaTheme="minorEastAsia"/>
        </w:rPr>
      </w:pPr>
      <w:r w:rsidRPr="00797379">
        <w:t xml:space="preserve">MET Project. (2010). </w:t>
      </w:r>
      <w:r w:rsidRPr="00797379">
        <w:rPr>
          <w:i/>
        </w:rPr>
        <w:t>The CLASS protocol for classroom observations</w:t>
      </w:r>
      <w:r w:rsidRPr="00797379">
        <w:t xml:space="preserve">. Seattle, WA: Bill &amp; Melinda Gates Foundation. Retrieved from </w:t>
      </w:r>
      <w:hyperlink r:id="rId40" w:history="1">
        <w:r w:rsidRPr="00797379">
          <w:rPr>
            <w:rStyle w:val="Hyperlink"/>
            <w:rFonts w:eastAsiaTheme="minorEastAsia"/>
          </w:rPr>
          <w:t>http://metproject.org/resources/CLASS_10_29_10.pdf</w:t>
        </w:r>
      </w:hyperlink>
    </w:p>
    <w:p w14:paraId="00DE18EC" w14:textId="77777777" w:rsidR="007303EE" w:rsidRPr="00797379" w:rsidRDefault="007303EE">
      <w:pPr>
        <w:pStyle w:val="Reference"/>
      </w:pPr>
      <w:r w:rsidRPr="00797379">
        <w:rPr>
          <w:lang w:val="es-MX"/>
        </w:rPr>
        <w:t xml:space="preserve">Pianta, R. C., Hamre, B. K., &amp; Mintz, S. (2012). </w:t>
      </w:r>
      <w:r w:rsidRPr="00797379">
        <w:rPr>
          <w:i/>
        </w:rPr>
        <w:t>Classroom Assessment Scoring System (CLASS) Manual, Secondary.</w:t>
      </w:r>
      <w:r w:rsidRPr="00797379">
        <w:t xml:space="preserve"> Charlottesville, VA:</w:t>
      </w:r>
      <w:r w:rsidRPr="00797379">
        <w:rPr>
          <w:i/>
        </w:rPr>
        <w:t xml:space="preserve"> </w:t>
      </w:r>
      <w:r w:rsidRPr="00797379">
        <w:t>Teachstone.</w:t>
      </w:r>
    </w:p>
    <w:p w14:paraId="636ECE3A" w14:textId="77777777" w:rsidR="007303EE" w:rsidRPr="00797379" w:rsidRDefault="007303EE">
      <w:pPr>
        <w:pStyle w:val="Reference"/>
        <w:rPr>
          <w:lang w:val="es-MX"/>
        </w:rPr>
      </w:pPr>
      <w:r w:rsidRPr="003976A2">
        <w:rPr>
          <w:lang w:val="es-ES"/>
        </w:rPr>
        <w:t xml:space="preserve">Pianta, R. C., Hamre, B. K., &amp; Mintz, S. (2012). </w:t>
      </w:r>
      <w:r w:rsidRPr="00797379">
        <w:rPr>
          <w:i/>
        </w:rPr>
        <w:t>Classroom Assessment Scoring System (CLASS) Manual, Upper Elementary.</w:t>
      </w:r>
      <w:r w:rsidRPr="00797379">
        <w:t xml:space="preserve"> </w:t>
      </w:r>
      <w:r w:rsidRPr="00797379">
        <w:rPr>
          <w:lang w:val="es-MX"/>
        </w:rPr>
        <w:t>Charlottesville, VA:</w:t>
      </w:r>
      <w:r w:rsidRPr="00797379">
        <w:rPr>
          <w:i/>
          <w:lang w:val="es-MX"/>
        </w:rPr>
        <w:t xml:space="preserve"> </w:t>
      </w:r>
      <w:r w:rsidRPr="00797379">
        <w:rPr>
          <w:lang w:val="es-MX"/>
        </w:rPr>
        <w:t>Teachstone.</w:t>
      </w:r>
    </w:p>
    <w:p w14:paraId="139BBA24" w14:textId="1531821A" w:rsidR="00486B55" w:rsidRPr="00797379" w:rsidRDefault="007303EE" w:rsidP="007303EE">
      <w:pPr>
        <w:pStyle w:val="Reference"/>
      </w:pPr>
      <w:r w:rsidRPr="00797379">
        <w:rPr>
          <w:lang w:val="es-MX"/>
        </w:rPr>
        <w:t xml:space="preserve">Pianta, R. C., La Paro, K. M., &amp; Hamre, B. K. (2008). </w:t>
      </w:r>
      <w:r w:rsidRPr="00797379">
        <w:rPr>
          <w:i/>
        </w:rPr>
        <w:t xml:space="preserve">Classroom Assessment Scoring System (CLASS) Manual, PK–3. </w:t>
      </w:r>
      <w:r w:rsidRPr="00797379">
        <w:t>Baltimore, MD: Paul H. Brookes Publishing Co.</w:t>
      </w:r>
    </w:p>
    <w:p w14:paraId="304C07E7" w14:textId="77777777" w:rsidR="006A3E3E" w:rsidRPr="00797379" w:rsidRDefault="006A3E3E" w:rsidP="00486B55">
      <w:pPr>
        <w:spacing w:line="240" w:lineRule="auto"/>
        <w:sectPr w:rsidR="006A3E3E" w:rsidRPr="00797379" w:rsidSect="004437F0">
          <w:footerReference w:type="default" r:id="rId41"/>
          <w:headerReference w:type="first" r:id="rId42"/>
          <w:pgSz w:w="12240" w:h="15840" w:code="1"/>
          <w:pgMar w:top="1440" w:right="1440" w:bottom="1170" w:left="1440" w:header="720" w:footer="720" w:gutter="0"/>
          <w:cols w:space="720"/>
          <w:docGrid w:linePitch="360"/>
        </w:sectPr>
      </w:pPr>
    </w:p>
    <w:p w14:paraId="24DC4234" w14:textId="77777777" w:rsidR="00486B55" w:rsidRPr="00797379" w:rsidRDefault="00486B55" w:rsidP="009F6401">
      <w:pPr>
        <w:pStyle w:val="Heading2"/>
      </w:pPr>
      <w:bookmarkStart w:id="225" w:name="_Toc223625546"/>
      <w:r w:rsidRPr="00797379">
        <w:t>Appendix C. Resources to Support Implementation of DESE’s District Standards and Indicators</w:t>
      </w:r>
      <w:bookmarkEnd w:id="87"/>
      <w:bookmarkEnd w:id="88"/>
      <w:bookmarkEnd w:id="225"/>
    </w:p>
    <w:p w14:paraId="4FAF2556" w14:textId="506087E8" w:rsidR="001D09E0" w:rsidRPr="001D09E0" w:rsidRDefault="001D09E0" w:rsidP="001D09E0">
      <w:pPr>
        <w:keepNext/>
        <w:spacing w:before="240" w:after="60"/>
        <w:rPr>
          <w:rFonts w:ascii="Franklin Gothic Book" w:eastAsia="Aptos" w:hAnsi="Franklin Gothic Book" w:cs="Arial"/>
        </w:rPr>
      </w:pPr>
      <w:r w:rsidRPr="001D09E0">
        <w:rPr>
          <w:rFonts w:ascii="Franklin Gothic Book" w:eastAsia="Aptos" w:hAnsi="Franklin Gothic Book" w:cs="Arial"/>
        </w:rPr>
        <w:t xml:space="preserve">Table C1. Resources to Support </w:t>
      </w:r>
      <w:r>
        <w:rPr>
          <w:rFonts w:ascii="Franklin Gothic Book" w:eastAsia="Aptos" w:hAnsi="Franklin Gothic Book" w:cs="Arial"/>
        </w:rPr>
        <w:t>Curriculum and Instruction</w:t>
      </w:r>
    </w:p>
    <w:tbl>
      <w:tblPr>
        <w:tblStyle w:val="MSVTable1"/>
        <w:tblW w:w="5000" w:type="pct"/>
        <w:tblLayout w:type="fixed"/>
        <w:tblLook w:val="0620" w:firstRow="1" w:lastRow="0" w:firstColumn="0" w:lastColumn="0" w:noHBand="1" w:noVBand="1"/>
      </w:tblPr>
      <w:tblGrid>
        <w:gridCol w:w="3592"/>
        <w:gridCol w:w="5752"/>
      </w:tblGrid>
      <w:tr w:rsidR="001D09E0" w:rsidRPr="001D09E0" w14:paraId="1E78D70C" w14:textId="77777777" w:rsidTr="002762A6">
        <w:trPr>
          <w:cnfStyle w:val="100000000000" w:firstRow="1" w:lastRow="0" w:firstColumn="0" w:lastColumn="0" w:oddVBand="0" w:evenVBand="0" w:oddHBand="0" w:evenHBand="0" w:firstRowFirstColumn="0" w:firstRowLastColumn="0" w:lastRowFirstColumn="0" w:lastRowLastColumn="0"/>
        </w:trPr>
        <w:tc>
          <w:tcPr>
            <w:tcW w:w="3592" w:type="dxa"/>
            <w:tcBorders>
              <w:top w:val="single" w:sz="6" w:space="0" w:color="2F5496"/>
              <w:left w:val="single" w:sz="6" w:space="0" w:color="2F5496"/>
              <w:bottom w:val="single" w:sz="6" w:space="0" w:color="2F5496"/>
            </w:tcBorders>
            <w:hideMark/>
          </w:tcPr>
          <w:p w14:paraId="0D384649" w14:textId="77777777" w:rsidR="001D09E0" w:rsidRPr="001D09E0" w:rsidRDefault="001D09E0" w:rsidP="001D09E0">
            <w:pPr>
              <w:spacing w:line="240" w:lineRule="auto"/>
              <w:rPr>
                <w:rFonts w:ascii="Franklin Gothic Book" w:eastAsia="Times New Roman" w:hAnsi="Franklin Gothic Book" w:cs="Arial"/>
                <w:bCs/>
                <w:color w:val="FFFFFF"/>
                <w:sz w:val="20"/>
                <w:szCs w:val="20"/>
              </w:rPr>
            </w:pPr>
            <w:r w:rsidRPr="001D09E0">
              <w:rPr>
                <w:rFonts w:ascii="Franklin Gothic Book" w:eastAsia="Times New Roman" w:hAnsi="Franklin Gothic Book" w:cs="Arial"/>
                <w:bCs/>
                <w:color w:val="FFFFFF"/>
                <w:sz w:val="20"/>
                <w:szCs w:val="20"/>
              </w:rPr>
              <w:t>Resource</w:t>
            </w:r>
          </w:p>
        </w:tc>
        <w:tc>
          <w:tcPr>
            <w:tcW w:w="5752" w:type="dxa"/>
            <w:tcBorders>
              <w:top w:val="single" w:sz="6" w:space="0" w:color="2F5496"/>
              <w:bottom w:val="single" w:sz="6" w:space="0" w:color="2F5496"/>
              <w:right w:val="single" w:sz="6" w:space="0" w:color="2F5496"/>
            </w:tcBorders>
            <w:hideMark/>
          </w:tcPr>
          <w:p w14:paraId="42ED2387" w14:textId="77777777" w:rsidR="001D09E0" w:rsidRPr="001D09E0" w:rsidRDefault="001D09E0" w:rsidP="001D09E0">
            <w:pPr>
              <w:spacing w:line="240" w:lineRule="auto"/>
              <w:rPr>
                <w:rFonts w:ascii="Franklin Gothic Book" w:eastAsia="Times New Roman" w:hAnsi="Franklin Gothic Book" w:cs="Arial"/>
                <w:bCs/>
                <w:color w:val="FFFFFF"/>
                <w:sz w:val="20"/>
                <w:szCs w:val="20"/>
              </w:rPr>
            </w:pPr>
            <w:r w:rsidRPr="001D09E0">
              <w:rPr>
                <w:rFonts w:ascii="Franklin Gothic Book" w:eastAsia="Times New Roman" w:hAnsi="Franklin Gothic Book" w:cs="Arial"/>
                <w:bCs/>
                <w:color w:val="FFFFFF"/>
                <w:sz w:val="20"/>
                <w:szCs w:val="20"/>
              </w:rPr>
              <w:t>Description</w:t>
            </w:r>
          </w:p>
        </w:tc>
      </w:tr>
      <w:tr w:rsidR="001D09E0" w:rsidRPr="001D09E0" w14:paraId="5C82753A" w14:textId="77777777" w:rsidTr="002762A6">
        <w:tc>
          <w:tcPr>
            <w:tcW w:w="3592" w:type="dxa"/>
            <w:tcBorders>
              <w:top w:val="single" w:sz="6" w:space="0" w:color="2F5496"/>
              <w:left w:val="single" w:sz="6" w:space="0" w:color="2F5496"/>
              <w:bottom w:val="single" w:sz="6" w:space="0" w:color="2F5496"/>
              <w:right w:val="single" w:sz="6" w:space="0" w:color="2F5496"/>
            </w:tcBorders>
            <w:hideMark/>
          </w:tcPr>
          <w:p w14:paraId="1CDEBB82" w14:textId="77777777" w:rsidR="001D09E0" w:rsidRPr="001D09E0" w:rsidRDefault="001D09E0" w:rsidP="001D09E0">
            <w:pPr>
              <w:spacing w:line="240" w:lineRule="auto"/>
              <w:rPr>
                <w:rFonts w:ascii="Franklin Gothic Book" w:eastAsia="HGGothicE" w:hAnsi="Franklin Gothic Book" w:cs="Arial"/>
                <w:bCs/>
                <w:sz w:val="20"/>
                <w:szCs w:val="20"/>
              </w:rPr>
            </w:pPr>
            <w:hyperlink r:id="rId43" w:history="1">
              <w:r w:rsidRPr="001D09E0">
                <w:rPr>
                  <w:rFonts w:ascii="Franklin Gothic Book" w:eastAsia="Times New Roman" w:hAnsi="Franklin Gothic Book" w:cs="Arial"/>
                  <w:color w:val="467886"/>
                  <w:sz w:val="20"/>
                  <w:szCs w:val="20"/>
                  <w:u w:val="single"/>
                </w:rPr>
                <w:t>Coherence Guidebook</w:t>
              </w:r>
            </w:hyperlink>
            <w:r w:rsidRPr="001D09E0">
              <w:rPr>
                <w:rFonts w:ascii="Franklin Gothic Book" w:eastAsia="Times New Roman" w:hAnsi="Franklin Gothic Book" w:cs="Arial"/>
                <w:sz w:val="20"/>
                <w:szCs w:val="20"/>
              </w:rPr>
              <w:t>*</w:t>
            </w:r>
          </w:p>
        </w:tc>
        <w:tc>
          <w:tcPr>
            <w:tcW w:w="5752" w:type="dxa"/>
            <w:tcBorders>
              <w:top w:val="single" w:sz="6" w:space="0" w:color="2F5496"/>
              <w:left w:val="single" w:sz="6" w:space="0" w:color="2F5496"/>
              <w:bottom w:val="single" w:sz="6" w:space="0" w:color="2F5496"/>
              <w:right w:val="single" w:sz="6" w:space="0" w:color="2F5496"/>
            </w:tcBorders>
            <w:hideMark/>
          </w:tcPr>
          <w:p w14:paraId="27CC1D08" w14:textId="77777777" w:rsidR="001D09E0" w:rsidRPr="001D09E0" w:rsidRDefault="001D09E0" w:rsidP="001D09E0">
            <w:pPr>
              <w:spacing w:line="240" w:lineRule="auto"/>
              <w:rPr>
                <w:rFonts w:ascii="Franklin Gothic Book" w:eastAsia="HGGothicE" w:hAnsi="Franklin Gothic Book" w:cs="Arial"/>
                <w:bCs/>
                <w:sz w:val="20"/>
                <w:szCs w:val="20"/>
              </w:rPr>
            </w:pPr>
            <w:r w:rsidRPr="001D09E0">
              <w:rPr>
                <w:rFonts w:ascii="Franklin Gothic Book" w:eastAsia="Times New Roman" w:hAnsi="Franklin Gothic Book" w:cs="Arial"/>
                <w:sz w:val="20"/>
                <w:szCs w:val="20"/>
              </w:rPr>
              <w:t xml:space="preserve">The guidebook illustrates a systems-level path toward deeper learning. School system leaders and teams may use the guidebook, along with its companion self-assessment, to articulate a vision of deeper learning, identify high-leverage instructional priorities, refine tiered supports, and leverage systems and structures—all in service of the articulated vision. </w:t>
            </w:r>
          </w:p>
        </w:tc>
      </w:tr>
      <w:tr w:rsidR="004C679E" w:rsidRPr="001D09E0" w14:paraId="7473B081" w14:textId="77777777" w:rsidTr="002762A6">
        <w:tc>
          <w:tcPr>
            <w:tcW w:w="3592" w:type="dxa"/>
            <w:tcBorders>
              <w:top w:val="single" w:sz="6" w:space="0" w:color="2F5496"/>
              <w:left w:val="single" w:sz="6" w:space="0" w:color="2F5496"/>
              <w:bottom w:val="single" w:sz="6" w:space="0" w:color="2F5496"/>
              <w:right w:val="single" w:sz="6" w:space="0" w:color="2F5496"/>
            </w:tcBorders>
          </w:tcPr>
          <w:p w14:paraId="790780E8" w14:textId="77777777" w:rsidR="004C679E" w:rsidRPr="00AB7B1E" w:rsidRDefault="004C679E" w:rsidP="004C679E">
            <w:pPr>
              <w:pStyle w:val="TableText"/>
              <w:rPr>
                <w:rFonts w:ascii="Franklin Gothic Book" w:hAnsi="Franklin Gothic Book" w:cs="Arial"/>
              </w:rPr>
            </w:pPr>
            <w:r w:rsidRPr="00AB7B1E">
              <w:rPr>
                <w:rFonts w:ascii="Franklin Gothic Book" w:hAnsi="Franklin Gothic Book" w:cs="Arial"/>
              </w:rPr>
              <w:t>Curriculum Frameworks and Resources</w:t>
            </w:r>
          </w:p>
          <w:p w14:paraId="2FE949BB" w14:textId="77777777" w:rsidR="004C679E" w:rsidRPr="00AB7B1E" w:rsidRDefault="004C679E" w:rsidP="00E26C47">
            <w:pPr>
              <w:pStyle w:val="TableBullet1"/>
              <w:rPr>
                <w:rStyle w:val="Hyperlink"/>
                <w:rFonts w:ascii="Franklin Gothic Book" w:eastAsia="Franklin Gothic Book" w:hAnsi="Franklin Gothic Book" w:cs="Arial"/>
                <w:szCs w:val="20"/>
                <w14:ligatures w14:val="standardContextual"/>
              </w:rPr>
            </w:pPr>
            <w:hyperlink r:id="rId44" w:history="1">
              <w:r w:rsidRPr="00AB7B1E">
                <w:rPr>
                  <w:rStyle w:val="Hyperlink"/>
                  <w:rFonts w:ascii="Franklin Gothic Book" w:hAnsi="Franklin Gothic Book" w:cs="Arial"/>
                  <w:szCs w:val="20"/>
                </w:rPr>
                <w:t>Curriculum Matters Webpage</w:t>
              </w:r>
            </w:hyperlink>
          </w:p>
          <w:p w14:paraId="23BE51BE" w14:textId="77777777" w:rsidR="004C679E" w:rsidRPr="00AB7B1E" w:rsidRDefault="004C679E" w:rsidP="00E26C47">
            <w:pPr>
              <w:pStyle w:val="TableBullet1"/>
              <w:rPr>
                <w:rStyle w:val="Hyperlink"/>
                <w:rFonts w:ascii="Franklin Gothic Book" w:eastAsia="Franklin Gothic Book" w:hAnsi="Franklin Gothic Book" w:cs="Arial"/>
                <w:szCs w:val="20"/>
                <w14:ligatures w14:val="standardContextual"/>
              </w:rPr>
            </w:pPr>
            <w:hyperlink r:id="rId45" w:history="1">
              <w:r w:rsidRPr="00AB7B1E">
                <w:rPr>
                  <w:rStyle w:val="Hyperlink"/>
                  <w:rFonts w:ascii="Franklin Gothic Book" w:hAnsi="Franklin Gothic Book" w:cs="Arial"/>
                  <w:szCs w:val="20"/>
                </w:rPr>
                <w:t>Curriculum Frameworks Resources</w:t>
              </w:r>
            </w:hyperlink>
          </w:p>
          <w:p w14:paraId="5752B273" w14:textId="77777777" w:rsidR="004C679E" w:rsidRPr="00AB7B1E" w:rsidRDefault="004C679E" w:rsidP="00E26C47">
            <w:pPr>
              <w:pStyle w:val="TableBullet1"/>
              <w:rPr>
                <w:rFonts w:ascii="Franklin Gothic Book" w:eastAsia="Franklin Gothic Book" w:hAnsi="Franklin Gothic Book" w:cs="Arial"/>
                <w:szCs w:val="20"/>
                <w14:ligatures w14:val="standardContextual"/>
              </w:rPr>
            </w:pPr>
            <w:hyperlink r:id="rId46" w:history="1">
              <w:r w:rsidRPr="00AB7B1E">
                <w:rPr>
                  <w:rStyle w:val="Hyperlink"/>
                  <w:rFonts w:ascii="Franklin Gothic Book" w:hAnsi="Franklin Gothic Book" w:cs="Arial"/>
                  <w:szCs w:val="20"/>
                </w:rPr>
                <w:t>IMplement MA</w:t>
              </w:r>
            </w:hyperlink>
          </w:p>
          <w:p w14:paraId="1A94CA1C" w14:textId="77777777" w:rsidR="009C1AA6" w:rsidRPr="009C1AA6" w:rsidRDefault="004C679E" w:rsidP="009C1AA6">
            <w:pPr>
              <w:pStyle w:val="TableBullet1"/>
              <w:rPr>
                <w:rFonts w:ascii="Franklin Gothic Book" w:eastAsia="Franklin Gothic Book" w:hAnsi="Franklin Gothic Book" w:cs="Arial"/>
                <w:szCs w:val="20"/>
                <w14:ligatures w14:val="standardContextual"/>
              </w:rPr>
            </w:pPr>
            <w:hyperlink r:id="rId47" w:history="1">
              <w:r w:rsidRPr="00AB7B1E">
                <w:rPr>
                  <w:rStyle w:val="Hyperlink"/>
                  <w:rFonts w:ascii="Franklin Gothic Book" w:hAnsi="Franklin Gothic Book" w:cs="Arial"/>
                  <w:szCs w:val="20"/>
                </w:rPr>
                <w:t>CURATE</w:t>
              </w:r>
            </w:hyperlink>
          </w:p>
          <w:p w14:paraId="7AE8B4DE" w14:textId="591A4FF7" w:rsidR="004C679E" w:rsidRPr="009C1AA6" w:rsidRDefault="004C679E" w:rsidP="009C1AA6">
            <w:pPr>
              <w:pStyle w:val="TableBullet1"/>
              <w:rPr>
                <w:rFonts w:ascii="Franklin Gothic Book" w:eastAsia="Franklin Gothic Book" w:hAnsi="Franklin Gothic Book" w:cs="Arial"/>
                <w:szCs w:val="20"/>
                <w14:ligatures w14:val="standardContextual"/>
              </w:rPr>
            </w:pPr>
            <w:hyperlink r:id="rId48" w:history="1">
              <w:r w:rsidRPr="009C1AA6">
                <w:rPr>
                  <w:rStyle w:val="Hyperlink"/>
                  <w:rFonts w:ascii="Franklin Gothic Book" w:hAnsi="Franklin Gothic Book" w:cs="Arial"/>
                  <w:szCs w:val="20"/>
                </w:rPr>
                <w:t>Supporting Culturally and Linguistically Sustaining Practices</w:t>
              </w:r>
            </w:hyperlink>
          </w:p>
        </w:tc>
        <w:tc>
          <w:tcPr>
            <w:tcW w:w="5752" w:type="dxa"/>
            <w:tcBorders>
              <w:top w:val="single" w:sz="6" w:space="0" w:color="2F5496"/>
              <w:left w:val="single" w:sz="6" w:space="0" w:color="2F5496"/>
              <w:bottom w:val="single" w:sz="6" w:space="0" w:color="2F5496"/>
              <w:right w:val="single" w:sz="6" w:space="0" w:color="2F5496"/>
            </w:tcBorders>
          </w:tcPr>
          <w:p w14:paraId="617A8E9F" w14:textId="77777777" w:rsidR="004C679E" w:rsidRPr="00AB7B1E" w:rsidRDefault="004C679E" w:rsidP="004C679E">
            <w:pPr>
              <w:pStyle w:val="TableText"/>
              <w:rPr>
                <w:rFonts w:ascii="Franklin Gothic Book" w:hAnsi="Franklin Gothic Book" w:cs="Arial"/>
              </w:rPr>
            </w:pPr>
            <w:r w:rsidRPr="00AB7B1E">
              <w:rPr>
                <w:rFonts w:ascii="Franklin Gothic Book" w:hAnsi="Franklin Gothic Book" w:cs="Arial"/>
              </w:rPr>
              <w:t xml:space="preserve">DESE offers a suite of resources to support the use of high-quality curriculum that is culturally and linguistically sustaining. These resources include the curriculum frameworks and </w:t>
            </w:r>
            <w:r w:rsidRPr="00AB7B1E">
              <w:rPr>
                <w:rFonts w:ascii="Franklin Gothic Book" w:eastAsiaTheme="majorEastAsia" w:hAnsi="Franklin Gothic Book" w:cs="Arial"/>
              </w:rPr>
              <w:t>IMplement MA</w:t>
            </w:r>
            <w:r w:rsidRPr="00AB7B1E">
              <w:rPr>
                <w:rFonts w:ascii="Franklin Gothic Book" w:hAnsi="Franklin Gothic Book" w:cs="Arial"/>
              </w:rPr>
              <w:t xml:space="preserve">, our recommended four-phase process to prepare for, select, launch, and implement new high-quality instructional materials with key tasks and action steps. Additionally, CURATE convenes panels of Massachusetts teachers to review and rate curriculum. These ratings are posted publicly to support schools and districts in selected high-quality instructional materials. Finally, the Supporting Culturally and Linguistically Sustaining Practices webpage provides DESE’s definition of these practices and highlights their importance in our schools and classrooms. </w:t>
            </w:r>
          </w:p>
          <w:p w14:paraId="4C6FB4B0" w14:textId="77777777" w:rsidR="004C679E" w:rsidRPr="001D09E0" w:rsidRDefault="004C679E" w:rsidP="004C679E">
            <w:pPr>
              <w:spacing w:line="240" w:lineRule="auto"/>
              <w:rPr>
                <w:rFonts w:ascii="Franklin Gothic Book" w:eastAsia="Times New Roman" w:hAnsi="Franklin Gothic Book" w:cs="Arial"/>
                <w:sz w:val="20"/>
                <w:szCs w:val="20"/>
              </w:rPr>
            </w:pPr>
          </w:p>
        </w:tc>
      </w:tr>
      <w:tr w:rsidR="009C1AA6" w:rsidRPr="001D09E0" w14:paraId="64F7F8BD" w14:textId="77777777" w:rsidTr="002762A6">
        <w:tc>
          <w:tcPr>
            <w:tcW w:w="3592" w:type="dxa"/>
            <w:tcBorders>
              <w:top w:val="single" w:sz="6" w:space="0" w:color="2F5496"/>
              <w:left w:val="single" w:sz="6" w:space="0" w:color="2F5496"/>
              <w:bottom w:val="single" w:sz="6" w:space="0" w:color="2F5496"/>
              <w:right w:val="single" w:sz="6" w:space="0" w:color="2F5496"/>
            </w:tcBorders>
          </w:tcPr>
          <w:p w14:paraId="4A8F9B94" w14:textId="77777777" w:rsidR="009C1AA6" w:rsidRPr="00AB7B1E" w:rsidRDefault="009C1AA6" w:rsidP="009C1AA6">
            <w:pPr>
              <w:pStyle w:val="TableText"/>
              <w:rPr>
                <w:rFonts w:ascii="Franklin Gothic Book" w:hAnsi="Franklin Gothic Book" w:cs="Arial"/>
              </w:rPr>
            </w:pPr>
            <w:r w:rsidRPr="00AB7B1E">
              <w:rPr>
                <w:rFonts w:ascii="Franklin Gothic Book" w:hAnsi="Franklin Gothic Book" w:cs="Arial"/>
              </w:rPr>
              <w:t xml:space="preserve">Massachusetts Curricular Resources </w:t>
            </w:r>
          </w:p>
          <w:p w14:paraId="025065BF" w14:textId="77777777" w:rsidR="009C1AA6" w:rsidRPr="00AB7B1E" w:rsidRDefault="009C1AA6" w:rsidP="00E26C47">
            <w:pPr>
              <w:pStyle w:val="TableBullet1"/>
              <w:rPr>
                <w:rStyle w:val="Hyperlink"/>
                <w:rFonts w:ascii="Franklin Gothic Book" w:hAnsi="Franklin Gothic Book" w:cs="Arial"/>
                <w:szCs w:val="20"/>
              </w:rPr>
            </w:pPr>
            <w:hyperlink r:id="rId49" w:history="1">
              <w:r w:rsidRPr="00AB7B1E">
                <w:rPr>
                  <w:rStyle w:val="Hyperlink"/>
                  <w:rFonts w:ascii="Franklin Gothic Book" w:hAnsi="Franklin Gothic Book" w:cs="Arial"/>
                  <w:szCs w:val="20"/>
                </w:rPr>
                <w:t>Appleseeds</w:t>
              </w:r>
            </w:hyperlink>
          </w:p>
          <w:p w14:paraId="4573695A" w14:textId="77777777" w:rsidR="009C1AA6" w:rsidRDefault="009C1AA6" w:rsidP="009C1AA6">
            <w:pPr>
              <w:pStyle w:val="TableBullet1"/>
              <w:rPr>
                <w:rStyle w:val="Hyperlink"/>
                <w:rFonts w:ascii="Franklin Gothic Book" w:hAnsi="Franklin Gothic Book" w:cs="Arial"/>
                <w:szCs w:val="20"/>
              </w:rPr>
            </w:pPr>
            <w:hyperlink r:id="rId50" w:history="1">
              <w:r w:rsidRPr="00AB7B1E">
                <w:rPr>
                  <w:rStyle w:val="Hyperlink"/>
                  <w:rFonts w:ascii="Franklin Gothic Book" w:hAnsi="Franklin Gothic Book" w:cs="Arial"/>
                  <w:szCs w:val="20"/>
                </w:rPr>
                <w:t>Investigating History</w:t>
              </w:r>
            </w:hyperlink>
            <w:r w:rsidRPr="00AB7B1E">
              <w:rPr>
                <w:rStyle w:val="Hyperlink"/>
                <w:rFonts w:ascii="Franklin Gothic Book" w:hAnsi="Franklin Gothic Book" w:cs="Arial"/>
                <w:szCs w:val="20"/>
              </w:rPr>
              <w:t xml:space="preserve"> </w:t>
            </w:r>
          </w:p>
          <w:p w14:paraId="261DC3E7" w14:textId="4F53305E" w:rsidR="009C1AA6" w:rsidRPr="009C1AA6" w:rsidRDefault="009C1AA6" w:rsidP="009C1AA6">
            <w:pPr>
              <w:pStyle w:val="TableBullet1"/>
              <w:rPr>
                <w:rFonts w:ascii="Franklin Gothic Book" w:hAnsi="Franklin Gothic Book" w:cs="Arial"/>
                <w:color w:val="0563C1" w:themeColor="hyperlink"/>
                <w:szCs w:val="20"/>
                <w:u w:val="single"/>
              </w:rPr>
            </w:pPr>
            <w:hyperlink r:id="rId51" w:history="1">
              <w:r w:rsidRPr="009C1AA6">
                <w:rPr>
                  <w:rStyle w:val="Hyperlink"/>
                  <w:rFonts w:ascii="Franklin Gothic Book" w:hAnsi="Franklin Gothic Book" w:cs="Arial"/>
                </w:rPr>
                <w:t>OpenSciEd</w:t>
              </w:r>
            </w:hyperlink>
          </w:p>
        </w:tc>
        <w:tc>
          <w:tcPr>
            <w:tcW w:w="5752" w:type="dxa"/>
            <w:tcBorders>
              <w:top w:val="single" w:sz="6" w:space="0" w:color="2F5496"/>
              <w:left w:val="single" w:sz="6" w:space="0" w:color="2F5496"/>
              <w:bottom w:val="single" w:sz="6" w:space="0" w:color="2F5496"/>
              <w:right w:val="single" w:sz="6" w:space="0" w:color="2F5496"/>
            </w:tcBorders>
          </w:tcPr>
          <w:p w14:paraId="5EF12A7D" w14:textId="65606496" w:rsidR="009C1AA6" w:rsidRPr="00AB7B1E" w:rsidRDefault="009C1AA6" w:rsidP="009C1AA6">
            <w:pPr>
              <w:pStyle w:val="TableText"/>
              <w:rPr>
                <w:rFonts w:ascii="Franklin Gothic Book" w:hAnsi="Franklin Gothic Book" w:cs="Arial"/>
              </w:rPr>
            </w:pPr>
            <w:r w:rsidRPr="00AB7B1E">
              <w:rPr>
                <w:rFonts w:ascii="Franklin Gothic Book" w:hAnsi="Franklin Gothic Book" w:cs="Arial"/>
              </w:rPr>
              <w:t>Free, open-source curricular resources aligned to the Massachusetts Curriculum Frameworks.</w:t>
            </w:r>
          </w:p>
        </w:tc>
      </w:tr>
      <w:tr w:rsidR="00E65586" w:rsidRPr="001D09E0" w14:paraId="50045F01" w14:textId="77777777" w:rsidTr="002762A6">
        <w:tc>
          <w:tcPr>
            <w:tcW w:w="3592" w:type="dxa"/>
            <w:tcBorders>
              <w:top w:val="single" w:sz="6" w:space="0" w:color="2F5496"/>
              <w:left w:val="single" w:sz="6" w:space="0" w:color="2F5496"/>
              <w:bottom w:val="single" w:sz="6" w:space="0" w:color="2F5496"/>
              <w:right w:val="single" w:sz="6" w:space="0" w:color="2F5496"/>
            </w:tcBorders>
          </w:tcPr>
          <w:p w14:paraId="57FED394" w14:textId="04A377E0" w:rsidR="00E65586" w:rsidRPr="00AB7B1E" w:rsidRDefault="00E65586" w:rsidP="00E65586">
            <w:pPr>
              <w:pStyle w:val="TableText"/>
              <w:rPr>
                <w:rFonts w:ascii="Franklin Gothic Book" w:hAnsi="Franklin Gothic Book" w:cs="Arial"/>
              </w:rPr>
            </w:pPr>
            <w:hyperlink r:id="rId52" w:history="1">
              <w:r w:rsidRPr="00AB7B1E">
                <w:rPr>
                  <w:rStyle w:val="Hyperlink"/>
                  <w:rFonts w:ascii="Franklin Gothic Book" w:hAnsi="Franklin Gothic Book" w:cs="Arial"/>
                  <w:szCs w:val="20"/>
                </w:rPr>
                <w:t>Mass Literacy Guide</w:t>
              </w:r>
            </w:hyperlink>
          </w:p>
        </w:tc>
        <w:tc>
          <w:tcPr>
            <w:tcW w:w="5752" w:type="dxa"/>
            <w:tcBorders>
              <w:top w:val="single" w:sz="6" w:space="0" w:color="2F5496"/>
              <w:left w:val="single" w:sz="6" w:space="0" w:color="2F5496"/>
              <w:bottom w:val="single" w:sz="6" w:space="0" w:color="2F5496"/>
              <w:right w:val="single" w:sz="6" w:space="0" w:color="2F5496"/>
            </w:tcBorders>
          </w:tcPr>
          <w:p w14:paraId="6607B053" w14:textId="0E3A8B2B" w:rsidR="00E65586" w:rsidRPr="00AB7B1E" w:rsidRDefault="00E65586" w:rsidP="00E65586">
            <w:pPr>
              <w:pStyle w:val="TableText"/>
              <w:rPr>
                <w:rFonts w:ascii="Franklin Gothic Book" w:hAnsi="Franklin Gothic Book" w:cs="Arial"/>
              </w:rPr>
            </w:pPr>
            <w:r w:rsidRPr="00AB7B1E">
              <w:rPr>
                <w:rFonts w:ascii="Franklin Gothic Book" w:hAnsi="Franklin Gothic Book" w:cs="Arial"/>
              </w:rPr>
              <w:t>Mass Literacy is a statewide effort to empower educators with the evidence-based practices for literacy that all students need. DESE has developed several evidence-based resources to support literacy, all of which are linked on the Mass Literacy page.</w:t>
            </w:r>
          </w:p>
        </w:tc>
      </w:tr>
      <w:tr w:rsidR="00D32B3D" w:rsidRPr="001D09E0" w14:paraId="6FB879A6" w14:textId="77777777" w:rsidTr="002762A6">
        <w:tc>
          <w:tcPr>
            <w:tcW w:w="3592" w:type="dxa"/>
            <w:tcBorders>
              <w:top w:val="single" w:sz="6" w:space="0" w:color="2F5496"/>
              <w:left w:val="single" w:sz="6" w:space="0" w:color="2F5496"/>
              <w:bottom w:val="single" w:sz="6" w:space="0" w:color="2F5496"/>
              <w:right w:val="single" w:sz="6" w:space="0" w:color="2F5496"/>
            </w:tcBorders>
          </w:tcPr>
          <w:p w14:paraId="6D254A36" w14:textId="77777777" w:rsidR="00D32B3D" w:rsidRPr="00AB7B1E" w:rsidRDefault="00D32B3D" w:rsidP="00D32B3D">
            <w:pPr>
              <w:pStyle w:val="TableText"/>
              <w:rPr>
                <w:rFonts w:ascii="Franklin Gothic Book" w:hAnsi="Franklin Gothic Book" w:cs="Arial"/>
                <w14:ligatures w14:val="standardContextual"/>
              </w:rPr>
            </w:pPr>
            <w:r w:rsidRPr="00AB7B1E">
              <w:rPr>
                <w:rFonts w:ascii="Franklin Gothic Book" w:hAnsi="Franklin Gothic Book" w:cs="Arial"/>
              </w:rPr>
              <w:t xml:space="preserve">MTSS Resources: </w:t>
            </w:r>
          </w:p>
          <w:p w14:paraId="59FC7E95" w14:textId="77777777" w:rsidR="00D32B3D" w:rsidRPr="00D32B3D" w:rsidRDefault="00D32B3D" w:rsidP="00D32B3D">
            <w:pPr>
              <w:pStyle w:val="TableBullet1"/>
              <w:rPr>
                <w:rFonts w:ascii="Franklin Gothic Book" w:eastAsia="Franklin Gothic Book" w:hAnsi="Franklin Gothic Book" w:cs="Arial"/>
                <w:color w:val="0563C1" w:themeColor="hyperlink"/>
                <w:szCs w:val="20"/>
                <w:u w:val="single"/>
                <w:shd w:val="clear" w:color="auto" w:fill="FFFFFF"/>
              </w:rPr>
            </w:pPr>
            <w:hyperlink r:id="rId53" w:history="1">
              <w:r w:rsidRPr="00AB7B1E">
                <w:rPr>
                  <w:rStyle w:val="Hyperlink"/>
                  <w:rFonts w:ascii="Franklin Gothic Book" w:hAnsi="Franklin Gothic Book" w:cs="Arial"/>
                  <w:szCs w:val="20"/>
                </w:rPr>
                <w:t>MTSS Blueprint, Self-Assessment, and Resources</w:t>
              </w:r>
            </w:hyperlink>
          </w:p>
          <w:p w14:paraId="482A737C" w14:textId="628D18C7" w:rsidR="00D32B3D" w:rsidRPr="00D32B3D" w:rsidRDefault="00D32B3D" w:rsidP="00D32B3D">
            <w:pPr>
              <w:pStyle w:val="TableBullet1"/>
              <w:rPr>
                <w:rFonts w:ascii="Franklin Gothic Book" w:eastAsia="Franklin Gothic Book" w:hAnsi="Franklin Gothic Book" w:cs="Arial"/>
                <w:color w:val="0563C1" w:themeColor="hyperlink"/>
                <w:szCs w:val="20"/>
                <w:u w:val="single"/>
                <w:shd w:val="clear" w:color="auto" w:fill="FFFFFF"/>
              </w:rPr>
            </w:pPr>
            <w:hyperlink r:id="rId54" w:history="1">
              <w:r w:rsidRPr="00D32B3D">
                <w:rPr>
                  <w:rStyle w:val="Hyperlink"/>
                  <w:rFonts w:ascii="Franklin Gothic Book" w:hAnsi="Franklin Gothic Book" w:cs="Arial"/>
                  <w:szCs w:val="20"/>
                </w:rPr>
                <w:t>Massachusetts Tools for Schools</w:t>
              </w:r>
            </w:hyperlink>
          </w:p>
        </w:tc>
        <w:tc>
          <w:tcPr>
            <w:tcW w:w="5752" w:type="dxa"/>
            <w:tcBorders>
              <w:top w:val="single" w:sz="6" w:space="0" w:color="2F5496"/>
              <w:left w:val="single" w:sz="6" w:space="0" w:color="2F5496"/>
              <w:bottom w:val="single" w:sz="6" w:space="0" w:color="2F5496"/>
              <w:right w:val="single" w:sz="6" w:space="0" w:color="2F5496"/>
            </w:tcBorders>
          </w:tcPr>
          <w:p w14:paraId="1F9D46F9" w14:textId="31DA7518" w:rsidR="00D32B3D" w:rsidRPr="00AB7B1E" w:rsidRDefault="00D32B3D" w:rsidP="00D32B3D">
            <w:pPr>
              <w:pStyle w:val="TableText"/>
              <w:rPr>
                <w:rFonts w:ascii="Franklin Gothic Book" w:hAnsi="Franklin Gothic Book" w:cs="Arial"/>
              </w:rPr>
            </w:pPr>
            <w:r w:rsidRPr="00AB7B1E">
              <w:rPr>
                <w:rFonts w:ascii="Franklin Gothic Book" w:hAnsi="Franklin Gothic Book" w:cs="Arial"/>
              </w:rPr>
              <w:t>MTSS is a framework for how school districts can build the necessary systems to ensure that every student receives a high-quality educational experience.</w:t>
            </w:r>
          </w:p>
        </w:tc>
      </w:tr>
    </w:tbl>
    <w:p w14:paraId="6A2A1BA7" w14:textId="488F232B" w:rsidR="001A27EA" w:rsidRPr="001A27EA" w:rsidRDefault="005B16B8" w:rsidP="001A27EA">
      <w:pPr>
        <w:keepNext/>
        <w:spacing w:before="240" w:after="60"/>
        <w:rPr>
          <w:rFonts w:ascii="Franklin Gothic Book" w:eastAsia="Aptos" w:hAnsi="Franklin Gothic Book" w:cs="Arial"/>
          <w:sz w:val="16"/>
          <w:szCs w:val="16"/>
        </w:rPr>
      </w:pPr>
      <w:r>
        <w:rPr>
          <w:rFonts w:ascii="Franklin Gothic Book" w:eastAsia="Aptos" w:hAnsi="Franklin Gothic Book" w:cs="Arial"/>
          <w:sz w:val="16"/>
          <w:szCs w:val="16"/>
        </w:rPr>
        <w:t>*</w:t>
      </w:r>
      <w:r w:rsidR="001A27EA" w:rsidRPr="001A27EA">
        <w:rPr>
          <w:rFonts w:ascii="Franklin Gothic Book" w:eastAsia="Aptos" w:hAnsi="Franklin Gothic Book" w:cs="Arial"/>
          <w:sz w:val="16"/>
          <w:szCs w:val="16"/>
        </w:rPr>
        <w:t>The Coherence Guidebook may be useful across multiple standard areas including Leadership and Governance, Curriculum and Instruction, Assessment, and Student Support</w:t>
      </w:r>
    </w:p>
    <w:p w14:paraId="74A722FD" w14:textId="77777777" w:rsidR="001A27EA" w:rsidRDefault="001A27EA" w:rsidP="009F6401">
      <w:pPr>
        <w:pStyle w:val="BodyText"/>
      </w:pPr>
    </w:p>
    <w:p w14:paraId="271495BC" w14:textId="4DF8628F" w:rsidR="008B5725" w:rsidRPr="00AB7B1E" w:rsidRDefault="008B5725" w:rsidP="008B5725">
      <w:pPr>
        <w:pStyle w:val="TableTitle0"/>
        <w:rPr>
          <w:rFonts w:ascii="Franklin Gothic Book" w:hAnsi="Franklin Gothic Book" w:cs="Arial"/>
        </w:rPr>
      </w:pPr>
      <w:r w:rsidRPr="00AB7B1E">
        <w:rPr>
          <w:rFonts w:ascii="Franklin Gothic Book" w:hAnsi="Franklin Gothic Book" w:cs="Arial"/>
        </w:rPr>
        <w:t>Table C</w:t>
      </w:r>
      <w:r>
        <w:rPr>
          <w:rFonts w:ascii="Franklin Gothic Book" w:hAnsi="Franklin Gothic Book" w:cs="Arial"/>
        </w:rPr>
        <w:t>2</w:t>
      </w:r>
      <w:r w:rsidRPr="00AB7B1E">
        <w:rPr>
          <w:rFonts w:ascii="Franklin Gothic Book" w:hAnsi="Franklin Gothic Book" w:cs="Arial"/>
        </w:rPr>
        <w:t>. Resources to Support Human Resources and Professional Development</w:t>
      </w:r>
    </w:p>
    <w:tbl>
      <w:tblPr>
        <w:tblStyle w:val="MSVTable1"/>
        <w:tblW w:w="5004" w:type="pct"/>
        <w:tblLook w:val="0620" w:firstRow="1" w:lastRow="0" w:firstColumn="0" w:lastColumn="0" w:noHBand="1" w:noVBand="1"/>
      </w:tblPr>
      <w:tblGrid>
        <w:gridCol w:w="3592"/>
        <w:gridCol w:w="5759"/>
      </w:tblGrid>
      <w:tr w:rsidR="008B5725" w:rsidRPr="00AB7B1E" w14:paraId="3BAC84D7" w14:textId="77777777" w:rsidTr="002762A6">
        <w:trPr>
          <w:cnfStyle w:val="100000000000" w:firstRow="1" w:lastRow="0" w:firstColumn="0" w:lastColumn="0" w:oddVBand="0" w:evenVBand="0" w:oddHBand="0" w:evenHBand="0" w:firstRowFirstColumn="0" w:firstRowLastColumn="0" w:lastRowFirstColumn="0" w:lastRowLastColumn="0"/>
          <w:cantSplit/>
          <w:tblHeader/>
        </w:trPr>
        <w:tc>
          <w:tcPr>
            <w:tcW w:w="3592" w:type="dxa"/>
            <w:tcBorders>
              <w:top w:val="single" w:sz="6" w:space="0" w:color="2F5496"/>
              <w:left w:val="single" w:sz="6" w:space="0" w:color="2F5496"/>
              <w:bottom w:val="single" w:sz="6" w:space="0" w:color="2F5496"/>
            </w:tcBorders>
            <w:hideMark/>
          </w:tcPr>
          <w:p w14:paraId="5BC10CC3" w14:textId="77777777" w:rsidR="008B5725" w:rsidRPr="00AB7B1E" w:rsidRDefault="008B5725" w:rsidP="002762A6">
            <w:pPr>
              <w:pStyle w:val="TableColHeadingLeft"/>
              <w:rPr>
                <w:rFonts w:ascii="Franklin Gothic Book" w:hAnsi="Franklin Gothic Book" w:cs="Arial"/>
              </w:rPr>
            </w:pPr>
            <w:r w:rsidRPr="00AB7B1E">
              <w:rPr>
                <w:rFonts w:ascii="Franklin Gothic Book" w:hAnsi="Franklin Gothic Book" w:cs="Arial"/>
              </w:rPr>
              <w:t>Resource</w:t>
            </w:r>
          </w:p>
        </w:tc>
        <w:tc>
          <w:tcPr>
            <w:tcW w:w="5759" w:type="dxa"/>
            <w:tcBorders>
              <w:top w:val="single" w:sz="6" w:space="0" w:color="2F5496"/>
              <w:bottom w:val="single" w:sz="6" w:space="0" w:color="2F5496"/>
              <w:right w:val="single" w:sz="6" w:space="0" w:color="2F5496"/>
            </w:tcBorders>
            <w:hideMark/>
          </w:tcPr>
          <w:p w14:paraId="181368EA" w14:textId="77777777" w:rsidR="008B5725" w:rsidRPr="00AB7B1E" w:rsidRDefault="008B5725" w:rsidP="002762A6">
            <w:pPr>
              <w:pStyle w:val="TableColHeadingLeft"/>
              <w:rPr>
                <w:rFonts w:ascii="Franklin Gothic Book" w:hAnsi="Franklin Gothic Book" w:cs="Arial"/>
              </w:rPr>
            </w:pPr>
            <w:r w:rsidRPr="00AB7B1E">
              <w:rPr>
                <w:rFonts w:ascii="Franklin Gothic Book" w:hAnsi="Franklin Gothic Book" w:cs="Arial"/>
              </w:rPr>
              <w:t>Description</w:t>
            </w:r>
          </w:p>
        </w:tc>
      </w:tr>
      <w:tr w:rsidR="008B5725" w:rsidRPr="00AB7B1E" w14:paraId="73F8F099" w14:textId="77777777" w:rsidTr="002762A6">
        <w:trPr>
          <w:cantSplit/>
        </w:trPr>
        <w:tc>
          <w:tcPr>
            <w:tcW w:w="3592" w:type="dxa"/>
            <w:tcBorders>
              <w:top w:val="single" w:sz="6" w:space="0" w:color="2F5496"/>
              <w:left w:val="single" w:sz="6" w:space="0" w:color="2F5496"/>
              <w:bottom w:val="single" w:sz="6" w:space="0" w:color="2F5496"/>
              <w:right w:val="single" w:sz="6" w:space="0" w:color="2F5496"/>
            </w:tcBorders>
            <w:hideMark/>
          </w:tcPr>
          <w:p w14:paraId="0E23144C" w14:textId="77777777" w:rsidR="008B5725" w:rsidRPr="00AB7B1E" w:rsidRDefault="008B5725" w:rsidP="002762A6">
            <w:pPr>
              <w:pStyle w:val="TableText"/>
              <w:rPr>
                <w:rFonts w:ascii="Franklin Gothic Book" w:eastAsia="HGGothicE" w:hAnsi="Franklin Gothic Book" w:cs="Arial"/>
                <w:bCs/>
              </w:rPr>
            </w:pPr>
            <w:hyperlink r:id="rId55" w:history="1">
              <w:r w:rsidRPr="00AB7B1E">
                <w:rPr>
                  <w:rStyle w:val="Hyperlink"/>
                  <w:rFonts w:ascii="Franklin Gothic Book" w:eastAsiaTheme="majorEastAsia" w:hAnsi="Franklin Gothic Book" w:cs="Arial"/>
                </w:rPr>
                <w:t>Educator Evaluation Implementation Resources</w:t>
              </w:r>
            </w:hyperlink>
          </w:p>
        </w:tc>
        <w:tc>
          <w:tcPr>
            <w:tcW w:w="5759" w:type="dxa"/>
            <w:tcBorders>
              <w:top w:val="single" w:sz="6" w:space="0" w:color="2F5496"/>
              <w:left w:val="single" w:sz="6" w:space="0" w:color="2F5496"/>
              <w:bottom w:val="single" w:sz="6" w:space="0" w:color="2F5496"/>
              <w:right w:val="single" w:sz="6" w:space="0" w:color="2F5496"/>
            </w:tcBorders>
            <w:hideMark/>
          </w:tcPr>
          <w:p w14:paraId="72CE6B57" w14:textId="77777777" w:rsidR="008B5725" w:rsidRPr="00AB7B1E" w:rsidRDefault="008B5725" w:rsidP="002762A6">
            <w:pPr>
              <w:pStyle w:val="TableText"/>
              <w:rPr>
                <w:rFonts w:ascii="Franklin Gothic Book" w:eastAsia="HGGothicE" w:hAnsi="Franklin Gothic Book" w:cs="Arial"/>
                <w:bCs/>
              </w:rPr>
            </w:pPr>
            <w:r w:rsidRPr="00AB7B1E">
              <w:rPr>
                <w:rFonts w:ascii="Franklin Gothic Book" w:hAnsi="Franklin Gothic Book" w:cs="Arial"/>
                <w:color w:val="000000"/>
              </w:rPr>
              <w:t>A suite of resources and practical tools for effective and equitable implementation of educator evaluation, including Focus Indicators, a subset of Indicators from the Classroom Teacher and School Level Administrator Rubrics that represent high-priority practices for the school year.</w:t>
            </w:r>
          </w:p>
        </w:tc>
      </w:tr>
      <w:tr w:rsidR="008B5725" w:rsidRPr="00AB7B1E" w14:paraId="13E0BB14" w14:textId="77777777" w:rsidTr="002762A6">
        <w:trPr>
          <w:cantSplit/>
        </w:trPr>
        <w:tc>
          <w:tcPr>
            <w:tcW w:w="3592" w:type="dxa"/>
            <w:tcBorders>
              <w:top w:val="single" w:sz="6" w:space="0" w:color="2F5496"/>
              <w:left w:val="single" w:sz="6" w:space="0" w:color="2F5496"/>
              <w:bottom w:val="single" w:sz="6" w:space="0" w:color="2F5496"/>
              <w:right w:val="single" w:sz="6" w:space="0" w:color="2F5496"/>
            </w:tcBorders>
          </w:tcPr>
          <w:p w14:paraId="734CFEAB" w14:textId="77777777" w:rsidR="008B5725" w:rsidRPr="00AB7B1E" w:rsidRDefault="008B5725" w:rsidP="002762A6">
            <w:pPr>
              <w:pStyle w:val="TableText"/>
              <w:rPr>
                <w:rFonts w:ascii="Franklin Gothic Book" w:hAnsi="Franklin Gothic Book" w:cs="Arial"/>
              </w:rPr>
            </w:pPr>
            <w:hyperlink r:id="rId56" w:history="1">
              <w:r w:rsidRPr="00AB7B1E">
                <w:rPr>
                  <w:rStyle w:val="Hyperlink"/>
                  <w:rFonts w:ascii="Franklin Gothic Book" w:hAnsi="Franklin Gothic Book" w:cs="Arial"/>
                </w:rPr>
                <w:t>MA Guide to Building Supportive Talent Systems for Educators</w:t>
              </w:r>
            </w:hyperlink>
          </w:p>
        </w:tc>
        <w:tc>
          <w:tcPr>
            <w:tcW w:w="5759" w:type="dxa"/>
            <w:tcBorders>
              <w:top w:val="single" w:sz="6" w:space="0" w:color="2F5496"/>
              <w:left w:val="single" w:sz="6" w:space="0" w:color="2F5496"/>
              <w:bottom w:val="single" w:sz="6" w:space="0" w:color="2F5496"/>
              <w:right w:val="single" w:sz="6" w:space="0" w:color="2F5496"/>
            </w:tcBorders>
          </w:tcPr>
          <w:p w14:paraId="6BD2DFCD" w14:textId="77777777" w:rsidR="008B5725" w:rsidRPr="00AB7B1E" w:rsidRDefault="008B5725" w:rsidP="002762A6">
            <w:pPr>
              <w:pStyle w:val="TableText"/>
              <w:rPr>
                <w:rFonts w:ascii="Franklin Gothic Book" w:hAnsi="Franklin Gothic Book" w:cs="Arial"/>
              </w:rPr>
            </w:pPr>
            <w:r w:rsidRPr="00AB7B1E">
              <w:rPr>
                <w:rFonts w:ascii="Franklin Gothic Book" w:hAnsi="Franklin Gothic Book" w:cs="Arial"/>
              </w:rPr>
              <w:t>This guide provides useful information and resources to support districts in developing and sustaining a workforce that is diverse, culturally responsive, well-prepared, and committed to continuous improvement, so that all students have equitable access to effective educators. Resources include guidance around building hiring, assignment, support, and development systems that support equity and high-quality teaching and learning.</w:t>
            </w:r>
          </w:p>
        </w:tc>
      </w:tr>
      <w:tr w:rsidR="00B55250" w:rsidRPr="00AB7B1E" w14:paraId="58533E1A" w14:textId="77777777" w:rsidTr="002762A6">
        <w:trPr>
          <w:cantSplit/>
        </w:trPr>
        <w:tc>
          <w:tcPr>
            <w:tcW w:w="3592" w:type="dxa"/>
            <w:tcBorders>
              <w:top w:val="single" w:sz="6" w:space="0" w:color="2F5496"/>
              <w:left w:val="single" w:sz="6" w:space="0" w:color="2F5496"/>
              <w:bottom w:val="single" w:sz="6" w:space="0" w:color="2F5496"/>
              <w:right w:val="single" w:sz="6" w:space="0" w:color="2F5496"/>
            </w:tcBorders>
          </w:tcPr>
          <w:p w14:paraId="19892F48" w14:textId="38C6D3CA" w:rsidR="00B55250" w:rsidRDefault="00B55250" w:rsidP="00B55250">
            <w:pPr>
              <w:pStyle w:val="TableText"/>
            </w:pPr>
            <w:hyperlink r:id="rId57" w:history="1">
              <w:r w:rsidRPr="00AB7B1E">
                <w:rPr>
                  <w:rStyle w:val="Hyperlink"/>
                  <w:rFonts w:ascii="Franklin Gothic Book" w:eastAsiaTheme="majorEastAsia" w:hAnsi="Franklin Gothic Book" w:cs="Arial"/>
                </w:rPr>
                <w:t>OPTIC</w:t>
              </w:r>
            </w:hyperlink>
          </w:p>
        </w:tc>
        <w:tc>
          <w:tcPr>
            <w:tcW w:w="5759" w:type="dxa"/>
            <w:tcBorders>
              <w:top w:val="single" w:sz="6" w:space="0" w:color="2F5496"/>
              <w:left w:val="single" w:sz="6" w:space="0" w:color="2F5496"/>
              <w:bottom w:val="single" w:sz="6" w:space="0" w:color="2F5496"/>
              <w:right w:val="single" w:sz="6" w:space="0" w:color="2F5496"/>
            </w:tcBorders>
          </w:tcPr>
          <w:p w14:paraId="3EE7A935" w14:textId="3EB7B883" w:rsidR="00B55250" w:rsidRPr="00AB7B1E" w:rsidRDefault="00B55250" w:rsidP="00B55250">
            <w:pPr>
              <w:pStyle w:val="TableText"/>
              <w:rPr>
                <w:rFonts w:ascii="Franklin Gothic Book" w:hAnsi="Franklin Gothic Book" w:cs="Arial"/>
              </w:rPr>
            </w:pPr>
            <w:r w:rsidRPr="00AB7B1E">
              <w:rPr>
                <w:rFonts w:ascii="Franklin Gothic Book" w:hAnsi="Franklin Gothic Book" w:cs="Arial"/>
                <w:color w:val="000000"/>
              </w:rPr>
              <w:t>A professional development tool that supports Massachusetts educators to build a shared understanding of high-quality instruction and improve the feedback that teachers receive.</w:t>
            </w:r>
          </w:p>
        </w:tc>
      </w:tr>
      <w:tr w:rsidR="00B55250" w:rsidRPr="00AB7B1E" w14:paraId="55B75FC4" w14:textId="77777777" w:rsidTr="002762A6">
        <w:trPr>
          <w:cantSplit/>
        </w:trPr>
        <w:tc>
          <w:tcPr>
            <w:tcW w:w="3592" w:type="dxa"/>
            <w:tcBorders>
              <w:top w:val="single" w:sz="6" w:space="0" w:color="2F5496"/>
              <w:left w:val="single" w:sz="6" w:space="0" w:color="2F5496"/>
              <w:bottom w:val="single" w:sz="6" w:space="0" w:color="2F5496"/>
              <w:right w:val="single" w:sz="6" w:space="0" w:color="2F5496"/>
            </w:tcBorders>
          </w:tcPr>
          <w:p w14:paraId="540E4D9B" w14:textId="76E1C16F" w:rsidR="00B55250" w:rsidRDefault="00B55250" w:rsidP="00B55250">
            <w:pPr>
              <w:pStyle w:val="TableText"/>
            </w:pPr>
            <w:hyperlink r:id="rId58" w:history="1">
              <w:r w:rsidRPr="00AB7B1E">
                <w:rPr>
                  <w:rStyle w:val="Hyperlink"/>
                  <w:rFonts w:ascii="Franklin Gothic Book" w:eastAsiaTheme="majorEastAsia" w:hAnsi="Franklin Gothic Book" w:cs="Arial"/>
                </w:rPr>
                <w:t>Professional Learning Partner Guide</w:t>
              </w:r>
            </w:hyperlink>
          </w:p>
        </w:tc>
        <w:tc>
          <w:tcPr>
            <w:tcW w:w="5759" w:type="dxa"/>
            <w:tcBorders>
              <w:top w:val="single" w:sz="6" w:space="0" w:color="2F5496"/>
              <w:left w:val="single" w:sz="6" w:space="0" w:color="2F5496"/>
              <w:bottom w:val="single" w:sz="6" w:space="0" w:color="2F5496"/>
              <w:right w:val="single" w:sz="6" w:space="0" w:color="2F5496"/>
            </w:tcBorders>
          </w:tcPr>
          <w:p w14:paraId="43C41DC8" w14:textId="4DC6BA5B" w:rsidR="00B55250" w:rsidRPr="00AB7B1E" w:rsidRDefault="00B55250" w:rsidP="00B55250">
            <w:pPr>
              <w:pStyle w:val="TableText"/>
              <w:rPr>
                <w:rFonts w:ascii="Franklin Gothic Book" w:hAnsi="Franklin Gothic Book" w:cs="Arial"/>
                <w:color w:val="000000"/>
              </w:rPr>
            </w:pPr>
            <w:r w:rsidRPr="00AB7B1E">
              <w:rPr>
                <w:rFonts w:ascii="Franklin Gothic Book" w:hAnsi="Franklin Gothic Book" w:cs="Arial"/>
                <w:color w:val="000000" w:themeColor="text1"/>
              </w:rPr>
              <w:t>A free, online, searchable list of vetted professional development providers who have expertise in specific sets of high-quality instructional materials. Schools and districts can use this guide to easily find PD providers to support the launch or implementation of high-quality instructional materials.</w:t>
            </w:r>
          </w:p>
        </w:tc>
      </w:tr>
      <w:tr w:rsidR="00B55250" w:rsidRPr="00AB7B1E" w14:paraId="5178EF0C" w14:textId="77777777" w:rsidTr="002762A6">
        <w:trPr>
          <w:cantSplit/>
        </w:trPr>
        <w:tc>
          <w:tcPr>
            <w:tcW w:w="3592" w:type="dxa"/>
            <w:tcBorders>
              <w:top w:val="single" w:sz="6" w:space="0" w:color="2F5496"/>
              <w:left w:val="single" w:sz="6" w:space="0" w:color="2F5496"/>
              <w:bottom w:val="single" w:sz="6" w:space="0" w:color="2F5496"/>
              <w:right w:val="single" w:sz="6" w:space="0" w:color="2F5496"/>
            </w:tcBorders>
          </w:tcPr>
          <w:p w14:paraId="49F0A707" w14:textId="2777917A" w:rsidR="00B55250" w:rsidRDefault="00B55250" w:rsidP="00B55250">
            <w:pPr>
              <w:pStyle w:val="TableText"/>
            </w:pPr>
            <w:hyperlink r:id="rId59" w:history="1">
              <w:r w:rsidRPr="00AB7B1E">
                <w:rPr>
                  <w:rStyle w:val="Hyperlink"/>
                  <w:rFonts w:ascii="Franklin Gothic Book" w:eastAsiaTheme="majorEastAsia" w:hAnsi="Franklin Gothic Book" w:cs="Arial"/>
                </w:rPr>
                <w:t>Promising Recruitment, Selection and Retention Strategies for a Diverse Massachusetts Teacher Workforce</w:t>
              </w:r>
            </w:hyperlink>
          </w:p>
        </w:tc>
        <w:tc>
          <w:tcPr>
            <w:tcW w:w="5759" w:type="dxa"/>
            <w:tcBorders>
              <w:top w:val="single" w:sz="6" w:space="0" w:color="2F5496"/>
              <w:left w:val="single" w:sz="6" w:space="0" w:color="2F5496"/>
              <w:bottom w:val="single" w:sz="6" w:space="0" w:color="2F5496"/>
              <w:right w:val="single" w:sz="6" w:space="0" w:color="2F5496"/>
            </w:tcBorders>
          </w:tcPr>
          <w:p w14:paraId="304490EF" w14:textId="3114C14D" w:rsidR="00B55250" w:rsidRPr="00AB7B1E" w:rsidRDefault="00B55250" w:rsidP="00B55250">
            <w:pPr>
              <w:pStyle w:val="TableText"/>
              <w:rPr>
                <w:rFonts w:ascii="Franklin Gothic Book" w:hAnsi="Franklin Gothic Book" w:cs="Arial"/>
                <w:color w:val="000000" w:themeColor="text1"/>
              </w:rPr>
            </w:pPr>
            <w:r w:rsidRPr="00AB7B1E">
              <w:rPr>
                <w:rFonts w:ascii="Franklin Gothic Book" w:hAnsi="Franklin Gothic Book" w:cs="Arial"/>
                <w:color w:val="000000"/>
              </w:rPr>
              <w:t>This guidebook provides a framework to help district and school leaders design and implement a teacher diversification strategy to improve student achievement and create equitable learning experiences.</w:t>
            </w:r>
          </w:p>
        </w:tc>
      </w:tr>
    </w:tbl>
    <w:p w14:paraId="48695B3B" w14:textId="68F4731F" w:rsidR="00524189" w:rsidRPr="00AB7B1E" w:rsidRDefault="00524189" w:rsidP="00524189">
      <w:pPr>
        <w:pStyle w:val="TableTitle0"/>
        <w:rPr>
          <w:rFonts w:ascii="Franklin Gothic Book" w:hAnsi="Franklin Gothic Book" w:cs="Arial"/>
        </w:rPr>
      </w:pPr>
      <w:r w:rsidRPr="00AB7B1E">
        <w:rPr>
          <w:rFonts w:ascii="Franklin Gothic Book" w:hAnsi="Franklin Gothic Book" w:cs="Arial"/>
        </w:rPr>
        <w:t>Table C</w:t>
      </w:r>
      <w:r>
        <w:rPr>
          <w:rFonts w:ascii="Franklin Gothic Book" w:hAnsi="Franklin Gothic Book" w:cs="Arial"/>
        </w:rPr>
        <w:t>3</w:t>
      </w:r>
      <w:r w:rsidRPr="00AB7B1E">
        <w:rPr>
          <w:rFonts w:ascii="Franklin Gothic Book" w:hAnsi="Franklin Gothic Book" w:cs="Arial"/>
        </w:rPr>
        <w:t>. Resources to Support Student Support</w:t>
      </w:r>
    </w:p>
    <w:tbl>
      <w:tblPr>
        <w:tblStyle w:val="MSVTable1"/>
        <w:tblW w:w="5000" w:type="pct"/>
        <w:tblLook w:val="0620" w:firstRow="1" w:lastRow="0" w:firstColumn="0" w:lastColumn="0" w:noHBand="1" w:noVBand="1"/>
      </w:tblPr>
      <w:tblGrid>
        <w:gridCol w:w="3592"/>
        <w:gridCol w:w="5752"/>
      </w:tblGrid>
      <w:tr w:rsidR="00524189" w:rsidRPr="00AB7B1E" w14:paraId="6B8FBB2C" w14:textId="77777777" w:rsidTr="002762A6">
        <w:trPr>
          <w:cnfStyle w:val="100000000000" w:firstRow="1" w:lastRow="0" w:firstColumn="0" w:lastColumn="0" w:oddVBand="0" w:evenVBand="0" w:oddHBand="0" w:evenHBand="0" w:firstRowFirstColumn="0" w:firstRowLastColumn="0" w:lastRowFirstColumn="0" w:lastRowLastColumn="0"/>
          <w:cantSplit/>
          <w:tblHeader/>
        </w:trPr>
        <w:tc>
          <w:tcPr>
            <w:tcW w:w="3592" w:type="dxa"/>
            <w:tcBorders>
              <w:top w:val="single" w:sz="6" w:space="0" w:color="2F5496"/>
              <w:left w:val="single" w:sz="6" w:space="0" w:color="2F5496"/>
              <w:bottom w:val="single" w:sz="6" w:space="0" w:color="2F5496"/>
            </w:tcBorders>
            <w:hideMark/>
          </w:tcPr>
          <w:p w14:paraId="0CDDB723" w14:textId="77777777" w:rsidR="00524189" w:rsidRPr="00AB7B1E" w:rsidRDefault="00524189" w:rsidP="002762A6">
            <w:pPr>
              <w:pStyle w:val="TableColHeadingLeft"/>
              <w:rPr>
                <w:rFonts w:ascii="Franklin Gothic Book" w:hAnsi="Franklin Gothic Book" w:cs="Arial"/>
              </w:rPr>
            </w:pPr>
            <w:r w:rsidRPr="00AB7B1E">
              <w:rPr>
                <w:rFonts w:ascii="Franklin Gothic Book" w:hAnsi="Franklin Gothic Book" w:cs="Arial"/>
              </w:rPr>
              <w:t xml:space="preserve">Resource </w:t>
            </w:r>
          </w:p>
        </w:tc>
        <w:tc>
          <w:tcPr>
            <w:tcW w:w="5752" w:type="dxa"/>
            <w:tcBorders>
              <w:top w:val="single" w:sz="6" w:space="0" w:color="2F5496"/>
              <w:bottom w:val="single" w:sz="6" w:space="0" w:color="2F5496"/>
              <w:right w:val="single" w:sz="6" w:space="0" w:color="2F5496"/>
            </w:tcBorders>
            <w:hideMark/>
          </w:tcPr>
          <w:p w14:paraId="30C75EE1" w14:textId="77777777" w:rsidR="00524189" w:rsidRPr="00AB7B1E" w:rsidRDefault="00524189" w:rsidP="002762A6">
            <w:pPr>
              <w:pStyle w:val="TableColHeadingLeft"/>
              <w:rPr>
                <w:rFonts w:ascii="Franklin Gothic Book" w:hAnsi="Franklin Gothic Book" w:cs="Arial"/>
              </w:rPr>
            </w:pPr>
            <w:r w:rsidRPr="00AB7B1E">
              <w:rPr>
                <w:rFonts w:ascii="Franklin Gothic Book" w:hAnsi="Franklin Gothic Book" w:cs="Arial"/>
              </w:rPr>
              <w:t>Description</w:t>
            </w:r>
          </w:p>
        </w:tc>
      </w:tr>
      <w:tr w:rsidR="00E26C47" w:rsidRPr="00AB7B1E" w14:paraId="709C84AC" w14:textId="77777777" w:rsidTr="002762A6">
        <w:trPr>
          <w:cantSplit/>
        </w:trPr>
        <w:tc>
          <w:tcPr>
            <w:tcW w:w="3592" w:type="dxa"/>
            <w:tcBorders>
              <w:top w:val="single" w:sz="6" w:space="0" w:color="2F5496"/>
              <w:left w:val="single" w:sz="6" w:space="0" w:color="2F5496"/>
              <w:bottom w:val="single" w:sz="6" w:space="0" w:color="2F5496"/>
              <w:right w:val="single" w:sz="6" w:space="0" w:color="2F5496"/>
            </w:tcBorders>
          </w:tcPr>
          <w:p w14:paraId="4F64503A" w14:textId="77777777" w:rsidR="00E26C47" w:rsidRPr="00AB7B1E" w:rsidRDefault="00E26C47" w:rsidP="00E26C47">
            <w:pPr>
              <w:pStyle w:val="TableText"/>
              <w:rPr>
                <w:rFonts w:ascii="Franklin Gothic Book" w:hAnsi="Franklin Gothic Book" w:cs="Arial"/>
                <w14:ligatures w14:val="standardContextual"/>
              </w:rPr>
            </w:pPr>
            <w:r w:rsidRPr="00AB7B1E">
              <w:rPr>
                <w:rFonts w:ascii="Franklin Gothic Book" w:hAnsi="Franklin Gothic Book" w:cs="Arial"/>
              </w:rPr>
              <w:t xml:space="preserve">MTSS Resources: </w:t>
            </w:r>
          </w:p>
          <w:p w14:paraId="5666AE2A" w14:textId="77777777" w:rsidR="00E26C47" w:rsidRPr="00AB7B1E" w:rsidRDefault="00E26C47" w:rsidP="00E26C47">
            <w:pPr>
              <w:pStyle w:val="TableBullet1"/>
              <w:rPr>
                <w:rStyle w:val="Hyperlink"/>
                <w:rFonts w:ascii="Franklin Gothic Book" w:eastAsia="Franklin Gothic Book" w:hAnsi="Franklin Gothic Book" w:cs="Arial"/>
                <w:szCs w:val="20"/>
                <w:shd w:val="clear" w:color="auto" w:fill="FFFFFF"/>
              </w:rPr>
            </w:pPr>
            <w:hyperlink r:id="rId60" w:history="1">
              <w:r w:rsidRPr="00AB7B1E">
                <w:rPr>
                  <w:rStyle w:val="Hyperlink"/>
                  <w:rFonts w:ascii="Franklin Gothic Book" w:hAnsi="Franklin Gothic Book" w:cs="Arial"/>
                  <w:szCs w:val="20"/>
                </w:rPr>
                <w:t>MTSS Blueprint, Self-Assessment, and Resources</w:t>
              </w:r>
            </w:hyperlink>
          </w:p>
          <w:p w14:paraId="14B83AF8" w14:textId="3C346D15" w:rsidR="00E26C47" w:rsidRPr="00AB7B1E" w:rsidRDefault="00E26C47" w:rsidP="00E26C47">
            <w:pPr>
              <w:pStyle w:val="TableBullet1"/>
              <w:rPr>
                <w:rStyle w:val="Hyperlink"/>
                <w:rFonts w:ascii="Franklin Gothic Book" w:eastAsia="Times New Roman" w:hAnsi="Franklin Gothic Book" w:cs="Arial"/>
                <w:color w:val="000000"/>
                <w:szCs w:val="20"/>
              </w:rPr>
            </w:pPr>
            <w:hyperlink r:id="rId61" w:history="1">
              <w:r w:rsidRPr="00AB7B1E">
                <w:rPr>
                  <w:rStyle w:val="Hyperlink"/>
                  <w:rFonts w:ascii="Franklin Gothic Book" w:hAnsi="Franklin Gothic Book" w:cs="Arial"/>
                  <w:szCs w:val="20"/>
                </w:rPr>
                <w:t>Massachusetts Tools for Schools</w:t>
              </w:r>
            </w:hyperlink>
          </w:p>
        </w:tc>
        <w:tc>
          <w:tcPr>
            <w:tcW w:w="5752" w:type="dxa"/>
            <w:tcBorders>
              <w:top w:val="single" w:sz="6" w:space="0" w:color="2F5496"/>
              <w:left w:val="single" w:sz="6" w:space="0" w:color="2F5496"/>
              <w:bottom w:val="single" w:sz="6" w:space="0" w:color="2F5496"/>
              <w:right w:val="single" w:sz="6" w:space="0" w:color="2F5496"/>
            </w:tcBorders>
          </w:tcPr>
          <w:p w14:paraId="7ABAF02A" w14:textId="424980B7" w:rsidR="00E26C47" w:rsidRPr="00AB7B1E" w:rsidRDefault="00E26C47" w:rsidP="00E26C47">
            <w:pPr>
              <w:pStyle w:val="TableText"/>
              <w:rPr>
                <w:rFonts w:ascii="Franklin Gothic Book" w:hAnsi="Franklin Gothic Book" w:cs="Arial"/>
                <w:color w:val="000000"/>
              </w:rPr>
            </w:pPr>
            <w:r w:rsidRPr="00AB7B1E">
              <w:rPr>
                <w:rFonts w:ascii="Franklin Gothic Book" w:hAnsi="Franklin Gothic Book" w:cs="Arial"/>
              </w:rPr>
              <w:t>MTSS is a framework for how school districts can build the necessary systems to ensure that every student receives a high-quality educational experience.</w:t>
            </w:r>
          </w:p>
        </w:tc>
      </w:tr>
    </w:tbl>
    <w:p w14:paraId="11C8BD40" w14:textId="321E1C9C" w:rsidR="00176DDD" w:rsidRPr="00AB7B1E" w:rsidRDefault="00176DDD" w:rsidP="00176DDD">
      <w:pPr>
        <w:pStyle w:val="TableTitle0"/>
        <w:rPr>
          <w:rFonts w:ascii="Franklin Gothic Book" w:hAnsi="Franklin Gothic Book" w:cs="Arial"/>
        </w:rPr>
      </w:pPr>
      <w:r w:rsidRPr="00AB7B1E">
        <w:rPr>
          <w:rFonts w:ascii="Franklin Gothic Book" w:hAnsi="Franklin Gothic Book" w:cs="Arial"/>
        </w:rPr>
        <w:t>Table C</w:t>
      </w:r>
      <w:r>
        <w:rPr>
          <w:rFonts w:ascii="Franklin Gothic Book" w:hAnsi="Franklin Gothic Book" w:cs="Arial"/>
        </w:rPr>
        <w:t>4</w:t>
      </w:r>
      <w:r w:rsidRPr="00AB7B1E">
        <w:rPr>
          <w:rFonts w:ascii="Franklin Gothic Book" w:hAnsi="Franklin Gothic Book" w:cs="Arial"/>
        </w:rPr>
        <w:t>. Resources to Support Financial and Asset Management</w:t>
      </w:r>
    </w:p>
    <w:tbl>
      <w:tblPr>
        <w:tblStyle w:val="MSVTable1"/>
        <w:tblW w:w="5004" w:type="pct"/>
        <w:tblLook w:val="0620" w:firstRow="1" w:lastRow="0" w:firstColumn="0" w:lastColumn="0" w:noHBand="1" w:noVBand="1"/>
      </w:tblPr>
      <w:tblGrid>
        <w:gridCol w:w="3592"/>
        <w:gridCol w:w="5759"/>
      </w:tblGrid>
      <w:tr w:rsidR="00176DDD" w:rsidRPr="00AB7B1E" w14:paraId="71C008B9" w14:textId="77777777" w:rsidTr="002762A6">
        <w:trPr>
          <w:cnfStyle w:val="100000000000" w:firstRow="1" w:lastRow="0" w:firstColumn="0" w:lastColumn="0" w:oddVBand="0" w:evenVBand="0" w:oddHBand="0" w:evenHBand="0" w:firstRowFirstColumn="0" w:firstRowLastColumn="0" w:lastRowFirstColumn="0" w:lastRowLastColumn="0"/>
          <w:tblHeader/>
        </w:trPr>
        <w:tc>
          <w:tcPr>
            <w:tcW w:w="3592" w:type="dxa"/>
            <w:tcBorders>
              <w:top w:val="single" w:sz="6" w:space="0" w:color="2F5496"/>
              <w:left w:val="single" w:sz="6" w:space="0" w:color="2F5496"/>
              <w:bottom w:val="single" w:sz="6" w:space="0" w:color="2F5496"/>
            </w:tcBorders>
            <w:hideMark/>
          </w:tcPr>
          <w:p w14:paraId="5D10F06D" w14:textId="77777777" w:rsidR="00176DDD" w:rsidRPr="00AB7B1E" w:rsidRDefault="00176DDD" w:rsidP="002762A6">
            <w:pPr>
              <w:pStyle w:val="TableColHeadingLeft"/>
              <w:rPr>
                <w:rFonts w:ascii="Franklin Gothic Book" w:hAnsi="Franklin Gothic Book" w:cs="Arial"/>
              </w:rPr>
            </w:pPr>
            <w:r w:rsidRPr="00AB7B1E">
              <w:rPr>
                <w:rFonts w:ascii="Franklin Gothic Book" w:hAnsi="Franklin Gothic Book" w:cs="Arial"/>
              </w:rPr>
              <w:t xml:space="preserve">Resource </w:t>
            </w:r>
          </w:p>
        </w:tc>
        <w:tc>
          <w:tcPr>
            <w:tcW w:w="5759" w:type="dxa"/>
            <w:tcBorders>
              <w:top w:val="single" w:sz="6" w:space="0" w:color="2F5496"/>
              <w:bottom w:val="single" w:sz="6" w:space="0" w:color="2F5496"/>
              <w:right w:val="single" w:sz="6" w:space="0" w:color="2F5496"/>
            </w:tcBorders>
            <w:hideMark/>
          </w:tcPr>
          <w:p w14:paraId="6DE47DEE" w14:textId="77777777" w:rsidR="00176DDD" w:rsidRPr="00AB7B1E" w:rsidRDefault="00176DDD" w:rsidP="002762A6">
            <w:pPr>
              <w:pStyle w:val="TableColHeadingLeft"/>
              <w:rPr>
                <w:rFonts w:ascii="Franklin Gothic Book" w:hAnsi="Franklin Gothic Book" w:cs="Arial"/>
              </w:rPr>
            </w:pPr>
            <w:r w:rsidRPr="00AB7B1E">
              <w:rPr>
                <w:rFonts w:ascii="Franklin Gothic Book" w:hAnsi="Franklin Gothic Book" w:cs="Arial"/>
              </w:rPr>
              <w:t>Description</w:t>
            </w:r>
          </w:p>
        </w:tc>
      </w:tr>
      <w:tr w:rsidR="00176DDD" w:rsidRPr="00AB7B1E" w14:paraId="7E166814" w14:textId="77777777" w:rsidTr="002762A6">
        <w:tc>
          <w:tcPr>
            <w:tcW w:w="3592" w:type="dxa"/>
            <w:tcBorders>
              <w:top w:val="single" w:sz="6" w:space="0" w:color="2F5496"/>
              <w:left w:val="single" w:sz="6" w:space="0" w:color="2F5496"/>
              <w:bottom w:val="single" w:sz="6" w:space="0" w:color="2F5496"/>
              <w:right w:val="single" w:sz="6" w:space="0" w:color="2F5496"/>
            </w:tcBorders>
            <w:hideMark/>
          </w:tcPr>
          <w:p w14:paraId="7EEE7C27" w14:textId="77777777" w:rsidR="00176DDD" w:rsidRPr="00AB7B1E" w:rsidRDefault="00176DDD" w:rsidP="002762A6">
            <w:pPr>
              <w:pStyle w:val="TableText"/>
              <w:rPr>
                <w:rFonts w:ascii="Franklin Gothic Book" w:hAnsi="Franklin Gothic Book" w:cs="Arial"/>
              </w:rPr>
            </w:pPr>
            <w:hyperlink r:id="rId62" w:history="1">
              <w:r w:rsidRPr="00AB7B1E">
                <w:rPr>
                  <w:rStyle w:val="Hyperlink"/>
                  <w:rFonts w:ascii="Franklin Gothic Book" w:eastAsiaTheme="majorEastAsia" w:hAnsi="Franklin Gothic Book" w:cs="Arial"/>
                </w:rPr>
                <w:t>Resource Allocation and District Action Reports (RADAR)</w:t>
              </w:r>
            </w:hyperlink>
          </w:p>
        </w:tc>
        <w:tc>
          <w:tcPr>
            <w:tcW w:w="5759" w:type="dxa"/>
            <w:tcBorders>
              <w:top w:val="single" w:sz="6" w:space="0" w:color="2F5496"/>
              <w:left w:val="single" w:sz="6" w:space="0" w:color="2F5496"/>
              <w:bottom w:val="single" w:sz="6" w:space="0" w:color="2F5496"/>
              <w:right w:val="single" w:sz="6" w:space="0" w:color="2F5496"/>
            </w:tcBorders>
            <w:hideMark/>
          </w:tcPr>
          <w:p w14:paraId="1E1DF395" w14:textId="77777777" w:rsidR="00176DDD" w:rsidRPr="00AB7B1E" w:rsidRDefault="00176DDD" w:rsidP="002762A6">
            <w:pPr>
              <w:pStyle w:val="TableText"/>
              <w:rPr>
                <w:rFonts w:ascii="Franklin Gothic Book" w:hAnsi="Franklin Gothic Book" w:cs="Arial"/>
                <w:color w:val="000000"/>
              </w:rPr>
            </w:pPr>
            <w:r w:rsidRPr="00AB7B1E">
              <w:rPr>
                <w:rFonts w:ascii="Franklin Gothic Book" w:hAnsi="Franklin Gothic Book" w:cs="Arial"/>
                <w:color w:val="000000"/>
              </w:rPr>
              <w:t>RADAR is a suite of innovative data reports, case studies, and other resources that provide a new approach to resource decisions.</w:t>
            </w:r>
          </w:p>
        </w:tc>
      </w:tr>
    </w:tbl>
    <w:p w14:paraId="6B988AFB" w14:textId="77777777" w:rsidR="00176DDD" w:rsidRPr="00797379" w:rsidRDefault="00176DDD" w:rsidP="009F6401">
      <w:pPr>
        <w:pStyle w:val="BodyText"/>
        <w:sectPr w:rsidR="00176DDD" w:rsidRPr="00797379" w:rsidSect="00D67AD2">
          <w:footerReference w:type="default" r:id="rId63"/>
          <w:headerReference w:type="first" r:id="rId64"/>
          <w:footerReference w:type="first" r:id="rId65"/>
          <w:endnotePr>
            <w:numFmt w:val="decimal"/>
          </w:endnotePr>
          <w:pgSz w:w="12240" w:h="15840" w:code="1"/>
          <w:pgMar w:top="1440" w:right="1440" w:bottom="1440" w:left="1440" w:header="720" w:footer="720" w:gutter="0"/>
          <w:pgNumType w:start="1"/>
          <w:cols w:space="720"/>
          <w:noEndnote/>
          <w:docGrid w:linePitch="326"/>
        </w:sectPr>
      </w:pPr>
    </w:p>
    <w:p w14:paraId="46A7012E" w14:textId="37C9C8D6" w:rsidR="002F1EBE" w:rsidRPr="00797379" w:rsidRDefault="002F1EBE" w:rsidP="009F6401">
      <w:pPr>
        <w:pStyle w:val="Heading2"/>
      </w:pPr>
      <w:bookmarkStart w:id="226" w:name="_Toc223625547"/>
      <w:r w:rsidRPr="00797379">
        <w:t xml:space="preserve">Appendix </w:t>
      </w:r>
      <w:r w:rsidR="00486B55" w:rsidRPr="00797379">
        <w:t>D</w:t>
      </w:r>
      <w:r w:rsidR="006A3A0E" w:rsidRPr="00797379">
        <w:t>.</w:t>
      </w:r>
      <w:r w:rsidRPr="00797379">
        <w:t xml:space="preserve"> Enrollment, </w:t>
      </w:r>
      <w:r w:rsidR="00FE2534" w:rsidRPr="00797379">
        <w:t>Attendance</w:t>
      </w:r>
      <w:r w:rsidRPr="00797379">
        <w:t>, Expenditures</w:t>
      </w:r>
      <w:bookmarkStart w:id="227" w:name="_Toc337817151"/>
      <w:bookmarkEnd w:id="89"/>
      <w:bookmarkEnd w:id="226"/>
    </w:p>
    <w:p w14:paraId="366605F3" w14:textId="77777777" w:rsidR="007303EE" w:rsidRPr="00797379" w:rsidRDefault="007303EE" w:rsidP="006C2038">
      <w:pPr>
        <w:pStyle w:val="TableTitle0"/>
      </w:pPr>
      <w:bookmarkStart w:id="228" w:name="_Toc220932435"/>
      <w:r w:rsidRPr="00797379">
        <w:t>Table D1. Student Enrollment by Race/Ethnicity, 2025-2026</w:t>
      </w:r>
      <w:bookmarkEnd w:id="228"/>
    </w:p>
    <w:tbl>
      <w:tblPr>
        <w:tblStyle w:val="MSVTable1"/>
        <w:tblW w:w="5000" w:type="pct"/>
        <w:tblLook w:val="04A0" w:firstRow="1" w:lastRow="0" w:firstColumn="1" w:lastColumn="0" w:noHBand="0" w:noVBand="1"/>
      </w:tblPr>
      <w:tblGrid>
        <w:gridCol w:w="3052"/>
        <w:gridCol w:w="1573"/>
        <w:gridCol w:w="1573"/>
        <w:gridCol w:w="1573"/>
        <w:gridCol w:w="1573"/>
      </w:tblGrid>
      <w:tr w:rsidR="007303EE" w:rsidRPr="00797379" w14:paraId="6249C0A2" w14:textId="77777777" w:rsidTr="001916FA">
        <w:trPr>
          <w:cnfStyle w:val="100000000000" w:firstRow="1" w:lastRow="0" w:firstColumn="0" w:lastColumn="0" w:oddVBand="0" w:evenVBand="0" w:oddHBand="0" w:evenHBand="0" w:firstRowFirstColumn="0" w:firstRowLastColumn="0" w:lastRowFirstColumn="0" w:lastRowLastColumn="0"/>
          <w:tblHeader/>
        </w:trPr>
        <w:tc>
          <w:tcPr>
            <w:tcW w:w="3052" w:type="dxa"/>
            <w:vAlign w:val="center"/>
          </w:tcPr>
          <w:p w14:paraId="02FF1B6B" w14:textId="77777777" w:rsidR="007303EE" w:rsidRPr="00797379" w:rsidRDefault="007303EE" w:rsidP="000473DB">
            <w:pPr>
              <w:pStyle w:val="TableColHeadingCenter"/>
              <w:rPr>
                <w:rFonts w:eastAsia="Calibri" w:cs="Calibri"/>
              </w:rPr>
            </w:pPr>
            <w:r w:rsidRPr="00797379">
              <w:t>Group</w:t>
            </w:r>
          </w:p>
        </w:tc>
        <w:tc>
          <w:tcPr>
            <w:tcW w:w="1573" w:type="dxa"/>
            <w:vAlign w:val="center"/>
          </w:tcPr>
          <w:p w14:paraId="0FCB7DB7" w14:textId="77777777" w:rsidR="007303EE" w:rsidRPr="00797379" w:rsidRDefault="007303EE" w:rsidP="000473DB">
            <w:pPr>
              <w:pStyle w:val="TableColHeadingCenter"/>
            </w:pPr>
            <w:r w:rsidRPr="00797379">
              <w:t>District</w:t>
            </w:r>
          </w:p>
        </w:tc>
        <w:tc>
          <w:tcPr>
            <w:tcW w:w="1573" w:type="dxa"/>
            <w:vAlign w:val="center"/>
          </w:tcPr>
          <w:p w14:paraId="0CA27E8C" w14:textId="77777777" w:rsidR="007303EE" w:rsidRPr="00797379" w:rsidRDefault="007303EE" w:rsidP="000473DB">
            <w:pPr>
              <w:pStyle w:val="TableColHeadingCenter"/>
            </w:pPr>
            <w:r w:rsidRPr="00797379">
              <w:t>Percentage of District</w:t>
            </w:r>
          </w:p>
        </w:tc>
        <w:tc>
          <w:tcPr>
            <w:tcW w:w="1573" w:type="dxa"/>
            <w:vAlign w:val="center"/>
          </w:tcPr>
          <w:p w14:paraId="50DD79A8" w14:textId="77777777" w:rsidR="007303EE" w:rsidRPr="00797379" w:rsidRDefault="007303EE" w:rsidP="000473DB">
            <w:pPr>
              <w:pStyle w:val="TableColHeadingCenter"/>
            </w:pPr>
            <w:r w:rsidRPr="00797379">
              <w:t>State</w:t>
            </w:r>
          </w:p>
        </w:tc>
        <w:tc>
          <w:tcPr>
            <w:tcW w:w="1573" w:type="dxa"/>
            <w:vAlign w:val="center"/>
          </w:tcPr>
          <w:p w14:paraId="5B90EFBB" w14:textId="77777777" w:rsidR="007303EE" w:rsidRPr="00797379" w:rsidRDefault="007303EE" w:rsidP="000473DB">
            <w:pPr>
              <w:pStyle w:val="TableColHeadingCenter"/>
            </w:pPr>
            <w:r w:rsidRPr="00797379">
              <w:t>Percentage of State</w:t>
            </w:r>
          </w:p>
        </w:tc>
      </w:tr>
      <w:tr w:rsidR="007303EE" w:rsidRPr="00797379" w14:paraId="41233A28" w14:textId="77777777" w:rsidTr="001916FA">
        <w:trPr>
          <w:cnfStyle w:val="000000100000" w:firstRow="0" w:lastRow="0" w:firstColumn="0" w:lastColumn="0" w:oddVBand="0" w:evenVBand="0" w:oddHBand="1" w:evenHBand="0" w:firstRowFirstColumn="0" w:firstRowLastColumn="0" w:lastRowFirstColumn="0" w:lastRowLastColumn="0"/>
        </w:trPr>
        <w:tc>
          <w:tcPr>
            <w:tcW w:w="3052" w:type="dxa"/>
          </w:tcPr>
          <w:p w14:paraId="426FEFAD" w14:textId="77777777" w:rsidR="007303EE" w:rsidRPr="001916FA" w:rsidRDefault="007303EE" w:rsidP="000473DB">
            <w:pPr>
              <w:pStyle w:val="TableSubheading"/>
              <w:rPr>
                <w:rFonts w:asciiTheme="minorHAnsi" w:hAnsiTheme="minorHAnsi"/>
              </w:rPr>
            </w:pPr>
            <w:r w:rsidRPr="001916FA">
              <w:rPr>
                <w:rFonts w:asciiTheme="minorHAnsi" w:hAnsiTheme="minorHAnsi"/>
              </w:rPr>
              <w:t>All Students</w:t>
            </w:r>
          </w:p>
        </w:tc>
        <w:tc>
          <w:tcPr>
            <w:tcW w:w="1573" w:type="dxa"/>
            <w:vAlign w:val="center"/>
          </w:tcPr>
          <w:p w14:paraId="5B4A9E1B" w14:textId="77777777" w:rsidR="007303EE" w:rsidRPr="00797379" w:rsidRDefault="007303EE" w:rsidP="000473DB">
            <w:pPr>
              <w:pStyle w:val="TableTextCentered"/>
            </w:pPr>
            <w:r w:rsidRPr="00797379">
              <w:t>4,341</w:t>
            </w:r>
          </w:p>
        </w:tc>
        <w:tc>
          <w:tcPr>
            <w:tcW w:w="1573" w:type="dxa"/>
            <w:vAlign w:val="center"/>
          </w:tcPr>
          <w:p w14:paraId="58A05EFA" w14:textId="77777777" w:rsidR="007303EE" w:rsidRPr="00797379" w:rsidRDefault="007303EE" w:rsidP="000473DB">
            <w:pPr>
              <w:pStyle w:val="TableTextCentered"/>
            </w:pPr>
            <w:r w:rsidRPr="00797379">
              <w:t>100.0%</w:t>
            </w:r>
          </w:p>
        </w:tc>
        <w:tc>
          <w:tcPr>
            <w:tcW w:w="1573" w:type="dxa"/>
            <w:vAlign w:val="center"/>
          </w:tcPr>
          <w:p w14:paraId="1B688F9D" w14:textId="77777777" w:rsidR="007303EE" w:rsidRPr="00797379" w:rsidRDefault="007303EE" w:rsidP="000473DB">
            <w:pPr>
              <w:pStyle w:val="TableTextCentered"/>
            </w:pPr>
            <w:r w:rsidRPr="00797379">
              <w:t>900,490</w:t>
            </w:r>
          </w:p>
        </w:tc>
        <w:tc>
          <w:tcPr>
            <w:tcW w:w="1573" w:type="dxa"/>
            <w:vAlign w:val="center"/>
          </w:tcPr>
          <w:p w14:paraId="155A3801" w14:textId="77777777" w:rsidR="007303EE" w:rsidRPr="00797379" w:rsidRDefault="007303EE" w:rsidP="000473DB">
            <w:pPr>
              <w:pStyle w:val="TableTextCentered"/>
            </w:pPr>
            <w:r w:rsidRPr="00797379">
              <w:t>100.0%</w:t>
            </w:r>
          </w:p>
        </w:tc>
      </w:tr>
      <w:tr w:rsidR="007303EE" w:rsidRPr="00797379" w14:paraId="3773E763" w14:textId="77777777" w:rsidTr="001916FA">
        <w:tc>
          <w:tcPr>
            <w:tcW w:w="3052" w:type="dxa"/>
          </w:tcPr>
          <w:p w14:paraId="7F7AE86B" w14:textId="77777777" w:rsidR="007303EE" w:rsidRPr="001916FA" w:rsidRDefault="007303EE" w:rsidP="000473DB">
            <w:pPr>
              <w:pStyle w:val="TableSubheading"/>
              <w:rPr>
                <w:rFonts w:asciiTheme="minorHAnsi" w:hAnsiTheme="minorHAnsi"/>
              </w:rPr>
            </w:pPr>
            <w:r w:rsidRPr="001916FA">
              <w:rPr>
                <w:rFonts w:asciiTheme="minorHAnsi" w:hAnsiTheme="minorHAnsi"/>
              </w:rPr>
              <w:t>American Indian or Alaska Native</w:t>
            </w:r>
          </w:p>
        </w:tc>
        <w:tc>
          <w:tcPr>
            <w:tcW w:w="1573" w:type="dxa"/>
            <w:vAlign w:val="center"/>
          </w:tcPr>
          <w:p w14:paraId="2933538C" w14:textId="77777777" w:rsidR="007303EE" w:rsidRPr="00797379" w:rsidRDefault="007303EE" w:rsidP="000473DB">
            <w:pPr>
              <w:pStyle w:val="TableTextCentered"/>
            </w:pPr>
            <w:r w:rsidRPr="00797379">
              <w:t>4</w:t>
            </w:r>
          </w:p>
        </w:tc>
        <w:tc>
          <w:tcPr>
            <w:tcW w:w="1573" w:type="dxa"/>
            <w:vAlign w:val="center"/>
          </w:tcPr>
          <w:p w14:paraId="3118F34F" w14:textId="77777777" w:rsidR="007303EE" w:rsidRPr="00797379" w:rsidRDefault="007303EE" w:rsidP="000473DB">
            <w:pPr>
              <w:pStyle w:val="TableTextCentered"/>
            </w:pPr>
            <w:r w:rsidRPr="00797379">
              <w:t>0.1%</w:t>
            </w:r>
          </w:p>
        </w:tc>
        <w:tc>
          <w:tcPr>
            <w:tcW w:w="1573" w:type="dxa"/>
            <w:vAlign w:val="center"/>
          </w:tcPr>
          <w:p w14:paraId="253AE230" w14:textId="77777777" w:rsidR="007303EE" w:rsidRPr="00797379" w:rsidRDefault="007303EE" w:rsidP="000473DB">
            <w:pPr>
              <w:pStyle w:val="TableTextCentered"/>
            </w:pPr>
            <w:r w:rsidRPr="00797379">
              <w:t>2,188</w:t>
            </w:r>
          </w:p>
        </w:tc>
        <w:tc>
          <w:tcPr>
            <w:tcW w:w="1573" w:type="dxa"/>
            <w:vAlign w:val="center"/>
          </w:tcPr>
          <w:p w14:paraId="5F03FFA9" w14:textId="77777777" w:rsidR="007303EE" w:rsidRPr="00797379" w:rsidRDefault="007303EE" w:rsidP="000473DB">
            <w:pPr>
              <w:pStyle w:val="TableTextCentered"/>
            </w:pPr>
            <w:r w:rsidRPr="00797379">
              <w:t>0.2%</w:t>
            </w:r>
          </w:p>
        </w:tc>
      </w:tr>
      <w:tr w:rsidR="007303EE" w:rsidRPr="00797379" w14:paraId="4523AE3D" w14:textId="77777777" w:rsidTr="001916FA">
        <w:trPr>
          <w:cnfStyle w:val="000000100000" w:firstRow="0" w:lastRow="0" w:firstColumn="0" w:lastColumn="0" w:oddVBand="0" w:evenVBand="0" w:oddHBand="1" w:evenHBand="0" w:firstRowFirstColumn="0" w:firstRowLastColumn="0" w:lastRowFirstColumn="0" w:lastRowLastColumn="0"/>
        </w:trPr>
        <w:tc>
          <w:tcPr>
            <w:tcW w:w="3052" w:type="dxa"/>
          </w:tcPr>
          <w:p w14:paraId="74809781" w14:textId="77777777" w:rsidR="007303EE" w:rsidRPr="001916FA" w:rsidRDefault="007303EE" w:rsidP="000473DB">
            <w:pPr>
              <w:pStyle w:val="TableSubheading"/>
              <w:rPr>
                <w:rFonts w:asciiTheme="minorHAnsi" w:hAnsiTheme="minorHAnsi"/>
              </w:rPr>
            </w:pPr>
            <w:r w:rsidRPr="001916FA">
              <w:rPr>
                <w:rFonts w:asciiTheme="minorHAnsi" w:hAnsiTheme="minorHAnsi"/>
              </w:rPr>
              <w:t>Asian</w:t>
            </w:r>
          </w:p>
        </w:tc>
        <w:tc>
          <w:tcPr>
            <w:tcW w:w="1573" w:type="dxa"/>
            <w:vAlign w:val="center"/>
          </w:tcPr>
          <w:p w14:paraId="04412834" w14:textId="77777777" w:rsidR="007303EE" w:rsidRPr="00797379" w:rsidRDefault="007303EE" w:rsidP="000473DB">
            <w:pPr>
              <w:pStyle w:val="TableTextCentered"/>
            </w:pPr>
            <w:r w:rsidRPr="00797379">
              <w:t>927</w:t>
            </w:r>
          </w:p>
        </w:tc>
        <w:tc>
          <w:tcPr>
            <w:tcW w:w="1573" w:type="dxa"/>
            <w:vAlign w:val="center"/>
          </w:tcPr>
          <w:p w14:paraId="52AFFB93" w14:textId="77777777" w:rsidR="007303EE" w:rsidRPr="00797379" w:rsidRDefault="007303EE" w:rsidP="000473DB">
            <w:pPr>
              <w:pStyle w:val="TableTextCentered"/>
            </w:pPr>
            <w:r w:rsidRPr="00797379">
              <w:t>21.4%</w:t>
            </w:r>
          </w:p>
        </w:tc>
        <w:tc>
          <w:tcPr>
            <w:tcW w:w="1573" w:type="dxa"/>
            <w:vAlign w:val="center"/>
          </w:tcPr>
          <w:p w14:paraId="44532871" w14:textId="77777777" w:rsidR="007303EE" w:rsidRPr="00797379" w:rsidRDefault="007303EE" w:rsidP="000473DB">
            <w:pPr>
              <w:pStyle w:val="TableTextCentered"/>
            </w:pPr>
            <w:r w:rsidRPr="00797379">
              <w:t>68,002</w:t>
            </w:r>
          </w:p>
        </w:tc>
        <w:tc>
          <w:tcPr>
            <w:tcW w:w="1573" w:type="dxa"/>
            <w:vAlign w:val="center"/>
          </w:tcPr>
          <w:p w14:paraId="4543626C" w14:textId="77777777" w:rsidR="007303EE" w:rsidRPr="00797379" w:rsidRDefault="007303EE" w:rsidP="000473DB">
            <w:pPr>
              <w:pStyle w:val="TableTextCentered"/>
            </w:pPr>
            <w:r w:rsidRPr="00797379">
              <w:t>7.6%</w:t>
            </w:r>
          </w:p>
        </w:tc>
      </w:tr>
      <w:tr w:rsidR="007303EE" w:rsidRPr="00797379" w14:paraId="60C03C30" w14:textId="77777777" w:rsidTr="001916FA">
        <w:tc>
          <w:tcPr>
            <w:tcW w:w="3052" w:type="dxa"/>
          </w:tcPr>
          <w:p w14:paraId="04E02E4F" w14:textId="77777777" w:rsidR="007303EE" w:rsidRPr="001916FA" w:rsidRDefault="007303EE" w:rsidP="000473DB">
            <w:pPr>
              <w:pStyle w:val="TableSubheading"/>
              <w:rPr>
                <w:rFonts w:asciiTheme="minorHAnsi" w:hAnsiTheme="minorHAnsi"/>
              </w:rPr>
            </w:pPr>
            <w:r w:rsidRPr="001916FA">
              <w:rPr>
                <w:rFonts w:asciiTheme="minorHAnsi" w:hAnsiTheme="minorHAnsi"/>
              </w:rPr>
              <w:t>Black or African American</w:t>
            </w:r>
          </w:p>
        </w:tc>
        <w:tc>
          <w:tcPr>
            <w:tcW w:w="1573" w:type="dxa"/>
            <w:vAlign w:val="center"/>
          </w:tcPr>
          <w:p w14:paraId="275D3F81" w14:textId="77777777" w:rsidR="007303EE" w:rsidRPr="00797379" w:rsidRDefault="007303EE" w:rsidP="000473DB">
            <w:pPr>
              <w:pStyle w:val="TableTextCentered"/>
            </w:pPr>
            <w:r w:rsidRPr="00797379">
              <w:t>62</w:t>
            </w:r>
          </w:p>
        </w:tc>
        <w:tc>
          <w:tcPr>
            <w:tcW w:w="1573" w:type="dxa"/>
            <w:vAlign w:val="center"/>
          </w:tcPr>
          <w:p w14:paraId="3F59F12F" w14:textId="77777777" w:rsidR="007303EE" w:rsidRPr="00797379" w:rsidRDefault="007303EE" w:rsidP="000473DB">
            <w:pPr>
              <w:pStyle w:val="TableTextCentered"/>
            </w:pPr>
            <w:r w:rsidRPr="00797379">
              <w:t>1.4%</w:t>
            </w:r>
          </w:p>
        </w:tc>
        <w:tc>
          <w:tcPr>
            <w:tcW w:w="1573" w:type="dxa"/>
            <w:vAlign w:val="center"/>
          </w:tcPr>
          <w:p w14:paraId="78867030" w14:textId="77777777" w:rsidR="007303EE" w:rsidRPr="00797379" w:rsidRDefault="007303EE" w:rsidP="000473DB">
            <w:pPr>
              <w:pStyle w:val="TableTextCentered"/>
            </w:pPr>
            <w:r w:rsidRPr="00797379">
              <w:t>93,528</w:t>
            </w:r>
          </w:p>
        </w:tc>
        <w:tc>
          <w:tcPr>
            <w:tcW w:w="1573" w:type="dxa"/>
            <w:vAlign w:val="center"/>
          </w:tcPr>
          <w:p w14:paraId="588AD2A7" w14:textId="77777777" w:rsidR="007303EE" w:rsidRPr="00797379" w:rsidRDefault="007303EE" w:rsidP="000473DB">
            <w:pPr>
              <w:pStyle w:val="TableTextCentered"/>
            </w:pPr>
            <w:r w:rsidRPr="00797379">
              <w:t>10.4%</w:t>
            </w:r>
          </w:p>
        </w:tc>
      </w:tr>
      <w:tr w:rsidR="007303EE" w:rsidRPr="00797379" w14:paraId="65CBF364" w14:textId="77777777" w:rsidTr="001916FA">
        <w:trPr>
          <w:cnfStyle w:val="000000100000" w:firstRow="0" w:lastRow="0" w:firstColumn="0" w:lastColumn="0" w:oddVBand="0" w:evenVBand="0" w:oddHBand="1" w:evenHBand="0" w:firstRowFirstColumn="0" w:firstRowLastColumn="0" w:lastRowFirstColumn="0" w:lastRowLastColumn="0"/>
        </w:trPr>
        <w:tc>
          <w:tcPr>
            <w:tcW w:w="3052" w:type="dxa"/>
          </w:tcPr>
          <w:p w14:paraId="49D1F061" w14:textId="77777777" w:rsidR="007303EE" w:rsidRPr="001916FA" w:rsidRDefault="007303EE" w:rsidP="000473DB">
            <w:pPr>
              <w:pStyle w:val="TableSubheading"/>
              <w:rPr>
                <w:rFonts w:asciiTheme="minorHAnsi" w:hAnsiTheme="minorHAnsi"/>
              </w:rPr>
            </w:pPr>
            <w:r w:rsidRPr="001916FA">
              <w:rPr>
                <w:rFonts w:asciiTheme="minorHAnsi" w:hAnsiTheme="minorHAnsi"/>
              </w:rPr>
              <w:t>Hispanic or Latino</w:t>
            </w:r>
          </w:p>
        </w:tc>
        <w:tc>
          <w:tcPr>
            <w:tcW w:w="1573" w:type="dxa"/>
            <w:vAlign w:val="center"/>
          </w:tcPr>
          <w:p w14:paraId="15FF8525" w14:textId="77777777" w:rsidR="007303EE" w:rsidRPr="00797379" w:rsidRDefault="007303EE" w:rsidP="000473DB">
            <w:pPr>
              <w:pStyle w:val="TableTextCentered"/>
            </w:pPr>
            <w:r w:rsidRPr="00797379">
              <w:t>191</w:t>
            </w:r>
          </w:p>
        </w:tc>
        <w:tc>
          <w:tcPr>
            <w:tcW w:w="1573" w:type="dxa"/>
            <w:vAlign w:val="center"/>
          </w:tcPr>
          <w:p w14:paraId="06A38FFF" w14:textId="77777777" w:rsidR="007303EE" w:rsidRPr="00797379" w:rsidRDefault="007303EE" w:rsidP="000473DB">
            <w:pPr>
              <w:pStyle w:val="TableTextCentered"/>
            </w:pPr>
            <w:r w:rsidRPr="00797379">
              <w:t>4.4%</w:t>
            </w:r>
          </w:p>
        </w:tc>
        <w:tc>
          <w:tcPr>
            <w:tcW w:w="1573" w:type="dxa"/>
            <w:vAlign w:val="center"/>
          </w:tcPr>
          <w:p w14:paraId="4BD7DBEA" w14:textId="77777777" w:rsidR="007303EE" w:rsidRPr="00797379" w:rsidRDefault="007303EE" w:rsidP="000473DB">
            <w:pPr>
              <w:pStyle w:val="TableTextCentered"/>
            </w:pPr>
            <w:r w:rsidRPr="00797379">
              <w:t>235,969</w:t>
            </w:r>
          </w:p>
        </w:tc>
        <w:tc>
          <w:tcPr>
            <w:tcW w:w="1573" w:type="dxa"/>
            <w:vAlign w:val="center"/>
          </w:tcPr>
          <w:p w14:paraId="331C7547" w14:textId="77777777" w:rsidR="007303EE" w:rsidRPr="00797379" w:rsidRDefault="007303EE" w:rsidP="000473DB">
            <w:pPr>
              <w:pStyle w:val="TableTextCentered"/>
            </w:pPr>
            <w:r w:rsidRPr="00797379">
              <w:t>26.2%</w:t>
            </w:r>
          </w:p>
        </w:tc>
      </w:tr>
      <w:tr w:rsidR="007303EE" w:rsidRPr="00797379" w14:paraId="1FA3EEE6" w14:textId="77777777" w:rsidTr="001916FA">
        <w:tc>
          <w:tcPr>
            <w:tcW w:w="3052" w:type="dxa"/>
          </w:tcPr>
          <w:p w14:paraId="5C4531EC" w14:textId="77777777" w:rsidR="007303EE" w:rsidRPr="001916FA" w:rsidRDefault="007303EE" w:rsidP="000473DB">
            <w:pPr>
              <w:pStyle w:val="TableSubheading"/>
              <w:rPr>
                <w:rFonts w:asciiTheme="minorHAnsi" w:hAnsiTheme="minorHAnsi"/>
              </w:rPr>
            </w:pPr>
            <w:r w:rsidRPr="001916FA">
              <w:rPr>
                <w:rFonts w:asciiTheme="minorHAnsi" w:hAnsiTheme="minorHAnsi"/>
              </w:rPr>
              <w:t>Multi-Race, Not Hispanic or Latino</w:t>
            </w:r>
          </w:p>
        </w:tc>
        <w:tc>
          <w:tcPr>
            <w:tcW w:w="1573" w:type="dxa"/>
            <w:vAlign w:val="center"/>
          </w:tcPr>
          <w:p w14:paraId="65990878" w14:textId="77777777" w:rsidR="007303EE" w:rsidRPr="00797379" w:rsidRDefault="007303EE" w:rsidP="000473DB">
            <w:pPr>
              <w:pStyle w:val="TableTextCentered"/>
            </w:pPr>
            <w:r w:rsidRPr="00797379">
              <w:t>333</w:t>
            </w:r>
          </w:p>
        </w:tc>
        <w:tc>
          <w:tcPr>
            <w:tcW w:w="1573" w:type="dxa"/>
            <w:vAlign w:val="center"/>
          </w:tcPr>
          <w:p w14:paraId="3AE6C65A" w14:textId="77777777" w:rsidR="007303EE" w:rsidRPr="00797379" w:rsidRDefault="007303EE" w:rsidP="000473DB">
            <w:pPr>
              <w:pStyle w:val="TableTextCentered"/>
            </w:pPr>
            <w:r w:rsidRPr="00797379">
              <w:t>7.7%</w:t>
            </w:r>
          </w:p>
        </w:tc>
        <w:tc>
          <w:tcPr>
            <w:tcW w:w="1573" w:type="dxa"/>
            <w:vAlign w:val="center"/>
          </w:tcPr>
          <w:p w14:paraId="42542D9B" w14:textId="77777777" w:rsidR="007303EE" w:rsidRPr="00797379" w:rsidRDefault="007303EE" w:rsidP="000473DB">
            <w:pPr>
              <w:pStyle w:val="TableTextCentered"/>
            </w:pPr>
            <w:r w:rsidRPr="00797379">
              <w:t>42,988</w:t>
            </w:r>
          </w:p>
        </w:tc>
        <w:tc>
          <w:tcPr>
            <w:tcW w:w="1573" w:type="dxa"/>
            <w:vAlign w:val="center"/>
          </w:tcPr>
          <w:p w14:paraId="32667504" w14:textId="77777777" w:rsidR="007303EE" w:rsidRPr="00797379" w:rsidRDefault="007303EE" w:rsidP="000473DB">
            <w:pPr>
              <w:pStyle w:val="TableTextCentered"/>
            </w:pPr>
            <w:r w:rsidRPr="00797379">
              <w:t>4.8%</w:t>
            </w:r>
          </w:p>
        </w:tc>
      </w:tr>
      <w:tr w:rsidR="007303EE" w:rsidRPr="00797379" w14:paraId="7C096269" w14:textId="77777777" w:rsidTr="001916FA">
        <w:trPr>
          <w:cnfStyle w:val="000000100000" w:firstRow="0" w:lastRow="0" w:firstColumn="0" w:lastColumn="0" w:oddVBand="0" w:evenVBand="0" w:oddHBand="1" w:evenHBand="0" w:firstRowFirstColumn="0" w:firstRowLastColumn="0" w:lastRowFirstColumn="0" w:lastRowLastColumn="0"/>
        </w:trPr>
        <w:tc>
          <w:tcPr>
            <w:tcW w:w="3052" w:type="dxa"/>
          </w:tcPr>
          <w:p w14:paraId="6F10BC3A" w14:textId="77777777" w:rsidR="007303EE" w:rsidRPr="001916FA" w:rsidRDefault="007303EE" w:rsidP="000473DB">
            <w:pPr>
              <w:pStyle w:val="TableSubheading"/>
              <w:rPr>
                <w:rFonts w:asciiTheme="minorHAnsi" w:hAnsiTheme="minorHAnsi"/>
              </w:rPr>
            </w:pPr>
            <w:r w:rsidRPr="001916FA">
              <w:rPr>
                <w:rFonts w:asciiTheme="minorHAnsi" w:hAnsiTheme="minorHAnsi"/>
              </w:rPr>
              <w:t>Native Hawaiian or Other Pacific Islander</w:t>
            </w:r>
          </w:p>
        </w:tc>
        <w:tc>
          <w:tcPr>
            <w:tcW w:w="1573" w:type="dxa"/>
            <w:vAlign w:val="center"/>
          </w:tcPr>
          <w:p w14:paraId="7011F2A1" w14:textId="77777777" w:rsidR="007303EE" w:rsidRPr="00797379" w:rsidRDefault="007303EE" w:rsidP="000473DB">
            <w:pPr>
              <w:pStyle w:val="TableTextCentered"/>
            </w:pPr>
            <w:r w:rsidRPr="00797379">
              <w:t>0</w:t>
            </w:r>
          </w:p>
        </w:tc>
        <w:tc>
          <w:tcPr>
            <w:tcW w:w="1573" w:type="dxa"/>
            <w:vAlign w:val="center"/>
          </w:tcPr>
          <w:p w14:paraId="7B960A8A" w14:textId="77777777" w:rsidR="007303EE" w:rsidRPr="00797379" w:rsidRDefault="007303EE" w:rsidP="000473DB">
            <w:pPr>
              <w:pStyle w:val="TableTextCentered"/>
            </w:pPr>
            <w:r w:rsidRPr="00797379">
              <w:t>0.0%</w:t>
            </w:r>
          </w:p>
        </w:tc>
        <w:tc>
          <w:tcPr>
            <w:tcW w:w="1573" w:type="dxa"/>
            <w:vAlign w:val="center"/>
          </w:tcPr>
          <w:p w14:paraId="461F3A4E" w14:textId="77777777" w:rsidR="007303EE" w:rsidRPr="00797379" w:rsidRDefault="007303EE" w:rsidP="000473DB">
            <w:pPr>
              <w:pStyle w:val="TableTextCentered"/>
            </w:pPr>
            <w:r w:rsidRPr="00797379">
              <w:t>754</w:t>
            </w:r>
          </w:p>
        </w:tc>
        <w:tc>
          <w:tcPr>
            <w:tcW w:w="1573" w:type="dxa"/>
            <w:vAlign w:val="center"/>
          </w:tcPr>
          <w:p w14:paraId="370CAB03" w14:textId="77777777" w:rsidR="007303EE" w:rsidRPr="00797379" w:rsidRDefault="007303EE" w:rsidP="000473DB">
            <w:pPr>
              <w:pStyle w:val="TableTextCentered"/>
            </w:pPr>
            <w:r w:rsidRPr="00797379">
              <w:t>0.1%</w:t>
            </w:r>
          </w:p>
        </w:tc>
      </w:tr>
      <w:tr w:rsidR="007303EE" w:rsidRPr="00797379" w14:paraId="226B763E" w14:textId="77777777" w:rsidTr="001916FA">
        <w:tc>
          <w:tcPr>
            <w:tcW w:w="3052" w:type="dxa"/>
          </w:tcPr>
          <w:p w14:paraId="0F114B8F" w14:textId="77777777" w:rsidR="007303EE" w:rsidRPr="001916FA" w:rsidRDefault="007303EE" w:rsidP="000473DB">
            <w:pPr>
              <w:pStyle w:val="TableSubheading"/>
              <w:rPr>
                <w:rFonts w:asciiTheme="minorHAnsi" w:hAnsiTheme="minorHAnsi"/>
              </w:rPr>
            </w:pPr>
            <w:r w:rsidRPr="001916FA">
              <w:rPr>
                <w:rFonts w:asciiTheme="minorHAnsi" w:hAnsiTheme="minorHAnsi"/>
              </w:rPr>
              <w:t>White</w:t>
            </w:r>
          </w:p>
        </w:tc>
        <w:tc>
          <w:tcPr>
            <w:tcW w:w="1573" w:type="dxa"/>
            <w:vAlign w:val="center"/>
          </w:tcPr>
          <w:p w14:paraId="258C78B4" w14:textId="77777777" w:rsidR="007303EE" w:rsidRPr="00797379" w:rsidRDefault="007303EE" w:rsidP="000473DB">
            <w:pPr>
              <w:pStyle w:val="TableTextCentered"/>
            </w:pPr>
            <w:r w:rsidRPr="00797379">
              <w:t>2,824</w:t>
            </w:r>
          </w:p>
        </w:tc>
        <w:tc>
          <w:tcPr>
            <w:tcW w:w="1573" w:type="dxa"/>
            <w:vAlign w:val="center"/>
          </w:tcPr>
          <w:p w14:paraId="18FF5D5F" w14:textId="77777777" w:rsidR="007303EE" w:rsidRPr="00797379" w:rsidRDefault="007303EE" w:rsidP="000473DB">
            <w:pPr>
              <w:pStyle w:val="TableTextCentered"/>
            </w:pPr>
            <w:r w:rsidRPr="00797379">
              <w:t>65.1%</w:t>
            </w:r>
          </w:p>
        </w:tc>
        <w:tc>
          <w:tcPr>
            <w:tcW w:w="1573" w:type="dxa"/>
            <w:vAlign w:val="center"/>
          </w:tcPr>
          <w:p w14:paraId="17ADC009" w14:textId="77777777" w:rsidR="007303EE" w:rsidRPr="00797379" w:rsidRDefault="007303EE" w:rsidP="000473DB">
            <w:pPr>
              <w:pStyle w:val="TableTextCentered"/>
            </w:pPr>
            <w:r w:rsidRPr="00797379">
              <w:t>457,061</w:t>
            </w:r>
          </w:p>
        </w:tc>
        <w:tc>
          <w:tcPr>
            <w:tcW w:w="1573" w:type="dxa"/>
            <w:vAlign w:val="center"/>
          </w:tcPr>
          <w:p w14:paraId="7FACC76C" w14:textId="77777777" w:rsidR="007303EE" w:rsidRPr="00797379" w:rsidRDefault="007303EE" w:rsidP="000473DB">
            <w:pPr>
              <w:pStyle w:val="TableTextCentered"/>
            </w:pPr>
            <w:r w:rsidRPr="00797379">
              <w:t>50.8%</w:t>
            </w:r>
          </w:p>
        </w:tc>
      </w:tr>
    </w:tbl>
    <w:p w14:paraId="0FA3F3AE" w14:textId="77777777" w:rsidR="007303EE" w:rsidRPr="00797379" w:rsidRDefault="007303EE" w:rsidP="006C2038">
      <w:pPr>
        <w:pStyle w:val="TableNote"/>
      </w:pPr>
      <w:r w:rsidRPr="00797379">
        <w:rPr>
          <w:i/>
          <w:iCs/>
        </w:rPr>
        <w:t>Note</w:t>
      </w:r>
      <w:r w:rsidRPr="00797379">
        <w:t>. As of October 1, 2025.</w:t>
      </w:r>
    </w:p>
    <w:p w14:paraId="59D2FE52" w14:textId="77777777" w:rsidR="007303EE" w:rsidRPr="00797379" w:rsidRDefault="007303EE" w:rsidP="006C2038">
      <w:pPr>
        <w:pStyle w:val="TableTitle0"/>
      </w:pPr>
      <w:bookmarkStart w:id="229" w:name="_Toc220932436"/>
      <w:r w:rsidRPr="00797379">
        <w:t>Table D2. 2025-2026 Student Enrollment by High-Need Populations</w:t>
      </w:r>
      <w:bookmarkEnd w:id="229"/>
    </w:p>
    <w:tbl>
      <w:tblPr>
        <w:tblStyle w:val="MSVTable1"/>
        <w:tblW w:w="5000" w:type="pct"/>
        <w:tblLayout w:type="fixed"/>
        <w:tblLook w:val="0420" w:firstRow="1" w:lastRow="0" w:firstColumn="0" w:lastColumn="0" w:noHBand="0" w:noVBand="1"/>
      </w:tblPr>
      <w:tblGrid>
        <w:gridCol w:w="2287"/>
        <w:gridCol w:w="1176"/>
        <w:gridCol w:w="1176"/>
        <w:gridCol w:w="1176"/>
        <w:gridCol w:w="1176"/>
        <w:gridCol w:w="1176"/>
        <w:gridCol w:w="1177"/>
      </w:tblGrid>
      <w:tr w:rsidR="007303EE" w:rsidRPr="00797379" w14:paraId="68D3FBF0" w14:textId="77777777" w:rsidTr="001916FA">
        <w:trPr>
          <w:cnfStyle w:val="100000000000" w:firstRow="1" w:lastRow="0" w:firstColumn="0" w:lastColumn="0" w:oddVBand="0" w:evenVBand="0" w:oddHBand="0" w:evenHBand="0" w:firstRowFirstColumn="0" w:firstRowLastColumn="0" w:lastRowFirstColumn="0" w:lastRowLastColumn="0"/>
          <w:tblHeader/>
        </w:trPr>
        <w:tc>
          <w:tcPr>
            <w:tcW w:w="2287" w:type="dxa"/>
            <w:vAlign w:val="center"/>
          </w:tcPr>
          <w:p w14:paraId="0E7387AD" w14:textId="77777777" w:rsidR="007303EE" w:rsidRPr="00797379" w:rsidRDefault="007303EE" w:rsidP="00550176">
            <w:pPr>
              <w:pStyle w:val="TableColHeadingCenter"/>
            </w:pPr>
            <w:r w:rsidRPr="00797379">
              <w:t>Group</w:t>
            </w:r>
          </w:p>
        </w:tc>
        <w:tc>
          <w:tcPr>
            <w:tcW w:w="1176" w:type="dxa"/>
            <w:vAlign w:val="center"/>
          </w:tcPr>
          <w:p w14:paraId="13D93771" w14:textId="3C4D681E" w:rsidR="007303EE" w:rsidRPr="00797379" w:rsidRDefault="007303EE" w:rsidP="00550176">
            <w:pPr>
              <w:pStyle w:val="TableColHeadingCenter"/>
            </w:pPr>
            <w:r w:rsidRPr="00797379">
              <w:rPr>
                <w:i/>
                <w:iCs/>
              </w:rPr>
              <w:t>N</w:t>
            </w:r>
            <w:r w:rsidR="00550176" w:rsidRPr="00797379">
              <w:br/>
            </w:r>
            <w:r w:rsidRPr="00797379">
              <w:t>(District)</w:t>
            </w:r>
          </w:p>
        </w:tc>
        <w:tc>
          <w:tcPr>
            <w:tcW w:w="1176" w:type="dxa"/>
            <w:vAlign w:val="center"/>
          </w:tcPr>
          <w:p w14:paraId="5A9EB89B" w14:textId="2BAD7F79" w:rsidR="007303EE" w:rsidRPr="00797379" w:rsidRDefault="007303EE" w:rsidP="00550176">
            <w:pPr>
              <w:pStyle w:val="TableColHeadingCenter"/>
            </w:pPr>
            <w:r w:rsidRPr="00797379">
              <w:t>Percentage of High Needs</w:t>
            </w:r>
            <w:r w:rsidR="00550176" w:rsidRPr="00797379">
              <w:br/>
            </w:r>
            <w:r w:rsidRPr="00797379">
              <w:t>(District)</w:t>
            </w:r>
          </w:p>
        </w:tc>
        <w:tc>
          <w:tcPr>
            <w:tcW w:w="1176" w:type="dxa"/>
            <w:vAlign w:val="center"/>
          </w:tcPr>
          <w:p w14:paraId="161D04B1" w14:textId="77777777" w:rsidR="007303EE" w:rsidRPr="00797379" w:rsidRDefault="007303EE" w:rsidP="00550176">
            <w:pPr>
              <w:pStyle w:val="TableColHeadingCenter"/>
            </w:pPr>
            <w:r w:rsidRPr="00797379">
              <w:t>Percentage of District</w:t>
            </w:r>
          </w:p>
        </w:tc>
        <w:tc>
          <w:tcPr>
            <w:tcW w:w="1176" w:type="dxa"/>
            <w:vAlign w:val="center"/>
          </w:tcPr>
          <w:p w14:paraId="0E51EBD7" w14:textId="24C80018" w:rsidR="007303EE" w:rsidRPr="00797379" w:rsidRDefault="007303EE" w:rsidP="00550176">
            <w:pPr>
              <w:pStyle w:val="TableColHeadingCenter"/>
            </w:pPr>
            <w:r w:rsidRPr="00797379">
              <w:rPr>
                <w:i/>
                <w:iCs/>
              </w:rPr>
              <w:t>N</w:t>
            </w:r>
            <w:r w:rsidR="00550176" w:rsidRPr="00797379">
              <w:br/>
            </w:r>
            <w:r w:rsidRPr="00797379">
              <w:t>(State)</w:t>
            </w:r>
          </w:p>
        </w:tc>
        <w:tc>
          <w:tcPr>
            <w:tcW w:w="1176" w:type="dxa"/>
            <w:vAlign w:val="center"/>
          </w:tcPr>
          <w:p w14:paraId="3520F10A" w14:textId="22F60E4B" w:rsidR="007303EE" w:rsidRPr="00797379" w:rsidRDefault="007303EE" w:rsidP="00550176">
            <w:pPr>
              <w:pStyle w:val="TableColHeadingCenter"/>
            </w:pPr>
            <w:r w:rsidRPr="00797379">
              <w:t>Percentage of High Needs</w:t>
            </w:r>
            <w:r w:rsidR="00550176" w:rsidRPr="00797379">
              <w:br/>
            </w:r>
            <w:r w:rsidRPr="00797379">
              <w:t>(State)</w:t>
            </w:r>
          </w:p>
        </w:tc>
        <w:tc>
          <w:tcPr>
            <w:tcW w:w="1177" w:type="dxa"/>
            <w:vAlign w:val="center"/>
          </w:tcPr>
          <w:p w14:paraId="4BCBE9C5" w14:textId="77777777" w:rsidR="007303EE" w:rsidRPr="00797379" w:rsidRDefault="007303EE" w:rsidP="00550176">
            <w:pPr>
              <w:pStyle w:val="TableColHeadingCenter"/>
            </w:pPr>
            <w:r w:rsidRPr="00797379">
              <w:t>Percentage of State</w:t>
            </w:r>
          </w:p>
        </w:tc>
      </w:tr>
      <w:tr w:rsidR="007303EE" w:rsidRPr="00797379" w14:paraId="1E3FDAAE" w14:textId="77777777" w:rsidTr="001916FA">
        <w:trPr>
          <w:cnfStyle w:val="000000100000" w:firstRow="0" w:lastRow="0" w:firstColumn="0" w:lastColumn="0" w:oddVBand="0" w:evenVBand="0" w:oddHBand="1" w:evenHBand="0" w:firstRowFirstColumn="0" w:firstRowLastColumn="0" w:lastRowFirstColumn="0" w:lastRowLastColumn="0"/>
        </w:trPr>
        <w:tc>
          <w:tcPr>
            <w:tcW w:w="2287" w:type="dxa"/>
          </w:tcPr>
          <w:p w14:paraId="27750A12" w14:textId="77777777" w:rsidR="007303EE" w:rsidRPr="001916FA" w:rsidRDefault="007303EE" w:rsidP="00550176">
            <w:pPr>
              <w:pStyle w:val="TableSubheading"/>
              <w:rPr>
                <w:rFonts w:ascii="Franklin Gothic Book" w:hAnsi="Franklin Gothic Book"/>
              </w:rPr>
            </w:pPr>
            <w:r w:rsidRPr="001916FA">
              <w:rPr>
                <w:rFonts w:ascii="Franklin Gothic Book" w:hAnsi="Franklin Gothic Book"/>
              </w:rPr>
              <w:t>All Students with High Needs</w:t>
            </w:r>
          </w:p>
        </w:tc>
        <w:tc>
          <w:tcPr>
            <w:tcW w:w="1176" w:type="dxa"/>
            <w:vAlign w:val="center"/>
          </w:tcPr>
          <w:p w14:paraId="50100CE2" w14:textId="77777777" w:rsidR="007303EE" w:rsidRPr="00797379" w:rsidRDefault="007303EE" w:rsidP="00550176">
            <w:pPr>
              <w:pStyle w:val="TableTextCentered"/>
            </w:pPr>
            <w:r w:rsidRPr="00797379">
              <w:t>1,202</w:t>
            </w:r>
          </w:p>
        </w:tc>
        <w:tc>
          <w:tcPr>
            <w:tcW w:w="1176" w:type="dxa"/>
            <w:vAlign w:val="center"/>
          </w:tcPr>
          <w:p w14:paraId="12CB2AB9" w14:textId="77777777" w:rsidR="007303EE" w:rsidRPr="00797379" w:rsidRDefault="007303EE" w:rsidP="00550176">
            <w:pPr>
              <w:pStyle w:val="TableTextCentered"/>
            </w:pPr>
            <w:r w:rsidRPr="00797379">
              <w:t>100.0%</w:t>
            </w:r>
          </w:p>
        </w:tc>
        <w:tc>
          <w:tcPr>
            <w:tcW w:w="1176" w:type="dxa"/>
            <w:vAlign w:val="center"/>
          </w:tcPr>
          <w:p w14:paraId="1732AEE9" w14:textId="77777777" w:rsidR="007303EE" w:rsidRPr="00797379" w:rsidRDefault="007303EE" w:rsidP="00550176">
            <w:pPr>
              <w:pStyle w:val="TableTextCentered"/>
            </w:pPr>
            <w:r w:rsidRPr="00797379">
              <w:t>27.4%</w:t>
            </w:r>
          </w:p>
        </w:tc>
        <w:tc>
          <w:tcPr>
            <w:tcW w:w="1176" w:type="dxa"/>
            <w:vAlign w:val="center"/>
          </w:tcPr>
          <w:p w14:paraId="0E6CE0DD" w14:textId="77777777" w:rsidR="007303EE" w:rsidRPr="00797379" w:rsidRDefault="007303EE" w:rsidP="00550176">
            <w:pPr>
              <w:pStyle w:val="TableTextCentered"/>
            </w:pPr>
            <w:r w:rsidRPr="00797379">
              <w:t>504,445</w:t>
            </w:r>
          </w:p>
        </w:tc>
        <w:tc>
          <w:tcPr>
            <w:tcW w:w="1176" w:type="dxa"/>
            <w:vAlign w:val="center"/>
          </w:tcPr>
          <w:p w14:paraId="01FB24F4" w14:textId="77777777" w:rsidR="007303EE" w:rsidRPr="00797379" w:rsidRDefault="007303EE" w:rsidP="00550176">
            <w:pPr>
              <w:pStyle w:val="TableTextCentered"/>
            </w:pPr>
            <w:r w:rsidRPr="00797379">
              <w:t>100.0%</w:t>
            </w:r>
          </w:p>
        </w:tc>
        <w:tc>
          <w:tcPr>
            <w:tcW w:w="1177" w:type="dxa"/>
            <w:vAlign w:val="center"/>
          </w:tcPr>
          <w:p w14:paraId="1AC54DA1" w14:textId="77777777" w:rsidR="007303EE" w:rsidRPr="00797379" w:rsidRDefault="007303EE" w:rsidP="00550176">
            <w:pPr>
              <w:pStyle w:val="TableTextCentered"/>
            </w:pPr>
            <w:r w:rsidRPr="00797379">
              <w:t>55.4%</w:t>
            </w:r>
          </w:p>
        </w:tc>
      </w:tr>
      <w:tr w:rsidR="007303EE" w:rsidRPr="00797379" w14:paraId="62319807" w14:textId="77777777" w:rsidTr="001916FA">
        <w:tc>
          <w:tcPr>
            <w:tcW w:w="2287" w:type="dxa"/>
          </w:tcPr>
          <w:p w14:paraId="12B510BE" w14:textId="77777777" w:rsidR="007303EE" w:rsidRPr="001916FA" w:rsidRDefault="007303EE" w:rsidP="00550176">
            <w:pPr>
              <w:pStyle w:val="TableSubheading"/>
              <w:rPr>
                <w:rFonts w:ascii="Franklin Gothic Book" w:hAnsi="Franklin Gothic Book"/>
              </w:rPr>
            </w:pPr>
            <w:r w:rsidRPr="001916FA">
              <w:rPr>
                <w:rFonts w:ascii="Franklin Gothic Book" w:hAnsi="Franklin Gothic Book"/>
              </w:rPr>
              <w:t>English Learners</w:t>
            </w:r>
          </w:p>
        </w:tc>
        <w:tc>
          <w:tcPr>
            <w:tcW w:w="1176" w:type="dxa"/>
            <w:vAlign w:val="center"/>
          </w:tcPr>
          <w:p w14:paraId="47500018" w14:textId="77777777" w:rsidR="007303EE" w:rsidRPr="00797379" w:rsidRDefault="007303EE" w:rsidP="00550176">
            <w:pPr>
              <w:pStyle w:val="TableTextCentered"/>
            </w:pPr>
            <w:r w:rsidRPr="00797379">
              <w:t>138</w:t>
            </w:r>
          </w:p>
        </w:tc>
        <w:tc>
          <w:tcPr>
            <w:tcW w:w="1176" w:type="dxa"/>
            <w:vAlign w:val="center"/>
          </w:tcPr>
          <w:p w14:paraId="632085F6" w14:textId="77777777" w:rsidR="007303EE" w:rsidRPr="00797379" w:rsidRDefault="007303EE" w:rsidP="00550176">
            <w:pPr>
              <w:pStyle w:val="TableTextCentered"/>
            </w:pPr>
            <w:r w:rsidRPr="00797379">
              <w:t>11.5%</w:t>
            </w:r>
          </w:p>
        </w:tc>
        <w:tc>
          <w:tcPr>
            <w:tcW w:w="1176" w:type="dxa"/>
            <w:vAlign w:val="center"/>
          </w:tcPr>
          <w:p w14:paraId="71C0281F" w14:textId="77777777" w:rsidR="007303EE" w:rsidRPr="00797379" w:rsidRDefault="007303EE" w:rsidP="00550176">
            <w:pPr>
              <w:pStyle w:val="TableTextCentered"/>
            </w:pPr>
            <w:r w:rsidRPr="00797379">
              <w:t>3.2%</w:t>
            </w:r>
          </w:p>
        </w:tc>
        <w:tc>
          <w:tcPr>
            <w:tcW w:w="1176" w:type="dxa"/>
            <w:vAlign w:val="center"/>
          </w:tcPr>
          <w:p w14:paraId="73D033D5" w14:textId="77777777" w:rsidR="007303EE" w:rsidRPr="00797379" w:rsidRDefault="007303EE" w:rsidP="00550176">
            <w:pPr>
              <w:pStyle w:val="TableTextCentered"/>
            </w:pPr>
            <w:r w:rsidRPr="00797379">
              <w:t>120,784</w:t>
            </w:r>
          </w:p>
        </w:tc>
        <w:tc>
          <w:tcPr>
            <w:tcW w:w="1176" w:type="dxa"/>
            <w:vAlign w:val="center"/>
          </w:tcPr>
          <w:p w14:paraId="156154EA" w14:textId="77777777" w:rsidR="007303EE" w:rsidRPr="00797379" w:rsidRDefault="007303EE" w:rsidP="00550176">
            <w:pPr>
              <w:pStyle w:val="TableTextCentered"/>
            </w:pPr>
            <w:r w:rsidRPr="00797379">
              <w:t>23.9%</w:t>
            </w:r>
          </w:p>
        </w:tc>
        <w:tc>
          <w:tcPr>
            <w:tcW w:w="1177" w:type="dxa"/>
            <w:vAlign w:val="center"/>
          </w:tcPr>
          <w:p w14:paraId="52034317" w14:textId="77777777" w:rsidR="007303EE" w:rsidRPr="00797379" w:rsidRDefault="007303EE" w:rsidP="00550176">
            <w:pPr>
              <w:pStyle w:val="TableTextCentered"/>
            </w:pPr>
            <w:r w:rsidRPr="00797379">
              <w:t>13.4%</w:t>
            </w:r>
          </w:p>
        </w:tc>
      </w:tr>
      <w:tr w:rsidR="007303EE" w:rsidRPr="00797379" w14:paraId="33DD7766" w14:textId="77777777" w:rsidTr="001916FA">
        <w:trPr>
          <w:cnfStyle w:val="000000100000" w:firstRow="0" w:lastRow="0" w:firstColumn="0" w:lastColumn="0" w:oddVBand="0" w:evenVBand="0" w:oddHBand="1" w:evenHBand="0" w:firstRowFirstColumn="0" w:firstRowLastColumn="0" w:lastRowFirstColumn="0" w:lastRowLastColumn="0"/>
        </w:trPr>
        <w:tc>
          <w:tcPr>
            <w:tcW w:w="2287" w:type="dxa"/>
          </w:tcPr>
          <w:p w14:paraId="23A23A1C" w14:textId="77777777" w:rsidR="007303EE" w:rsidRPr="001916FA" w:rsidRDefault="007303EE" w:rsidP="00550176">
            <w:pPr>
              <w:pStyle w:val="TableSubheading"/>
              <w:rPr>
                <w:rFonts w:ascii="Franklin Gothic Book" w:hAnsi="Franklin Gothic Book"/>
              </w:rPr>
            </w:pPr>
            <w:r w:rsidRPr="001916FA">
              <w:rPr>
                <w:rFonts w:ascii="Franklin Gothic Book" w:hAnsi="Franklin Gothic Book"/>
              </w:rPr>
              <w:t>Low Income</w:t>
            </w:r>
          </w:p>
        </w:tc>
        <w:tc>
          <w:tcPr>
            <w:tcW w:w="1176" w:type="dxa"/>
            <w:vAlign w:val="center"/>
          </w:tcPr>
          <w:p w14:paraId="219BF76D" w14:textId="77777777" w:rsidR="007303EE" w:rsidRPr="00797379" w:rsidRDefault="007303EE" w:rsidP="00550176">
            <w:pPr>
              <w:pStyle w:val="TableTextCentered"/>
            </w:pPr>
            <w:r w:rsidRPr="00797379">
              <w:t>320</w:t>
            </w:r>
          </w:p>
        </w:tc>
        <w:tc>
          <w:tcPr>
            <w:tcW w:w="1176" w:type="dxa"/>
            <w:vAlign w:val="center"/>
          </w:tcPr>
          <w:p w14:paraId="776FCD5D" w14:textId="77777777" w:rsidR="007303EE" w:rsidRPr="00797379" w:rsidRDefault="007303EE" w:rsidP="00550176">
            <w:pPr>
              <w:pStyle w:val="TableTextCentered"/>
            </w:pPr>
            <w:r w:rsidRPr="00797379">
              <w:t>26.6%</w:t>
            </w:r>
          </w:p>
        </w:tc>
        <w:tc>
          <w:tcPr>
            <w:tcW w:w="1176" w:type="dxa"/>
            <w:vAlign w:val="center"/>
          </w:tcPr>
          <w:p w14:paraId="17264E8A" w14:textId="77777777" w:rsidR="007303EE" w:rsidRPr="00797379" w:rsidRDefault="007303EE" w:rsidP="00550176">
            <w:pPr>
              <w:pStyle w:val="TableTextCentered"/>
            </w:pPr>
            <w:r w:rsidRPr="00797379">
              <w:t>7.4%</w:t>
            </w:r>
          </w:p>
        </w:tc>
        <w:tc>
          <w:tcPr>
            <w:tcW w:w="1176" w:type="dxa"/>
            <w:vAlign w:val="center"/>
          </w:tcPr>
          <w:p w14:paraId="339FD163" w14:textId="77777777" w:rsidR="007303EE" w:rsidRPr="00797379" w:rsidRDefault="007303EE" w:rsidP="00550176">
            <w:pPr>
              <w:pStyle w:val="TableTextCentered"/>
            </w:pPr>
            <w:r w:rsidRPr="00797379">
              <w:t>369,909</w:t>
            </w:r>
          </w:p>
        </w:tc>
        <w:tc>
          <w:tcPr>
            <w:tcW w:w="1176" w:type="dxa"/>
            <w:vAlign w:val="center"/>
          </w:tcPr>
          <w:p w14:paraId="153080DC" w14:textId="77777777" w:rsidR="007303EE" w:rsidRPr="00797379" w:rsidRDefault="007303EE" w:rsidP="00550176">
            <w:pPr>
              <w:pStyle w:val="TableTextCentered"/>
            </w:pPr>
            <w:r w:rsidRPr="00797379">
              <w:t>73.3%</w:t>
            </w:r>
          </w:p>
        </w:tc>
        <w:tc>
          <w:tcPr>
            <w:tcW w:w="1177" w:type="dxa"/>
            <w:vAlign w:val="center"/>
          </w:tcPr>
          <w:p w14:paraId="00CC2CC0" w14:textId="77777777" w:rsidR="007303EE" w:rsidRPr="00797379" w:rsidRDefault="007303EE" w:rsidP="00550176">
            <w:pPr>
              <w:pStyle w:val="TableTextCentered"/>
            </w:pPr>
            <w:r w:rsidRPr="00797379">
              <w:t>41.1%</w:t>
            </w:r>
          </w:p>
        </w:tc>
      </w:tr>
      <w:tr w:rsidR="007303EE" w:rsidRPr="00797379" w14:paraId="19A88C4C" w14:textId="77777777" w:rsidTr="001916FA">
        <w:tc>
          <w:tcPr>
            <w:tcW w:w="2287" w:type="dxa"/>
          </w:tcPr>
          <w:p w14:paraId="523A5FFE" w14:textId="77777777" w:rsidR="007303EE" w:rsidRPr="001916FA" w:rsidRDefault="007303EE" w:rsidP="00550176">
            <w:pPr>
              <w:pStyle w:val="TableSubheading"/>
              <w:rPr>
                <w:rFonts w:ascii="Franklin Gothic Book" w:hAnsi="Franklin Gothic Book"/>
              </w:rPr>
            </w:pPr>
            <w:r w:rsidRPr="001916FA">
              <w:rPr>
                <w:rFonts w:ascii="Franklin Gothic Book" w:hAnsi="Franklin Gothic Book"/>
              </w:rPr>
              <w:t>Students with Disabilities</w:t>
            </w:r>
          </w:p>
        </w:tc>
        <w:tc>
          <w:tcPr>
            <w:tcW w:w="1176" w:type="dxa"/>
            <w:vAlign w:val="center"/>
          </w:tcPr>
          <w:p w14:paraId="248173BF" w14:textId="77777777" w:rsidR="007303EE" w:rsidRPr="00797379" w:rsidRDefault="007303EE" w:rsidP="00550176">
            <w:pPr>
              <w:pStyle w:val="TableTextCentered"/>
            </w:pPr>
            <w:r w:rsidRPr="00797379">
              <w:t>787</w:t>
            </w:r>
          </w:p>
        </w:tc>
        <w:tc>
          <w:tcPr>
            <w:tcW w:w="1176" w:type="dxa"/>
            <w:vAlign w:val="center"/>
          </w:tcPr>
          <w:p w14:paraId="154227BA" w14:textId="77777777" w:rsidR="007303EE" w:rsidRPr="00797379" w:rsidRDefault="007303EE" w:rsidP="00550176">
            <w:pPr>
              <w:pStyle w:val="TableTextCentered"/>
            </w:pPr>
            <w:r w:rsidRPr="00797379">
              <w:t>65.5%</w:t>
            </w:r>
          </w:p>
        </w:tc>
        <w:tc>
          <w:tcPr>
            <w:tcW w:w="1176" w:type="dxa"/>
            <w:vAlign w:val="center"/>
          </w:tcPr>
          <w:p w14:paraId="25FACD09" w14:textId="77777777" w:rsidR="007303EE" w:rsidRPr="00797379" w:rsidRDefault="007303EE" w:rsidP="00550176">
            <w:pPr>
              <w:pStyle w:val="TableTextCentered"/>
            </w:pPr>
            <w:r w:rsidRPr="00797379">
              <w:t>17.9%</w:t>
            </w:r>
          </w:p>
        </w:tc>
        <w:tc>
          <w:tcPr>
            <w:tcW w:w="1176" w:type="dxa"/>
            <w:vAlign w:val="center"/>
          </w:tcPr>
          <w:p w14:paraId="21988A2B" w14:textId="77777777" w:rsidR="007303EE" w:rsidRPr="00797379" w:rsidRDefault="007303EE" w:rsidP="00550176">
            <w:pPr>
              <w:pStyle w:val="TableTextCentered"/>
            </w:pPr>
            <w:r w:rsidRPr="00797379">
              <w:t>192,218</w:t>
            </w:r>
          </w:p>
        </w:tc>
        <w:tc>
          <w:tcPr>
            <w:tcW w:w="1176" w:type="dxa"/>
            <w:vAlign w:val="center"/>
          </w:tcPr>
          <w:p w14:paraId="73F95A6D" w14:textId="77777777" w:rsidR="007303EE" w:rsidRPr="00797379" w:rsidRDefault="007303EE" w:rsidP="00550176">
            <w:pPr>
              <w:pStyle w:val="TableTextCentered"/>
            </w:pPr>
            <w:r w:rsidRPr="00797379">
              <w:t>38.1%</w:t>
            </w:r>
          </w:p>
        </w:tc>
        <w:tc>
          <w:tcPr>
            <w:tcW w:w="1177" w:type="dxa"/>
            <w:vAlign w:val="center"/>
          </w:tcPr>
          <w:p w14:paraId="400EFA63" w14:textId="77777777" w:rsidR="007303EE" w:rsidRPr="00797379" w:rsidRDefault="007303EE" w:rsidP="00550176">
            <w:pPr>
              <w:pStyle w:val="TableTextCentered"/>
            </w:pPr>
            <w:r w:rsidRPr="00797379">
              <w:t>21.1%</w:t>
            </w:r>
          </w:p>
        </w:tc>
      </w:tr>
    </w:tbl>
    <w:p w14:paraId="6E669115" w14:textId="09DF0D2D" w:rsidR="00A36B32" w:rsidRPr="00797379" w:rsidRDefault="007303EE" w:rsidP="006C2038">
      <w:pPr>
        <w:pStyle w:val="TableNote"/>
        <w:rPr>
          <w:rFonts w:eastAsia="Calibri"/>
        </w:rPr>
      </w:pPr>
      <w:r w:rsidRPr="00797379">
        <w:rPr>
          <w:rFonts w:eastAsia="Calibri"/>
          <w:i/>
          <w:iCs/>
        </w:rPr>
        <w:t>Note</w:t>
      </w:r>
      <w:r w:rsidRPr="00797379">
        <w:rPr>
          <w:rFonts w:eastAsia="Calibri"/>
        </w:rPr>
        <w:t xml:space="preserve">. As of October 1, 2025. District and state numbers and percentages for students with disabilities and high needs are calculated including students in out-of-district </w:t>
      </w:r>
      <w:r w:rsidRPr="00797379">
        <w:t>placements</w:t>
      </w:r>
      <w:r w:rsidRPr="00797379">
        <w:rPr>
          <w:rFonts w:eastAsia="Calibri"/>
        </w:rPr>
        <w:t>. Total district enrollment including students in out-of-district placement is 4,393; total state enrollment including students in out-of-district placement is 910,659.</w:t>
      </w:r>
      <w:r w:rsidR="00A36B32" w:rsidRPr="00797379">
        <w:rPr>
          <w:rFonts w:eastAsia="Calibri"/>
        </w:rPr>
        <w:br w:type="page"/>
      </w:r>
    </w:p>
    <w:p w14:paraId="4D092DE5" w14:textId="77777777" w:rsidR="007303EE" w:rsidRPr="00797379" w:rsidRDefault="007303EE" w:rsidP="006C2038">
      <w:pPr>
        <w:pStyle w:val="TableNote"/>
        <w:rPr>
          <w:rFonts w:ascii="Franklin Gothic Demi" w:hAnsi="Franklin Gothic Demi"/>
        </w:rPr>
      </w:pPr>
    </w:p>
    <w:p w14:paraId="6FD8D168" w14:textId="77777777" w:rsidR="007303EE" w:rsidRPr="00797379" w:rsidRDefault="007303EE" w:rsidP="006C2038">
      <w:pPr>
        <w:pStyle w:val="TableTitle0"/>
        <w:rPr>
          <w:spacing w:val="-4"/>
        </w:rPr>
      </w:pPr>
      <w:bookmarkStart w:id="230" w:name="_Toc220932437"/>
      <w:r w:rsidRPr="00797379">
        <w:t>Table D3. Chronic Absence</w:t>
      </w:r>
      <w:r w:rsidRPr="00797379">
        <w:rPr>
          <w:vertAlign w:val="superscript"/>
        </w:rPr>
        <w:t>a</w:t>
      </w:r>
      <w:r w:rsidRPr="00797379">
        <w:t xml:space="preserve"> Rates by Student Group, 2023-2025</w:t>
      </w:r>
      <w:bookmarkEnd w:id="230"/>
    </w:p>
    <w:tbl>
      <w:tblPr>
        <w:tblStyle w:val="MSVTable1"/>
        <w:tblW w:w="5000" w:type="pct"/>
        <w:tblLook w:val="0420" w:firstRow="1" w:lastRow="0" w:firstColumn="0" w:lastColumn="0" w:noHBand="0" w:noVBand="1"/>
      </w:tblPr>
      <w:tblGrid>
        <w:gridCol w:w="2872"/>
        <w:gridCol w:w="1160"/>
        <w:gridCol w:w="1325"/>
        <w:gridCol w:w="1326"/>
        <w:gridCol w:w="1325"/>
        <w:gridCol w:w="1336"/>
      </w:tblGrid>
      <w:tr w:rsidR="007303EE" w:rsidRPr="00797379" w14:paraId="0A822BC8" w14:textId="77777777" w:rsidTr="001916FA">
        <w:trPr>
          <w:cnfStyle w:val="100000000000" w:firstRow="1" w:lastRow="0" w:firstColumn="0" w:lastColumn="0" w:oddVBand="0" w:evenVBand="0" w:oddHBand="0" w:evenHBand="0" w:firstRowFirstColumn="0" w:firstRowLastColumn="0" w:lastRowFirstColumn="0" w:lastRowLastColumn="0"/>
          <w:tblHeader/>
        </w:trPr>
        <w:tc>
          <w:tcPr>
            <w:tcW w:w="2872" w:type="dxa"/>
            <w:vAlign w:val="center"/>
          </w:tcPr>
          <w:p w14:paraId="6BE66981" w14:textId="77777777" w:rsidR="007303EE" w:rsidRPr="00797379" w:rsidRDefault="007303EE" w:rsidP="00680F1B">
            <w:pPr>
              <w:pStyle w:val="TableColHeadingCenter"/>
            </w:pPr>
            <w:r w:rsidRPr="00797379">
              <w:t>Group</w:t>
            </w:r>
          </w:p>
        </w:tc>
        <w:tc>
          <w:tcPr>
            <w:tcW w:w="1160" w:type="dxa"/>
            <w:vAlign w:val="center"/>
          </w:tcPr>
          <w:p w14:paraId="016A7B45" w14:textId="17B03500" w:rsidR="007303EE" w:rsidRPr="00797379" w:rsidRDefault="007303EE" w:rsidP="00680F1B">
            <w:pPr>
              <w:pStyle w:val="TableColHeadingCenter"/>
            </w:pPr>
            <w:r w:rsidRPr="00797379">
              <w:rPr>
                <w:i/>
                <w:iCs/>
              </w:rPr>
              <w:t>N</w:t>
            </w:r>
            <w:r w:rsidR="00A36B32" w:rsidRPr="00797379">
              <w:rPr>
                <w:i/>
                <w:iCs/>
              </w:rPr>
              <w:br/>
            </w:r>
            <w:r w:rsidRPr="00797379">
              <w:t>(2025)</w:t>
            </w:r>
          </w:p>
        </w:tc>
        <w:tc>
          <w:tcPr>
            <w:tcW w:w="1325" w:type="dxa"/>
            <w:vAlign w:val="center"/>
          </w:tcPr>
          <w:p w14:paraId="6D07ADDA" w14:textId="77777777" w:rsidR="007303EE" w:rsidRPr="00797379" w:rsidRDefault="007303EE" w:rsidP="00680F1B">
            <w:pPr>
              <w:pStyle w:val="TableColHeadingCenter"/>
            </w:pPr>
            <w:r w:rsidRPr="00797379">
              <w:t>2023</w:t>
            </w:r>
          </w:p>
        </w:tc>
        <w:tc>
          <w:tcPr>
            <w:tcW w:w="1326" w:type="dxa"/>
            <w:vAlign w:val="center"/>
          </w:tcPr>
          <w:p w14:paraId="5AA56F58" w14:textId="77777777" w:rsidR="007303EE" w:rsidRPr="00797379" w:rsidRDefault="007303EE" w:rsidP="00680F1B">
            <w:pPr>
              <w:pStyle w:val="TableColHeadingCenter"/>
            </w:pPr>
            <w:r w:rsidRPr="00797379">
              <w:t>2024</w:t>
            </w:r>
          </w:p>
        </w:tc>
        <w:tc>
          <w:tcPr>
            <w:tcW w:w="1325" w:type="dxa"/>
            <w:vAlign w:val="center"/>
          </w:tcPr>
          <w:p w14:paraId="17AD5E9C" w14:textId="77777777" w:rsidR="007303EE" w:rsidRPr="00797379" w:rsidRDefault="007303EE" w:rsidP="00680F1B">
            <w:pPr>
              <w:pStyle w:val="TableColHeadingCenter"/>
            </w:pPr>
            <w:r w:rsidRPr="00797379">
              <w:t>2025</w:t>
            </w:r>
          </w:p>
        </w:tc>
        <w:tc>
          <w:tcPr>
            <w:tcW w:w="1336" w:type="dxa"/>
            <w:vAlign w:val="center"/>
          </w:tcPr>
          <w:p w14:paraId="71133FC4" w14:textId="0F2D0273" w:rsidR="007303EE" w:rsidRPr="00797379" w:rsidRDefault="007303EE" w:rsidP="00680F1B">
            <w:pPr>
              <w:pStyle w:val="TableColHeadingCenter"/>
            </w:pPr>
            <w:r w:rsidRPr="00797379">
              <w:t>State</w:t>
            </w:r>
            <w:r w:rsidR="00A36B32" w:rsidRPr="00797379">
              <w:br/>
            </w:r>
            <w:r w:rsidRPr="00797379">
              <w:t>(2025)</w:t>
            </w:r>
          </w:p>
        </w:tc>
      </w:tr>
      <w:tr w:rsidR="007303EE" w:rsidRPr="00797379" w14:paraId="10414D19" w14:textId="77777777" w:rsidTr="001916FA">
        <w:trPr>
          <w:cnfStyle w:val="000000100000" w:firstRow="0" w:lastRow="0" w:firstColumn="0" w:lastColumn="0" w:oddVBand="0" w:evenVBand="0" w:oddHBand="1" w:evenHBand="0" w:firstRowFirstColumn="0" w:firstRowLastColumn="0" w:lastRowFirstColumn="0" w:lastRowLastColumn="0"/>
        </w:trPr>
        <w:tc>
          <w:tcPr>
            <w:tcW w:w="2872" w:type="dxa"/>
          </w:tcPr>
          <w:p w14:paraId="3ED64896" w14:textId="77777777" w:rsidR="007303EE" w:rsidRPr="001916FA" w:rsidRDefault="007303EE" w:rsidP="00680F1B">
            <w:pPr>
              <w:pStyle w:val="TableSubheading"/>
              <w:rPr>
                <w:rFonts w:asciiTheme="minorHAnsi" w:hAnsiTheme="minorHAnsi"/>
              </w:rPr>
            </w:pPr>
            <w:r w:rsidRPr="001916FA">
              <w:rPr>
                <w:rFonts w:asciiTheme="minorHAnsi" w:hAnsiTheme="minorHAnsi"/>
              </w:rPr>
              <w:t>All Students</w:t>
            </w:r>
          </w:p>
        </w:tc>
        <w:tc>
          <w:tcPr>
            <w:tcW w:w="1160" w:type="dxa"/>
            <w:vAlign w:val="center"/>
          </w:tcPr>
          <w:p w14:paraId="3DAB6D6C" w14:textId="77777777" w:rsidR="007303EE" w:rsidRPr="00797379" w:rsidRDefault="007303EE" w:rsidP="00680F1B">
            <w:pPr>
              <w:pStyle w:val="TableTextCentered"/>
            </w:pPr>
            <w:r w:rsidRPr="00797379">
              <w:t>4,491</w:t>
            </w:r>
          </w:p>
        </w:tc>
        <w:tc>
          <w:tcPr>
            <w:tcW w:w="1325" w:type="dxa"/>
            <w:vAlign w:val="center"/>
          </w:tcPr>
          <w:p w14:paraId="74919449" w14:textId="77777777" w:rsidR="007303EE" w:rsidRPr="00797379" w:rsidRDefault="007303EE" w:rsidP="00680F1B">
            <w:pPr>
              <w:pStyle w:val="TableTextCentered"/>
            </w:pPr>
            <w:r w:rsidRPr="00797379">
              <w:t>9.6</w:t>
            </w:r>
          </w:p>
        </w:tc>
        <w:tc>
          <w:tcPr>
            <w:tcW w:w="1326" w:type="dxa"/>
            <w:vAlign w:val="center"/>
          </w:tcPr>
          <w:p w14:paraId="0FF29C60" w14:textId="77777777" w:rsidR="007303EE" w:rsidRPr="00797379" w:rsidRDefault="007303EE" w:rsidP="00680F1B">
            <w:pPr>
              <w:pStyle w:val="TableTextCentered"/>
            </w:pPr>
            <w:r w:rsidRPr="00797379">
              <w:t>7.4</w:t>
            </w:r>
          </w:p>
        </w:tc>
        <w:tc>
          <w:tcPr>
            <w:tcW w:w="1325" w:type="dxa"/>
            <w:vAlign w:val="center"/>
          </w:tcPr>
          <w:p w14:paraId="6965B90F" w14:textId="77777777" w:rsidR="007303EE" w:rsidRPr="00797379" w:rsidRDefault="007303EE" w:rsidP="00680F1B">
            <w:pPr>
              <w:pStyle w:val="TableTextCentered"/>
            </w:pPr>
            <w:r w:rsidRPr="00797379">
              <w:t>5.9</w:t>
            </w:r>
          </w:p>
        </w:tc>
        <w:tc>
          <w:tcPr>
            <w:tcW w:w="1336" w:type="dxa"/>
            <w:vAlign w:val="center"/>
          </w:tcPr>
          <w:p w14:paraId="7E795866" w14:textId="77777777" w:rsidR="007303EE" w:rsidRPr="00797379" w:rsidRDefault="007303EE" w:rsidP="00680F1B">
            <w:pPr>
              <w:pStyle w:val="TableTextCentered"/>
            </w:pPr>
            <w:r w:rsidRPr="00797379">
              <w:t>18.8</w:t>
            </w:r>
          </w:p>
        </w:tc>
      </w:tr>
      <w:tr w:rsidR="007303EE" w:rsidRPr="00797379" w14:paraId="30BC339B" w14:textId="77777777" w:rsidTr="001916FA">
        <w:tc>
          <w:tcPr>
            <w:tcW w:w="2872" w:type="dxa"/>
          </w:tcPr>
          <w:p w14:paraId="34377E4A" w14:textId="77777777" w:rsidR="007303EE" w:rsidRPr="001916FA" w:rsidRDefault="007303EE" w:rsidP="00680F1B">
            <w:pPr>
              <w:pStyle w:val="TableSubheading"/>
              <w:rPr>
                <w:rFonts w:asciiTheme="minorHAnsi" w:hAnsiTheme="minorHAnsi"/>
              </w:rPr>
            </w:pPr>
            <w:r w:rsidRPr="001916FA">
              <w:rPr>
                <w:rFonts w:asciiTheme="minorHAnsi" w:hAnsiTheme="minorHAnsi"/>
              </w:rPr>
              <w:t>American Indian or Alaskan Native</w:t>
            </w:r>
          </w:p>
        </w:tc>
        <w:tc>
          <w:tcPr>
            <w:tcW w:w="1160" w:type="dxa"/>
            <w:vAlign w:val="center"/>
          </w:tcPr>
          <w:p w14:paraId="4FF4BE4A" w14:textId="77777777" w:rsidR="007303EE" w:rsidRPr="00797379" w:rsidRDefault="007303EE" w:rsidP="00680F1B">
            <w:pPr>
              <w:pStyle w:val="TableTextCentered"/>
            </w:pPr>
            <w:r w:rsidRPr="00797379">
              <w:t>5</w:t>
            </w:r>
          </w:p>
        </w:tc>
        <w:tc>
          <w:tcPr>
            <w:tcW w:w="1325" w:type="dxa"/>
            <w:vAlign w:val="center"/>
          </w:tcPr>
          <w:p w14:paraId="7B34FBD0" w14:textId="19334A4B" w:rsidR="007303EE" w:rsidRPr="00797379" w:rsidRDefault="000B5510" w:rsidP="00680F1B">
            <w:pPr>
              <w:pStyle w:val="TableTextCentered"/>
            </w:pPr>
            <w:r>
              <w:t>N/A</w:t>
            </w:r>
          </w:p>
        </w:tc>
        <w:tc>
          <w:tcPr>
            <w:tcW w:w="1326" w:type="dxa"/>
            <w:vAlign w:val="center"/>
          </w:tcPr>
          <w:p w14:paraId="3AAD6016" w14:textId="61AEC358" w:rsidR="007303EE" w:rsidRPr="00797379" w:rsidRDefault="000B5510" w:rsidP="00680F1B">
            <w:pPr>
              <w:pStyle w:val="TableTextCentered"/>
            </w:pPr>
            <w:r>
              <w:t>N/A</w:t>
            </w:r>
          </w:p>
        </w:tc>
        <w:tc>
          <w:tcPr>
            <w:tcW w:w="1325" w:type="dxa"/>
            <w:vAlign w:val="center"/>
          </w:tcPr>
          <w:p w14:paraId="284BF9D8" w14:textId="0B01DEE0" w:rsidR="007303EE" w:rsidRPr="00797379" w:rsidRDefault="000B5510" w:rsidP="00680F1B">
            <w:pPr>
              <w:pStyle w:val="TableTextCentered"/>
            </w:pPr>
            <w:r>
              <w:t>N/A</w:t>
            </w:r>
          </w:p>
        </w:tc>
        <w:tc>
          <w:tcPr>
            <w:tcW w:w="1336" w:type="dxa"/>
            <w:vAlign w:val="center"/>
          </w:tcPr>
          <w:p w14:paraId="05BCA2BF" w14:textId="77777777" w:rsidR="007303EE" w:rsidRPr="00797379" w:rsidRDefault="007303EE" w:rsidP="00680F1B">
            <w:pPr>
              <w:pStyle w:val="TableTextCentered"/>
            </w:pPr>
            <w:r w:rsidRPr="00797379">
              <w:t>27.3</w:t>
            </w:r>
          </w:p>
        </w:tc>
      </w:tr>
      <w:tr w:rsidR="007303EE" w:rsidRPr="00797379" w14:paraId="223AD99E" w14:textId="77777777" w:rsidTr="001916FA">
        <w:trPr>
          <w:cnfStyle w:val="000000100000" w:firstRow="0" w:lastRow="0" w:firstColumn="0" w:lastColumn="0" w:oddVBand="0" w:evenVBand="0" w:oddHBand="1" w:evenHBand="0" w:firstRowFirstColumn="0" w:firstRowLastColumn="0" w:lastRowFirstColumn="0" w:lastRowLastColumn="0"/>
        </w:trPr>
        <w:tc>
          <w:tcPr>
            <w:tcW w:w="2872" w:type="dxa"/>
          </w:tcPr>
          <w:p w14:paraId="3F14A051" w14:textId="77777777" w:rsidR="007303EE" w:rsidRPr="001916FA" w:rsidRDefault="007303EE" w:rsidP="00680F1B">
            <w:pPr>
              <w:pStyle w:val="TableSubheading"/>
              <w:rPr>
                <w:rFonts w:asciiTheme="minorHAnsi" w:hAnsiTheme="minorHAnsi"/>
              </w:rPr>
            </w:pPr>
            <w:r w:rsidRPr="001916FA">
              <w:rPr>
                <w:rFonts w:asciiTheme="minorHAnsi" w:hAnsiTheme="minorHAnsi"/>
              </w:rPr>
              <w:t>Asian</w:t>
            </w:r>
          </w:p>
        </w:tc>
        <w:tc>
          <w:tcPr>
            <w:tcW w:w="1160" w:type="dxa"/>
            <w:vAlign w:val="center"/>
          </w:tcPr>
          <w:p w14:paraId="1557298E" w14:textId="77777777" w:rsidR="007303EE" w:rsidRPr="00797379" w:rsidRDefault="007303EE" w:rsidP="00680F1B">
            <w:pPr>
              <w:pStyle w:val="TableTextCentered"/>
            </w:pPr>
            <w:r w:rsidRPr="00797379">
              <w:t>951</w:t>
            </w:r>
          </w:p>
        </w:tc>
        <w:tc>
          <w:tcPr>
            <w:tcW w:w="1325" w:type="dxa"/>
            <w:vAlign w:val="center"/>
          </w:tcPr>
          <w:p w14:paraId="4BE1F62A" w14:textId="77777777" w:rsidR="007303EE" w:rsidRPr="00797379" w:rsidRDefault="007303EE" w:rsidP="00680F1B">
            <w:pPr>
              <w:pStyle w:val="TableTextCentered"/>
            </w:pPr>
            <w:r w:rsidRPr="00797379">
              <w:t>8.6</w:t>
            </w:r>
          </w:p>
        </w:tc>
        <w:tc>
          <w:tcPr>
            <w:tcW w:w="1326" w:type="dxa"/>
            <w:vAlign w:val="center"/>
          </w:tcPr>
          <w:p w14:paraId="36AD9156" w14:textId="77777777" w:rsidR="007303EE" w:rsidRPr="00797379" w:rsidRDefault="007303EE" w:rsidP="00680F1B">
            <w:pPr>
              <w:pStyle w:val="TableTextCentered"/>
            </w:pPr>
            <w:r w:rsidRPr="00797379">
              <w:t>4.6</w:t>
            </w:r>
          </w:p>
        </w:tc>
        <w:tc>
          <w:tcPr>
            <w:tcW w:w="1325" w:type="dxa"/>
            <w:vAlign w:val="center"/>
          </w:tcPr>
          <w:p w14:paraId="3BAD4F2F" w14:textId="77777777" w:rsidR="007303EE" w:rsidRPr="00797379" w:rsidRDefault="007303EE" w:rsidP="00680F1B">
            <w:pPr>
              <w:pStyle w:val="TableTextCentered"/>
            </w:pPr>
            <w:r w:rsidRPr="00797379">
              <w:t>4.9</w:t>
            </w:r>
          </w:p>
        </w:tc>
        <w:tc>
          <w:tcPr>
            <w:tcW w:w="1336" w:type="dxa"/>
            <w:vAlign w:val="center"/>
          </w:tcPr>
          <w:p w14:paraId="02C387BC" w14:textId="77777777" w:rsidR="007303EE" w:rsidRPr="00797379" w:rsidRDefault="007303EE" w:rsidP="00680F1B">
            <w:pPr>
              <w:pStyle w:val="TableTextCentered"/>
            </w:pPr>
            <w:r w:rsidRPr="00797379">
              <w:t>10.9</w:t>
            </w:r>
          </w:p>
        </w:tc>
      </w:tr>
      <w:tr w:rsidR="007303EE" w:rsidRPr="00797379" w14:paraId="1DD51689" w14:textId="77777777" w:rsidTr="001916FA">
        <w:tc>
          <w:tcPr>
            <w:tcW w:w="2872" w:type="dxa"/>
          </w:tcPr>
          <w:p w14:paraId="46BB3D38" w14:textId="77777777" w:rsidR="007303EE" w:rsidRPr="001916FA" w:rsidRDefault="007303EE" w:rsidP="00680F1B">
            <w:pPr>
              <w:pStyle w:val="TableSubheading"/>
              <w:rPr>
                <w:rFonts w:asciiTheme="minorHAnsi" w:hAnsiTheme="minorHAnsi"/>
              </w:rPr>
            </w:pPr>
            <w:r w:rsidRPr="001916FA">
              <w:rPr>
                <w:rFonts w:asciiTheme="minorHAnsi" w:hAnsiTheme="minorHAnsi"/>
              </w:rPr>
              <w:t>Black or African American</w:t>
            </w:r>
          </w:p>
        </w:tc>
        <w:tc>
          <w:tcPr>
            <w:tcW w:w="1160" w:type="dxa"/>
            <w:vAlign w:val="center"/>
          </w:tcPr>
          <w:p w14:paraId="18286E61" w14:textId="77777777" w:rsidR="007303EE" w:rsidRPr="00797379" w:rsidRDefault="007303EE" w:rsidP="00680F1B">
            <w:pPr>
              <w:pStyle w:val="TableTextCentered"/>
            </w:pPr>
            <w:r w:rsidRPr="00797379">
              <w:t>70</w:t>
            </w:r>
          </w:p>
        </w:tc>
        <w:tc>
          <w:tcPr>
            <w:tcW w:w="1325" w:type="dxa"/>
            <w:vAlign w:val="center"/>
          </w:tcPr>
          <w:p w14:paraId="621F3B54" w14:textId="77777777" w:rsidR="007303EE" w:rsidRPr="00797379" w:rsidRDefault="007303EE" w:rsidP="00680F1B">
            <w:pPr>
              <w:pStyle w:val="TableTextCentered"/>
            </w:pPr>
            <w:r w:rsidRPr="00797379">
              <w:t>13.1</w:t>
            </w:r>
          </w:p>
        </w:tc>
        <w:tc>
          <w:tcPr>
            <w:tcW w:w="1326" w:type="dxa"/>
            <w:vAlign w:val="center"/>
          </w:tcPr>
          <w:p w14:paraId="6333F947" w14:textId="77777777" w:rsidR="007303EE" w:rsidRPr="00797379" w:rsidRDefault="007303EE" w:rsidP="00680F1B">
            <w:pPr>
              <w:pStyle w:val="TableTextCentered"/>
            </w:pPr>
            <w:r w:rsidRPr="00797379">
              <w:t>13.6</w:t>
            </w:r>
          </w:p>
        </w:tc>
        <w:tc>
          <w:tcPr>
            <w:tcW w:w="1325" w:type="dxa"/>
            <w:vAlign w:val="center"/>
          </w:tcPr>
          <w:p w14:paraId="5BEF0AFB" w14:textId="77777777" w:rsidR="007303EE" w:rsidRPr="00797379" w:rsidRDefault="007303EE" w:rsidP="00680F1B">
            <w:pPr>
              <w:pStyle w:val="TableTextCentered"/>
            </w:pPr>
            <w:r w:rsidRPr="00797379">
              <w:t>7.1</w:t>
            </w:r>
          </w:p>
        </w:tc>
        <w:tc>
          <w:tcPr>
            <w:tcW w:w="1336" w:type="dxa"/>
            <w:vAlign w:val="center"/>
          </w:tcPr>
          <w:p w14:paraId="7C85387D" w14:textId="77777777" w:rsidR="007303EE" w:rsidRPr="00797379" w:rsidRDefault="007303EE" w:rsidP="00680F1B">
            <w:pPr>
              <w:pStyle w:val="TableTextCentered"/>
            </w:pPr>
            <w:r w:rsidRPr="00797379">
              <w:t>20.7</w:t>
            </w:r>
          </w:p>
        </w:tc>
      </w:tr>
      <w:tr w:rsidR="007303EE" w:rsidRPr="00797379" w14:paraId="66851498" w14:textId="77777777" w:rsidTr="001916FA">
        <w:trPr>
          <w:cnfStyle w:val="000000100000" w:firstRow="0" w:lastRow="0" w:firstColumn="0" w:lastColumn="0" w:oddVBand="0" w:evenVBand="0" w:oddHBand="1" w:evenHBand="0" w:firstRowFirstColumn="0" w:firstRowLastColumn="0" w:lastRowFirstColumn="0" w:lastRowLastColumn="0"/>
        </w:trPr>
        <w:tc>
          <w:tcPr>
            <w:tcW w:w="2872" w:type="dxa"/>
          </w:tcPr>
          <w:p w14:paraId="12CE5AD1" w14:textId="77777777" w:rsidR="007303EE" w:rsidRPr="001916FA" w:rsidRDefault="007303EE" w:rsidP="00680F1B">
            <w:pPr>
              <w:pStyle w:val="TableSubheading"/>
              <w:rPr>
                <w:rFonts w:asciiTheme="minorHAnsi" w:hAnsiTheme="minorHAnsi"/>
              </w:rPr>
            </w:pPr>
            <w:r w:rsidRPr="001916FA">
              <w:rPr>
                <w:rFonts w:asciiTheme="minorHAnsi" w:hAnsiTheme="minorHAnsi"/>
              </w:rPr>
              <w:t>Hispanic or Latino</w:t>
            </w:r>
          </w:p>
        </w:tc>
        <w:tc>
          <w:tcPr>
            <w:tcW w:w="1160" w:type="dxa"/>
            <w:vAlign w:val="center"/>
          </w:tcPr>
          <w:p w14:paraId="117EBDA0" w14:textId="77777777" w:rsidR="007303EE" w:rsidRPr="00797379" w:rsidRDefault="007303EE" w:rsidP="00680F1B">
            <w:pPr>
              <w:pStyle w:val="TableTextCentered"/>
            </w:pPr>
            <w:r w:rsidRPr="00797379">
              <w:t>194</w:t>
            </w:r>
          </w:p>
        </w:tc>
        <w:tc>
          <w:tcPr>
            <w:tcW w:w="1325" w:type="dxa"/>
            <w:vAlign w:val="center"/>
          </w:tcPr>
          <w:p w14:paraId="463D515B" w14:textId="77777777" w:rsidR="007303EE" w:rsidRPr="00797379" w:rsidRDefault="007303EE" w:rsidP="00680F1B">
            <w:pPr>
              <w:pStyle w:val="TableTextCentered"/>
            </w:pPr>
            <w:r w:rsidRPr="00797379">
              <w:t>20.0</w:t>
            </w:r>
          </w:p>
        </w:tc>
        <w:tc>
          <w:tcPr>
            <w:tcW w:w="1326" w:type="dxa"/>
            <w:vAlign w:val="center"/>
          </w:tcPr>
          <w:p w14:paraId="3966ECAC" w14:textId="77777777" w:rsidR="007303EE" w:rsidRPr="00797379" w:rsidRDefault="007303EE" w:rsidP="00680F1B">
            <w:pPr>
              <w:pStyle w:val="TableTextCentered"/>
            </w:pPr>
            <w:r w:rsidRPr="00797379">
              <w:t>11.7</w:t>
            </w:r>
          </w:p>
        </w:tc>
        <w:tc>
          <w:tcPr>
            <w:tcW w:w="1325" w:type="dxa"/>
            <w:vAlign w:val="center"/>
          </w:tcPr>
          <w:p w14:paraId="3C924971" w14:textId="77777777" w:rsidR="007303EE" w:rsidRPr="00797379" w:rsidRDefault="007303EE" w:rsidP="00680F1B">
            <w:pPr>
              <w:pStyle w:val="TableTextCentered"/>
            </w:pPr>
            <w:r w:rsidRPr="00797379">
              <w:t>10.3</w:t>
            </w:r>
          </w:p>
        </w:tc>
        <w:tc>
          <w:tcPr>
            <w:tcW w:w="1336" w:type="dxa"/>
            <w:vAlign w:val="center"/>
          </w:tcPr>
          <w:p w14:paraId="53184E6A" w14:textId="77777777" w:rsidR="007303EE" w:rsidRPr="00797379" w:rsidRDefault="007303EE" w:rsidP="00680F1B">
            <w:pPr>
              <w:pStyle w:val="TableTextCentered"/>
            </w:pPr>
            <w:r w:rsidRPr="00797379">
              <w:t>29.5</w:t>
            </w:r>
          </w:p>
        </w:tc>
      </w:tr>
      <w:tr w:rsidR="007303EE" w:rsidRPr="00797379" w14:paraId="01BC5392" w14:textId="77777777" w:rsidTr="001916FA">
        <w:tc>
          <w:tcPr>
            <w:tcW w:w="2872" w:type="dxa"/>
          </w:tcPr>
          <w:p w14:paraId="1A73EE20" w14:textId="77777777" w:rsidR="007303EE" w:rsidRPr="001916FA" w:rsidRDefault="007303EE" w:rsidP="00680F1B">
            <w:pPr>
              <w:pStyle w:val="TableSubheading"/>
              <w:rPr>
                <w:rFonts w:asciiTheme="minorHAnsi" w:hAnsiTheme="minorHAnsi"/>
              </w:rPr>
            </w:pPr>
            <w:r w:rsidRPr="001916FA">
              <w:rPr>
                <w:rFonts w:asciiTheme="minorHAnsi" w:hAnsiTheme="minorHAnsi"/>
              </w:rPr>
              <w:t>Multi-Race, Not Hispanic or Latino</w:t>
            </w:r>
          </w:p>
        </w:tc>
        <w:tc>
          <w:tcPr>
            <w:tcW w:w="1160" w:type="dxa"/>
            <w:vAlign w:val="center"/>
          </w:tcPr>
          <w:p w14:paraId="6C831278" w14:textId="77777777" w:rsidR="007303EE" w:rsidRPr="00797379" w:rsidRDefault="007303EE" w:rsidP="00680F1B">
            <w:pPr>
              <w:pStyle w:val="TableTextCentered"/>
            </w:pPr>
            <w:r w:rsidRPr="00797379">
              <w:t>340</w:t>
            </w:r>
          </w:p>
        </w:tc>
        <w:tc>
          <w:tcPr>
            <w:tcW w:w="1325" w:type="dxa"/>
            <w:vAlign w:val="center"/>
          </w:tcPr>
          <w:p w14:paraId="7B68856B" w14:textId="77777777" w:rsidR="007303EE" w:rsidRPr="00797379" w:rsidRDefault="007303EE" w:rsidP="00680F1B">
            <w:pPr>
              <w:pStyle w:val="TableTextCentered"/>
            </w:pPr>
            <w:r w:rsidRPr="00797379">
              <w:t>5.8</w:t>
            </w:r>
          </w:p>
        </w:tc>
        <w:tc>
          <w:tcPr>
            <w:tcW w:w="1326" w:type="dxa"/>
            <w:vAlign w:val="center"/>
          </w:tcPr>
          <w:p w14:paraId="73D35593" w14:textId="77777777" w:rsidR="007303EE" w:rsidRPr="00797379" w:rsidRDefault="007303EE" w:rsidP="00680F1B">
            <w:pPr>
              <w:pStyle w:val="TableTextCentered"/>
            </w:pPr>
            <w:r w:rsidRPr="00797379">
              <w:t>6.2</w:t>
            </w:r>
          </w:p>
        </w:tc>
        <w:tc>
          <w:tcPr>
            <w:tcW w:w="1325" w:type="dxa"/>
            <w:vAlign w:val="center"/>
          </w:tcPr>
          <w:p w14:paraId="0D86E469" w14:textId="77777777" w:rsidR="007303EE" w:rsidRPr="00797379" w:rsidRDefault="007303EE" w:rsidP="00680F1B">
            <w:pPr>
              <w:pStyle w:val="TableTextCentered"/>
            </w:pPr>
            <w:r w:rsidRPr="00797379">
              <w:t>5.3</w:t>
            </w:r>
          </w:p>
        </w:tc>
        <w:tc>
          <w:tcPr>
            <w:tcW w:w="1336" w:type="dxa"/>
            <w:vAlign w:val="center"/>
          </w:tcPr>
          <w:p w14:paraId="0AF55B4D" w14:textId="77777777" w:rsidR="007303EE" w:rsidRPr="00797379" w:rsidRDefault="007303EE" w:rsidP="00680F1B">
            <w:pPr>
              <w:pStyle w:val="TableTextCentered"/>
            </w:pPr>
            <w:r w:rsidRPr="00797379">
              <w:t>19.3</w:t>
            </w:r>
          </w:p>
        </w:tc>
      </w:tr>
      <w:tr w:rsidR="007303EE" w:rsidRPr="00797379" w14:paraId="12C60239" w14:textId="77777777" w:rsidTr="001916FA">
        <w:trPr>
          <w:cnfStyle w:val="000000100000" w:firstRow="0" w:lastRow="0" w:firstColumn="0" w:lastColumn="0" w:oddVBand="0" w:evenVBand="0" w:oddHBand="1" w:evenHBand="0" w:firstRowFirstColumn="0" w:firstRowLastColumn="0" w:lastRowFirstColumn="0" w:lastRowLastColumn="0"/>
        </w:trPr>
        <w:tc>
          <w:tcPr>
            <w:tcW w:w="2872" w:type="dxa"/>
          </w:tcPr>
          <w:p w14:paraId="30DEBD2A" w14:textId="77777777" w:rsidR="007303EE" w:rsidRPr="001916FA" w:rsidRDefault="007303EE" w:rsidP="00680F1B">
            <w:pPr>
              <w:pStyle w:val="TableSubheading"/>
              <w:rPr>
                <w:rFonts w:asciiTheme="minorHAnsi" w:hAnsiTheme="minorHAnsi"/>
                <w:spacing w:val="-4"/>
              </w:rPr>
            </w:pPr>
            <w:r w:rsidRPr="001916FA">
              <w:rPr>
                <w:rFonts w:asciiTheme="minorHAnsi" w:hAnsiTheme="minorHAnsi"/>
              </w:rPr>
              <w:t>Native Hawaiian or Other Pacific Islander</w:t>
            </w:r>
          </w:p>
        </w:tc>
        <w:tc>
          <w:tcPr>
            <w:tcW w:w="1160" w:type="dxa"/>
            <w:vAlign w:val="center"/>
          </w:tcPr>
          <w:p w14:paraId="6C0BC5C8" w14:textId="032BFF72" w:rsidR="007303EE" w:rsidRPr="00797379" w:rsidRDefault="000B5510" w:rsidP="00680F1B">
            <w:pPr>
              <w:pStyle w:val="TableTextCentered"/>
            </w:pPr>
            <w:r>
              <w:t>N/A</w:t>
            </w:r>
          </w:p>
        </w:tc>
        <w:tc>
          <w:tcPr>
            <w:tcW w:w="1325" w:type="dxa"/>
            <w:vAlign w:val="center"/>
          </w:tcPr>
          <w:p w14:paraId="1AAF6C1D" w14:textId="19D54323" w:rsidR="007303EE" w:rsidRPr="00797379" w:rsidRDefault="000B5510" w:rsidP="00680F1B">
            <w:pPr>
              <w:pStyle w:val="TableTextCentered"/>
            </w:pPr>
            <w:r>
              <w:t>N/A</w:t>
            </w:r>
          </w:p>
        </w:tc>
        <w:tc>
          <w:tcPr>
            <w:tcW w:w="1326" w:type="dxa"/>
            <w:vAlign w:val="center"/>
          </w:tcPr>
          <w:p w14:paraId="56D36216" w14:textId="52007363" w:rsidR="007303EE" w:rsidRPr="00797379" w:rsidRDefault="000B5510" w:rsidP="00680F1B">
            <w:pPr>
              <w:pStyle w:val="TableTextCentered"/>
            </w:pPr>
            <w:r>
              <w:t>N/A</w:t>
            </w:r>
          </w:p>
        </w:tc>
        <w:tc>
          <w:tcPr>
            <w:tcW w:w="1325" w:type="dxa"/>
            <w:vAlign w:val="center"/>
          </w:tcPr>
          <w:p w14:paraId="0666BFC3" w14:textId="14DD09DB" w:rsidR="007303EE" w:rsidRPr="00797379" w:rsidRDefault="000B5510" w:rsidP="00680F1B">
            <w:pPr>
              <w:pStyle w:val="TableTextCentered"/>
            </w:pPr>
            <w:r>
              <w:t>N/A</w:t>
            </w:r>
          </w:p>
        </w:tc>
        <w:tc>
          <w:tcPr>
            <w:tcW w:w="1336" w:type="dxa"/>
            <w:vAlign w:val="center"/>
          </w:tcPr>
          <w:p w14:paraId="2ED7402E" w14:textId="77777777" w:rsidR="007303EE" w:rsidRPr="00797379" w:rsidRDefault="007303EE" w:rsidP="00680F1B">
            <w:pPr>
              <w:pStyle w:val="TableTextCentered"/>
            </w:pPr>
            <w:r w:rsidRPr="00797379">
              <w:t>22.7</w:t>
            </w:r>
          </w:p>
        </w:tc>
      </w:tr>
      <w:tr w:rsidR="007303EE" w:rsidRPr="00797379" w14:paraId="373BAB35" w14:textId="77777777" w:rsidTr="001916FA">
        <w:tc>
          <w:tcPr>
            <w:tcW w:w="2872" w:type="dxa"/>
          </w:tcPr>
          <w:p w14:paraId="5150128F" w14:textId="77777777" w:rsidR="007303EE" w:rsidRPr="001916FA" w:rsidRDefault="007303EE" w:rsidP="00680F1B">
            <w:pPr>
              <w:pStyle w:val="TableSubheading"/>
              <w:rPr>
                <w:rFonts w:asciiTheme="minorHAnsi" w:hAnsiTheme="minorHAnsi"/>
              </w:rPr>
            </w:pPr>
            <w:r w:rsidRPr="001916FA">
              <w:rPr>
                <w:rFonts w:asciiTheme="minorHAnsi" w:hAnsiTheme="minorHAnsi"/>
              </w:rPr>
              <w:t>White</w:t>
            </w:r>
          </w:p>
        </w:tc>
        <w:tc>
          <w:tcPr>
            <w:tcW w:w="1160" w:type="dxa"/>
            <w:vAlign w:val="center"/>
          </w:tcPr>
          <w:p w14:paraId="07E4C73A" w14:textId="77777777" w:rsidR="007303EE" w:rsidRPr="00797379" w:rsidRDefault="007303EE" w:rsidP="00680F1B">
            <w:pPr>
              <w:pStyle w:val="TableTextCentered"/>
            </w:pPr>
            <w:r w:rsidRPr="00797379">
              <w:t>2,931</w:t>
            </w:r>
          </w:p>
        </w:tc>
        <w:tc>
          <w:tcPr>
            <w:tcW w:w="1325" w:type="dxa"/>
            <w:vAlign w:val="center"/>
          </w:tcPr>
          <w:p w14:paraId="6EBBB649" w14:textId="77777777" w:rsidR="007303EE" w:rsidRPr="00797379" w:rsidRDefault="007303EE" w:rsidP="00680F1B">
            <w:pPr>
              <w:pStyle w:val="TableTextCentered"/>
            </w:pPr>
            <w:r w:rsidRPr="00797379">
              <w:t>9.7</w:t>
            </w:r>
          </w:p>
        </w:tc>
        <w:tc>
          <w:tcPr>
            <w:tcW w:w="1326" w:type="dxa"/>
            <w:vAlign w:val="center"/>
          </w:tcPr>
          <w:p w14:paraId="324D13E5" w14:textId="77777777" w:rsidR="007303EE" w:rsidRPr="00797379" w:rsidRDefault="007303EE" w:rsidP="00680F1B">
            <w:pPr>
              <w:pStyle w:val="TableTextCentered"/>
            </w:pPr>
            <w:r w:rsidRPr="00797379">
              <w:t>8.1</w:t>
            </w:r>
          </w:p>
        </w:tc>
        <w:tc>
          <w:tcPr>
            <w:tcW w:w="1325" w:type="dxa"/>
            <w:vAlign w:val="center"/>
          </w:tcPr>
          <w:p w14:paraId="5200F7F4" w14:textId="77777777" w:rsidR="007303EE" w:rsidRPr="00797379" w:rsidRDefault="007303EE" w:rsidP="00680F1B">
            <w:pPr>
              <w:pStyle w:val="TableTextCentered"/>
            </w:pPr>
            <w:r w:rsidRPr="00797379">
              <w:t>6.0</w:t>
            </w:r>
          </w:p>
        </w:tc>
        <w:tc>
          <w:tcPr>
            <w:tcW w:w="1336" w:type="dxa"/>
            <w:vAlign w:val="center"/>
          </w:tcPr>
          <w:p w14:paraId="0A353B96" w14:textId="77777777" w:rsidR="007303EE" w:rsidRPr="00797379" w:rsidRDefault="007303EE" w:rsidP="00680F1B">
            <w:pPr>
              <w:pStyle w:val="TableTextCentered"/>
            </w:pPr>
            <w:r w:rsidRPr="00797379">
              <w:t>13.9</w:t>
            </w:r>
          </w:p>
        </w:tc>
      </w:tr>
      <w:tr w:rsidR="007303EE" w:rsidRPr="00797379" w14:paraId="1F3036E7" w14:textId="77777777" w:rsidTr="001916FA">
        <w:trPr>
          <w:cnfStyle w:val="000000100000" w:firstRow="0" w:lastRow="0" w:firstColumn="0" w:lastColumn="0" w:oddVBand="0" w:evenVBand="0" w:oddHBand="1" w:evenHBand="0" w:firstRowFirstColumn="0" w:firstRowLastColumn="0" w:lastRowFirstColumn="0" w:lastRowLastColumn="0"/>
        </w:trPr>
        <w:tc>
          <w:tcPr>
            <w:tcW w:w="2872" w:type="dxa"/>
          </w:tcPr>
          <w:p w14:paraId="0723CF33" w14:textId="77777777" w:rsidR="007303EE" w:rsidRPr="001916FA" w:rsidRDefault="007303EE" w:rsidP="00680F1B">
            <w:pPr>
              <w:pStyle w:val="TableSubheading"/>
              <w:rPr>
                <w:rFonts w:asciiTheme="minorHAnsi" w:hAnsiTheme="minorHAnsi"/>
              </w:rPr>
            </w:pPr>
            <w:r w:rsidRPr="001916FA">
              <w:rPr>
                <w:rFonts w:asciiTheme="minorHAnsi" w:hAnsiTheme="minorHAnsi"/>
              </w:rPr>
              <w:t>High Needs</w:t>
            </w:r>
          </w:p>
        </w:tc>
        <w:tc>
          <w:tcPr>
            <w:tcW w:w="1160" w:type="dxa"/>
            <w:vAlign w:val="center"/>
          </w:tcPr>
          <w:p w14:paraId="03D07AD3" w14:textId="77777777" w:rsidR="007303EE" w:rsidRPr="00797379" w:rsidRDefault="007303EE" w:rsidP="00680F1B">
            <w:pPr>
              <w:pStyle w:val="TableTextCentered"/>
            </w:pPr>
            <w:r w:rsidRPr="00797379">
              <w:t>1,281</w:t>
            </w:r>
          </w:p>
        </w:tc>
        <w:tc>
          <w:tcPr>
            <w:tcW w:w="1325" w:type="dxa"/>
            <w:vAlign w:val="center"/>
          </w:tcPr>
          <w:p w14:paraId="700492F8" w14:textId="77777777" w:rsidR="007303EE" w:rsidRPr="00797379" w:rsidRDefault="007303EE" w:rsidP="00680F1B">
            <w:pPr>
              <w:pStyle w:val="TableTextCentered"/>
            </w:pPr>
            <w:r w:rsidRPr="00797379">
              <w:t>15.0</w:t>
            </w:r>
          </w:p>
        </w:tc>
        <w:tc>
          <w:tcPr>
            <w:tcW w:w="1326" w:type="dxa"/>
            <w:vAlign w:val="center"/>
          </w:tcPr>
          <w:p w14:paraId="7A871546" w14:textId="77777777" w:rsidR="007303EE" w:rsidRPr="00797379" w:rsidRDefault="007303EE" w:rsidP="00680F1B">
            <w:pPr>
              <w:pStyle w:val="TableTextCentered"/>
            </w:pPr>
            <w:r w:rsidRPr="00797379">
              <w:t>10.7</w:t>
            </w:r>
          </w:p>
        </w:tc>
        <w:tc>
          <w:tcPr>
            <w:tcW w:w="1325" w:type="dxa"/>
            <w:vAlign w:val="center"/>
          </w:tcPr>
          <w:p w14:paraId="2B480EE6" w14:textId="77777777" w:rsidR="007303EE" w:rsidRPr="00797379" w:rsidRDefault="007303EE" w:rsidP="00680F1B">
            <w:pPr>
              <w:pStyle w:val="TableTextCentered"/>
            </w:pPr>
            <w:r w:rsidRPr="00797379">
              <w:t>10.1</w:t>
            </w:r>
          </w:p>
        </w:tc>
        <w:tc>
          <w:tcPr>
            <w:tcW w:w="1336" w:type="dxa"/>
            <w:vAlign w:val="center"/>
          </w:tcPr>
          <w:p w14:paraId="067059C3" w14:textId="77777777" w:rsidR="007303EE" w:rsidRPr="00797379" w:rsidRDefault="007303EE" w:rsidP="00680F1B">
            <w:pPr>
              <w:pStyle w:val="TableTextCentered"/>
            </w:pPr>
            <w:r w:rsidRPr="00797379">
              <w:t>25.9</w:t>
            </w:r>
          </w:p>
        </w:tc>
      </w:tr>
      <w:tr w:rsidR="007303EE" w:rsidRPr="00797379" w14:paraId="2D0AA3BE" w14:textId="77777777" w:rsidTr="001916FA">
        <w:tc>
          <w:tcPr>
            <w:tcW w:w="2872" w:type="dxa"/>
          </w:tcPr>
          <w:p w14:paraId="17B70414" w14:textId="77777777" w:rsidR="007303EE" w:rsidRPr="001916FA" w:rsidRDefault="007303EE" w:rsidP="00680F1B">
            <w:pPr>
              <w:pStyle w:val="TableSubheading"/>
              <w:rPr>
                <w:rFonts w:asciiTheme="minorHAnsi" w:hAnsiTheme="minorHAnsi"/>
              </w:rPr>
            </w:pPr>
            <w:r w:rsidRPr="001916FA">
              <w:rPr>
                <w:rFonts w:asciiTheme="minorHAnsi" w:hAnsiTheme="minorHAnsi"/>
              </w:rPr>
              <w:t>English Learners</w:t>
            </w:r>
          </w:p>
        </w:tc>
        <w:tc>
          <w:tcPr>
            <w:tcW w:w="1160" w:type="dxa"/>
            <w:vAlign w:val="center"/>
          </w:tcPr>
          <w:p w14:paraId="632423AB" w14:textId="77777777" w:rsidR="007303EE" w:rsidRPr="00797379" w:rsidRDefault="007303EE" w:rsidP="00680F1B">
            <w:pPr>
              <w:pStyle w:val="TableTextCentered"/>
            </w:pPr>
            <w:r w:rsidRPr="00797379">
              <w:t>131</w:t>
            </w:r>
          </w:p>
        </w:tc>
        <w:tc>
          <w:tcPr>
            <w:tcW w:w="1325" w:type="dxa"/>
            <w:vAlign w:val="center"/>
          </w:tcPr>
          <w:p w14:paraId="7C793DFF" w14:textId="77777777" w:rsidR="007303EE" w:rsidRPr="00797379" w:rsidRDefault="007303EE" w:rsidP="00680F1B">
            <w:pPr>
              <w:pStyle w:val="TableTextCentered"/>
            </w:pPr>
            <w:r w:rsidRPr="00797379">
              <w:t>22.5</w:t>
            </w:r>
          </w:p>
        </w:tc>
        <w:tc>
          <w:tcPr>
            <w:tcW w:w="1326" w:type="dxa"/>
            <w:vAlign w:val="center"/>
          </w:tcPr>
          <w:p w14:paraId="524C4889" w14:textId="77777777" w:rsidR="007303EE" w:rsidRPr="00797379" w:rsidRDefault="007303EE" w:rsidP="00680F1B">
            <w:pPr>
              <w:pStyle w:val="TableTextCentered"/>
            </w:pPr>
            <w:r w:rsidRPr="00797379">
              <w:t>17.1</w:t>
            </w:r>
          </w:p>
        </w:tc>
        <w:tc>
          <w:tcPr>
            <w:tcW w:w="1325" w:type="dxa"/>
            <w:vAlign w:val="center"/>
          </w:tcPr>
          <w:p w14:paraId="538794FF" w14:textId="77777777" w:rsidR="007303EE" w:rsidRPr="00797379" w:rsidRDefault="007303EE" w:rsidP="00680F1B">
            <w:pPr>
              <w:pStyle w:val="TableTextCentered"/>
            </w:pPr>
            <w:r w:rsidRPr="00797379">
              <w:t>16.0</w:t>
            </w:r>
          </w:p>
        </w:tc>
        <w:tc>
          <w:tcPr>
            <w:tcW w:w="1336" w:type="dxa"/>
            <w:vAlign w:val="center"/>
          </w:tcPr>
          <w:p w14:paraId="136BE3B0" w14:textId="77777777" w:rsidR="007303EE" w:rsidRPr="00797379" w:rsidRDefault="007303EE" w:rsidP="00680F1B">
            <w:pPr>
              <w:pStyle w:val="TableTextCentered"/>
            </w:pPr>
            <w:r w:rsidRPr="00797379">
              <w:t>27.8</w:t>
            </w:r>
          </w:p>
        </w:tc>
      </w:tr>
      <w:tr w:rsidR="007303EE" w:rsidRPr="00797379" w14:paraId="1CCF2E85" w14:textId="77777777" w:rsidTr="001916FA">
        <w:trPr>
          <w:cnfStyle w:val="000000100000" w:firstRow="0" w:lastRow="0" w:firstColumn="0" w:lastColumn="0" w:oddVBand="0" w:evenVBand="0" w:oddHBand="1" w:evenHBand="0" w:firstRowFirstColumn="0" w:firstRowLastColumn="0" w:lastRowFirstColumn="0" w:lastRowLastColumn="0"/>
        </w:trPr>
        <w:tc>
          <w:tcPr>
            <w:tcW w:w="2872" w:type="dxa"/>
          </w:tcPr>
          <w:p w14:paraId="0C386A79" w14:textId="77777777" w:rsidR="007303EE" w:rsidRPr="001916FA" w:rsidRDefault="007303EE" w:rsidP="00680F1B">
            <w:pPr>
              <w:pStyle w:val="TableSubheading"/>
              <w:rPr>
                <w:rFonts w:asciiTheme="minorHAnsi" w:hAnsiTheme="minorHAnsi"/>
              </w:rPr>
            </w:pPr>
            <w:r w:rsidRPr="001916FA">
              <w:rPr>
                <w:rFonts w:asciiTheme="minorHAnsi" w:hAnsiTheme="minorHAnsi"/>
              </w:rPr>
              <w:t>Low Income</w:t>
            </w:r>
          </w:p>
        </w:tc>
        <w:tc>
          <w:tcPr>
            <w:tcW w:w="1160" w:type="dxa"/>
            <w:vAlign w:val="center"/>
          </w:tcPr>
          <w:p w14:paraId="6B594B24" w14:textId="77777777" w:rsidR="007303EE" w:rsidRPr="00797379" w:rsidRDefault="007303EE" w:rsidP="00680F1B">
            <w:pPr>
              <w:pStyle w:val="TableTextCentered"/>
            </w:pPr>
            <w:r w:rsidRPr="00797379">
              <w:t>421</w:t>
            </w:r>
          </w:p>
        </w:tc>
        <w:tc>
          <w:tcPr>
            <w:tcW w:w="1325" w:type="dxa"/>
            <w:vAlign w:val="center"/>
          </w:tcPr>
          <w:p w14:paraId="5BA4A434" w14:textId="77777777" w:rsidR="007303EE" w:rsidRPr="00797379" w:rsidRDefault="007303EE" w:rsidP="00680F1B">
            <w:pPr>
              <w:pStyle w:val="TableTextCentered"/>
            </w:pPr>
            <w:r w:rsidRPr="00797379">
              <w:t>23.8</w:t>
            </w:r>
          </w:p>
        </w:tc>
        <w:tc>
          <w:tcPr>
            <w:tcW w:w="1326" w:type="dxa"/>
            <w:vAlign w:val="center"/>
          </w:tcPr>
          <w:p w14:paraId="563C501B" w14:textId="77777777" w:rsidR="007303EE" w:rsidRPr="00797379" w:rsidRDefault="007303EE" w:rsidP="00680F1B">
            <w:pPr>
              <w:pStyle w:val="TableTextCentered"/>
            </w:pPr>
            <w:r w:rsidRPr="00797379">
              <w:t>17.1</w:t>
            </w:r>
          </w:p>
        </w:tc>
        <w:tc>
          <w:tcPr>
            <w:tcW w:w="1325" w:type="dxa"/>
            <w:vAlign w:val="center"/>
          </w:tcPr>
          <w:p w14:paraId="62DA0741" w14:textId="77777777" w:rsidR="007303EE" w:rsidRPr="00797379" w:rsidRDefault="007303EE" w:rsidP="00680F1B">
            <w:pPr>
              <w:pStyle w:val="TableTextCentered"/>
            </w:pPr>
            <w:r w:rsidRPr="00797379">
              <w:t>13.5</w:t>
            </w:r>
          </w:p>
        </w:tc>
        <w:tc>
          <w:tcPr>
            <w:tcW w:w="1336" w:type="dxa"/>
            <w:vAlign w:val="center"/>
          </w:tcPr>
          <w:p w14:paraId="61553495" w14:textId="77777777" w:rsidR="007303EE" w:rsidRPr="00797379" w:rsidRDefault="007303EE" w:rsidP="00680F1B">
            <w:pPr>
              <w:pStyle w:val="TableTextCentered"/>
            </w:pPr>
            <w:r w:rsidRPr="00797379">
              <w:t>28.9</w:t>
            </w:r>
          </w:p>
        </w:tc>
      </w:tr>
      <w:tr w:rsidR="007303EE" w:rsidRPr="00797379" w14:paraId="07CC8A75" w14:textId="77777777" w:rsidTr="001916FA">
        <w:tc>
          <w:tcPr>
            <w:tcW w:w="2872" w:type="dxa"/>
          </w:tcPr>
          <w:p w14:paraId="5338577E" w14:textId="77777777" w:rsidR="007303EE" w:rsidRPr="001916FA" w:rsidRDefault="007303EE" w:rsidP="00680F1B">
            <w:pPr>
              <w:pStyle w:val="TableSubheading"/>
              <w:rPr>
                <w:rFonts w:asciiTheme="minorHAnsi" w:hAnsiTheme="minorHAnsi"/>
              </w:rPr>
            </w:pPr>
            <w:r w:rsidRPr="001916FA">
              <w:rPr>
                <w:rFonts w:asciiTheme="minorHAnsi" w:hAnsiTheme="minorHAnsi"/>
              </w:rPr>
              <w:t>Students with Disabilities</w:t>
            </w:r>
          </w:p>
        </w:tc>
        <w:tc>
          <w:tcPr>
            <w:tcW w:w="1160" w:type="dxa"/>
            <w:vAlign w:val="center"/>
          </w:tcPr>
          <w:p w14:paraId="338158F0" w14:textId="77777777" w:rsidR="007303EE" w:rsidRPr="00797379" w:rsidRDefault="007303EE" w:rsidP="00680F1B">
            <w:pPr>
              <w:pStyle w:val="TableTextCentered"/>
            </w:pPr>
            <w:r w:rsidRPr="00797379">
              <w:t>787</w:t>
            </w:r>
          </w:p>
        </w:tc>
        <w:tc>
          <w:tcPr>
            <w:tcW w:w="1325" w:type="dxa"/>
            <w:vAlign w:val="center"/>
          </w:tcPr>
          <w:p w14:paraId="043DB2B4" w14:textId="77777777" w:rsidR="007303EE" w:rsidRPr="00797379" w:rsidRDefault="007303EE" w:rsidP="00680F1B">
            <w:pPr>
              <w:pStyle w:val="TableTextCentered"/>
            </w:pPr>
            <w:r w:rsidRPr="00797379">
              <w:t>12.9</w:t>
            </w:r>
          </w:p>
        </w:tc>
        <w:tc>
          <w:tcPr>
            <w:tcW w:w="1326" w:type="dxa"/>
            <w:vAlign w:val="center"/>
          </w:tcPr>
          <w:p w14:paraId="4DFD49C1" w14:textId="77777777" w:rsidR="007303EE" w:rsidRPr="00797379" w:rsidRDefault="007303EE" w:rsidP="00680F1B">
            <w:pPr>
              <w:pStyle w:val="TableTextCentered"/>
            </w:pPr>
            <w:r w:rsidRPr="00797379">
              <w:t>10.0</w:t>
            </w:r>
          </w:p>
        </w:tc>
        <w:tc>
          <w:tcPr>
            <w:tcW w:w="1325" w:type="dxa"/>
            <w:vAlign w:val="center"/>
          </w:tcPr>
          <w:p w14:paraId="09034AF5" w14:textId="77777777" w:rsidR="007303EE" w:rsidRPr="00797379" w:rsidRDefault="007303EE" w:rsidP="00680F1B">
            <w:pPr>
              <w:pStyle w:val="TableTextCentered"/>
            </w:pPr>
            <w:r w:rsidRPr="00797379">
              <w:t>10.2</w:t>
            </w:r>
          </w:p>
        </w:tc>
        <w:tc>
          <w:tcPr>
            <w:tcW w:w="1336" w:type="dxa"/>
            <w:vAlign w:val="center"/>
          </w:tcPr>
          <w:p w14:paraId="5E5F4450" w14:textId="77777777" w:rsidR="007303EE" w:rsidRPr="00797379" w:rsidRDefault="007303EE" w:rsidP="00680F1B">
            <w:pPr>
              <w:pStyle w:val="TableTextCentered"/>
            </w:pPr>
            <w:r w:rsidRPr="00797379">
              <w:t>26.5</w:t>
            </w:r>
          </w:p>
        </w:tc>
      </w:tr>
    </w:tbl>
    <w:p w14:paraId="4CE8525E" w14:textId="77777777" w:rsidR="007303EE" w:rsidRPr="00797379" w:rsidRDefault="007303EE" w:rsidP="006C2038">
      <w:pPr>
        <w:pStyle w:val="TableNote"/>
        <w:rPr>
          <w:rFonts w:ascii="Calibri" w:eastAsia="Calibri" w:hAnsi="Calibri"/>
          <w:szCs w:val="20"/>
        </w:rPr>
      </w:pPr>
      <w:r w:rsidRPr="00797379">
        <w:rPr>
          <w:vertAlign w:val="superscript"/>
        </w:rPr>
        <w:t>a</w:t>
      </w:r>
      <w:r w:rsidRPr="00797379" w:rsidDel="00305C73">
        <w:t xml:space="preserve"> </w:t>
      </w:r>
      <w:r w:rsidRPr="00797379">
        <w:rPr>
          <w:shd w:val="clear" w:color="auto" w:fill="FFFFFF" w:themeFill="background1"/>
        </w:rPr>
        <w:t xml:space="preserve">The percentage of students absent </w:t>
      </w:r>
      <w:r w:rsidRPr="00797379">
        <w:t>10</w:t>
      </w:r>
      <w:r w:rsidRPr="00797379">
        <w:rPr>
          <w:shd w:val="clear" w:color="auto" w:fill="FFFFFF" w:themeFill="background1"/>
        </w:rPr>
        <w:t xml:space="preserve"> percent or more of their total number of student days of membership in a school</w:t>
      </w:r>
      <w:r w:rsidRPr="00797379">
        <w:t>.</w:t>
      </w:r>
    </w:p>
    <w:p w14:paraId="064B88E6" w14:textId="571C247E" w:rsidR="007303EE" w:rsidRPr="00797379" w:rsidRDefault="007303EE" w:rsidP="006C2038">
      <w:pPr>
        <w:pStyle w:val="TableTitle0"/>
        <w:rPr>
          <w:szCs w:val="20"/>
        </w:rPr>
      </w:pPr>
      <w:bookmarkStart w:id="231" w:name="_Toc220932438"/>
      <w:r w:rsidRPr="00797379">
        <w:t>Table D4. Total Expenditures Fiscal Years, 2022-2024</w:t>
      </w:r>
      <w:bookmarkEnd w:id="231"/>
    </w:p>
    <w:tbl>
      <w:tblPr>
        <w:tblStyle w:val="MSVTable1"/>
        <w:tblW w:w="5000" w:type="pct"/>
        <w:tblLook w:val="04A0" w:firstRow="1" w:lastRow="0" w:firstColumn="1" w:lastColumn="0" w:noHBand="0" w:noVBand="1"/>
      </w:tblPr>
      <w:tblGrid>
        <w:gridCol w:w="2782"/>
        <w:gridCol w:w="2187"/>
        <w:gridCol w:w="2187"/>
        <w:gridCol w:w="2188"/>
      </w:tblGrid>
      <w:tr w:rsidR="007303EE" w:rsidRPr="00797379" w14:paraId="1C02A511" w14:textId="77777777" w:rsidTr="00A36B32">
        <w:trPr>
          <w:cnfStyle w:val="100000000000" w:firstRow="1" w:lastRow="0" w:firstColumn="0" w:lastColumn="0" w:oddVBand="0" w:evenVBand="0" w:oddHBand="0" w:evenHBand="0" w:firstRowFirstColumn="0" w:firstRowLastColumn="0" w:lastRowFirstColumn="0" w:lastRowLastColumn="0"/>
          <w:tblHeader/>
        </w:trPr>
        <w:tc>
          <w:tcPr>
            <w:tcW w:w="2782" w:type="dxa"/>
          </w:tcPr>
          <w:p w14:paraId="1ACF9A14" w14:textId="77777777" w:rsidR="007303EE" w:rsidRPr="00797379" w:rsidRDefault="007303EE" w:rsidP="00A36B32">
            <w:pPr>
              <w:pStyle w:val="TableColHeadingCenter"/>
            </w:pPr>
            <w:r w:rsidRPr="00797379">
              <w:t>Expenditures</w:t>
            </w:r>
          </w:p>
        </w:tc>
        <w:tc>
          <w:tcPr>
            <w:tcW w:w="2187" w:type="dxa"/>
          </w:tcPr>
          <w:p w14:paraId="29569F6C" w14:textId="77777777" w:rsidR="007303EE" w:rsidRPr="00797379" w:rsidRDefault="007303EE" w:rsidP="00A36B32">
            <w:pPr>
              <w:pStyle w:val="TableColHeadingCenter"/>
            </w:pPr>
            <w:r w:rsidRPr="00797379">
              <w:t>FY 2022</w:t>
            </w:r>
          </w:p>
        </w:tc>
        <w:tc>
          <w:tcPr>
            <w:tcW w:w="2187" w:type="dxa"/>
          </w:tcPr>
          <w:p w14:paraId="7B2EC7E0" w14:textId="77777777" w:rsidR="007303EE" w:rsidRPr="00797379" w:rsidRDefault="007303EE" w:rsidP="00A36B32">
            <w:pPr>
              <w:pStyle w:val="TableColHeadingCenter"/>
            </w:pPr>
            <w:r w:rsidRPr="00797379">
              <w:t>FY 2023</w:t>
            </w:r>
          </w:p>
        </w:tc>
        <w:tc>
          <w:tcPr>
            <w:tcW w:w="2188" w:type="dxa"/>
          </w:tcPr>
          <w:p w14:paraId="4CB6CDD1" w14:textId="77777777" w:rsidR="007303EE" w:rsidRPr="00797379" w:rsidRDefault="007303EE" w:rsidP="00A36B32">
            <w:pPr>
              <w:pStyle w:val="TableColHeadingCenter"/>
            </w:pPr>
            <w:r w:rsidRPr="00797379">
              <w:t>FY 2024</w:t>
            </w:r>
          </w:p>
        </w:tc>
      </w:tr>
      <w:tr w:rsidR="007303EE" w:rsidRPr="00797379" w14:paraId="1F9F7A29" w14:textId="77777777" w:rsidTr="001916FA">
        <w:trPr>
          <w:cnfStyle w:val="000000100000" w:firstRow="0" w:lastRow="0" w:firstColumn="0" w:lastColumn="0" w:oddVBand="0" w:evenVBand="0" w:oddHBand="1" w:evenHBand="0" w:firstRowFirstColumn="0" w:firstRowLastColumn="0" w:lastRowFirstColumn="0" w:lastRowLastColumn="0"/>
        </w:trPr>
        <w:tc>
          <w:tcPr>
            <w:tcW w:w="2782" w:type="dxa"/>
          </w:tcPr>
          <w:p w14:paraId="2C83445C" w14:textId="77777777" w:rsidR="007303EE" w:rsidRPr="001916FA" w:rsidRDefault="007303EE" w:rsidP="00A36B32">
            <w:pPr>
              <w:pStyle w:val="TableSubheading"/>
              <w:rPr>
                <w:rFonts w:ascii="Franklin Gothic Book" w:hAnsi="Franklin Gothic Book"/>
              </w:rPr>
            </w:pPr>
            <w:r w:rsidRPr="001916FA">
              <w:rPr>
                <w:rFonts w:ascii="Franklin Gothic Book" w:hAnsi="Franklin Gothic Book"/>
              </w:rPr>
              <w:t>By school committee</w:t>
            </w:r>
          </w:p>
        </w:tc>
        <w:tc>
          <w:tcPr>
            <w:tcW w:w="2187" w:type="dxa"/>
            <w:vAlign w:val="center"/>
          </w:tcPr>
          <w:p w14:paraId="42E24654" w14:textId="77777777" w:rsidR="007303EE" w:rsidRPr="00797379" w:rsidRDefault="007303EE" w:rsidP="00A36B32">
            <w:pPr>
              <w:pStyle w:val="TableTextCentered"/>
            </w:pPr>
            <w:r w:rsidRPr="00797379">
              <w:t>$58,149,157</w:t>
            </w:r>
          </w:p>
        </w:tc>
        <w:tc>
          <w:tcPr>
            <w:tcW w:w="2187" w:type="dxa"/>
            <w:vAlign w:val="center"/>
          </w:tcPr>
          <w:p w14:paraId="7DB0D43C" w14:textId="77777777" w:rsidR="007303EE" w:rsidRPr="00797379" w:rsidRDefault="007303EE" w:rsidP="00A36B32">
            <w:pPr>
              <w:pStyle w:val="TableTextCentered"/>
            </w:pPr>
            <w:r w:rsidRPr="00797379">
              <w:t>$61,307,025</w:t>
            </w:r>
          </w:p>
        </w:tc>
        <w:tc>
          <w:tcPr>
            <w:tcW w:w="2188" w:type="dxa"/>
            <w:vAlign w:val="center"/>
          </w:tcPr>
          <w:p w14:paraId="03CB0C32" w14:textId="77777777" w:rsidR="007303EE" w:rsidRPr="00797379" w:rsidRDefault="007303EE" w:rsidP="00A36B32">
            <w:pPr>
              <w:pStyle w:val="TableTextCentered"/>
            </w:pPr>
            <w:r w:rsidRPr="00797379">
              <w:t>$63,180,868</w:t>
            </w:r>
          </w:p>
        </w:tc>
      </w:tr>
      <w:tr w:rsidR="007303EE" w:rsidRPr="00797379" w14:paraId="31B29229" w14:textId="77777777" w:rsidTr="001916FA">
        <w:tc>
          <w:tcPr>
            <w:tcW w:w="2782" w:type="dxa"/>
          </w:tcPr>
          <w:p w14:paraId="441E3FE0" w14:textId="77777777" w:rsidR="007303EE" w:rsidRPr="001916FA" w:rsidRDefault="007303EE" w:rsidP="00A36B32">
            <w:pPr>
              <w:pStyle w:val="TableSubheading"/>
              <w:rPr>
                <w:rFonts w:ascii="Franklin Gothic Book" w:hAnsi="Franklin Gothic Book"/>
              </w:rPr>
            </w:pPr>
            <w:r w:rsidRPr="001916FA">
              <w:rPr>
                <w:rFonts w:ascii="Franklin Gothic Book" w:hAnsi="Franklin Gothic Book"/>
              </w:rPr>
              <w:t>By Municipality</w:t>
            </w:r>
          </w:p>
        </w:tc>
        <w:tc>
          <w:tcPr>
            <w:tcW w:w="2187" w:type="dxa"/>
            <w:vAlign w:val="center"/>
          </w:tcPr>
          <w:p w14:paraId="57854B11" w14:textId="77777777" w:rsidR="007303EE" w:rsidRPr="00797379" w:rsidRDefault="007303EE" w:rsidP="00A36B32">
            <w:pPr>
              <w:pStyle w:val="TableTextCentered"/>
            </w:pPr>
            <w:r w:rsidRPr="00797379">
              <w:t>$16,159,942</w:t>
            </w:r>
          </w:p>
        </w:tc>
        <w:tc>
          <w:tcPr>
            <w:tcW w:w="2187" w:type="dxa"/>
            <w:vAlign w:val="center"/>
          </w:tcPr>
          <w:p w14:paraId="2F9DAB16" w14:textId="77777777" w:rsidR="007303EE" w:rsidRPr="00797379" w:rsidRDefault="007303EE" w:rsidP="00A36B32">
            <w:pPr>
              <w:pStyle w:val="TableTextCentered"/>
            </w:pPr>
            <w:r w:rsidRPr="00797379">
              <w:t>$15,618,548</w:t>
            </w:r>
          </w:p>
        </w:tc>
        <w:tc>
          <w:tcPr>
            <w:tcW w:w="2188" w:type="dxa"/>
            <w:vAlign w:val="center"/>
          </w:tcPr>
          <w:p w14:paraId="4EB931A6" w14:textId="77777777" w:rsidR="007303EE" w:rsidRPr="00797379" w:rsidRDefault="007303EE" w:rsidP="00A36B32">
            <w:pPr>
              <w:pStyle w:val="TableTextCentered"/>
            </w:pPr>
            <w:r w:rsidRPr="00797379">
              <w:t>$16,478,613</w:t>
            </w:r>
          </w:p>
        </w:tc>
      </w:tr>
      <w:tr w:rsidR="007303EE" w:rsidRPr="00797379" w14:paraId="4DC0A981" w14:textId="77777777" w:rsidTr="001916FA">
        <w:trPr>
          <w:cnfStyle w:val="000000100000" w:firstRow="0" w:lastRow="0" w:firstColumn="0" w:lastColumn="0" w:oddVBand="0" w:evenVBand="0" w:oddHBand="1" w:evenHBand="0" w:firstRowFirstColumn="0" w:firstRowLastColumn="0" w:lastRowFirstColumn="0" w:lastRowLastColumn="0"/>
        </w:trPr>
        <w:tc>
          <w:tcPr>
            <w:tcW w:w="2782" w:type="dxa"/>
          </w:tcPr>
          <w:p w14:paraId="2A9DF51B" w14:textId="77777777" w:rsidR="007303EE" w:rsidRPr="001916FA" w:rsidRDefault="007303EE" w:rsidP="00A36B32">
            <w:pPr>
              <w:pStyle w:val="TableSubheading"/>
              <w:rPr>
                <w:rFonts w:ascii="Franklin Gothic Book" w:hAnsi="Franklin Gothic Book"/>
              </w:rPr>
            </w:pPr>
            <w:r w:rsidRPr="001916FA">
              <w:rPr>
                <w:rFonts w:ascii="Franklin Gothic Book" w:hAnsi="Franklin Gothic Book"/>
              </w:rPr>
              <w:t>Total from local appropriations</w:t>
            </w:r>
          </w:p>
        </w:tc>
        <w:tc>
          <w:tcPr>
            <w:tcW w:w="2187" w:type="dxa"/>
            <w:vAlign w:val="center"/>
          </w:tcPr>
          <w:p w14:paraId="08D0C7DB" w14:textId="77777777" w:rsidR="007303EE" w:rsidRPr="00797379" w:rsidRDefault="007303EE" w:rsidP="00A36B32">
            <w:pPr>
              <w:pStyle w:val="TableTextCentered"/>
            </w:pPr>
            <w:r w:rsidRPr="00797379">
              <w:t>$74,309,099</w:t>
            </w:r>
          </w:p>
        </w:tc>
        <w:tc>
          <w:tcPr>
            <w:tcW w:w="2187" w:type="dxa"/>
            <w:vAlign w:val="center"/>
          </w:tcPr>
          <w:p w14:paraId="4C8FD521" w14:textId="77777777" w:rsidR="007303EE" w:rsidRPr="00797379" w:rsidRDefault="007303EE" w:rsidP="00A36B32">
            <w:pPr>
              <w:pStyle w:val="TableTextCentered"/>
            </w:pPr>
            <w:r w:rsidRPr="00797379">
              <w:t>$76,910,351</w:t>
            </w:r>
          </w:p>
        </w:tc>
        <w:tc>
          <w:tcPr>
            <w:tcW w:w="2188" w:type="dxa"/>
            <w:vAlign w:val="center"/>
          </w:tcPr>
          <w:p w14:paraId="44F03226" w14:textId="77777777" w:rsidR="007303EE" w:rsidRPr="00797379" w:rsidRDefault="007303EE" w:rsidP="00A36B32">
            <w:pPr>
              <w:pStyle w:val="TableTextCentered"/>
            </w:pPr>
            <w:r w:rsidRPr="00797379">
              <w:t>$79,659,481</w:t>
            </w:r>
          </w:p>
        </w:tc>
      </w:tr>
      <w:tr w:rsidR="007303EE" w:rsidRPr="00797379" w14:paraId="56DF5DCE" w14:textId="77777777" w:rsidTr="001916FA">
        <w:tc>
          <w:tcPr>
            <w:tcW w:w="2782" w:type="dxa"/>
          </w:tcPr>
          <w:p w14:paraId="7333A190" w14:textId="77777777" w:rsidR="007303EE" w:rsidRPr="001916FA" w:rsidRDefault="007303EE" w:rsidP="00A36B32">
            <w:pPr>
              <w:pStyle w:val="TableSubheading"/>
              <w:rPr>
                <w:rFonts w:ascii="Franklin Gothic Book" w:hAnsi="Franklin Gothic Book"/>
              </w:rPr>
            </w:pPr>
            <w:r w:rsidRPr="001916FA">
              <w:rPr>
                <w:rFonts w:ascii="Franklin Gothic Book" w:hAnsi="Franklin Gothic Book"/>
              </w:rPr>
              <w:t>From revolving funds and grants</w:t>
            </w:r>
          </w:p>
        </w:tc>
        <w:tc>
          <w:tcPr>
            <w:tcW w:w="2187" w:type="dxa"/>
            <w:vAlign w:val="center"/>
          </w:tcPr>
          <w:p w14:paraId="1EC9FA24" w14:textId="77777777" w:rsidR="007303EE" w:rsidRPr="00797379" w:rsidRDefault="007303EE" w:rsidP="00A36B32">
            <w:pPr>
              <w:pStyle w:val="TableTextCentered"/>
            </w:pPr>
            <w:r w:rsidRPr="00797379">
              <w:t>$5,767,239</w:t>
            </w:r>
          </w:p>
        </w:tc>
        <w:tc>
          <w:tcPr>
            <w:tcW w:w="2187" w:type="dxa"/>
            <w:vAlign w:val="center"/>
          </w:tcPr>
          <w:p w14:paraId="458DEF0D" w14:textId="77777777" w:rsidR="007303EE" w:rsidRPr="00797379" w:rsidRDefault="007303EE" w:rsidP="00A36B32">
            <w:pPr>
              <w:pStyle w:val="TableTextCentered"/>
            </w:pPr>
            <w:r w:rsidRPr="00797379">
              <w:t>$6,485,463</w:t>
            </w:r>
          </w:p>
        </w:tc>
        <w:tc>
          <w:tcPr>
            <w:tcW w:w="2188" w:type="dxa"/>
            <w:vAlign w:val="center"/>
          </w:tcPr>
          <w:p w14:paraId="7118937F" w14:textId="77777777" w:rsidR="007303EE" w:rsidRPr="00797379" w:rsidRDefault="007303EE" w:rsidP="00A36B32">
            <w:pPr>
              <w:pStyle w:val="TableTextCentered"/>
            </w:pPr>
            <w:r w:rsidRPr="00797379">
              <w:t>$7,648,548</w:t>
            </w:r>
          </w:p>
        </w:tc>
      </w:tr>
      <w:tr w:rsidR="007303EE" w:rsidRPr="00797379" w14:paraId="7D467BAD" w14:textId="77777777" w:rsidTr="001916FA">
        <w:trPr>
          <w:cnfStyle w:val="000000100000" w:firstRow="0" w:lastRow="0" w:firstColumn="0" w:lastColumn="0" w:oddVBand="0" w:evenVBand="0" w:oddHBand="1" w:evenHBand="0" w:firstRowFirstColumn="0" w:firstRowLastColumn="0" w:lastRowFirstColumn="0" w:lastRowLastColumn="0"/>
        </w:trPr>
        <w:tc>
          <w:tcPr>
            <w:tcW w:w="2782" w:type="dxa"/>
          </w:tcPr>
          <w:p w14:paraId="521E8C9D" w14:textId="77777777" w:rsidR="007303EE" w:rsidRPr="001916FA" w:rsidRDefault="007303EE" w:rsidP="00A36B32">
            <w:pPr>
              <w:pStyle w:val="TableSubheading"/>
              <w:rPr>
                <w:rFonts w:ascii="Franklin Gothic Book" w:hAnsi="Franklin Gothic Book"/>
              </w:rPr>
            </w:pPr>
            <w:r w:rsidRPr="001916FA">
              <w:rPr>
                <w:rFonts w:ascii="Franklin Gothic Book" w:hAnsi="Franklin Gothic Book"/>
              </w:rPr>
              <w:t>Total expenditures</w:t>
            </w:r>
          </w:p>
        </w:tc>
        <w:tc>
          <w:tcPr>
            <w:tcW w:w="2187" w:type="dxa"/>
            <w:vAlign w:val="center"/>
          </w:tcPr>
          <w:p w14:paraId="790548A2" w14:textId="77777777" w:rsidR="007303EE" w:rsidRPr="00797379" w:rsidRDefault="007303EE" w:rsidP="00A36B32">
            <w:pPr>
              <w:pStyle w:val="TableTextCentered"/>
            </w:pPr>
            <w:r w:rsidRPr="00797379">
              <w:t>$80,076,338</w:t>
            </w:r>
          </w:p>
        </w:tc>
        <w:tc>
          <w:tcPr>
            <w:tcW w:w="2187" w:type="dxa"/>
            <w:vAlign w:val="center"/>
          </w:tcPr>
          <w:p w14:paraId="5AC07ABE" w14:textId="77777777" w:rsidR="007303EE" w:rsidRPr="00797379" w:rsidRDefault="007303EE" w:rsidP="00A36B32">
            <w:pPr>
              <w:pStyle w:val="TableTextCentered"/>
            </w:pPr>
            <w:r w:rsidRPr="00797379">
              <w:t>$83,395,814</w:t>
            </w:r>
          </w:p>
        </w:tc>
        <w:tc>
          <w:tcPr>
            <w:tcW w:w="2188" w:type="dxa"/>
            <w:vAlign w:val="center"/>
          </w:tcPr>
          <w:p w14:paraId="2531A9A9" w14:textId="77777777" w:rsidR="007303EE" w:rsidRPr="00797379" w:rsidRDefault="007303EE" w:rsidP="00A36B32">
            <w:pPr>
              <w:pStyle w:val="TableTextCentered"/>
            </w:pPr>
            <w:r w:rsidRPr="00797379">
              <w:t>$87,308,029</w:t>
            </w:r>
          </w:p>
        </w:tc>
      </w:tr>
    </w:tbl>
    <w:p w14:paraId="1403A066" w14:textId="6DA85E58" w:rsidR="007303EE" w:rsidRPr="00797379" w:rsidRDefault="007303EE" w:rsidP="006C2038">
      <w:pPr>
        <w:pStyle w:val="TableNote"/>
      </w:pPr>
      <w:r w:rsidRPr="00797379">
        <w:rPr>
          <w:i/>
          <w:iCs/>
        </w:rPr>
        <w:t>Note</w:t>
      </w:r>
      <w:r w:rsidRPr="00797379">
        <w:t xml:space="preserve">. Expenditures from the School Finance Dashboard sourced from </w:t>
      </w:r>
      <w:hyperlink r:id="rId66" w:history="1">
        <w:r w:rsidRPr="00797379">
          <w:rPr>
            <w:rStyle w:val="Hyperlink"/>
          </w:rPr>
          <w:t>Resource Allocation and District Action Reports (RADAR)</w:t>
        </w:r>
      </w:hyperlink>
      <w:r w:rsidRPr="00797379">
        <w:t xml:space="preserve"> last updated April 2025.</w:t>
      </w:r>
    </w:p>
    <w:p w14:paraId="6189899C" w14:textId="73B2A070" w:rsidR="007303EE" w:rsidRPr="00797379" w:rsidRDefault="007303EE" w:rsidP="00C41AD6">
      <w:pPr>
        <w:pStyle w:val="TableTitle0"/>
        <w:keepLines/>
        <w:rPr>
          <w:szCs w:val="20"/>
        </w:rPr>
      </w:pPr>
      <w:bookmarkStart w:id="232" w:name="_Toc220932439"/>
      <w:r w:rsidRPr="00797379">
        <w:t>Table D5. Chapter 70 State Aid, and Net School Spending Fiscal Years, 2022-2024</w:t>
      </w:r>
      <w:bookmarkEnd w:id="232"/>
    </w:p>
    <w:tbl>
      <w:tblPr>
        <w:tblStyle w:val="MSVTable1"/>
        <w:tblW w:w="5000" w:type="pct"/>
        <w:tblLook w:val="04A0" w:firstRow="1" w:lastRow="0" w:firstColumn="1" w:lastColumn="0" w:noHBand="0" w:noVBand="1"/>
      </w:tblPr>
      <w:tblGrid>
        <w:gridCol w:w="2692"/>
        <w:gridCol w:w="2217"/>
        <w:gridCol w:w="2217"/>
        <w:gridCol w:w="2218"/>
      </w:tblGrid>
      <w:tr w:rsidR="007303EE" w:rsidRPr="00797379" w14:paraId="1012BEF4" w14:textId="77777777" w:rsidTr="001916FA">
        <w:trPr>
          <w:cnfStyle w:val="100000000000" w:firstRow="1" w:lastRow="0" w:firstColumn="0" w:lastColumn="0" w:oddVBand="0" w:evenVBand="0" w:oddHBand="0" w:evenHBand="0" w:firstRowFirstColumn="0" w:firstRowLastColumn="0" w:lastRowFirstColumn="0" w:lastRowLastColumn="0"/>
          <w:tblHeader/>
        </w:trPr>
        <w:tc>
          <w:tcPr>
            <w:tcW w:w="2692" w:type="dxa"/>
          </w:tcPr>
          <w:p w14:paraId="74710581" w14:textId="77777777" w:rsidR="007303EE" w:rsidRPr="00797379" w:rsidRDefault="007303EE" w:rsidP="00C41AD6">
            <w:pPr>
              <w:pStyle w:val="TableColHeadingCenter"/>
              <w:keepNext/>
              <w:keepLines/>
            </w:pPr>
            <w:r w:rsidRPr="00797379">
              <w:t>Chapter 70 aid to education program</w:t>
            </w:r>
          </w:p>
        </w:tc>
        <w:tc>
          <w:tcPr>
            <w:tcW w:w="2217" w:type="dxa"/>
            <w:vAlign w:val="center"/>
          </w:tcPr>
          <w:p w14:paraId="2EED0BEB" w14:textId="77777777" w:rsidR="007303EE" w:rsidRPr="00797379" w:rsidRDefault="007303EE" w:rsidP="00C41AD6">
            <w:pPr>
              <w:pStyle w:val="TableColHeadingCenter"/>
              <w:keepNext/>
              <w:keepLines/>
            </w:pPr>
            <w:r w:rsidRPr="00797379">
              <w:t>FY 2022</w:t>
            </w:r>
          </w:p>
        </w:tc>
        <w:tc>
          <w:tcPr>
            <w:tcW w:w="2217" w:type="dxa"/>
            <w:vAlign w:val="center"/>
          </w:tcPr>
          <w:p w14:paraId="56EEF922" w14:textId="77777777" w:rsidR="007303EE" w:rsidRPr="00797379" w:rsidRDefault="007303EE" w:rsidP="00C41AD6">
            <w:pPr>
              <w:pStyle w:val="TableColHeadingCenter"/>
              <w:keepNext/>
              <w:keepLines/>
            </w:pPr>
            <w:r w:rsidRPr="00797379">
              <w:t>FY 2023</w:t>
            </w:r>
          </w:p>
        </w:tc>
        <w:tc>
          <w:tcPr>
            <w:tcW w:w="2218" w:type="dxa"/>
            <w:vAlign w:val="center"/>
          </w:tcPr>
          <w:p w14:paraId="28D86120" w14:textId="77777777" w:rsidR="007303EE" w:rsidRPr="00797379" w:rsidRDefault="007303EE" w:rsidP="00C41AD6">
            <w:pPr>
              <w:pStyle w:val="TableColHeadingCenter"/>
              <w:keepNext/>
              <w:keepLines/>
            </w:pPr>
            <w:r w:rsidRPr="00797379">
              <w:t>FY 2024</w:t>
            </w:r>
          </w:p>
        </w:tc>
      </w:tr>
      <w:tr w:rsidR="007303EE" w:rsidRPr="00797379" w14:paraId="33B12B06" w14:textId="77777777" w:rsidTr="001916FA">
        <w:trPr>
          <w:cnfStyle w:val="000000100000" w:firstRow="0" w:lastRow="0" w:firstColumn="0" w:lastColumn="0" w:oddVBand="0" w:evenVBand="0" w:oddHBand="1" w:evenHBand="0" w:firstRowFirstColumn="0" w:firstRowLastColumn="0" w:lastRowFirstColumn="0" w:lastRowLastColumn="0"/>
        </w:trPr>
        <w:tc>
          <w:tcPr>
            <w:tcW w:w="2692" w:type="dxa"/>
          </w:tcPr>
          <w:p w14:paraId="3A343E34" w14:textId="77777777" w:rsidR="007303EE" w:rsidRPr="001916FA" w:rsidRDefault="007303EE" w:rsidP="00C41AD6">
            <w:pPr>
              <w:pStyle w:val="TableSubheading"/>
              <w:keepNext/>
              <w:keepLines/>
              <w:rPr>
                <w:rFonts w:ascii="Franklin Gothic Book" w:hAnsi="Franklin Gothic Book"/>
              </w:rPr>
            </w:pPr>
            <w:r w:rsidRPr="001916FA">
              <w:rPr>
                <w:rFonts w:ascii="Franklin Gothic Book" w:hAnsi="Franklin Gothic Book"/>
              </w:rPr>
              <w:t>Chapter 70 state aid</w:t>
            </w:r>
            <w:r w:rsidRPr="001916FA">
              <w:rPr>
                <w:rFonts w:ascii="Franklin Gothic Book" w:hAnsi="Franklin Gothic Book"/>
                <w:vertAlign w:val="superscript"/>
              </w:rPr>
              <w:t>a</w:t>
            </w:r>
          </w:p>
        </w:tc>
        <w:tc>
          <w:tcPr>
            <w:tcW w:w="2217" w:type="dxa"/>
            <w:vAlign w:val="center"/>
          </w:tcPr>
          <w:p w14:paraId="01432723" w14:textId="77777777" w:rsidR="007303EE" w:rsidRPr="00797379" w:rsidRDefault="007303EE" w:rsidP="00C41AD6">
            <w:pPr>
              <w:pStyle w:val="TableTextCentered"/>
              <w:keepNext/>
              <w:keepLines/>
            </w:pPr>
            <w:r w:rsidRPr="00797379">
              <w:t>$9,753,079</w:t>
            </w:r>
          </w:p>
        </w:tc>
        <w:tc>
          <w:tcPr>
            <w:tcW w:w="2217" w:type="dxa"/>
            <w:vAlign w:val="center"/>
          </w:tcPr>
          <w:p w14:paraId="08411FD1" w14:textId="77777777" w:rsidR="007303EE" w:rsidRPr="00797379" w:rsidRDefault="007303EE" w:rsidP="00C41AD6">
            <w:pPr>
              <w:pStyle w:val="TableTextCentered"/>
              <w:keepNext/>
              <w:keepLines/>
            </w:pPr>
            <w:r w:rsidRPr="00797379">
              <w:t>$10,016,359</w:t>
            </w:r>
          </w:p>
        </w:tc>
        <w:tc>
          <w:tcPr>
            <w:tcW w:w="2218" w:type="dxa"/>
            <w:vAlign w:val="center"/>
          </w:tcPr>
          <w:p w14:paraId="456E4DF3" w14:textId="77777777" w:rsidR="007303EE" w:rsidRPr="00797379" w:rsidRDefault="007303EE" w:rsidP="00C41AD6">
            <w:pPr>
              <w:pStyle w:val="TableTextCentered"/>
              <w:keepNext/>
              <w:keepLines/>
            </w:pPr>
            <w:r w:rsidRPr="00797379">
              <w:t>$10,277,119</w:t>
            </w:r>
          </w:p>
        </w:tc>
      </w:tr>
      <w:tr w:rsidR="007303EE" w:rsidRPr="00797379" w14:paraId="39EF0830" w14:textId="77777777" w:rsidTr="001916FA">
        <w:tc>
          <w:tcPr>
            <w:tcW w:w="2692" w:type="dxa"/>
          </w:tcPr>
          <w:p w14:paraId="2ECC48C4" w14:textId="77777777" w:rsidR="007303EE" w:rsidRPr="001916FA" w:rsidRDefault="007303EE" w:rsidP="00C41AD6">
            <w:pPr>
              <w:pStyle w:val="TableSubheading"/>
              <w:keepNext/>
              <w:keepLines/>
              <w:rPr>
                <w:rFonts w:ascii="Franklin Gothic Book" w:hAnsi="Franklin Gothic Book"/>
              </w:rPr>
            </w:pPr>
            <w:r w:rsidRPr="001916FA">
              <w:rPr>
                <w:rFonts w:ascii="Franklin Gothic Book" w:hAnsi="Franklin Gothic Book"/>
              </w:rPr>
              <w:t>Required local contribution</w:t>
            </w:r>
          </w:p>
        </w:tc>
        <w:tc>
          <w:tcPr>
            <w:tcW w:w="2217" w:type="dxa"/>
            <w:vAlign w:val="center"/>
          </w:tcPr>
          <w:p w14:paraId="6E105AE5" w14:textId="77777777" w:rsidR="007303EE" w:rsidRPr="00797379" w:rsidRDefault="007303EE" w:rsidP="00C41AD6">
            <w:pPr>
              <w:pStyle w:val="TableTextCentered"/>
              <w:keepNext/>
              <w:keepLines/>
            </w:pPr>
            <w:r w:rsidRPr="00797379">
              <w:t>$40,943,308</w:t>
            </w:r>
          </w:p>
        </w:tc>
        <w:tc>
          <w:tcPr>
            <w:tcW w:w="2217" w:type="dxa"/>
            <w:vAlign w:val="center"/>
          </w:tcPr>
          <w:p w14:paraId="047BFF47" w14:textId="77777777" w:rsidR="007303EE" w:rsidRPr="00797379" w:rsidRDefault="007303EE" w:rsidP="00C41AD6">
            <w:pPr>
              <w:pStyle w:val="TableTextCentered"/>
              <w:keepNext/>
              <w:keepLines/>
            </w:pPr>
            <w:r w:rsidRPr="00797379">
              <w:t>$42,158,204</w:t>
            </w:r>
          </w:p>
        </w:tc>
        <w:tc>
          <w:tcPr>
            <w:tcW w:w="2218" w:type="dxa"/>
            <w:vAlign w:val="center"/>
          </w:tcPr>
          <w:p w14:paraId="23FCF27A" w14:textId="77777777" w:rsidR="007303EE" w:rsidRPr="00797379" w:rsidRDefault="007303EE" w:rsidP="00C41AD6">
            <w:pPr>
              <w:pStyle w:val="TableTextCentered"/>
              <w:keepNext/>
              <w:keepLines/>
            </w:pPr>
            <w:r w:rsidRPr="00797379">
              <w:t>$43,974,784</w:t>
            </w:r>
          </w:p>
        </w:tc>
      </w:tr>
      <w:tr w:rsidR="007303EE" w:rsidRPr="00797379" w14:paraId="3C4A7912" w14:textId="77777777" w:rsidTr="001916FA">
        <w:trPr>
          <w:cnfStyle w:val="000000100000" w:firstRow="0" w:lastRow="0" w:firstColumn="0" w:lastColumn="0" w:oddVBand="0" w:evenVBand="0" w:oddHBand="1" w:evenHBand="0" w:firstRowFirstColumn="0" w:firstRowLastColumn="0" w:lastRowFirstColumn="0" w:lastRowLastColumn="0"/>
        </w:trPr>
        <w:tc>
          <w:tcPr>
            <w:tcW w:w="2692" w:type="dxa"/>
          </w:tcPr>
          <w:p w14:paraId="2219F96C" w14:textId="77777777" w:rsidR="007303EE" w:rsidRPr="001916FA" w:rsidRDefault="007303EE" w:rsidP="00C41AD6">
            <w:pPr>
              <w:pStyle w:val="TableSubheading"/>
              <w:keepNext/>
              <w:keepLines/>
              <w:rPr>
                <w:rFonts w:ascii="Franklin Gothic Book" w:hAnsi="Franklin Gothic Book"/>
              </w:rPr>
            </w:pPr>
            <w:r w:rsidRPr="001916FA">
              <w:rPr>
                <w:rFonts w:ascii="Franklin Gothic Book" w:hAnsi="Franklin Gothic Book"/>
              </w:rPr>
              <w:t>Required net school spending</w:t>
            </w:r>
            <w:r w:rsidRPr="001916FA">
              <w:rPr>
                <w:rFonts w:ascii="Franklin Gothic Book" w:hAnsi="Franklin Gothic Book"/>
                <w:vertAlign w:val="superscript"/>
              </w:rPr>
              <w:t>b</w:t>
            </w:r>
          </w:p>
        </w:tc>
        <w:tc>
          <w:tcPr>
            <w:tcW w:w="2217" w:type="dxa"/>
            <w:vAlign w:val="center"/>
          </w:tcPr>
          <w:p w14:paraId="598271DC" w14:textId="77777777" w:rsidR="007303EE" w:rsidRPr="00797379" w:rsidRDefault="007303EE" w:rsidP="00C41AD6">
            <w:pPr>
              <w:pStyle w:val="TableTextCentered"/>
              <w:keepNext/>
              <w:keepLines/>
            </w:pPr>
            <w:r w:rsidRPr="00797379">
              <w:t>$50,696,387</w:t>
            </w:r>
          </w:p>
        </w:tc>
        <w:tc>
          <w:tcPr>
            <w:tcW w:w="2217" w:type="dxa"/>
            <w:vAlign w:val="center"/>
          </w:tcPr>
          <w:p w14:paraId="7C56E5A7" w14:textId="77777777" w:rsidR="007303EE" w:rsidRPr="00797379" w:rsidRDefault="007303EE" w:rsidP="00C41AD6">
            <w:pPr>
              <w:pStyle w:val="TableTextCentered"/>
              <w:keepNext/>
              <w:keepLines/>
            </w:pPr>
            <w:r w:rsidRPr="00797379">
              <w:t>$52,174,563</w:t>
            </w:r>
          </w:p>
        </w:tc>
        <w:tc>
          <w:tcPr>
            <w:tcW w:w="2218" w:type="dxa"/>
            <w:vAlign w:val="center"/>
          </w:tcPr>
          <w:p w14:paraId="2CB5249D" w14:textId="77777777" w:rsidR="007303EE" w:rsidRPr="00797379" w:rsidRDefault="007303EE" w:rsidP="00C41AD6">
            <w:pPr>
              <w:pStyle w:val="TableTextCentered"/>
              <w:keepNext/>
              <w:keepLines/>
            </w:pPr>
            <w:r w:rsidRPr="00797379">
              <w:t>$54,251,903</w:t>
            </w:r>
          </w:p>
        </w:tc>
      </w:tr>
      <w:tr w:rsidR="007303EE" w:rsidRPr="00797379" w14:paraId="02BD4B25" w14:textId="77777777" w:rsidTr="001916FA">
        <w:tc>
          <w:tcPr>
            <w:tcW w:w="2692" w:type="dxa"/>
          </w:tcPr>
          <w:p w14:paraId="10137FCF" w14:textId="77777777" w:rsidR="007303EE" w:rsidRPr="001916FA" w:rsidRDefault="007303EE" w:rsidP="00C41AD6">
            <w:pPr>
              <w:pStyle w:val="TableSubheading"/>
              <w:rPr>
                <w:rFonts w:ascii="Franklin Gothic Book" w:hAnsi="Franklin Gothic Book"/>
              </w:rPr>
            </w:pPr>
            <w:r w:rsidRPr="001916FA">
              <w:rPr>
                <w:rFonts w:ascii="Franklin Gothic Book" w:hAnsi="Franklin Gothic Book"/>
              </w:rPr>
              <w:t>Actual net school spending</w:t>
            </w:r>
          </w:p>
        </w:tc>
        <w:tc>
          <w:tcPr>
            <w:tcW w:w="2217" w:type="dxa"/>
            <w:vAlign w:val="center"/>
          </w:tcPr>
          <w:p w14:paraId="571ADAA0" w14:textId="77777777" w:rsidR="007303EE" w:rsidRPr="00797379" w:rsidRDefault="007303EE" w:rsidP="00C41AD6">
            <w:pPr>
              <w:pStyle w:val="TableTextCentered"/>
            </w:pPr>
            <w:r w:rsidRPr="00797379">
              <w:t>$71,616,120</w:t>
            </w:r>
          </w:p>
        </w:tc>
        <w:tc>
          <w:tcPr>
            <w:tcW w:w="2217" w:type="dxa"/>
            <w:vAlign w:val="center"/>
          </w:tcPr>
          <w:p w14:paraId="3C420F55" w14:textId="77777777" w:rsidR="007303EE" w:rsidRPr="00797379" w:rsidRDefault="007303EE" w:rsidP="00C41AD6">
            <w:pPr>
              <w:pStyle w:val="TableTextCentered"/>
            </w:pPr>
            <w:r w:rsidRPr="00797379">
              <w:t>$73,988,397</w:t>
            </w:r>
          </w:p>
        </w:tc>
        <w:tc>
          <w:tcPr>
            <w:tcW w:w="2218" w:type="dxa"/>
            <w:vAlign w:val="center"/>
          </w:tcPr>
          <w:p w14:paraId="4D52F63C" w14:textId="77777777" w:rsidR="007303EE" w:rsidRPr="00797379" w:rsidRDefault="007303EE" w:rsidP="00C41AD6">
            <w:pPr>
              <w:pStyle w:val="TableTextCentered"/>
            </w:pPr>
            <w:r w:rsidRPr="00797379">
              <w:t>$77,311,231</w:t>
            </w:r>
          </w:p>
        </w:tc>
      </w:tr>
      <w:tr w:rsidR="007303EE" w:rsidRPr="00797379" w14:paraId="1ACA5AF5" w14:textId="77777777" w:rsidTr="001916FA">
        <w:trPr>
          <w:cnfStyle w:val="000000100000" w:firstRow="0" w:lastRow="0" w:firstColumn="0" w:lastColumn="0" w:oddVBand="0" w:evenVBand="0" w:oddHBand="1" w:evenHBand="0" w:firstRowFirstColumn="0" w:firstRowLastColumn="0" w:lastRowFirstColumn="0" w:lastRowLastColumn="0"/>
          <w:trHeight w:val="65"/>
        </w:trPr>
        <w:tc>
          <w:tcPr>
            <w:tcW w:w="2692" w:type="dxa"/>
          </w:tcPr>
          <w:p w14:paraId="32F87AC5" w14:textId="77777777" w:rsidR="007303EE" w:rsidRPr="001916FA" w:rsidRDefault="007303EE" w:rsidP="00C41AD6">
            <w:pPr>
              <w:pStyle w:val="TableSubheading"/>
              <w:rPr>
                <w:rFonts w:ascii="Franklin Gothic Book" w:hAnsi="Franklin Gothic Book"/>
              </w:rPr>
            </w:pPr>
            <w:r w:rsidRPr="001916FA">
              <w:rPr>
                <w:rFonts w:ascii="Franklin Gothic Book" w:hAnsi="Franklin Gothic Book"/>
              </w:rPr>
              <w:t>Over/under required ($)</w:t>
            </w:r>
          </w:p>
        </w:tc>
        <w:tc>
          <w:tcPr>
            <w:tcW w:w="2217" w:type="dxa"/>
            <w:vAlign w:val="center"/>
          </w:tcPr>
          <w:p w14:paraId="018AB77B" w14:textId="77777777" w:rsidR="007303EE" w:rsidRPr="00797379" w:rsidRDefault="007303EE" w:rsidP="00C41AD6">
            <w:pPr>
              <w:pStyle w:val="TableTextCentered"/>
            </w:pPr>
            <w:r w:rsidRPr="00797379">
              <w:t>$20,919,733</w:t>
            </w:r>
          </w:p>
        </w:tc>
        <w:tc>
          <w:tcPr>
            <w:tcW w:w="2217" w:type="dxa"/>
            <w:vAlign w:val="center"/>
          </w:tcPr>
          <w:p w14:paraId="41ADA0FB" w14:textId="77777777" w:rsidR="007303EE" w:rsidRPr="00797379" w:rsidRDefault="007303EE" w:rsidP="00C41AD6">
            <w:pPr>
              <w:pStyle w:val="TableTextCentered"/>
            </w:pPr>
            <w:r w:rsidRPr="00797379">
              <w:t>$21,813,834</w:t>
            </w:r>
          </w:p>
        </w:tc>
        <w:tc>
          <w:tcPr>
            <w:tcW w:w="2218" w:type="dxa"/>
            <w:vAlign w:val="center"/>
          </w:tcPr>
          <w:p w14:paraId="3D0598F9" w14:textId="77777777" w:rsidR="007303EE" w:rsidRPr="00797379" w:rsidRDefault="007303EE" w:rsidP="00C41AD6">
            <w:pPr>
              <w:pStyle w:val="TableTextCentered"/>
            </w:pPr>
            <w:r w:rsidRPr="00797379">
              <w:t>$23,059,328</w:t>
            </w:r>
          </w:p>
        </w:tc>
      </w:tr>
      <w:tr w:rsidR="007303EE" w:rsidRPr="00797379" w14:paraId="2F6B2889" w14:textId="77777777" w:rsidTr="001916FA">
        <w:tc>
          <w:tcPr>
            <w:tcW w:w="2692" w:type="dxa"/>
          </w:tcPr>
          <w:p w14:paraId="60101BF4" w14:textId="77777777" w:rsidR="007303EE" w:rsidRPr="001916FA" w:rsidRDefault="007303EE" w:rsidP="00C41AD6">
            <w:pPr>
              <w:pStyle w:val="TableSubheading"/>
              <w:rPr>
                <w:rFonts w:ascii="Franklin Gothic Book" w:hAnsi="Franklin Gothic Book"/>
              </w:rPr>
            </w:pPr>
            <w:r w:rsidRPr="001916FA">
              <w:rPr>
                <w:rFonts w:ascii="Franklin Gothic Book" w:hAnsi="Franklin Gothic Book"/>
              </w:rPr>
              <w:t>Over/under required (%)</w:t>
            </w:r>
          </w:p>
        </w:tc>
        <w:tc>
          <w:tcPr>
            <w:tcW w:w="2217" w:type="dxa"/>
            <w:vAlign w:val="center"/>
          </w:tcPr>
          <w:p w14:paraId="650D4D42" w14:textId="77777777" w:rsidR="007303EE" w:rsidRPr="00797379" w:rsidRDefault="007303EE" w:rsidP="00C41AD6">
            <w:pPr>
              <w:pStyle w:val="TableTextCentered"/>
            </w:pPr>
            <w:r w:rsidRPr="00797379">
              <w:t>41.3%</w:t>
            </w:r>
          </w:p>
        </w:tc>
        <w:tc>
          <w:tcPr>
            <w:tcW w:w="2217" w:type="dxa"/>
            <w:vAlign w:val="center"/>
          </w:tcPr>
          <w:p w14:paraId="4A59D337" w14:textId="77777777" w:rsidR="007303EE" w:rsidRPr="00797379" w:rsidRDefault="007303EE" w:rsidP="00C41AD6">
            <w:pPr>
              <w:pStyle w:val="TableTextCentered"/>
            </w:pPr>
            <w:r w:rsidRPr="00797379">
              <w:t>41.8%</w:t>
            </w:r>
          </w:p>
        </w:tc>
        <w:tc>
          <w:tcPr>
            <w:tcW w:w="2218" w:type="dxa"/>
            <w:vAlign w:val="center"/>
          </w:tcPr>
          <w:p w14:paraId="7308B095" w14:textId="77777777" w:rsidR="007303EE" w:rsidRPr="00797379" w:rsidRDefault="007303EE" w:rsidP="00C41AD6">
            <w:pPr>
              <w:pStyle w:val="TableTextCentered"/>
            </w:pPr>
            <w:r w:rsidRPr="00797379">
              <w:t>42.5%</w:t>
            </w:r>
          </w:p>
        </w:tc>
      </w:tr>
    </w:tbl>
    <w:p w14:paraId="3CFED288" w14:textId="77777777" w:rsidR="007303EE" w:rsidRPr="00797379" w:rsidRDefault="007303EE" w:rsidP="006C2038">
      <w:pPr>
        <w:pStyle w:val="TableNote"/>
      </w:pPr>
      <w:r w:rsidRPr="00797379">
        <w:rPr>
          <w:i/>
          <w:iCs/>
        </w:rPr>
        <w:t>Note</w:t>
      </w:r>
      <w:r w:rsidRPr="00797379">
        <w:t>. Chapter 70 aid to education from Chapter 70 District Profiles sourced from</w:t>
      </w:r>
      <w:r w:rsidRPr="00797379">
        <w:rPr>
          <w:rFonts w:eastAsiaTheme="minorHAnsi" w:cstheme="minorBidi"/>
          <w:sz w:val="22"/>
          <w:szCs w:val="22"/>
        </w:rPr>
        <w:t xml:space="preserve"> </w:t>
      </w:r>
      <w:hyperlink r:id="rId67" w:history="1">
        <w:r w:rsidRPr="00797379">
          <w:rPr>
            <w:rStyle w:val="Hyperlink"/>
          </w:rPr>
          <w:t>Chapter 70 Program - School Finance</w:t>
        </w:r>
      </w:hyperlink>
      <w:r w:rsidRPr="00797379">
        <w:t xml:space="preserve"> last updated April 11, 2025.</w:t>
      </w:r>
    </w:p>
    <w:p w14:paraId="1393549A" w14:textId="77777777" w:rsidR="006C2038" w:rsidRPr="00797379" w:rsidRDefault="007303EE" w:rsidP="006C2038">
      <w:pPr>
        <w:pStyle w:val="TableNote"/>
      </w:pPr>
      <w:r w:rsidRPr="00797379">
        <w:rPr>
          <w:vertAlign w:val="superscript"/>
        </w:rPr>
        <w:t xml:space="preserve">a </w:t>
      </w:r>
      <w:r w:rsidRPr="00797379">
        <w:t>Chapter 70 state aid funds are deposited in the local general fund and spent as local appropriations.</w:t>
      </w:r>
    </w:p>
    <w:p w14:paraId="16DF7F2E" w14:textId="41F5F3B6" w:rsidR="007303EE" w:rsidRPr="00797379" w:rsidRDefault="007303EE" w:rsidP="006C2038">
      <w:pPr>
        <w:pStyle w:val="TableNote"/>
      </w:pPr>
      <w:r w:rsidRPr="00797379">
        <w:rPr>
          <w:vertAlign w:val="superscript"/>
        </w:rPr>
        <w:t xml:space="preserve">b </w:t>
      </w:r>
      <w:r w:rsidRPr="00797379">
        <w:t>Required net school spending is the total of Chapter 70 aid and required local contribution. Net school spending includes only expenditures from local appropriations, not revolving funds, and grants. It includes expenditures for most administration, instruction, operations, and out-of-district tuitions. It does not include transportation, school lunches, debt, or capital.</w:t>
      </w:r>
    </w:p>
    <w:p w14:paraId="116D2D33" w14:textId="77777777" w:rsidR="007303EE" w:rsidRPr="00797379" w:rsidRDefault="007303EE" w:rsidP="006C2038">
      <w:pPr>
        <w:pStyle w:val="TableTitle0"/>
      </w:pPr>
      <w:bookmarkStart w:id="233" w:name="_Toc220932440"/>
      <w:r w:rsidRPr="00797379">
        <w:t>Table D6. Expenditures Per In-District Pupil, Fiscal Years 2022-2024</w:t>
      </w:r>
      <w:bookmarkEnd w:id="233"/>
    </w:p>
    <w:tbl>
      <w:tblPr>
        <w:tblStyle w:val="MSVTable1"/>
        <w:tblW w:w="5000" w:type="pct"/>
        <w:tblLayout w:type="fixed"/>
        <w:tblLook w:val="0420" w:firstRow="1" w:lastRow="0" w:firstColumn="0" w:lastColumn="0" w:noHBand="0" w:noVBand="1"/>
      </w:tblPr>
      <w:tblGrid>
        <w:gridCol w:w="5246"/>
        <w:gridCol w:w="1366"/>
        <w:gridCol w:w="1366"/>
        <w:gridCol w:w="1366"/>
      </w:tblGrid>
      <w:tr w:rsidR="007303EE" w:rsidRPr="00797379" w14:paraId="2AEED5CE" w14:textId="77777777" w:rsidTr="00C41AD6">
        <w:trPr>
          <w:cnfStyle w:val="100000000000" w:firstRow="1" w:lastRow="0" w:firstColumn="0" w:lastColumn="0" w:oddVBand="0" w:evenVBand="0" w:oddHBand="0" w:evenHBand="0" w:firstRowFirstColumn="0" w:firstRowLastColumn="0" w:lastRowFirstColumn="0" w:lastRowLastColumn="0"/>
          <w:tblHeader/>
        </w:trPr>
        <w:tc>
          <w:tcPr>
            <w:tcW w:w="5246" w:type="dxa"/>
          </w:tcPr>
          <w:p w14:paraId="246BAD69" w14:textId="77777777" w:rsidR="007303EE" w:rsidRPr="00797379" w:rsidRDefault="007303EE" w:rsidP="00C41AD6">
            <w:pPr>
              <w:pStyle w:val="TableColHeadingCenter"/>
            </w:pPr>
            <w:r w:rsidRPr="00797379">
              <w:t>Expenditure category</w:t>
            </w:r>
          </w:p>
        </w:tc>
        <w:tc>
          <w:tcPr>
            <w:tcW w:w="1366" w:type="dxa"/>
          </w:tcPr>
          <w:p w14:paraId="51E84B3E" w14:textId="77777777" w:rsidR="007303EE" w:rsidRPr="00797379" w:rsidRDefault="007303EE" w:rsidP="00C41AD6">
            <w:pPr>
              <w:pStyle w:val="TableColHeadingCenter"/>
            </w:pPr>
            <w:r w:rsidRPr="00797379">
              <w:t>FY 2022</w:t>
            </w:r>
          </w:p>
        </w:tc>
        <w:tc>
          <w:tcPr>
            <w:tcW w:w="1366" w:type="dxa"/>
          </w:tcPr>
          <w:p w14:paraId="579B68E8" w14:textId="77777777" w:rsidR="007303EE" w:rsidRPr="00797379" w:rsidRDefault="007303EE" w:rsidP="00C41AD6">
            <w:pPr>
              <w:pStyle w:val="TableColHeadingCenter"/>
            </w:pPr>
            <w:r w:rsidRPr="00797379">
              <w:t>FY 2023</w:t>
            </w:r>
          </w:p>
        </w:tc>
        <w:tc>
          <w:tcPr>
            <w:tcW w:w="1366" w:type="dxa"/>
          </w:tcPr>
          <w:p w14:paraId="00146EE4" w14:textId="77777777" w:rsidR="007303EE" w:rsidRPr="00797379" w:rsidRDefault="007303EE" w:rsidP="00C41AD6">
            <w:pPr>
              <w:pStyle w:val="TableColHeadingCenter"/>
            </w:pPr>
            <w:r w:rsidRPr="00797379">
              <w:t>FY 2024</w:t>
            </w:r>
          </w:p>
        </w:tc>
      </w:tr>
      <w:tr w:rsidR="007303EE" w:rsidRPr="00797379" w14:paraId="1BA20840" w14:textId="77777777" w:rsidTr="00C41AD6">
        <w:trPr>
          <w:cnfStyle w:val="000000100000" w:firstRow="0" w:lastRow="0" w:firstColumn="0" w:lastColumn="0" w:oddVBand="0" w:evenVBand="0" w:oddHBand="1" w:evenHBand="0" w:firstRowFirstColumn="0" w:firstRowLastColumn="0" w:lastRowFirstColumn="0" w:lastRowLastColumn="0"/>
        </w:trPr>
        <w:tc>
          <w:tcPr>
            <w:tcW w:w="5246" w:type="dxa"/>
          </w:tcPr>
          <w:p w14:paraId="278D036D" w14:textId="77777777" w:rsidR="007303EE" w:rsidRPr="001916FA" w:rsidRDefault="007303EE" w:rsidP="00C41AD6">
            <w:pPr>
              <w:pStyle w:val="TableSubheading"/>
              <w:rPr>
                <w:rFonts w:ascii="Franklin Gothic Book" w:hAnsi="Franklin Gothic Book"/>
              </w:rPr>
            </w:pPr>
            <w:r w:rsidRPr="001916FA">
              <w:rPr>
                <w:rFonts w:ascii="Franklin Gothic Book" w:hAnsi="Franklin Gothic Book"/>
              </w:rPr>
              <w:t>Administration</w:t>
            </w:r>
          </w:p>
        </w:tc>
        <w:tc>
          <w:tcPr>
            <w:tcW w:w="1366" w:type="dxa"/>
          </w:tcPr>
          <w:p w14:paraId="67C92790" w14:textId="77777777" w:rsidR="007303EE" w:rsidRPr="00797379" w:rsidRDefault="007303EE" w:rsidP="00C41AD6">
            <w:pPr>
              <w:pStyle w:val="TableTextCentered"/>
            </w:pPr>
            <w:r w:rsidRPr="00797379">
              <w:t>$690</w:t>
            </w:r>
          </w:p>
        </w:tc>
        <w:tc>
          <w:tcPr>
            <w:tcW w:w="1366" w:type="dxa"/>
          </w:tcPr>
          <w:p w14:paraId="2AFFBDA5" w14:textId="77777777" w:rsidR="007303EE" w:rsidRPr="00797379" w:rsidRDefault="007303EE" w:rsidP="00C41AD6">
            <w:pPr>
              <w:pStyle w:val="TableTextCentered"/>
            </w:pPr>
            <w:r w:rsidRPr="00797379">
              <w:t>$836</w:t>
            </w:r>
          </w:p>
        </w:tc>
        <w:tc>
          <w:tcPr>
            <w:tcW w:w="1366" w:type="dxa"/>
          </w:tcPr>
          <w:p w14:paraId="301B1FDC" w14:textId="77777777" w:rsidR="007303EE" w:rsidRPr="00797379" w:rsidRDefault="007303EE" w:rsidP="00C41AD6">
            <w:pPr>
              <w:pStyle w:val="TableTextCentered"/>
            </w:pPr>
            <w:r w:rsidRPr="00797379">
              <w:t>$726</w:t>
            </w:r>
          </w:p>
        </w:tc>
      </w:tr>
      <w:tr w:rsidR="007303EE" w:rsidRPr="00797379" w14:paraId="5E7CBC28" w14:textId="77777777" w:rsidTr="00C41AD6">
        <w:tc>
          <w:tcPr>
            <w:tcW w:w="5246" w:type="dxa"/>
          </w:tcPr>
          <w:p w14:paraId="3223441C" w14:textId="77777777" w:rsidR="007303EE" w:rsidRPr="001916FA" w:rsidRDefault="007303EE" w:rsidP="00C41AD6">
            <w:pPr>
              <w:pStyle w:val="TableSubheading"/>
              <w:rPr>
                <w:rFonts w:ascii="Franklin Gothic Book" w:hAnsi="Franklin Gothic Book"/>
              </w:rPr>
            </w:pPr>
            <w:r w:rsidRPr="001916FA">
              <w:rPr>
                <w:rFonts w:ascii="Franklin Gothic Book" w:hAnsi="Franklin Gothic Book"/>
              </w:rPr>
              <w:t>Instructional leadership (district and school)</w:t>
            </w:r>
          </w:p>
        </w:tc>
        <w:tc>
          <w:tcPr>
            <w:tcW w:w="1366" w:type="dxa"/>
          </w:tcPr>
          <w:p w14:paraId="0DF8BD3E" w14:textId="77777777" w:rsidR="007303EE" w:rsidRPr="00797379" w:rsidRDefault="007303EE" w:rsidP="00C41AD6">
            <w:pPr>
              <w:pStyle w:val="TableTextCentered"/>
            </w:pPr>
            <w:r w:rsidRPr="00797379">
              <w:t>$1,264</w:t>
            </w:r>
          </w:p>
        </w:tc>
        <w:tc>
          <w:tcPr>
            <w:tcW w:w="1366" w:type="dxa"/>
          </w:tcPr>
          <w:p w14:paraId="1A80A98D" w14:textId="77777777" w:rsidR="007303EE" w:rsidRPr="00797379" w:rsidRDefault="007303EE" w:rsidP="00C41AD6">
            <w:pPr>
              <w:pStyle w:val="TableTextCentered"/>
            </w:pPr>
            <w:r w:rsidRPr="00797379">
              <w:t>$1,407</w:t>
            </w:r>
          </w:p>
        </w:tc>
        <w:tc>
          <w:tcPr>
            <w:tcW w:w="1366" w:type="dxa"/>
          </w:tcPr>
          <w:p w14:paraId="54F53846" w14:textId="77777777" w:rsidR="007303EE" w:rsidRPr="00797379" w:rsidRDefault="007303EE" w:rsidP="00C41AD6">
            <w:pPr>
              <w:pStyle w:val="TableTextCentered"/>
            </w:pPr>
            <w:r w:rsidRPr="00797379">
              <w:t>$1,451</w:t>
            </w:r>
          </w:p>
        </w:tc>
      </w:tr>
      <w:tr w:rsidR="007303EE" w:rsidRPr="00797379" w14:paraId="206241AF" w14:textId="77777777" w:rsidTr="00C41AD6">
        <w:trPr>
          <w:cnfStyle w:val="000000100000" w:firstRow="0" w:lastRow="0" w:firstColumn="0" w:lastColumn="0" w:oddVBand="0" w:evenVBand="0" w:oddHBand="1" w:evenHBand="0" w:firstRowFirstColumn="0" w:firstRowLastColumn="0" w:lastRowFirstColumn="0" w:lastRowLastColumn="0"/>
        </w:trPr>
        <w:tc>
          <w:tcPr>
            <w:tcW w:w="5246" w:type="dxa"/>
          </w:tcPr>
          <w:p w14:paraId="724B257E" w14:textId="77777777" w:rsidR="007303EE" w:rsidRPr="001916FA" w:rsidRDefault="007303EE" w:rsidP="00C41AD6">
            <w:pPr>
              <w:pStyle w:val="TableSubheading"/>
              <w:rPr>
                <w:rFonts w:ascii="Franklin Gothic Book" w:hAnsi="Franklin Gothic Book"/>
              </w:rPr>
            </w:pPr>
            <w:r w:rsidRPr="001916FA">
              <w:rPr>
                <w:rFonts w:ascii="Franklin Gothic Book" w:hAnsi="Franklin Gothic Book"/>
              </w:rPr>
              <w:t>Teachers</w:t>
            </w:r>
          </w:p>
        </w:tc>
        <w:tc>
          <w:tcPr>
            <w:tcW w:w="1366" w:type="dxa"/>
          </w:tcPr>
          <w:p w14:paraId="47EA403E" w14:textId="77777777" w:rsidR="007303EE" w:rsidRPr="00797379" w:rsidRDefault="007303EE" w:rsidP="00C41AD6">
            <w:pPr>
              <w:pStyle w:val="TableTextCentered"/>
            </w:pPr>
            <w:r w:rsidRPr="00797379">
              <w:t>$7,434</w:t>
            </w:r>
          </w:p>
        </w:tc>
        <w:tc>
          <w:tcPr>
            <w:tcW w:w="1366" w:type="dxa"/>
          </w:tcPr>
          <w:p w14:paraId="00AF72E7" w14:textId="77777777" w:rsidR="007303EE" w:rsidRPr="00797379" w:rsidRDefault="007303EE" w:rsidP="00C41AD6">
            <w:pPr>
              <w:pStyle w:val="TableTextCentered"/>
            </w:pPr>
            <w:r w:rsidRPr="00797379">
              <w:t>$7,909</w:t>
            </w:r>
          </w:p>
        </w:tc>
        <w:tc>
          <w:tcPr>
            <w:tcW w:w="1366" w:type="dxa"/>
          </w:tcPr>
          <w:p w14:paraId="65D7BC5E" w14:textId="77777777" w:rsidR="007303EE" w:rsidRPr="00797379" w:rsidRDefault="007303EE" w:rsidP="00C41AD6">
            <w:pPr>
              <w:pStyle w:val="TableTextCentered"/>
            </w:pPr>
            <w:r w:rsidRPr="00797379">
              <w:t>$8,207</w:t>
            </w:r>
          </w:p>
        </w:tc>
      </w:tr>
      <w:tr w:rsidR="007303EE" w:rsidRPr="00797379" w14:paraId="505AB25B" w14:textId="77777777" w:rsidTr="00C41AD6">
        <w:tc>
          <w:tcPr>
            <w:tcW w:w="5246" w:type="dxa"/>
          </w:tcPr>
          <w:p w14:paraId="747EAC37" w14:textId="77777777" w:rsidR="007303EE" w:rsidRPr="001916FA" w:rsidDel="00DB21D5" w:rsidRDefault="007303EE" w:rsidP="00C41AD6">
            <w:pPr>
              <w:pStyle w:val="TableSubheading"/>
              <w:rPr>
                <w:rFonts w:ascii="Franklin Gothic Book" w:hAnsi="Franklin Gothic Book"/>
              </w:rPr>
            </w:pPr>
            <w:r w:rsidRPr="001916FA">
              <w:rPr>
                <w:rFonts w:ascii="Franklin Gothic Book" w:hAnsi="Franklin Gothic Book"/>
              </w:rPr>
              <w:t>Other teaching services</w:t>
            </w:r>
          </w:p>
        </w:tc>
        <w:tc>
          <w:tcPr>
            <w:tcW w:w="1366" w:type="dxa"/>
          </w:tcPr>
          <w:p w14:paraId="3AA1AB6C" w14:textId="77777777" w:rsidR="007303EE" w:rsidRPr="00797379" w:rsidRDefault="007303EE" w:rsidP="00C41AD6">
            <w:pPr>
              <w:pStyle w:val="TableTextCentered"/>
            </w:pPr>
            <w:r w:rsidRPr="00797379">
              <w:t>$1,422</w:t>
            </w:r>
          </w:p>
        </w:tc>
        <w:tc>
          <w:tcPr>
            <w:tcW w:w="1366" w:type="dxa"/>
          </w:tcPr>
          <w:p w14:paraId="673A285F" w14:textId="77777777" w:rsidR="007303EE" w:rsidRPr="00797379" w:rsidRDefault="007303EE" w:rsidP="00C41AD6">
            <w:pPr>
              <w:pStyle w:val="TableTextCentered"/>
            </w:pPr>
            <w:r w:rsidRPr="00797379">
              <w:t>$1,427</w:t>
            </w:r>
          </w:p>
        </w:tc>
        <w:tc>
          <w:tcPr>
            <w:tcW w:w="1366" w:type="dxa"/>
          </w:tcPr>
          <w:p w14:paraId="3D2BB20F" w14:textId="77777777" w:rsidR="007303EE" w:rsidRPr="00797379" w:rsidRDefault="007303EE" w:rsidP="00C41AD6">
            <w:pPr>
              <w:pStyle w:val="TableTextCentered"/>
            </w:pPr>
            <w:r w:rsidRPr="00797379">
              <w:t>$1,584</w:t>
            </w:r>
          </w:p>
        </w:tc>
      </w:tr>
      <w:tr w:rsidR="007303EE" w:rsidRPr="00797379" w14:paraId="04D207A9" w14:textId="77777777" w:rsidTr="00C41AD6">
        <w:trPr>
          <w:cnfStyle w:val="000000100000" w:firstRow="0" w:lastRow="0" w:firstColumn="0" w:lastColumn="0" w:oddVBand="0" w:evenVBand="0" w:oddHBand="1" w:evenHBand="0" w:firstRowFirstColumn="0" w:firstRowLastColumn="0" w:lastRowFirstColumn="0" w:lastRowLastColumn="0"/>
        </w:trPr>
        <w:tc>
          <w:tcPr>
            <w:tcW w:w="5246" w:type="dxa"/>
          </w:tcPr>
          <w:p w14:paraId="42791CC8" w14:textId="77777777" w:rsidR="007303EE" w:rsidRPr="001916FA" w:rsidRDefault="007303EE" w:rsidP="00C41AD6">
            <w:pPr>
              <w:pStyle w:val="TableSubheading"/>
              <w:rPr>
                <w:rFonts w:ascii="Franklin Gothic Book" w:hAnsi="Franklin Gothic Book"/>
              </w:rPr>
            </w:pPr>
            <w:r w:rsidRPr="001916FA">
              <w:rPr>
                <w:rFonts w:ascii="Franklin Gothic Book" w:hAnsi="Franklin Gothic Book"/>
              </w:rPr>
              <w:t>Professional development</w:t>
            </w:r>
          </w:p>
        </w:tc>
        <w:tc>
          <w:tcPr>
            <w:tcW w:w="1366" w:type="dxa"/>
          </w:tcPr>
          <w:p w14:paraId="3B5208B0" w14:textId="77777777" w:rsidR="007303EE" w:rsidRPr="00797379" w:rsidRDefault="007303EE" w:rsidP="00C41AD6">
            <w:pPr>
              <w:pStyle w:val="TableTextCentered"/>
            </w:pPr>
            <w:r w:rsidRPr="00797379">
              <w:t>$106</w:t>
            </w:r>
          </w:p>
        </w:tc>
        <w:tc>
          <w:tcPr>
            <w:tcW w:w="1366" w:type="dxa"/>
          </w:tcPr>
          <w:p w14:paraId="55240E38" w14:textId="77777777" w:rsidR="007303EE" w:rsidRPr="00797379" w:rsidRDefault="007303EE" w:rsidP="00C41AD6">
            <w:pPr>
              <w:pStyle w:val="TableTextCentered"/>
            </w:pPr>
            <w:r w:rsidRPr="00797379">
              <w:t>$142</w:t>
            </w:r>
          </w:p>
        </w:tc>
        <w:tc>
          <w:tcPr>
            <w:tcW w:w="1366" w:type="dxa"/>
          </w:tcPr>
          <w:p w14:paraId="634262B8" w14:textId="77777777" w:rsidR="007303EE" w:rsidRPr="00797379" w:rsidRDefault="007303EE" w:rsidP="00C41AD6">
            <w:pPr>
              <w:pStyle w:val="TableTextCentered"/>
            </w:pPr>
            <w:r w:rsidRPr="00797379">
              <w:t>$146</w:t>
            </w:r>
          </w:p>
        </w:tc>
      </w:tr>
      <w:tr w:rsidR="007303EE" w:rsidRPr="00797379" w14:paraId="37D80ECD" w14:textId="77777777" w:rsidTr="00C41AD6">
        <w:tc>
          <w:tcPr>
            <w:tcW w:w="5246" w:type="dxa"/>
          </w:tcPr>
          <w:p w14:paraId="087C9792" w14:textId="77777777" w:rsidR="007303EE" w:rsidRPr="001916FA" w:rsidRDefault="007303EE" w:rsidP="00C41AD6">
            <w:pPr>
              <w:pStyle w:val="TableSubheading"/>
              <w:rPr>
                <w:rFonts w:ascii="Franklin Gothic Book" w:hAnsi="Franklin Gothic Book"/>
              </w:rPr>
            </w:pPr>
            <w:r w:rsidRPr="001916FA">
              <w:rPr>
                <w:rFonts w:ascii="Franklin Gothic Book" w:hAnsi="Franklin Gothic Book"/>
              </w:rPr>
              <w:t>Instructional materials, equipment, and technology</w:t>
            </w:r>
          </w:p>
        </w:tc>
        <w:tc>
          <w:tcPr>
            <w:tcW w:w="1366" w:type="dxa"/>
          </w:tcPr>
          <w:p w14:paraId="2ECF5FDB" w14:textId="77777777" w:rsidR="007303EE" w:rsidRPr="00797379" w:rsidRDefault="007303EE" w:rsidP="00C41AD6">
            <w:pPr>
              <w:pStyle w:val="TableTextCentered"/>
            </w:pPr>
            <w:r w:rsidRPr="00797379">
              <w:t>$642</w:t>
            </w:r>
          </w:p>
        </w:tc>
        <w:tc>
          <w:tcPr>
            <w:tcW w:w="1366" w:type="dxa"/>
          </w:tcPr>
          <w:p w14:paraId="649D27A7" w14:textId="77777777" w:rsidR="007303EE" w:rsidRPr="00797379" w:rsidRDefault="007303EE" w:rsidP="00C41AD6">
            <w:pPr>
              <w:pStyle w:val="TableTextCentered"/>
            </w:pPr>
            <w:r w:rsidRPr="00797379">
              <w:t>$625</w:t>
            </w:r>
          </w:p>
        </w:tc>
        <w:tc>
          <w:tcPr>
            <w:tcW w:w="1366" w:type="dxa"/>
          </w:tcPr>
          <w:p w14:paraId="7C071C5D" w14:textId="77777777" w:rsidR="007303EE" w:rsidRPr="00797379" w:rsidRDefault="007303EE" w:rsidP="00C41AD6">
            <w:pPr>
              <w:pStyle w:val="TableTextCentered"/>
            </w:pPr>
            <w:r w:rsidRPr="00797379">
              <w:t>$566</w:t>
            </w:r>
          </w:p>
        </w:tc>
      </w:tr>
      <w:tr w:rsidR="007303EE" w:rsidRPr="00797379" w14:paraId="24D155D9" w14:textId="77777777" w:rsidTr="00C41AD6">
        <w:trPr>
          <w:cnfStyle w:val="000000100000" w:firstRow="0" w:lastRow="0" w:firstColumn="0" w:lastColumn="0" w:oddVBand="0" w:evenVBand="0" w:oddHBand="1" w:evenHBand="0" w:firstRowFirstColumn="0" w:firstRowLastColumn="0" w:lastRowFirstColumn="0" w:lastRowLastColumn="0"/>
        </w:trPr>
        <w:tc>
          <w:tcPr>
            <w:tcW w:w="5246" w:type="dxa"/>
          </w:tcPr>
          <w:p w14:paraId="76BCA16A" w14:textId="77777777" w:rsidR="007303EE" w:rsidRPr="001916FA" w:rsidRDefault="007303EE" w:rsidP="00C41AD6">
            <w:pPr>
              <w:pStyle w:val="TableSubheading"/>
              <w:rPr>
                <w:rFonts w:ascii="Franklin Gothic Book" w:hAnsi="Franklin Gothic Book"/>
              </w:rPr>
            </w:pPr>
            <w:r w:rsidRPr="001916FA">
              <w:rPr>
                <w:rFonts w:ascii="Franklin Gothic Book" w:hAnsi="Franklin Gothic Book"/>
              </w:rPr>
              <w:t>Guidance, counseling, and testing services</w:t>
            </w:r>
          </w:p>
        </w:tc>
        <w:tc>
          <w:tcPr>
            <w:tcW w:w="1366" w:type="dxa"/>
          </w:tcPr>
          <w:p w14:paraId="3D8962A2" w14:textId="77777777" w:rsidR="007303EE" w:rsidRPr="00797379" w:rsidRDefault="007303EE" w:rsidP="00C41AD6">
            <w:pPr>
              <w:pStyle w:val="TableTextCentered"/>
            </w:pPr>
            <w:r w:rsidRPr="00797379">
              <w:t>$652</w:t>
            </w:r>
          </w:p>
        </w:tc>
        <w:tc>
          <w:tcPr>
            <w:tcW w:w="1366" w:type="dxa"/>
          </w:tcPr>
          <w:p w14:paraId="5A99B5E5" w14:textId="77777777" w:rsidR="007303EE" w:rsidRPr="00797379" w:rsidRDefault="007303EE" w:rsidP="00C41AD6">
            <w:pPr>
              <w:pStyle w:val="TableTextCentered"/>
            </w:pPr>
            <w:r w:rsidRPr="00797379">
              <w:t>$760</w:t>
            </w:r>
          </w:p>
        </w:tc>
        <w:tc>
          <w:tcPr>
            <w:tcW w:w="1366" w:type="dxa"/>
          </w:tcPr>
          <w:p w14:paraId="55E3F240" w14:textId="77777777" w:rsidR="007303EE" w:rsidRPr="00797379" w:rsidRDefault="007303EE" w:rsidP="00C41AD6">
            <w:pPr>
              <w:pStyle w:val="TableTextCentered"/>
            </w:pPr>
            <w:r w:rsidRPr="00797379">
              <w:t>$796</w:t>
            </w:r>
          </w:p>
        </w:tc>
      </w:tr>
      <w:tr w:rsidR="007303EE" w:rsidRPr="00797379" w14:paraId="26BDE1D9" w14:textId="77777777" w:rsidTr="00C41AD6">
        <w:tc>
          <w:tcPr>
            <w:tcW w:w="5246" w:type="dxa"/>
          </w:tcPr>
          <w:p w14:paraId="0DD71C15" w14:textId="77777777" w:rsidR="007303EE" w:rsidRPr="001916FA" w:rsidRDefault="007303EE" w:rsidP="00C41AD6">
            <w:pPr>
              <w:pStyle w:val="TableSubheading"/>
              <w:rPr>
                <w:rFonts w:ascii="Franklin Gothic Book" w:hAnsi="Franklin Gothic Book"/>
              </w:rPr>
            </w:pPr>
            <w:r w:rsidRPr="001916FA">
              <w:rPr>
                <w:rFonts w:ascii="Franklin Gothic Book" w:hAnsi="Franklin Gothic Book"/>
              </w:rPr>
              <w:t>Pupil services</w:t>
            </w:r>
          </w:p>
        </w:tc>
        <w:tc>
          <w:tcPr>
            <w:tcW w:w="1366" w:type="dxa"/>
          </w:tcPr>
          <w:p w14:paraId="105D1897" w14:textId="77777777" w:rsidR="007303EE" w:rsidRPr="00797379" w:rsidRDefault="007303EE" w:rsidP="00C41AD6">
            <w:pPr>
              <w:pStyle w:val="TableTextCentered"/>
            </w:pPr>
            <w:r w:rsidRPr="00797379">
              <w:t>$1,270</w:t>
            </w:r>
          </w:p>
        </w:tc>
        <w:tc>
          <w:tcPr>
            <w:tcW w:w="1366" w:type="dxa"/>
          </w:tcPr>
          <w:p w14:paraId="5E850CDB" w14:textId="77777777" w:rsidR="007303EE" w:rsidRPr="00797379" w:rsidRDefault="007303EE" w:rsidP="00C41AD6">
            <w:pPr>
              <w:pStyle w:val="TableTextCentered"/>
            </w:pPr>
            <w:r w:rsidRPr="00797379">
              <w:t>$1,451</w:t>
            </w:r>
          </w:p>
        </w:tc>
        <w:tc>
          <w:tcPr>
            <w:tcW w:w="1366" w:type="dxa"/>
          </w:tcPr>
          <w:p w14:paraId="314B09A6" w14:textId="77777777" w:rsidR="007303EE" w:rsidRPr="00797379" w:rsidRDefault="007303EE" w:rsidP="00C41AD6">
            <w:pPr>
              <w:pStyle w:val="TableTextCentered"/>
            </w:pPr>
            <w:r w:rsidRPr="00797379">
              <w:t>$1,624</w:t>
            </w:r>
          </w:p>
        </w:tc>
      </w:tr>
      <w:tr w:rsidR="007303EE" w:rsidRPr="00797379" w14:paraId="7E9625D6" w14:textId="77777777" w:rsidTr="00C41AD6">
        <w:trPr>
          <w:cnfStyle w:val="000000100000" w:firstRow="0" w:lastRow="0" w:firstColumn="0" w:lastColumn="0" w:oddVBand="0" w:evenVBand="0" w:oddHBand="1" w:evenHBand="0" w:firstRowFirstColumn="0" w:firstRowLastColumn="0" w:lastRowFirstColumn="0" w:lastRowLastColumn="0"/>
        </w:trPr>
        <w:tc>
          <w:tcPr>
            <w:tcW w:w="5246" w:type="dxa"/>
          </w:tcPr>
          <w:p w14:paraId="5D8E12AE" w14:textId="77777777" w:rsidR="007303EE" w:rsidRPr="001916FA" w:rsidRDefault="007303EE" w:rsidP="00C41AD6">
            <w:pPr>
              <w:pStyle w:val="TableSubheading"/>
              <w:rPr>
                <w:rFonts w:ascii="Franklin Gothic Book" w:hAnsi="Franklin Gothic Book"/>
              </w:rPr>
            </w:pPr>
            <w:r w:rsidRPr="001916FA">
              <w:rPr>
                <w:rFonts w:ascii="Franklin Gothic Book" w:hAnsi="Franklin Gothic Book"/>
              </w:rPr>
              <w:t>Operations and maintenance</w:t>
            </w:r>
          </w:p>
        </w:tc>
        <w:tc>
          <w:tcPr>
            <w:tcW w:w="1366" w:type="dxa"/>
          </w:tcPr>
          <w:p w14:paraId="2E6F76AD" w14:textId="77777777" w:rsidR="007303EE" w:rsidRPr="00797379" w:rsidRDefault="007303EE" w:rsidP="00C41AD6">
            <w:pPr>
              <w:pStyle w:val="TableTextCentered"/>
            </w:pPr>
            <w:r w:rsidRPr="00797379">
              <w:t>$1,052</w:t>
            </w:r>
          </w:p>
        </w:tc>
        <w:tc>
          <w:tcPr>
            <w:tcW w:w="1366" w:type="dxa"/>
          </w:tcPr>
          <w:p w14:paraId="0528A00C" w14:textId="77777777" w:rsidR="007303EE" w:rsidRPr="00797379" w:rsidRDefault="007303EE" w:rsidP="00C41AD6">
            <w:pPr>
              <w:pStyle w:val="TableTextCentered"/>
            </w:pPr>
            <w:r w:rsidRPr="00797379">
              <w:t>$1,079</w:t>
            </w:r>
          </w:p>
        </w:tc>
        <w:tc>
          <w:tcPr>
            <w:tcW w:w="1366" w:type="dxa"/>
          </w:tcPr>
          <w:p w14:paraId="02908DA2" w14:textId="77777777" w:rsidR="007303EE" w:rsidRPr="00797379" w:rsidRDefault="007303EE" w:rsidP="00C41AD6">
            <w:pPr>
              <w:pStyle w:val="TableTextCentered"/>
            </w:pPr>
            <w:r w:rsidRPr="00797379">
              <w:t>$1,053</w:t>
            </w:r>
          </w:p>
        </w:tc>
      </w:tr>
      <w:tr w:rsidR="007303EE" w:rsidRPr="00797379" w14:paraId="231C9D11" w14:textId="77777777" w:rsidTr="00C41AD6">
        <w:tc>
          <w:tcPr>
            <w:tcW w:w="5246" w:type="dxa"/>
          </w:tcPr>
          <w:p w14:paraId="61368677" w14:textId="77777777" w:rsidR="007303EE" w:rsidRPr="001916FA" w:rsidRDefault="007303EE" w:rsidP="00C41AD6">
            <w:pPr>
              <w:pStyle w:val="TableSubheading"/>
              <w:rPr>
                <w:rFonts w:ascii="Franklin Gothic Book" w:hAnsi="Franklin Gothic Book"/>
              </w:rPr>
            </w:pPr>
            <w:r w:rsidRPr="001916FA">
              <w:rPr>
                <w:rFonts w:ascii="Franklin Gothic Book" w:hAnsi="Franklin Gothic Book"/>
              </w:rPr>
              <w:t>Insurance, retirement, and other fixed costs</w:t>
            </w:r>
          </w:p>
        </w:tc>
        <w:tc>
          <w:tcPr>
            <w:tcW w:w="1366" w:type="dxa"/>
          </w:tcPr>
          <w:p w14:paraId="03D18097" w14:textId="77777777" w:rsidR="007303EE" w:rsidRPr="00797379" w:rsidRDefault="007303EE" w:rsidP="00C41AD6">
            <w:pPr>
              <w:pStyle w:val="TableTextCentered"/>
            </w:pPr>
            <w:r w:rsidRPr="00797379">
              <w:t>$2,488</w:t>
            </w:r>
          </w:p>
        </w:tc>
        <w:tc>
          <w:tcPr>
            <w:tcW w:w="1366" w:type="dxa"/>
          </w:tcPr>
          <w:p w14:paraId="173ECFEA" w14:textId="77777777" w:rsidR="007303EE" w:rsidRPr="00797379" w:rsidRDefault="007303EE" w:rsidP="00C41AD6">
            <w:pPr>
              <w:pStyle w:val="TableTextCentered"/>
            </w:pPr>
            <w:r w:rsidRPr="00797379">
              <w:t>$2,370</w:t>
            </w:r>
          </w:p>
        </w:tc>
        <w:tc>
          <w:tcPr>
            <w:tcW w:w="1366" w:type="dxa"/>
          </w:tcPr>
          <w:p w14:paraId="5FBAFA2E" w14:textId="77777777" w:rsidR="007303EE" w:rsidRPr="00797379" w:rsidRDefault="007303EE" w:rsidP="00C41AD6">
            <w:pPr>
              <w:pStyle w:val="TableTextCentered"/>
            </w:pPr>
            <w:r w:rsidRPr="00797379">
              <w:t>$2,573</w:t>
            </w:r>
          </w:p>
        </w:tc>
      </w:tr>
      <w:tr w:rsidR="007303EE" w:rsidRPr="00797379" w14:paraId="2080F8EB" w14:textId="77777777" w:rsidTr="00C41AD6">
        <w:trPr>
          <w:cnfStyle w:val="000000100000" w:firstRow="0" w:lastRow="0" w:firstColumn="0" w:lastColumn="0" w:oddVBand="0" w:evenVBand="0" w:oddHBand="1" w:evenHBand="0" w:firstRowFirstColumn="0" w:firstRowLastColumn="0" w:lastRowFirstColumn="0" w:lastRowLastColumn="0"/>
        </w:trPr>
        <w:tc>
          <w:tcPr>
            <w:tcW w:w="5246" w:type="dxa"/>
          </w:tcPr>
          <w:p w14:paraId="1BC24D4D" w14:textId="77777777" w:rsidR="007303EE" w:rsidRPr="001916FA" w:rsidRDefault="007303EE" w:rsidP="00C41AD6">
            <w:pPr>
              <w:pStyle w:val="TableSubheading"/>
              <w:rPr>
                <w:rFonts w:ascii="Franklin Gothic Book" w:hAnsi="Franklin Gothic Book"/>
              </w:rPr>
            </w:pPr>
            <w:r w:rsidRPr="001916FA">
              <w:rPr>
                <w:rFonts w:ascii="Franklin Gothic Book" w:hAnsi="Franklin Gothic Book"/>
              </w:rPr>
              <w:t>Total expenditures per in-district pupil</w:t>
            </w:r>
          </w:p>
        </w:tc>
        <w:tc>
          <w:tcPr>
            <w:tcW w:w="1366" w:type="dxa"/>
          </w:tcPr>
          <w:p w14:paraId="081C3853" w14:textId="77777777" w:rsidR="007303EE" w:rsidRPr="00797379" w:rsidRDefault="007303EE" w:rsidP="00C41AD6">
            <w:pPr>
              <w:pStyle w:val="TableTextCentered"/>
            </w:pPr>
            <w:r w:rsidRPr="00797379">
              <w:t>$17,022</w:t>
            </w:r>
          </w:p>
        </w:tc>
        <w:tc>
          <w:tcPr>
            <w:tcW w:w="1366" w:type="dxa"/>
          </w:tcPr>
          <w:p w14:paraId="3DA98837" w14:textId="77777777" w:rsidR="007303EE" w:rsidRPr="00797379" w:rsidRDefault="007303EE" w:rsidP="00C41AD6">
            <w:pPr>
              <w:pStyle w:val="TableTextCentered"/>
            </w:pPr>
            <w:r w:rsidRPr="00797379">
              <w:t>$18,006</w:t>
            </w:r>
          </w:p>
        </w:tc>
        <w:tc>
          <w:tcPr>
            <w:tcW w:w="1366" w:type="dxa"/>
          </w:tcPr>
          <w:p w14:paraId="2BDB8B6F" w14:textId="77777777" w:rsidR="007303EE" w:rsidRPr="00797379" w:rsidRDefault="007303EE" w:rsidP="00C41AD6">
            <w:pPr>
              <w:pStyle w:val="TableTextCentered"/>
            </w:pPr>
            <w:r w:rsidRPr="00797379">
              <w:t>$18,726</w:t>
            </w:r>
          </w:p>
        </w:tc>
      </w:tr>
    </w:tbl>
    <w:p w14:paraId="77C2596F" w14:textId="55AE6A17" w:rsidR="00534E49" w:rsidRPr="00797379" w:rsidRDefault="007303EE" w:rsidP="006C2038">
      <w:pPr>
        <w:pStyle w:val="TableNote"/>
      </w:pPr>
      <w:r w:rsidRPr="00797379">
        <w:rPr>
          <w:i/>
          <w:iCs/>
          <w:szCs w:val="20"/>
        </w:rPr>
        <w:t>Note</w:t>
      </w:r>
      <w:r w:rsidRPr="00797379">
        <w:rPr>
          <w:szCs w:val="20"/>
        </w:rPr>
        <w:t xml:space="preserve">. Any </w:t>
      </w:r>
      <w:r w:rsidRPr="00797379">
        <w:t>discrepancy</w:t>
      </w:r>
      <w:r w:rsidRPr="00797379">
        <w:rPr>
          <w:szCs w:val="20"/>
        </w:rPr>
        <w:t xml:space="preserve"> between expenditures and total is because of rounding. Data are </w:t>
      </w:r>
      <w:r w:rsidRPr="00797379">
        <w:t xml:space="preserve">from the School Finance Dashboard sourced from </w:t>
      </w:r>
      <w:hyperlink r:id="rId68" w:history="1">
        <w:r w:rsidRPr="00797379">
          <w:rPr>
            <w:rStyle w:val="Hyperlink"/>
          </w:rPr>
          <w:t>Resource Allocation and District Action Reports (RADAR)</w:t>
        </w:r>
      </w:hyperlink>
      <w:r w:rsidRPr="00797379">
        <w:t xml:space="preserve"> last updated April 2025.</w:t>
      </w:r>
    </w:p>
    <w:p w14:paraId="47E28A7D" w14:textId="77777777" w:rsidR="006A41AF" w:rsidRPr="00797379" w:rsidRDefault="006A41AF" w:rsidP="00B96AA2">
      <w:pPr>
        <w:pStyle w:val="Heading2"/>
        <w:sectPr w:rsidR="006A41AF" w:rsidRPr="00797379" w:rsidSect="00D67AD2">
          <w:headerReference w:type="default" r:id="rId69"/>
          <w:footerReference w:type="default" r:id="rId70"/>
          <w:headerReference w:type="first" r:id="rId71"/>
          <w:footerReference w:type="first" r:id="rId72"/>
          <w:pgSz w:w="12240" w:h="15840"/>
          <w:pgMar w:top="1440" w:right="1440" w:bottom="1440" w:left="1440" w:header="720" w:footer="720" w:gutter="0"/>
          <w:pgNumType w:start="1"/>
          <w:cols w:space="720"/>
          <w:docGrid w:linePitch="360"/>
        </w:sectPr>
      </w:pPr>
      <w:bookmarkStart w:id="234" w:name="AppendixE"/>
      <w:bookmarkEnd w:id="227"/>
    </w:p>
    <w:p w14:paraId="665A1DA6" w14:textId="0915529D" w:rsidR="007303EE" w:rsidRPr="00797379" w:rsidRDefault="007303EE" w:rsidP="007303EE">
      <w:pPr>
        <w:pStyle w:val="Heading2"/>
        <w:rPr>
          <w:rFonts w:ascii="Franklin Gothic Book" w:eastAsia="Calibri" w:hAnsi="Franklin Gothic Book" w:cs="Times New Roman"/>
          <w:color w:val="2F5496"/>
        </w:rPr>
      </w:pPr>
      <w:bookmarkStart w:id="235" w:name="_Toc118728213"/>
      <w:bookmarkStart w:id="236" w:name="_Toc223625548"/>
      <w:bookmarkStart w:id="237" w:name="_Hlk138316045"/>
      <w:bookmarkEnd w:id="234"/>
      <w:r w:rsidRPr="00797379">
        <w:t>Appendix E. Winchester Public Schools: Student Performance Data</w:t>
      </w:r>
      <w:bookmarkEnd w:id="235"/>
      <w:r w:rsidRPr="00797379">
        <w:rPr>
          <w:rStyle w:val="FootnoteReference"/>
          <w:rFonts w:ascii="Franklin Gothic Medium" w:eastAsia="Franklin Gothic Book" w:hAnsi="Franklin Gothic Medium" w:cs="Tahoma"/>
          <w:color w:val="2E74B5" w:themeColor="accent1" w:themeShade="BF"/>
          <w:sz w:val="32"/>
          <w:szCs w:val="32"/>
        </w:rPr>
        <w:footnoteReference w:id="7"/>
      </w:r>
      <w:bookmarkEnd w:id="236"/>
    </w:p>
    <w:bookmarkStart w:id="238" w:name="_Toc220933504"/>
    <w:bookmarkStart w:id="239" w:name="_Hlk204603145"/>
    <w:bookmarkEnd w:id="237"/>
    <w:p w14:paraId="0BFD5854" w14:textId="0E4A3BB5" w:rsidR="00730093" w:rsidRPr="00797379" w:rsidRDefault="0068153B">
      <w:pPr>
        <w:pStyle w:val="TOC1"/>
        <w:rPr>
          <w:rFonts w:eastAsiaTheme="minorEastAsia"/>
          <w:noProof/>
          <w:kern w:val="2"/>
          <w:sz w:val="24"/>
          <w:szCs w:val="24"/>
          <w14:ligatures w14:val="standardContextual"/>
        </w:rPr>
      </w:pPr>
      <w:r w:rsidRPr="00797379">
        <w:fldChar w:fldCharType="begin"/>
      </w:r>
      <w:r w:rsidRPr="00797379">
        <w:instrText xml:space="preserve"> TOC \h \z \t "Table E Titles,1" </w:instrText>
      </w:r>
      <w:r w:rsidRPr="00797379">
        <w:fldChar w:fldCharType="separate"/>
      </w:r>
      <w:hyperlink w:anchor="_Toc220933504" w:history="1">
        <w:r w:rsidR="00730093" w:rsidRPr="00797379">
          <w:rPr>
            <w:rStyle w:val="Hyperlink"/>
            <w:noProof/>
          </w:rPr>
          <w:t>Table E1. MCAS ELA Achievement by Student Group, Grades 3-8, 2023-2025</w:t>
        </w:r>
        <w:r w:rsidR="00730093" w:rsidRPr="00797379">
          <w:rPr>
            <w:noProof/>
            <w:webHidden/>
          </w:rPr>
          <w:tab/>
          <w:t>E-</w:t>
        </w:r>
        <w:r w:rsidR="00730093" w:rsidRPr="00797379">
          <w:rPr>
            <w:noProof/>
            <w:webHidden/>
          </w:rPr>
          <w:fldChar w:fldCharType="begin"/>
        </w:r>
        <w:r w:rsidR="00730093" w:rsidRPr="00797379">
          <w:rPr>
            <w:noProof/>
            <w:webHidden/>
          </w:rPr>
          <w:instrText xml:space="preserve"> PAGEREF _Toc220933504 \h </w:instrText>
        </w:r>
        <w:r w:rsidR="00730093" w:rsidRPr="00797379">
          <w:rPr>
            <w:noProof/>
            <w:webHidden/>
          </w:rPr>
        </w:r>
        <w:r w:rsidR="00730093" w:rsidRPr="00797379">
          <w:rPr>
            <w:noProof/>
            <w:webHidden/>
          </w:rPr>
          <w:fldChar w:fldCharType="separate"/>
        </w:r>
        <w:r w:rsidR="00FB5414">
          <w:rPr>
            <w:noProof/>
            <w:webHidden/>
          </w:rPr>
          <w:t>1</w:t>
        </w:r>
        <w:r w:rsidR="00730093" w:rsidRPr="00797379">
          <w:rPr>
            <w:noProof/>
            <w:webHidden/>
          </w:rPr>
          <w:fldChar w:fldCharType="end"/>
        </w:r>
      </w:hyperlink>
    </w:p>
    <w:p w14:paraId="11323422" w14:textId="351447CA" w:rsidR="00730093" w:rsidRPr="00797379" w:rsidRDefault="00730093">
      <w:pPr>
        <w:pStyle w:val="TOC1"/>
        <w:rPr>
          <w:rFonts w:eastAsiaTheme="minorEastAsia"/>
          <w:noProof/>
          <w:kern w:val="2"/>
          <w:sz w:val="24"/>
          <w:szCs w:val="24"/>
          <w14:ligatures w14:val="standardContextual"/>
        </w:rPr>
      </w:pPr>
      <w:hyperlink w:anchor="_Toc220933505" w:history="1">
        <w:r w:rsidRPr="00797379">
          <w:rPr>
            <w:rStyle w:val="Hyperlink"/>
            <w:noProof/>
          </w:rPr>
          <w:t>Table E2. MCAS ELA Achievement by Student Group, Grade 10, 2023-2025</w:t>
        </w:r>
        <w:r w:rsidRPr="00797379">
          <w:rPr>
            <w:noProof/>
            <w:webHidden/>
          </w:rPr>
          <w:tab/>
          <w:t>E-</w:t>
        </w:r>
        <w:r w:rsidRPr="00797379">
          <w:rPr>
            <w:noProof/>
            <w:webHidden/>
          </w:rPr>
          <w:fldChar w:fldCharType="begin"/>
        </w:r>
        <w:r w:rsidRPr="00797379">
          <w:rPr>
            <w:noProof/>
            <w:webHidden/>
          </w:rPr>
          <w:instrText xml:space="preserve"> PAGEREF _Toc220933505 \h </w:instrText>
        </w:r>
        <w:r w:rsidRPr="00797379">
          <w:rPr>
            <w:noProof/>
            <w:webHidden/>
          </w:rPr>
        </w:r>
        <w:r w:rsidRPr="00797379">
          <w:rPr>
            <w:noProof/>
            <w:webHidden/>
          </w:rPr>
          <w:fldChar w:fldCharType="separate"/>
        </w:r>
        <w:r w:rsidR="00FB5414">
          <w:rPr>
            <w:noProof/>
            <w:webHidden/>
          </w:rPr>
          <w:t>2</w:t>
        </w:r>
        <w:r w:rsidRPr="00797379">
          <w:rPr>
            <w:noProof/>
            <w:webHidden/>
          </w:rPr>
          <w:fldChar w:fldCharType="end"/>
        </w:r>
      </w:hyperlink>
    </w:p>
    <w:p w14:paraId="4E06B6DF" w14:textId="6FBAFCC7" w:rsidR="00730093" w:rsidRPr="00797379" w:rsidRDefault="00730093">
      <w:pPr>
        <w:pStyle w:val="TOC1"/>
        <w:rPr>
          <w:rFonts w:eastAsiaTheme="minorEastAsia"/>
          <w:noProof/>
          <w:kern w:val="2"/>
          <w:sz w:val="24"/>
          <w:szCs w:val="24"/>
          <w14:ligatures w14:val="standardContextual"/>
        </w:rPr>
      </w:pPr>
      <w:hyperlink w:anchor="_Toc220933506" w:history="1">
        <w:r w:rsidRPr="00797379">
          <w:rPr>
            <w:rStyle w:val="Hyperlink"/>
            <w:noProof/>
          </w:rPr>
          <w:t>Table E3. MCAS Mathematics Achievement by Student Group, Grades 3-8, 2023-2025</w:t>
        </w:r>
        <w:r w:rsidRPr="00797379">
          <w:rPr>
            <w:noProof/>
            <w:webHidden/>
          </w:rPr>
          <w:tab/>
          <w:t>E-</w:t>
        </w:r>
        <w:r w:rsidRPr="00797379">
          <w:rPr>
            <w:noProof/>
            <w:webHidden/>
          </w:rPr>
          <w:fldChar w:fldCharType="begin"/>
        </w:r>
        <w:r w:rsidRPr="00797379">
          <w:rPr>
            <w:noProof/>
            <w:webHidden/>
          </w:rPr>
          <w:instrText xml:space="preserve"> PAGEREF _Toc220933506 \h </w:instrText>
        </w:r>
        <w:r w:rsidRPr="00797379">
          <w:rPr>
            <w:noProof/>
            <w:webHidden/>
          </w:rPr>
        </w:r>
        <w:r w:rsidRPr="00797379">
          <w:rPr>
            <w:noProof/>
            <w:webHidden/>
          </w:rPr>
          <w:fldChar w:fldCharType="separate"/>
        </w:r>
        <w:r w:rsidR="00FB5414">
          <w:rPr>
            <w:noProof/>
            <w:webHidden/>
          </w:rPr>
          <w:t>3</w:t>
        </w:r>
        <w:r w:rsidRPr="00797379">
          <w:rPr>
            <w:noProof/>
            <w:webHidden/>
          </w:rPr>
          <w:fldChar w:fldCharType="end"/>
        </w:r>
      </w:hyperlink>
    </w:p>
    <w:p w14:paraId="72A25D87" w14:textId="1424F833" w:rsidR="00730093" w:rsidRPr="00797379" w:rsidRDefault="00730093">
      <w:pPr>
        <w:pStyle w:val="TOC1"/>
        <w:rPr>
          <w:rFonts w:eastAsiaTheme="minorEastAsia"/>
          <w:noProof/>
          <w:kern w:val="2"/>
          <w:sz w:val="24"/>
          <w:szCs w:val="24"/>
          <w14:ligatures w14:val="standardContextual"/>
        </w:rPr>
      </w:pPr>
      <w:hyperlink w:anchor="_Toc220933507" w:history="1">
        <w:r w:rsidRPr="00797379">
          <w:rPr>
            <w:rStyle w:val="Hyperlink"/>
            <w:noProof/>
          </w:rPr>
          <w:t>Table E4. MCAS Mathematics Achievement by Student Group, Grade 10, 2023-2025</w:t>
        </w:r>
        <w:r w:rsidRPr="00797379">
          <w:rPr>
            <w:noProof/>
            <w:webHidden/>
          </w:rPr>
          <w:tab/>
          <w:t>E-</w:t>
        </w:r>
        <w:r w:rsidRPr="00797379">
          <w:rPr>
            <w:noProof/>
            <w:webHidden/>
          </w:rPr>
          <w:fldChar w:fldCharType="begin"/>
        </w:r>
        <w:r w:rsidRPr="00797379">
          <w:rPr>
            <w:noProof/>
            <w:webHidden/>
          </w:rPr>
          <w:instrText xml:space="preserve"> PAGEREF _Toc220933507 \h </w:instrText>
        </w:r>
        <w:r w:rsidRPr="00797379">
          <w:rPr>
            <w:noProof/>
            <w:webHidden/>
          </w:rPr>
        </w:r>
        <w:r w:rsidRPr="00797379">
          <w:rPr>
            <w:noProof/>
            <w:webHidden/>
          </w:rPr>
          <w:fldChar w:fldCharType="separate"/>
        </w:r>
        <w:r w:rsidR="00FB5414">
          <w:rPr>
            <w:noProof/>
            <w:webHidden/>
          </w:rPr>
          <w:t>3</w:t>
        </w:r>
        <w:r w:rsidRPr="00797379">
          <w:rPr>
            <w:noProof/>
            <w:webHidden/>
          </w:rPr>
          <w:fldChar w:fldCharType="end"/>
        </w:r>
      </w:hyperlink>
    </w:p>
    <w:p w14:paraId="59EB000C" w14:textId="103FFB4A" w:rsidR="00730093" w:rsidRPr="00797379" w:rsidRDefault="00730093">
      <w:pPr>
        <w:pStyle w:val="TOC1"/>
        <w:rPr>
          <w:rFonts w:eastAsiaTheme="minorEastAsia"/>
          <w:noProof/>
          <w:kern w:val="2"/>
          <w:sz w:val="24"/>
          <w:szCs w:val="24"/>
          <w14:ligatures w14:val="standardContextual"/>
        </w:rPr>
      </w:pPr>
      <w:hyperlink w:anchor="_Toc220933508" w:history="1">
        <w:r w:rsidRPr="00797379">
          <w:rPr>
            <w:rStyle w:val="Hyperlink"/>
            <w:noProof/>
          </w:rPr>
          <w:t>Table E5. MCAS Science Achievement by Student Group, Grades 5 and 8, 2023-2025</w:t>
        </w:r>
        <w:r w:rsidRPr="00797379">
          <w:rPr>
            <w:noProof/>
            <w:webHidden/>
          </w:rPr>
          <w:tab/>
          <w:t>E-</w:t>
        </w:r>
        <w:r w:rsidRPr="00797379">
          <w:rPr>
            <w:noProof/>
            <w:webHidden/>
          </w:rPr>
          <w:fldChar w:fldCharType="begin"/>
        </w:r>
        <w:r w:rsidRPr="00797379">
          <w:rPr>
            <w:noProof/>
            <w:webHidden/>
          </w:rPr>
          <w:instrText xml:space="preserve"> PAGEREF _Toc220933508 \h </w:instrText>
        </w:r>
        <w:r w:rsidRPr="00797379">
          <w:rPr>
            <w:noProof/>
            <w:webHidden/>
          </w:rPr>
        </w:r>
        <w:r w:rsidRPr="00797379">
          <w:rPr>
            <w:noProof/>
            <w:webHidden/>
          </w:rPr>
          <w:fldChar w:fldCharType="separate"/>
        </w:r>
        <w:r w:rsidR="00FB5414">
          <w:rPr>
            <w:noProof/>
            <w:webHidden/>
          </w:rPr>
          <w:t>4</w:t>
        </w:r>
        <w:r w:rsidRPr="00797379">
          <w:rPr>
            <w:noProof/>
            <w:webHidden/>
          </w:rPr>
          <w:fldChar w:fldCharType="end"/>
        </w:r>
      </w:hyperlink>
    </w:p>
    <w:p w14:paraId="276DBDE1" w14:textId="14B449B0" w:rsidR="00730093" w:rsidRPr="00797379" w:rsidRDefault="00730093">
      <w:pPr>
        <w:pStyle w:val="TOC1"/>
        <w:rPr>
          <w:rFonts w:eastAsiaTheme="minorEastAsia"/>
          <w:noProof/>
          <w:kern w:val="2"/>
          <w:sz w:val="24"/>
          <w:szCs w:val="24"/>
          <w14:ligatures w14:val="standardContextual"/>
        </w:rPr>
      </w:pPr>
      <w:hyperlink w:anchor="_Toc220933509" w:history="1">
        <w:r w:rsidRPr="00797379">
          <w:rPr>
            <w:rStyle w:val="Hyperlink"/>
            <w:noProof/>
          </w:rPr>
          <w:t>Table E6. MCAS Science Achievement by Student Group, Grade 10, 2023-2025</w:t>
        </w:r>
        <w:r w:rsidRPr="00797379">
          <w:rPr>
            <w:noProof/>
            <w:webHidden/>
          </w:rPr>
          <w:tab/>
          <w:t>E-</w:t>
        </w:r>
        <w:r w:rsidRPr="00797379">
          <w:rPr>
            <w:noProof/>
            <w:webHidden/>
          </w:rPr>
          <w:fldChar w:fldCharType="begin"/>
        </w:r>
        <w:r w:rsidRPr="00797379">
          <w:rPr>
            <w:noProof/>
            <w:webHidden/>
          </w:rPr>
          <w:instrText xml:space="preserve"> PAGEREF _Toc220933509 \h </w:instrText>
        </w:r>
        <w:r w:rsidRPr="00797379">
          <w:rPr>
            <w:noProof/>
            <w:webHidden/>
          </w:rPr>
        </w:r>
        <w:r w:rsidRPr="00797379">
          <w:rPr>
            <w:noProof/>
            <w:webHidden/>
          </w:rPr>
          <w:fldChar w:fldCharType="separate"/>
        </w:r>
        <w:r w:rsidR="00FB5414">
          <w:rPr>
            <w:noProof/>
            <w:webHidden/>
          </w:rPr>
          <w:t>4</w:t>
        </w:r>
        <w:r w:rsidRPr="00797379">
          <w:rPr>
            <w:noProof/>
            <w:webHidden/>
          </w:rPr>
          <w:fldChar w:fldCharType="end"/>
        </w:r>
      </w:hyperlink>
    </w:p>
    <w:p w14:paraId="381A1B55" w14:textId="7186E2D8" w:rsidR="00730093" w:rsidRPr="00797379" w:rsidRDefault="00730093">
      <w:pPr>
        <w:pStyle w:val="TOC1"/>
        <w:rPr>
          <w:rFonts w:eastAsiaTheme="minorEastAsia"/>
          <w:noProof/>
          <w:kern w:val="2"/>
          <w:sz w:val="24"/>
          <w:szCs w:val="24"/>
          <w14:ligatures w14:val="standardContextual"/>
        </w:rPr>
      </w:pPr>
      <w:hyperlink w:anchor="_Toc220933510" w:history="1">
        <w:r w:rsidRPr="00797379">
          <w:rPr>
            <w:rStyle w:val="Hyperlink"/>
            <w:noProof/>
          </w:rPr>
          <w:t>Table E7. MCAS ELA Achievement by Grade, 2023-2025</w:t>
        </w:r>
        <w:r w:rsidRPr="00797379">
          <w:rPr>
            <w:noProof/>
            <w:webHidden/>
          </w:rPr>
          <w:tab/>
          <w:t>E-</w:t>
        </w:r>
        <w:r w:rsidRPr="00797379">
          <w:rPr>
            <w:noProof/>
            <w:webHidden/>
          </w:rPr>
          <w:fldChar w:fldCharType="begin"/>
        </w:r>
        <w:r w:rsidRPr="00797379">
          <w:rPr>
            <w:noProof/>
            <w:webHidden/>
          </w:rPr>
          <w:instrText xml:space="preserve"> PAGEREF _Toc220933510 \h </w:instrText>
        </w:r>
        <w:r w:rsidRPr="00797379">
          <w:rPr>
            <w:noProof/>
            <w:webHidden/>
          </w:rPr>
        </w:r>
        <w:r w:rsidRPr="00797379">
          <w:rPr>
            <w:noProof/>
            <w:webHidden/>
          </w:rPr>
          <w:fldChar w:fldCharType="separate"/>
        </w:r>
        <w:r w:rsidR="00FB5414">
          <w:rPr>
            <w:noProof/>
            <w:webHidden/>
          </w:rPr>
          <w:t>5</w:t>
        </w:r>
        <w:r w:rsidRPr="00797379">
          <w:rPr>
            <w:noProof/>
            <w:webHidden/>
          </w:rPr>
          <w:fldChar w:fldCharType="end"/>
        </w:r>
      </w:hyperlink>
    </w:p>
    <w:p w14:paraId="5C97675D" w14:textId="1D794433" w:rsidR="00730093" w:rsidRPr="00797379" w:rsidRDefault="00730093">
      <w:pPr>
        <w:pStyle w:val="TOC1"/>
        <w:rPr>
          <w:rFonts w:eastAsiaTheme="minorEastAsia"/>
          <w:noProof/>
          <w:kern w:val="2"/>
          <w:sz w:val="24"/>
          <w:szCs w:val="24"/>
          <w14:ligatures w14:val="standardContextual"/>
        </w:rPr>
      </w:pPr>
      <w:hyperlink w:anchor="_Toc220933511" w:history="1">
        <w:r w:rsidRPr="00797379">
          <w:rPr>
            <w:rStyle w:val="Hyperlink"/>
            <w:noProof/>
          </w:rPr>
          <w:t>Table E8. MCAS Mathematics Achievement by Grade, 2023-2025</w:t>
        </w:r>
        <w:r w:rsidRPr="00797379">
          <w:rPr>
            <w:noProof/>
            <w:webHidden/>
          </w:rPr>
          <w:tab/>
          <w:t>E-</w:t>
        </w:r>
        <w:r w:rsidRPr="00797379">
          <w:rPr>
            <w:noProof/>
            <w:webHidden/>
          </w:rPr>
          <w:fldChar w:fldCharType="begin"/>
        </w:r>
        <w:r w:rsidRPr="00797379">
          <w:rPr>
            <w:noProof/>
            <w:webHidden/>
          </w:rPr>
          <w:instrText xml:space="preserve"> PAGEREF _Toc220933511 \h </w:instrText>
        </w:r>
        <w:r w:rsidRPr="00797379">
          <w:rPr>
            <w:noProof/>
            <w:webHidden/>
          </w:rPr>
        </w:r>
        <w:r w:rsidRPr="00797379">
          <w:rPr>
            <w:noProof/>
            <w:webHidden/>
          </w:rPr>
          <w:fldChar w:fldCharType="separate"/>
        </w:r>
        <w:r w:rsidR="00FB5414">
          <w:rPr>
            <w:noProof/>
            <w:webHidden/>
          </w:rPr>
          <w:t>5</w:t>
        </w:r>
        <w:r w:rsidRPr="00797379">
          <w:rPr>
            <w:noProof/>
            <w:webHidden/>
          </w:rPr>
          <w:fldChar w:fldCharType="end"/>
        </w:r>
      </w:hyperlink>
    </w:p>
    <w:p w14:paraId="376552AC" w14:textId="1C2FD6FA" w:rsidR="00730093" w:rsidRPr="00797379" w:rsidRDefault="00730093">
      <w:pPr>
        <w:pStyle w:val="TOC1"/>
        <w:rPr>
          <w:rFonts w:eastAsiaTheme="minorEastAsia"/>
          <w:noProof/>
          <w:kern w:val="2"/>
          <w:sz w:val="24"/>
          <w:szCs w:val="24"/>
          <w14:ligatures w14:val="standardContextual"/>
        </w:rPr>
      </w:pPr>
      <w:hyperlink w:anchor="_Toc220933512" w:history="1">
        <w:r w:rsidRPr="00797379">
          <w:rPr>
            <w:rStyle w:val="Hyperlink"/>
            <w:noProof/>
          </w:rPr>
          <w:t>Table E9. MCAS Science Achievement by Grade, 2023-2025</w:t>
        </w:r>
        <w:r w:rsidRPr="00797379">
          <w:rPr>
            <w:noProof/>
            <w:webHidden/>
          </w:rPr>
          <w:tab/>
          <w:t>E-</w:t>
        </w:r>
        <w:r w:rsidRPr="00797379">
          <w:rPr>
            <w:noProof/>
            <w:webHidden/>
          </w:rPr>
          <w:fldChar w:fldCharType="begin"/>
        </w:r>
        <w:r w:rsidRPr="00797379">
          <w:rPr>
            <w:noProof/>
            <w:webHidden/>
          </w:rPr>
          <w:instrText xml:space="preserve"> PAGEREF _Toc220933512 \h </w:instrText>
        </w:r>
        <w:r w:rsidRPr="00797379">
          <w:rPr>
            <w:noProof/>
            <w:webHidden/>
          </w:rPr>
        </w:r>
        <w:r w:rsidRPr="00797379">
          <w:rPr>
            <w:noProof/>
            <w:webHidden/>
          </w:rPr>
          <w:fldChar w:fldCharType="separate"/>
        </w:r>
        <w:r w:rsidR="00FB5414">
          <w:rPr>
            <w:noProof/>
            <w:webHidden/>
          </w:rPr>
          <w:t>5</w:t>
        </w:r>
        <w:r w:rsidRPr="00797379">
          <w:rPr>
            <w:noProof/>
            <w:webHidden/>
          </w:rPr>
          <w:fldChar w:fldCharType="end"/>
        </w:r>
      </w:hyperlink>
    </w:p>
    <w:p w14:paraId="45215BF0" w14:textId="5D6CD260" w:rsidR="00730093" w:rsidRPr="00797379" w:rsidRDefault="00730093">
      <w:pPr>
        <w:pStyle w:val="TOC1"/>
        <w:rPr>
          <w:rFonts w:eastAsiaTheme="minorEastAsia"/>
          <w:noProof/>
          <w:kern w:val="2"/>
          <w:sz w:val="24"/>
          <w:szCs w:val="24"/>
          <w14:ligatures w14:val="standardContextual"/>
        </w:rPr>
      </w:pPr>
      <w:hyperlink w:anchor="_Toc220933513" w:history="1">
        <w:r w:rsidRPr="00797379">
          <w:rPr>
            <w:rStyle w:val="Hyperlink"/>
            <w:noProof/>
          </w:rPr>
          <w:t>Table E10. MCAS ELA Mean Student Growth Percentile by Student Group, Grades 3-8, 2023</w:t>
        </w:r>
        <w:r w:rsidRPr="00797379">
          <w:rPr>
            <w:rStyle w:val="Hyperlink"/>
            <w:noProof/>
          </w:rPr>
          <w:noBreakHyphen/>
          <w:t>2025</w:t>
        </w:r>
        <w:r w:rsidRPr="00797379">
          <w:rPr>
            <w:noProof/>
            <w:webHidden/>
          </w:rPr>
          <w:tab/>
        </w:r>
        <w:r w:rsidR="00532BDF" w:rsidRPr="00797379">
          <w:rPr>
            <w:noProof/>
            <w:webHidden/>
          </w:rPr>
          <w:t>E-</w:t>
        </w:r>
        <w:r w:rsidRPr="00797379">
          <w:rPr>
            <w:noProof/>
            <w:webHidden/>
          </w:rPr>
          <w:fldChar w:fldCharType="begin"/>
        </w:r>
        <w:r w:rsidRPr="00797379">
          <w:rPr>
            <w:noProof/>
            <w:webHidden/>
          </w:rPr>
          <w:instrText xml:space="preserve"> PAGEREF _Toc220933513 \h </w:instrText>
        </w:r>
        <w:r w:rsidRPr="00797379">
          <w:rPr>
            <w:noProof/>
            <w:webHidden/>
          </w:rPr>
        </w:r>
        <w:r w:rsidRPr="00797379">
          <w:rPr>
            <w:noProof/>
            <w:webHidden/>
          </w:rPr>
          <w:fldChar w:fldCharType="separate"/>
        </w:r>
        <w:r w:rsidR="00FB5414">
          <w:rPr>
            <w:noProof/>
            <w:webHidden/>
          </w:rPr>
          <w:t>6</w:t>
        </w:r>
        <w:r w:rsidRPr="00797379">
          <w:rPr>
            <w:noProof/>
            <w:webHidden/>
          </w:rPr>
          <w:fldChar w:fldCharType="end"/>
        </w:r>
      </w:hyperlink>
    </w:p>
    <w:p w14:paraId="2BD0DCA8" w14:textId="351C8C53" w:rsidR="00730093" w:rsidRPr="00797379" w:rsidRDefault="00730093">
      <w:pPr>
        <w:pStyle w:val="TOC1"/>
        <w:rPr>
          <w:rFonts w:eastAsiaTheme="minorEastAsia"/>
          <w:noProof/>
          <w:kern w:val="2"/>
          <w:sz w:val="24"/>
          <w:szCs w:val="24"/>
          <w14:ligatures w14:val="standardContextual"/>
        </w:rPr>
      </w:pPr>
      <w:hyperlink w:anchor="_Toc220933514" w:history="1">
        <w:r w:rsidRPr="00797379">
          <w:rPr>
            <w:rStyle w:val="Hyperlink"/>
            <w:noProof/>
          </w:rPr>
          <w:t>Table E11. MCAS ELA Mean Student Growth Percentile by Student Group, Grade 10, 2023</w:t>
        </w:r>
        <w:r w:rsidRPr="00797379">
          <w:rPr>
            <w:rStyle w:val="Hyperlink"/>
            <w:noProof/>
          </w:rPr>
          <w:noBreakHyphen/>
          <w:t>2025</w:t>
        </w:r>
        <w:r w:rsidRPr="00797379">
          <w:rPr>
            <w:noProof/>
            <w:webHidden/>
          </w:rPr>
          <w:tab/>
        </w:r>
        <w:r w:rsidR="00532BDF" w:rsidRPr="00797379">
          <w:rPr>
            <w:noProof/>
            <w:webHidden/>
          </w:rPr>
          <w:t>E-</w:t>
        </w:r>
        <w:r w:rsidRPr="00797379">
          <w:rPr>
            <w:noProof/>
            <w:webHidden/>
          </w:rPr>
          <w:fldChar w:fldCharType="begin"/>
        </w:r>
        <w:r w:rsidRPr="00797379">
          <w:rPr>
            <w:noProof/>
            <w:webHidden/>
          </w:rPr>
          <w:instrText xml:space="preserve"> PAGEREF _Toc220933514 \h </w:instrText>
        </w:r>
        <w:r w:rsidRPr="00797379">
          <w:rPr>
            <w:noProof/>
            <w:webHidden/>
          </w:rPr>
        </w:r>
        <w:r w:rsidRPr="00797379">
          <w:rPr>
            <w:noProof/>
            <w:webHidden/>
          </w:rPr>
          <w:fldChar w:fldCharType="separate"/>
        </w:r>
        <w:r w:rsidR="00FB5414">
          <w:rPr>
            <w:noProof/>
            <w:webHidden/>
          </w:rPr>
          <w:t>6</w:t>
        </w:r>
        <w:r w:rsidRPr="00797379">
          <w:rPr>
            <w:noProof/>
            <w:webHidden/>
          </w:rPr>
          <w:fldChar w:fldCharType="end"/>
        </w:r>
      </w:hyperlink>
    </w:p>
    <w:p w14:paraId="06ADE40A" w14:textId="09F27D61" w:rsidR="00730093" w:rsidRPr="00797379" w:rsidRDefault="00730093">
      <w:pPr>
        <w:pStyle w:val="TOC1"/>
        <w:rPr>
          <w:rFonts w:eastAsiaTheme="minorEastAsia"/>
          <w:noProof/>
          <w:kern w:val="2"/>
          <w:sz w:val="24"/>
          <w:szCs w:val="24"/>
          <w14:ligatures w14:val="standardContextual"/>
        </w:rPr>
      </w:pPr>
      <w:hyperlink w:anchor="_Toc220933515" w:history="1">
        <w:r w:rsidRPr="00797379">
          <w:rPr>
            <w:rStyle w:val="Hyperlink"/>
            <w:noProof/>
          </w:rPr>
          <w:t>Table E12. MCAS Mathematics Mean Student Growth Percentile by Student Group, Grades 3</w:t>
        </w:r>
        <w:r w:rsidRPr="00797379">
          <w:rPr>
            <w:rStyle w:val="Hyperlink"/>
            <w:noProof/>
          </w:rPr>
          <w:noBreakHyphen/>
          <w:t>8, 2023-2025</w:t>
        </w:r>
        <w:r w:rsidRPr="00797379">
          <w:rPr>
            <w:noProof/>
            <w:webHidden/>
          </w:rPr>
          <w:tab/>
        </w:r>
        <w:r w:rsidR="00532BDF" w:rsidRPr="00797379">
          <w:rPr>
            <w:noProof/>
            <w:webHidden/>
          </w:rPr>
          <w:t>E-</w:t>
        </w:r>
        <w:r w:rsidRPr="00797379">
          <w:rPr>
            <w:noProof/>
            <w:webHidden/>
          </w:rPr>
          <w:fldChar w:fldCharType="begin"/>
        </w:r>
        <w:r w:rsidRPr="00797379">
          <w:rPr>
            <w:noProof/>
            <w:webHidden/>
          </w:rPr>
          <w:instrText xml:space="preserve"> PAGEREF _Toc220933515 \h </w:instrText>
        </w:r>
        <w:r w:rsidRPr="00797379">
          <w:rPr>
            <w:noProof/>
            <w:webHidden/>
          </w:rPr>
        </w:r>
        <w:r w:rsidRPr="00797379">
          <w:rPr>
            <w:noProof/>
            <w:webHidden/>
          </w:rPr>
          <w:fldChar w:fldCharType="separate"/>
        </w:r>
        <w:r w:rsidR="00FB5414">
          <w:rPr>
            <w:noProof/>
            <w:webHidden/>
          </w:rPr>
          <w:t>7</w:t>
        </w:r>
        <w:r w:rsidRPr="00797379">
          <w:rPr>
            <w:noProof/>
            <w:webHidden/>
          </w:rPr>
          <w:fldChar w:fldCharType="end"/>
        </w:r>
      </w:hyperlink>
    </w:p>
    <w:p w14:paraId="5812004A" w14:textId="0AD0DE78" w:rsidR="00730093" w:rsidRPr="00797379" w:rsidRDefault="00730093">
      <w:pPr>
        <w:pStyle w:val="TOC1"/>
        <w:rPr>
          <w:rFonts w:eastAsiaTheme="minorEastAsia"/>
          <w:noProof/>
          <w:kern w:val="2"/>
          <w:sz w:val="24"/>
          <w:szCs w:val="24"/>
          <w14:ligatures w14:val="standardContextual"/>
        </w:rPr>
      </w:pPr>
      <w:hyperlink w:anchor="_Toc220933516" w:history="1">
        <w:r w:rsidRPr="00797379">
          <w:rPr>
            <w:rStyle w:val="Hyperlink"/>
            <w:noProof/>
          </w:rPr>
          <w:t>Table E13. MCAS Mathematics Mean Student Growth Percentile by Student Group, Grade 10, 2023-2025</w:t>
        </w:r>
        <w:r w:rsidRPr="00797379">
          <w:rPr>
            <w:noProof/>
            <w:webHidden/>
          </w:rPr>
          <w:tab/>
        </w:r>
        <w:r w:rsidR="00532BDF" w:rsidRPr="00797379">
          <w:rPr>
            <w:noProof/>
            <w:webHidden/>
          </w:rPr>
          <w:t>E-</w:t>
        </w:r>
        <w:r w:rsidRPr="00797379">
          <w:rPr>
            <w:noProof/>
            <w:webHidden/>
          </w:rPr>
          <w:fldChar w:fldCharType="begin"/>
        </w:r>
        <w:r w:rsidRPr="00797379">
          <w:rPr>
            <w:noProof/>
            <w:webHidden/>
          </w:rPr>
          <w:instrText xml:space="preserve"> PAGEREF _Toc220933516 \h </w:instrText>
        </w:r>
        <w:r w:rsidRPr="00797379">
          <w:rPr>
            <w:noProof/>
            <w:webHidden/>
          </w:rPr>
        </w:r>
        <w:r w:rsidRPr="00797379">
          <w:rPr>
            <w:noProof/>
            <w:webHidden/>
          </w:rPr>
          <w:fldChar w:fldCharType="separate"/>
        </w:r>
        <w:r w:rsidR="00FB5414">
          <w:rPr>
            <w:noProof/>
            <w:webHidden/>
          </w:rPr>
          <w:t>7</w:t>
        </w:r>
        <w:r w:rsidRPr="00797379">
          <w:rPr>
            <w:noProof/>
            <w:webHidden/>
          </w:rPr>
          <w:fldChar w:fldCharType="end"/>
        </w:r>
      </w:hyperlink>
    </w:p>
    <w:p w14:paraId="45A1FA9D" w14:textId="567BE3B7" w:rsidR="00730093" w:rsidRPr="00797379" w:rsidRDefault="00730093">
      <w:pPr>
        <w:pStyle w:val="TOC1"/>
        <w:rPr>
          <w:rFonts w:eastAsiaTheme="minorEastAsia"/>
          <w:noProof/>
          <w:kern w:val="2"/>
          <w:sz w:val="24"/>
          <w:szCs w:val="24"/>
          <w14:ligatures w14:val="standardContextual"/>
        </w:rPr>
      </w:pPr>
      <w:hyperlink w:anchor="_Toc220933517" w:history="1">
        <w:r w:rsidRPr="00797379">
          <w:rPr>
            <w:rStyle w:val="Hyperlink"/>
            <w:noProof/>
          </w:rPr>
          <w:t>Table E14. MCAS ELA Mean Student Growth Percentile by Grade, 2023-2025</w:t>
        </w:r>
        <w:r w:rsidRPr="00797379">
          <w:rPr>
            <w:noProof/>
            <w:webHidden/>
          </w:rPr>
          <w:tab/>
        </w:r>
        <w:r w:rsidR="00532BDF" w:rsidRPr="00797379">
          <w:rPr>
            <w:noProof/>
            <w:webHidden/>
          </w:rPr>
          <w:t>E-</w:t>
        </w:r>
        <w:r w:rsidRPr="00797379">
          <w:rPr>
            <w:noProof/>
            <w:webHidden/>
          </w:rPr>
          <w:fldChar w:fldCharType="begin"/>
        </w:r>
        <w:r w:rsidRPr="00797379">
          <w:rPr>
            <w:noProof/>
            <w:webHidden/>
          </w:rPr>
          <w:instrText xml:space="preserve"> PAGEREF _Toc220933517 \h </w:instrText>
        </w:r>
        <w:r w:rsidRPr="00797379">
          <w:rPr>
            <w:noProof/>
            <w:webHidden/>
          </w:rPr>
        </w:r>
        <w:r w:rsidRPr="00797379">
          <w:rPr>
            <w:noProof/>
            <w:webHidden/>
          </w:rPr>
          <w:fldChar w:fldCharType="separate"/>
        </w:r>
        <w:r w:rsidR="00FB5414">
          <w:rPr>
            <w:noProof/>
            <w:webHidden/>
          </w:rPr>
          <w:t>8</w:t>
        </w:r>
        <w:r w:rsidRPr="00797379">
          <w:rPr>
            <w:noProof/>
            <w:webHidden/>
          </w:rPr>
          <w:fldChar w:fldCharType="end"/>
        </w:r>
      </w:hyperlink>
    </w:p>
    <w:p w14:paraId="721829CE" w14:textId="476FEE80" w:rsidR="00730093" w:rsidRPr="00797379" w:rsidRDefault="00730093">
      <w:pPr>
        <w:pStyle w:val="TOC1"/>
        <w:rPr>
          <w:rFonts w:eastAsiaTheme="minorEastAsia"/>
          <w:noProof/>
          <w:kern w:val="2"/>
          <w:sz w:val="24"/>
          <w:szCs w:val="24"/>
          <w14:ligatures w14:val="standardContextual"/>
        </w:rPr>
      </w:pPr>
      <w:hyperlink w:anchor="_Toc220933518" w:history="1">
        <w:r w:rsidRPr="00797379">
          <w:rPr>
            <w:rStyle w:val="Hyperlink"/>
            <w:noProof/>
          </w:rPr>
          <w:t>Table E15. MCAS Mathematics Mean Student Growth Percentile by Grade, 2023-2025</w:t>
        </w:r>
        <w:r w:rsidRPr="00797379">
          <w:rPr>
            <w:noProof/>
            <w:webHidden/>
          </w:rPr>
          <w:tab/>
        </w:r>
        <w:r w:rsidR="00532BDF" w:rsidRPr="00797379">
          <w:rPr>
            <w:noProof/>
            <w:webHidden/>
          </w:rPr>
          <w:t>E-</w:t>
        </w:r>
        <w:r w:rsidRPr="00797379">
          <w:rPr>
            <w:noProof/>
            <w:webHidden/>
          </w:rPr>
          <w:fldChar w:fldCharType="begin"/>
        </w:r>
        <w:r w:rsidRPr="00797379">
          <w:rPr>
            <w:noProof/>
            <w:webHidden/>
          </w:rPr>
          <w:instrText xml:space="preserve"> PAGEREF _Toc220933518 \h </w:instrText>
        </w:r>
        <w:r w:rsidRPr="00797379">
          <w:rPr>
            <w:noProof/>
            <w:webHidden/>
          </w:rPr>
        </w:r>
        <w:r w:rsidRPr="00797379">
          <w:rPr>
            <w:noProof/>
            <w:webHidden/>
          </w:rPr>
          <w:fldChar w:fldCharType="separate"/>
        </w:r>
        <w:r w:rsidR="00FB5414">
          <w:rPr>
            <w:noProof/>
            <w:webHidden/>
          </w:rPr>
          <w:t>8</w:t>
        </w:r>
        <w:r w:rsidRPr="00797379">
          <w:rPr>
            <w:noProof/>
            <w:webHidden/>
          </w:rPr>
          <w:fldChar w:fldCharType="end"/>
        </w:r>
      </w:hyperlink>
    </w:p>
    <w:p w14:paraId="2408BCB3" w14:textId="27A2B3BA" w:rsidR="00730093" w:rsidRPr="00797379" w:rsidRDefault="00730093">
      <w:pPr>
        <w:pStyle w:val="TOC1"/>
        <w:rPr>
          <w:rFonts w:eastAsiaTheme="minorEastAsia"/>
          <w:noProof/>
          <w:kern w:val="2"/>
          <w:sz w:val="24"/>
          <w:szCs w:val="24"/>
          <w14:ligatures w14:val="standardContextual"/>
        </w:rPr>
      </w:pPr>
      <w:hyperlink w:anchor="_Toc220933519" w:history="1">
        <w:r w:rsidRPr="00797379">
          <w:rPr>
            <w:rStyle w:val="Hyperlink"/>
            <w:noProof/>
          </w:rPr>
          <w:t>Table E16. Four-Year Cohort Graduation Rates by Student Group, 2022-2024</w:t>
        </w:r>
        <w:r w:rsidRPr="00797379">
          <w:rPr>
            <w:noProof/>
            <w:webHidden/>
          </w:rPr>
          <w:tab/>
        </w:r>
        <w:r w:rsidR="00532BDF" w:rsidRPr="00797379">
          <w:rPr>
            <w:noProof/>
            <w:webHidden/>
          </w:rPr>
          <w:t>E-</w:t>
        </w:r>
        <w:r w:rsidRPr="00797379">
          <w:rPr>
            <w:noProof/>
            <w:webHidden/>
          </w:rPr>
          <w:fldChar w:fldCharType="begin"/>
        </w:r>
        <w:r w:rsidRPr="00797379">
          <w:rPr>
            <w:noProof/>
            <w:webHidden/>
          </w:rPr>
          <w:instrText xml:space="preserve"> PAGEREF _Toc220933519 \h </w:instrText>
        </w:r>
        <w:r w:rsidRPr="00797379">
          <w:rPr>
            <w:noProof/>
            <w:webHidden/>
          </w:rPr>
        </w:r>
        <w:r w:rsidRPr="00797379">
          <w:rPr>
            <w:noProof/>
            <w:webHidden/>
          </w:rPr>
          <w:fldChar w:fldCharType="separate"/>
        </w:r>
        <w:r w:rsidR="00FB5414">
          <w:rPr>
            <w:noProof/>
            <w:webHidden/>
          </w:rPr>
          <w:t>8</w:t>
        </w:r>
        <w:r w:rsidRPr="00797379">
          <w:rPr>
            <w:noProof/>
            <w:webHidden/>
          </w:rPr>
          <w:fldChar w:fldCharType="end"/>
        </w:r>
      </w:hyperlink>
    </w:p>
    <w:p w14:paraId="7E3BD20D" w14:textId="2243F450" w:rsidR="00730093" w:rsidRPr="00797379" w:rsidRDefault="00730093">
      <w:pPr>
        <w:pStyle w:val="TOC1"/>
        <w:rPr>
          <w:rFonts w:eastAsiaTheme="minorEastAsia"/>
          <w:noProof/>
          <w:kern w:val="2"/>
          <w:sz w:val="24"/>
          <w:szCs w:val="24"/>
          <w14:ligatures w14:val="standardContextual"/>
        </w:rPr>
      </w:pPr>
      <w:hyperlink w:anchor="_Toc220933520" w:history="1">
        <w:r w:rsidRPr="00797379">
          <w:rPr>
            <w:rStyle w:val="Hyperlink"/>
            <w:noProof/>
          </w:rPr>
          <w:t>Table E17. Five-Year Cohort Graduation Rates by Student Group, 2021-2023</w:t>
        </w:r>
        <w:r w:rsidRPr="00797379">
          <w:rPr>
            <w:noProof/>
            <w:webHidden/>
          </w:rPr>
          <w:tab/>
        </w:r>
        <w:r w:rsidR="00532BDF" w:rsidRPr="00797379">
          <w:rPr>
            <w:noProof/>
            <w:webHidden/>
          </w:rPr>
          <w:t>E-</w:t>
        </w:r>
        <w:r w:rsidRPr="00797379">
          <w:rPr>
            <w:noProof/>
            <w:webHidden/>
          </w:rPr>
          <w:fldChar w:fldCharType="begin"/>
        </w:r>
        <w:r w:rsidRPr="00797379">
          <w:rPr>
            <w:noProof/>
            <w:webHidden/>
          </w:rPr>
          <w:instrText xml:space="preserve"> PAGEREF _Toc220933520 \h </w:instrText>
        </w:r>
        <w:r w:rsidRPr="00797379">
          <w:rPr>
            <w:noProof/>
            <w:webHidden/>
          </w:rPr>
        </w:r>
        <w:r w:rsidRPr="00797379">
          <w:rPr>
            <w:noProof/>
            <w:webHidden/>
          </w:rPr>
          <w:fldChar w:fldCharType="separate"/>
        </w:r>
        <w:r w:rsidR="00FB5414">
          <w:rPr>
            <w:noProof/>
            <w:webHidden/>
          </w:rPr>
          <w:t>9</w:t>
        </w:r>
        <w:r w:rsidRPr="00797379">
          <w:rPr>
            <w:noProof/>
            <w:webHidden/>
          </w:rPr>
          <w:fldChar w:fldCharType="end"/>
        </w:r>
      </w:hyperlink>
    </w:p>
    <w:p w14:paraId="57F6314F" w14:textId="4D24009D" w:rsidR="00730093" w:rsidRPr="00797379" w:rsidRDefault="00730093">
      <w:pPr>
        <w:pStyle w:val="TOC1"/>
        <w:rPr>
          <w:rFonts w:eastAsiaTheme="minorEastAsia"/>
          <w:noProof/>
          <w:kern w:val="2"/>
          <w:sz w:val="24"/>
          <w:szCs w:val="24"/>
          <w14:ligatures w14:val="standardContextual"/>
        </w:rPr>
      </w:pPr>
      <w:hyperlink w:anchor="_Toc220933521" w:history="1">
        <w:r w:rsidRPr="00797379">
          <w:rPr>
            <w:rStyle w:val="Hyperlink"/>
            <w:noProof/>
          </w:rPr>
          <w:t>Table E18. Annual Dropout Rates by Student Group, 2022-2024</w:t>
        </w:r>
        <w:r w:rsidRPr="00797379">
          <w:rPr>
            <w:noProof/>
            <w:webHidden/>
          </w:rPr>
          <w:tab/>
        </w:r>
        <w:r w:rsidR="00532BDF" w:rsidRPr="00797379">
          <w:rPr>
            <w:noProof/>
            <w:webHidden/>
          </w:rPr>
          <w:t>E-</w:t>
        </w:r>
        <w:r w:rsidRPr="00797379">
          <w:rPr>
            <w:noProof/>
            <w:webHidden/>
          </w:rPr>
          <w:fldChar w:fldCharType="begin"/>
        </w:r>
        <w:r w:rsidRPr="00797379">
          <w:rPr>
            <w:noProof/>
            <w:webHidden/>
          </w:rPr>
          <w:instrText xml:space="preserve"> PAGEREF _Toc220933521 \h </w:instrText>
        </w:r>
        <w:r w:rsidRPr="00797379">
          <w:rPr>
            <w:noProof/>
            <w:webHidden/>
          </w:rPr>
        </w:r>
        <w:r w:rsidRPr="00797379">
          <w:rPr>
            <w:noProof/>
            <w:webHidden/>
          </w:rPr>
          <w:fldChar w:fldCharType="separate"/>
        </w:r>
        <w:r w:rsidR="00FB5414">
          <w:rPr>
            <w:noProof/>
            <w:webHidden/>
          </w:rPr>
          <w:t>9</w:t>
        </w:r>
        <w:r w:rsidRPr="00797379">
          <w:rPr>
            <w:noProof/>
            <w:webHidden/>
          </w:rPr>
          <w:fldChar w:fldCharType="end"/>
        </w:r>
      </w:hyperlink>
    </w:p>
    <w:p w14:paraId="1ACE95D1" w14:textId="6EE24C78" w:rsidR="00730093" w:rsidRPr="00797379" w:rsidRDefault="00730093">
      <w:pPr>
        <w:pStyle w:val="TOC1"/>
        <w:rPr>
          <w:rFonts w:eastAsiaTheme="minorEastAsia"/>
          <w:noProof/>
          <w:kern w:val="2"/>
          <w:sz w:val="24"/>
          <w:szCs w:val="24"/>
          <w14:ligatures w14:val="standardContextual"/>
        </w:rPr>
      </w:pPr>
      <w:hyperlink w:anchor="_Toc220933522" w:history="1">
        <w:r w:rsidRPr="00797379">
          <w:rPr>
            <w:rStyle w:val="Hyperlink"/>
            <w:noProof/>
          </w:rPr>
          <w:t>Table E19. In-School Suspension Rates by Student Group, 2022-2024</w:t>
        </w:r>
        <w:r w:rsidRPr="00797379">
          <w:rPr>
            <w:noProof/>
            <w:webHidden/>
          </w:rPr>
          <w:tab/>
        </w:r>
        <w:r w:rsidR="00532BDF" w:rsidRPr="00797379">
          <w:rPr>
            <w:noProof/>
            <w:webHidden/>
          </w:rPr>
          <w:t>E-</w:t>
        </w:r>
        <w:r w:rsidRPr="00797379">
          <w:rPr>
            <w:noProof/>
            <w:webHidden/>
          </w:rPr>
          <w:fldChar w:fldCharType="begin"/>
        </w:r>
        <w:r w:rsidRPr="00797379">
          <w:rPr>
            <w:noProof/>
            <w:webHidden/>
          </w:rPr>
          <w:instrText xml:space="preserve"> PAGEREF _Toc220933522 \h </w:instrText>
        </w:r>
        <w:r w:rsidRPr="00797379">
          <w:rPr>
            <w:noProof/>
            <w:webHidden/>
          </w:rPr>
        </w:r>
        <w:r w:rsidRPr="00797379">
          <w:rPr>
            <w:noProof/>
            <w:webHidden/>
          </w:rPr>
          <w:fldChar w:fldCharType="separate"/>
        </w:r>
        <w:r w:rsidR="00FB5414">
          <w:rPr>
            <w:noProof/>
            <w:webHidden/>
          </w:rPr>
          <w:t>10</w:t>
        </w:r>
        <w:r w:rsidRPr="00797379">
          <w:rPr>
            <w:noProof/>
            <w:webHidden/>
          </w:rPr>
          <w:fldChar w:fldCharType="end"/>
        </w:r>
      </w:hyperlink>
    </w:p>
    <w:p w14:paraId="02563EE8" w14:textId="37A01599" w:rsidR="00730093" w:rsidRPr="00797379" w:rsidRDefault="00730093">
      <w:pPr>
        <w:pStyle w:val="TOC1"/>
        <w:rPr>
          <w:rFonts w:eastAsiaTheme="minorEastAsia"/>
          <w:noProof/>
          <w:kern w:val="2"/>
          <w:sz w:val="24"/>
          <w:szCs w:val="24"/>
          <w14:ligatures w14:val="standardContextual"/>
        </w:rPr>
      </w:pPr>
      <w:hyperlink w:anchor="_Toc220933523" w:history="1">
        <w:r w:rsidRPr="00797379">
          <w:rPr>
            <w:rStyle w:val="Hyperlink"/>
            <w:noProof/>
          </w:rPr>
          <w:t>Table E20. Out-of-School Suspension Rates by Student Group, 2022-2024</w:t>
        </w:r>
        <w:r w:rsidRPr="00797379">
          <w:rPr>
            <w:noProof/>
            <w:webHidden/>
          </w:rPr>
          <w:tab/>
        </w:r>
        <w:r w:rsidR="00532BDF" w:rsidRPr="00797379">
          <w:rPr>
            <w:noProof/>
            <w:webHidden/>
          </w:rPr>
          <w:t>E-</w:t>
        </w:r>
        <w:r w:rsidRPr="00797379">
          <w:rPr>
            <w:noProof/>
            <w:webHidden/>
          </w:rPr>
          <w:fldChar w:fldCharType="begin"/>
        </w:r>
        <w:r w:rsidRPr="00797379">
          <w:rPr>
            <w:noProof/>
            <w:webHidden/>
          </w:rPr>
          <w:instrText xml:space="preserve"> PAGEREF _Toc220933523 \h </w:instrText>
        </w:r>
        <w:r w:rsidRPr="00797379">
          <w:rPr>
            <w:noProof/>
            <w:webHidden/>
          </w:rPr>
        </w:r>
        <w:r w:rsidRPr="00797379">
          <w:rPr>
            <w:noProof/>
            <w:webHidden/>
          </w:rPr>
          <w:fldChar w:fldCharType="separate"/>
        </w:r>
        <w:r w:rsidR="00FB5414">
          <w:rPr>
            <w:noProof/>
            <w:webHidden/>
          </w:rPr>
          <w:t>10</w:t>
        </w:r>
        <w:r w:rsidRPr="00797379">
          <w:rPr>
            <w:noProof/>
            <w:webHidden/>
          </w:rPr>
          <w:fldChar w:fldCharType="end"/>
        </w:r>
      </w:hyperlink>
    </w:p>
    <w:p w14:paraId="41B804CD" w14:textId="0A58228C" w:rsidR="00730093" w:rsidRPr="00797379" w:rsidRDefault="00730093">
      <w:pPr>
        <w:pStyle w:val="TOC1"/>
        <w:rPr>
          <w:rFonts w:eastAsiaTheme="minorEastAsia"/>
          <w:noProof/>
          <w:kern w:val="2"/>
          <w:sz w:val="24"/>
          <w:szCs w:val="24"/>
          <w14:ligatures w14:val="standardContextual"/>
        </w:rPr>
      </w:pPr>
      <w:hyperlink w:anchor="_Toc220933524" w:history="1">
        <w:r w:rsidRPr="00797379">
          <w:rPr>
            <w:rStyle w:val="Hyperlink"/>
            <w:noProof/>
          </w:rPr>
          <w:t>Table E21. Advanced Coursework Completion Rates by Student Group, 2023-2025</w:t>
        </w:r>
        <w:r w:rsidRPr="00797379">
          <w:rPr>
            <w:noProof/>
            <w:webHidden/>
          </w:rPr>
          <w:tab/>
        </w:r>
        <w:r w:rsidR="00532BDF" w:rsidRPr="00797379">
          <w:rPr>
            <w:noProof/>
            <w:webHidden/>
          </w:rPr>
          <w:t>E-</w:t>
        </w:r>
        <w:r w:rsidRPr="00797379">
          <w:rPr>
            <w:noProof/>
            <w:webHidden/>
          </w:rPr>
          <w:fldChar w:fldCharType="begin"/>
        </w:r>
        <w:r w:rsidRPr="00797379">
          <w:rPr>
            <w:noProof/>
            <w:webHidden/>
          </w:rPr>
          <w:instrText xml:space="preserve"> PAGEREF _Toc220933524 \h </w:instrText>
        </w:r>
        <w:r w:rsidRPr="00797379">
          <w:rPr>
            <w:noProof/>
            <w:webHidden/>
          </w:rPr>
        </w:r>
        <w:r w:rsidRPr="00797379">
          <w:rPr>
            <w:noProof/>
            <w:webHidden/>
          </w:rPr>
          <w:fldChar w:fldCharType="separate"/>
        </w:r>
        <w:r w:rsidR="00FB5414">
          <w:rPr>
            <w:noProof/>
            <w:webHidden/>
          </w:rPr>
          <w:t>11</w:t>
        </w:r>
        <w:r w:rsidRPr="00797379">
          <w:rPr>
            <w:noProof/>
            <w:webHidden/>
          </w:rPr>
          <w:fldChar w:fldCharType="end"/>
        </w:r>
      </w:hyperlink>
    </w:p>
    <w:p w14:paraId="4B9D00FE" w14:textId="282D6135" w:rsidR="00730093" w:rsidRPr="00797379" w:rsidRDefault="00730093">
      <w:pPr>
        <w:pStyle w:val="TOC1"/>
        <w:rPr>
          <w:rFonts w:eastAsiaTheme="minorEastAsia"/>
          <w:noProof/>
          <w:kern w:val="2"/>
          <w:sz w:val="24"/>
          <w:szCs w:val="24"/>
          <w14:ligatures w14:val="standardContextual"/>
        </w:rPr>
      </w:pPr>
      <w:hyperlink w:anchor="_Toc220933525" w:history="1">
        <w:r w:rsidRPr="00797379">
          <w:rPr>
            <w:rStyle w:val="Hyperlink"/>
            <w:noProof/>
          </w:rPr>
          <w:t>Table E22. Accountability Results, 2025</w:t>
        </w:r>
        <w:r w:rsidRPr="00797379">
          <w:rPr>
            <w:noProof/>
            <w:webHidden/>
          </w:rPr>
          <w:tab/>
        </w:r>
        <w:r w:rsidR="00532BDF" w:rsidRPr="00797379">
          <w:rPr>
            <w:noProof/>
            <w:webHidden/>
          </w:rPr>
          <w:t>E-</w:t>
        </w:r>
        <w:r w:rsidRPr="00797379">
          <w:rPr>
            <w:noProof/>
            <w:webHidden/>
          </w:rPr>
          <w:fldChar w:fldCharType="begin"/>
        </w:r>
        <w:r w:rsidRPr="00797379">
          <w:rPr>
            <w:noProof/>
            <w:webHidden/>
          </w:rPr>
          <w:instrText xml:space="preserve"> PAGEREF _Toc220933525 \h </w:instrText>
        </w:r>
        <w:r w:rsidRPr="00797379">
          <w:rPr>
            <w:noProof/>
            <w:webHidden/>
          </w:rPr>
        </w:r>
        <w:r w:rsidRPr="00797379">
          <w:rPr>
            <w:noProof/>
            <w:webHidden/>
          </w:rPr>
          <w:fldChar w:fldCharType="separate"/>
        </w:r>
        <w:r w:rsidR="00FB5414">
          <w:rPr>
            <w:noProof/>
            <w:webHidden/>
          </w:rPr>
          <w:t>11</w:t>
        </w:r>
        <w:r w:rsidRPr="00797379">
          <w:rPr>
            <w:noProof/>
            <w:webHidden/>
          </w:rPr>
          <w:fldChar w:fldCharType="end"/>
        </w:r>
      </w:hyperlink>
    </w:p>
    <w:p w14:paraId="462C9E39" w14:textId="2E54981C" w:rsidR="00B70F71" w:rsidRDefault="0068153B" w:rsidP="007303EE">
      <w:pPr>
        <w:pStyle w:val="BodyText"/>
        <w:sectPr w:rsidR="00B70F71" w:rsidSect="006A41AF">
          <w:footerReference w:type="default" r:id="rId73"/>
          <w:headerReference w:type="first" r:id="rId74"/>
          <w:type w:val="continuous"/>
          <w:pgSz w:w="12240" w:h="15840"/>
          <w:pgMar w:top="1440" w:right="1440" w:bottom="1440" w:left="1440" w:header="720" w:footer="720" w:gutter="0"/>
          <w:pgNumType w:start="1"/>
          <w:cols w:space="720"/>
          <w:docGrid w:linePitch="360"/>
        </w:sectPr>
      </w:pPr>
      <w:r w:rsidRPr="00797379">
        <w:fldChar w:fldCharType="end"/>
      </w:r>
      <w:r w:rsidR="007303EE" w:rsidRPr="00797379">
        <w:br w:type="page"/>
      </w:r>
    </w:p>
    <w:p w14:paraId="12580E2C" w14:textId="2CD17A6E" w:rsidR="007303EE" w:rsidRPr="00797379" w:rsidRDefault="007303EE" w:rsidP="006C2038">
      <w:pPr>
        <w:pStyle w:val="TableETitles"/>
      </w:pPr>
      <w:r w:rsidRPr="00797379">
        <w:t>Table E1. MCAS ELA Achievement by Student Group, Grades 3-8, 2023-2025</w:t>
      </w:r>
      <w:bookmarkEnd w:id="238"/>
    </w:p>
    <w:tbl>
      <w:tblPr>
        <w:tblStyle w:val="MSVTable1"/>
        <w:tblW w:w="5000" w:type="pct"/>
        <w:tblLayout w:type="fixed"/>
        <w:tblLook w:val="0420" w:firstRow="1" w:lastRow="0" w:firstColumn="0" w:lastColumn="0" w:noHBand="0" w:noVBand="1"/>
      </w:tblPr>
      <w:tblGrid>
        <w:gridCol w:w="3053"/>
        <w:gridCol w:w="899"/>
        <w:gridCol w:w="749"/>
        <w:gridCol w:w="748"/>
        <w:gridCol w:w="751"/>
        <w:gridCol w:w="748"/>
        <w:gridCol w:w="751"/>
        <w:gridCol w:w="748"/>
        <w:gridCol w:w="748"/>
        <w:gridCol w:w="751"/>
        <w:gridCol w:w="748"/>
        <w:gridCol w:w="751"/>
        <w:gridCol w:w="748"/>
        <w:gridCol w:w="751"/>
      </w:tblGrid>
      <w:tr w:rsidR="007303EE" w:rsidRPr="00797379" w14:paraId="34F72B51" w14:textId="77777777" w:rsidTr="00132A03">
        <w:trPr>
          <w:cnfStyle w:val="100000000000" w:firstRow="1" w:lastRow="0" w:firstColumn="0" w:lastColumn="0" w:oddVBand="0" w:evenVBand="0" w:oddHBand="0" w:evenHBand="0" w:firstRowFirstColumn="0" w:firstRowLastColumn="0" w:lastRowFirstColumn="0" w:lastRowLastColumn="0"/>
          <w:tblHeader/>
        </w:trPr>
        <w:tc>
          <w:tcPr>
            <w:tcW w:w="1179" w:type="pct"/>
            <w:tcMar>
              <w:left w:w="29" w:type="dxa"/>
              <w:right w:w="29" w:type="dxa"/>
            </w:tcMar>
            <w:vAlign w:val="center"/>
          </w:tcPr>
          <w:p w14:paraId="5724753D" w14:textId="77777777" w:rsidR="007303EE" w:rsidRPr="00797379" w:rsidRDefault="007303EE" w:rsidP="00126FA1">
            <w:pPr>
              <w:pStyle w:val="TableColHeadingCenter"/>
            </w:pPr>
            <w:r w:rsidRPr="00797379">
              <w:t>Group</w:t>
            </w:r>
          </w:p>
        </w:tc>
        <w:tc>
          <w:tcPr>
            <w:tcW w:w="347" w:type="pct"/>
            <w:tcMar>
              <w:left w:w="29" w:type="dxa"/>
              <w:right w:w="29" w:type="dxa"/>
            </w:tcMar>
            <w:vAlign w:val="center"/>
          </w:tcPr>
          <w:p w14:paraId="2CB29B66" w14:textId="77777777" w:rsidR="007303EE" w:rsidRPr="00797379" w:rsidRDefault="007303EE" w:rsidP="00126FA1">
            <w:pPr>
              <w:pStyle w:val="TableColHeadingCenter"/>
            </w:pPr>
            <w:r w:rsidRPr="00797379">
              <w:t># Included (2025)</w:t>
            </w:r>
          </w:p>
        </w:tc>
        <w:tc>
          <w:tcPr>
            <w:tcW w:w="289" w:type="pct"/>
            <w:tcMar>
              <w:left w:w="29" w:type="dxa"/>
              <w:right w:w="29" w:type="dxa"/>
            </w:tcMar>
            <w:vAlign w:val="center"/>
          </w:tcPr>
          <w:p w14:paraId="5B0063A8" w14:textId="77777777" w:rsidR="007303EE" w:rsidRPr="00797379" w:rsidRDefault="007303EE" w:rsidP="00126FA1">
            <w:pPr>
              <w:pStyle w:val="TableColHeadingCenter"/>
            </w:pPr>
            <w:r w:rsidRPr="00797379">
              <w:t>% M/E 2023</w:t>
            </w:r>
          </w:p>
        </w:tc>
        <w:tc>
          <w:tcPr>
            <w:tcW w:w="289" w:type="pct"/>
            <w:tcMar>
              <w:left w:w="29" w:type="dxa"/>
              <w:right w:w="29" w:type="dxa"/>
            </w:tcMar>
            <w:vAlign w:val="center"/>
          </w:tcPr>
          <w:p w14:paraId="38FC0870" w14:textId="77777777" w:rsidR="007303EE" w:rsidRPr="00797379" w:rsidRDefault="007303EE" w:rsidP="00126FA1">
            <w:pPr>
              <w:pStyle w:val="TableColHeadingCenter"/>
            </w:pPr>
            <w:r w:rsidRPr="00797379">
              <w:t>% M/E 2024</w:t>
            </w:r>
          </w:p>
        </w:tc>
        <w:tc>
          <w:tcPr>
            <w:tcW w:w="290" w:type="pct"/>
            <w:tcMar>
              <w:left w:w="29" w:type="dxa"/>
              <w:right w:w="29" w:type="dxa"/>
            </w:tcMar>
            <w:vAlign w:val="center"/>
          </w:tcPr>
          <w:p w14:paraId="37DC7373" w14:textId="77777777" w:rsidR="007303EE" w:rsidRPr="00797379" w:rsidRDefault="007303EE" w:rsidP="00126FA1">
            <w:pPr>
              <w:pStyle w:val="TableColHeadingCenter"/>
            </w:pPr>
            <w:r w:rsidRPr="00797379">
              <w:t>% M/E 2025</w:t>
            </w:r>
          </w:p>
        </w:tc>
        <w:tc>
          <w:tcPr>
            <w:tcW w:w="289" w:type="pct"/>
            <w:tcMar>
              <w:left w:w="29" w:type="dxa"/>
              <w:right w:w="29" w:type="dxa"/>
            </w:tcMar>
            <w:vAlign w:val="center"/>
          </w:tcPr>
          <w:p w14:paraId="1F45D68D" w14:textId="77777777" w:rsidR="007303EE" w:rsidRPr="00797379" w:rsidRDefault="007303EE" w:rsidP="00126FA1">
            <w:pPr>
              <w:pStyle w:val="TableColHeadingCenter"/>
            </w:pPr>
            <w:r w:rsidRPr="00797379">
              <w:t>% M/E 2025 State</w:t>
            </w:r>
          </w:p>
        </w:tc>
        <w:tc>
          <w:tcPr>
            <w:tcW w:w="290" w:type="pct"/>
            <w:tcMar>
              <w:left w:w="29" w:type="dxa"/>
              <w:right w:w="29" w:type="dxa"/>
            </w:tcMar>
            <w:vAlign w:val="center"/>
          </w:tcPr>
          <w:p w14:paraId="5544958B" w14:textId="77777777" w:rsidR="007303EE" w:rsidRPr="00797379" w:rsidRDefault="007303EE" w:rsidP="00126FA1">
            <w:pPr>
              <w:pStyle w:val="TableColHeadingCenter"/>
            </w:pPr>
            <w:r w:rsidRPr="00797379">
              <w:t>% PME 2023</w:t>
            </w:r>
          </w:p>
        </w:tc>
        <w:tc>
          <w:tcPr>
            <w:tcW w:w="289" w:type="pct"/>
            <w:tcMar>
              <w:left w:w="29" w:type="dxa"/>
              <w:right w:w="29" w:type="dxa"/>
            </w:tcMar>
            <w:vAlign w:val="center"/>
          </w:tcPr>
          <w:p w14:paraId="4329E9C9" w14:textId="77777777" w:rsidR="007303EE" w:rsidRPr="00797379" w:rsidRDefault="007303EE" w:rsidP="00126FA1">
            <w:pPr>
              <w:pStyle w:val="TableColHeadingCenter"/>
            </w:pPr>
            <w:r w:rsidRPr="00797379">
              <w:t>% PME 2024</w:t>
            </w:r>
          </w:p>
        </w:tc>
        <w:tc>
          <w:tcPr>
            <w:tcW w:w="289" w:type="pct"/>
            <w:tcMar>
              <w:left w:w="29" w:type="dxa"/>
              <w:right w:w="29" w:type="dxa"/>
            </w:tcMar>
            <w:vAlign w:val="center"/>
          </w:tcPr>
          <w:p w14:paraId="39FA9A43" w14:textId="77777777" w:rsidR="007303EE" w:rsidRPr="00797379" w:rsidRDefault="007303EE" w:rsidP="00126FA1">
            <w:pPr>
              <w:pStyle w:val="TableColHeadingCenter"/>
            </w:pPr>
            <w:r w:rsidRPr="00797379">
              <w:t>% PME 2025</w:t>
            </w:r>
          </w:p>
        </w:tc>
        <w:tc>
          <w:tcPr>
            <w:tcW w:w="290" w:type="pct"/>
            <w:tcMar>
              <w:left w:w="29" w:type="dxa"/>
              <w:right w:w="29" w:type="dxa"/>
            </w:tcMar>
            <w:vAlign w:val="center"/>
          </w:tcPr>
          <w:p w14:paraId="5DFCD8CD" w14:textId="77777777" w:rsidR="007303EE" w:rsidRPr="00797379" w:rsidRDefault="007303EE" w:rsidP="00126FA1">
            <w:pPr>
              <w:pStyle w:val="TableColHeadingCenter"/>
            </w:pPr>
            <w:r w:rsidRPr="00797379">
              <w:t>% PME 2025 State</w:t>
            </w:r>
          </w:p>
        </w:tc>
        <w:tc>
          <w:tcPr>
            <w:tcW w:w="289" w:type="pct"/>
            <w:tcMar>
              <w:left w:w="29" w:type="dxa"/>
              <w:right w:w="29" w:type="dxa"/>
            </w:tcMar>
            <w:vAlign w:val="center"/>
          </w:tcPr>
          <w:p w14:paraId="48160FDB" w14:textId="77777777" w:rsidR="007303EE" w:rsidRPr="00797379" w:rsidRDefault="007303EE" w:rsidP="00126FA1">
            <w:pPr>
              <w:pStyle w:val="TableColHeadingCenter"/>
            </w:pPr>
            <w:r w:rsidRPr="00797379">
              <w:t>% NM 2023</w:t>
            </w:r>
          </w:p>
        </w:tc>
        <w:tc>
          <w:tcPr>
            <w:tcW w:w="290" w:type="pct"/>
            <w:tcMar>
              <w:left w:w="29" w:type="dxa"/>
              <w:right w:w="29" w:type="dxa"/>
            </w:tcMar>
            <w:vAlign w:val="center"/>
          </w:tcPr>
          <w:p w14:paraId="116B272B" w14:textId="77777777" w:rsidR="007303EE" w:rsidRPr="00797379" w:rsidRDefault="007303EE" w:rsidP="00126FA1">
            <w:pPr>
              <w:pStyle w:val="TableColHeadingCenter"/>
            </w:pPr>
            <w:r w:rsidRPr="00797379">
              <w:t>% NM 2024</w:t>
            </w:r>
          </w:p>
        </w:tc>
        <w:tc>
          <w:tcPr>
            <w:tcW w:w="289" w:type="pct"/>
            <w:tcMar>
              <w:left w:w="29" w:type="dxa"/>
              <w:right w:w="29" w:type="dxa"/>
            </w:tcMar>
            <w:vAlign w:val="center"/>
          </w:tcPr>
          <w:p w14:paraId="56CA5198" w14:textId="77777777" w:rsidR="007303EE" w:rsidRPr="00797379" w:rsidRDefault="007303EE" w:rsidP="00126FA1">
            <w:pPr>
              <w:pStyle w:val="TableColHeadingCenter"/>
            </w:pPr>
            <w:r w:rsidRPr="00797379">
              <w:t>% NM 2025</w:t>
            </w:r>
          </w:p>
        </w:tc>
        <w:tc>
          <w:tcPr>
            <w:tcW w:w="290" w:type="pct"/>
            <w:tcMar>
              <w:left w:w="29" w:type="dxa"/>
              <w:right w:w="29" w:type="dxa"/>
            </w:tcMar>
            <w:vAlign w:val="center"/>
          </w:tcPr>
          <w:p w14:paraId="2AA91E2B" w14:textId="77777777" w:rsidR="007303EE" w:rsidRPr="00797379" w:rsidRDefault="007303EE" w:rsidP="00126FA1">
            <w:pPr>
              <w:pStyle w:val="TableColHeadingCenter"/>
            </w:pPr>
            <w:r w:rsidRPr="00797379">
              <w:t>% NM 2025 State</w:t>
            </w:r>
          </w:p>
        </w:tc>
      </w:tr>
      <w:tr w:rsidR="007303EE" w:rsidRPr="00797379" w14:paraId="5A78DF83" w14:textId="77777777" w:rsidTr="000B5510">
        <w:trPr>
          <w:cnfStyle w:val="000000100000" w:firstRow="0" w:lastRow="0" w:firstColumn="0" w:lastColumn="0" w:oddVBand="0" w:evenVBand="0" w:oddHBand="1" w:evenHBand="0" w:firstRowFirstColumn="0" w:firstRowLastColumn="0" w:lastRowFirstColumn="0" w:lastRowLastColumn="0"/>
          <w:trHeight w:val="129"/>
        </w:trPr>
        <w:tc>
          <w:tcPr>
            <w:tcW w:w="1179" w:type="pct"/>
          </w:tcPr>
          <w:p w14:paraId="09459826" w14:textId="77777777" w:rsidR="007303EE" w:rsidRPr="00B70F71" w:rsidRDefault="007303EE" w:rsidP="00F5225F">
            <w:pPr>
              <w:pStyle w:val="TableSubheading"/>
              <w:spacing w:before="0" w:after="0"/>
              <w:rPr>
                <w:rFonts w:asciiTheme="minorHAnsi" w:hAnsiTheme="minorHAnsi"/>
              </w:rPr>
            </w:pPr>
            <w:bookmarkStart w:id="240" w:name="_Hlk204602703"/>
            <w:r w:rsidRPr="00B70F71">
              <w:rPr>
                <w:rFonts w:asciiTheme="minorHAnsi" w:hAnsiTheme="minorHAnsi"/>
              </w:rPr>
              <w:t>All Students</w:t>
            </w:r>
          </w:p>
        </w:tc>
        <w:tc>
          <w:tcPr>
            <w:tcW w:w="347" w:type="pct"/>
            <w:vAlign w:val="center"/>
          </w:tcPr>
          <w:p w14:paraId="4DEA957D" w14:textId="77777777" w:rsidR="007303EE" w:rsidRPr="00797379" w:rsidRDefault="007303EE" w:rsidP="00F5225F">
            <w:pPr>
              <w:pStyle w:val="TableTextCentered"/>
              <w:spacing w:before="0" w:after="0"/>
            </w:pPr>
            <w:r w:rsidRPr="00797379">
              <w:t>2,033</w:t>
            </w:r>
          </w:p>
        </w:tc>
        <w:tc>
          <w:tcPr>
            <w:tcW w:w="289" w:type="pct"/>
            <w:vAlign w:val="center"/>
          </w:tcPr>
          <w:p w14:paraId="3B75B247" w14:textId="77777777" w:rsidR="007303EE" w:rsidRPr="00797379" w:rsidRDefault="007303EE" w:rsidP="00F5225F">
            <w:pPr>
              <w:pStyle w:val="TableTextCentered"/>
              <w:spacing w:before="0" w:after="0"/>
            </w:pPr>
            <w:r w:rsidRPr="00797379">
              <w:t>69</w:t>
            </w:r>
          </w:p>
        </w:tc>
        <w:tc>
          <w:tcPr>
            <w:tcW w:w="289" w:type="pct"/>
            <w:vAlign w:val="center"/>
          </w:tcPr>
          <w:p w14:paraId="2D452DC7" w14:textId="77777777" w:rsidR="007303EE" w:rsidRPr="00797379" w:rsidRDefault="007303EE" w:rsidP="00F5225F">
            <w:pPr>
              <w:pStyle w:val="TableTextCentered"/>
              <w:spacing w:before="0" w:after="0"/>
            </w:pPr>
            <w:r w:rsidRPr="00797379">
              <w:t>66</w:t>
            </w:r>
          </w:p>
        </w:tc>
        <w:tc>
          <w:tcPr>
            <w:tcW w:w="290" w:type="pct"/>
            <w:vAlign w:val="center"/>
          </w:tcPr>
          <w:p w14:paraId="51F9F8EB" w14:textId="77777777" w:rsidR="007303EE" w:rsidRPr="00797379" w:rsidRDefault="007303EE" w:rsidP="00F5225F">
            <w:pPr>
              <w:pStyle w:val="TableTextCentered"/>
              <w:spacing w:before="0" w:after="0"/>
            </w:pPr>
            <w:r w:rsidRPr="00797379">
              <w:t>71</w:t>
            </w:r>
          </w:p>
        </w:tc>
        <w:tc>
          <w:tcPr>
            <w:tcW w:w="289" w:type="pct"/>
            <w:vAlign w:val="center"/>
          </w:tcPr>
          <w:p w14:paraId="7DCF301A" w14:textId="77777777" w:rsidR="007303EE" w:rsidRPr="00797379" w:rsidRDefault="007303EE" w:rsidP="00F5225F">
            <w:pPr>
              <w:pStyle w:val="TableTextCentered"/>
              <w:spacing w:before="0" w:after="0"/>
            </w:pPr>
            <w:r w:rsidRPr="00797379">
              <w:t>42</w:t>
            </w:r>
          </w:p>
        </w:tc>
        <w:tc>
          <w:tcPr>
            <w:tcW w:w="290" w:type="pct"/>
            <w:vAlign w:val="center"/>
          </w:tcPr>
          <w:p w14:paraId="10754265" w14:textId="77777777" w:rsidR="007303EE" w:rsidRPr="00797379" w:rsidRDefault="007303EE" w:rsidP="00F5225F">
            <w:pPr>
              <w:pStyle w:val="TableTextCentered"/>
              <w:spacing w:before="0" w:after="0"/>
            </w:pPr>
            <w:r w:rsidRPr="00797379">
              <w:t>27</w:t>
            </w:r>
          </w:p>
        </w:tc>
        <w:tc>
          <w:tcPr>
            <w:tcW w:w="289" w:type="pct"/>
            <w:vAlign w:val="center"/>
          </w:tcPr>
          <w:p w14:paraId="7D80D45C" w14:textId="77777777" w:rsidR="007303EE" w:rsidRPr="00797379" w:rsidRDefault="007303EE" w:rsidP="00F5225F">
            <w:pPr>
              <w:pStyle w:val="TableTextCentered"/>
              <w:spacing w:before="0" w:after="0"/>
            </w:pPr>
            <w:r w:rsidRPr="00797379">
              <w:t>29</w:t>
            </w:r>
          </w:p>
        </w:tc>
        <w:tc>
          <w:tcPr>
            <w:tcW w:w="289" w:type="pct"/>
            <w:vAlign w:val="center"/>
          </w:tcPr>
          <w:p w14:paraId="525FCC0D" w14:textId="77777777" w:rsidR="007303EE" w:rsidRPr="00797379" w:rsidRDefault="007303EE" w:rsidP="00F5225F">
            <w:pPr>
              <w:pStyle w:val="TableTextCentered"/>
              <w:spacing w:before="0" w:after="0"/>
            </w:pPr>
            <w:r w:rsidRPr="00797379">
              <w:t>24</w:t>
            </w:r>
          </w:p>
        </w:tc>
        <w:tc>
          <w:tcPr>
            <w:tcW w:w="290" w:type="pct"/>
            <w:vAlign w:val="center"/>
          </w:tcPr>
          <w:p w14:paraId="4023E7AA" w14:textId="77777777" w:rsidR="007303EE" w:rsidRPr="00797379" w:rsidRDefault="007303EE" w:rsidP="00F5225F">
            <w:pPr>
              <w:pStyle w:val="TableTextCentered"/>
              <w:spacing w:before="0" w:after="0"/>
            </w:pPr>
            <w:r w:rsidRPr="00797379">
              <w:t>39</w:t>
            </w:r>
          </w:p>
        </w:tc>
        <w:tc>
          <w:tcPr>
            <w:tcW w:w="289" w:type="pct"/>
            <w:vAlign w:val="center"/>
          </w:tcPr>
          <w:p w14:paraId="3C7B2F89" w14:textId="77777777" w:rsidR="007303EE" w:rsidRPr="00797379" w:rsidRDefault="007303EE" w:rsidP="00F5225F">
            <w:pPr>
              <w:pStyle w:val="TableTextCentered"/>
              <w:spacing w:before="0" w:after="0"/>
            </w:pPr>
            <w:r w:rsidRPr="00797379">
              <w:t>5</w:t>
            </w:r>
          </w:p>
        </w:tc>
        <w:tc>
          <w:tcPr>
            <w:tcW w:w="290" w:type="pct"/>
            <w:vAlign w:val="center"/>
          </w:tcPr>
          <w:p w14:paraId="5CDB7F3F" w14:textId="77777777" w:rsidR="007303EE" w:rsidRPr="00797379" w:rsidRDefault="007303EE" w:rsidP="00F5225F">
            <w:pPr>
              <w:pStyle w:val="TableTextCentered"/>
              <w:spacing w:before="0" w:after="0"/>
            </w:pPr>
            <w:r w:rsidRPr="00797379">
              <w:t>5</w:t>
            </w:r>
          </w:p>
        </w:tc>
        <w:tc>
          <w:tcPr>
            <w:tcW w:w="289" w:type="pct"/>
            <w:vAlign w:val="center"/>
          </w:tcPr>
          <w:p w14:paraId="6BAD83FA" w14:textId="77777777" w:rsidR="007303EE" w:rsidRPr="00797379" w:rsidRDefault="007303EE" w:rsidP="00F5225F">
            <w:pPr>
              <w:pStyle w:val="TableTextCentered"/>
              <w:spacing w:before="0" w:after="0"/>
            </w:pPr>
            <w:r w:rsidRPr="00797379">
              <w:t>5</w:t>
            </w:r>
          </w:p>
        </w:tc>
        <w:tc>
          <w:tcPr>
            <w:tcW w:w="290" w:type="pct"/>
            <w:vAlign w:val="center"/>
          </w:tcPr>
          <w:p w14:paraId="7AAD03D4" w14:textId="77777777" w:rsidR="007303EE" w:rsidRPr="00797379" w:rsidRDefault="007303EE" w:rsidP="00F5225F">
            <w:pPr>
              <w:pStyle w:val="TableTextCentered"/>
              <w:spacing w:before="0" w:after="0"/>
            </w:pPr>
            <w:r w:rsidRPr="00797379">
              <w:t>20</w:t>
            </w:r>
          </w:p>
        </w:tc>
      </w:tr>
      <w:tr w:rsidR="007303EE" w:rsidRPr="00797379" w14:paraId="2DC0F2B9" w14:textId="77777777" w:rsidTr="000B5510">
        <w:tc>
          <w:tcPr>
            <w:tcW w:w="1179" w:type="pct"/>
          </w:tcPr>
          <w:p w14:paraId="6A239C66" w14:textId="77777777" w:rsidR="007303EE" w:rsidRPr="00B70F71" w:rsidRDefault="007303EE" w:rsidP="00F5225F">
            <w:pPr>
              <w:pStyle w:val="TableSubheading"/>
              <w:spacing w:before="0" w:after="0"/>
              <w:rPr>
                <w:rFonts w:asciiTheme="minorHAnsi" w:hAnsiTheme="minorHAnsi"/>
              </w:rPr>
            </w:pPr>
            <w:r w:rsidRPr="00B70F71">
              <w:rPr>
                <w:rFonts w:asciiTheme="minorHAnsi" w:hAnsiTheme="minorHAnsi"/>
              </w:rPr>
              <w:t>American Indian or Alaskan Native</w:t>
            </w:r>
          </w:p>
        </w:tc>
        <w:tc>
          <w:tcPr>
            <w:tcW w:w="347" w:type="pct"/>
            <w:vAlign w:val="center"/>
          </w:tcPr>
          <w:p w14:paraId="7333DFE6" w14:textId="77777777" w:rsidR="007303EE" w:rsidRPr="00797379" w:rsidRDefault="007303EE" w:rsidP="00F5225F">
            <w:pPr>
              <w:pStyle w:val="TableTextCentered"/>
              <w:spacing w:before="0" w:after="0"/>
            </w:pPr>
            <w:r w:rsidRPr="00797379">
              <w:t>1</w:t>
            </w:r>
          </w:p>
        </w:tc>
        <w:tc>
          <w:tcPr>
            <w:tcW w:w="289" w:type="pct"/>
            <w:vAlign w:val="center"/>
          </w:tcPr>
          <w:p w14:paraId="28217B82" w14:textId="053E84AB" w:rsidR="007303EE" w:rsidRPr="00797379" w:rsidRDefault="000B5510" w:rsidP="00F5225F">
            <w:pPr>
              <w:pStyle w:val="TableTextCentered"/>
              <w:spacing w:before="0" w:after="0"/>
            </w:pPr>
            <w:r>
              <w:t>N/A</w:t>
            </w:r>
          </w:p>
        </w:tc>
        <w:tc>
          <w:tcPr>
            <w:tcW w:w="289" w:type="pct"/>
            <w:vAlign w:val="center"/>
          </w:tcPr>
          <w:p w14:paraId="278BF4EF" w14:textId="6A98027E" w:rsidR="007303EE" w:rsidRPr="00797379" w:rsidRDefault="000B5510" w:rsidP="00F5225F">
            <w:pPr>
              <w:pStyle w:val="TableTextCentered"/>
              <w:spacing w:before="0" w:after="0"/>
            </w:pPr>
            <w:r>
              <w:t>N/A</w:t>
            </w:r>
          </w:p>
        </w:tc>
        <w:tc>
          <w:tcPr>
            <w:tcW w:w="290" w:type="pct"/>
            <w:vAlign w:val="center"/>
          </w:tcPr>
          <w:p w14:paraId="3F402BF9" w14:textId="175FF5C2" w:rsidR="007303EE" w:rsidRPr="00797379" w:rsidRDefault="000B5510" w:rsidP="00F5225F">
            <w:pPr>
              <w:pStyle w:val="TableTextCentered"/>
              <w:spacing w:before="0" w:after="0"/>
            </w:pPr>
            <w:r>
              <w:t>N/A</w:t>
            </w:r>
          </w:p>
        </w:tc>
        <w:tc>
          <w:tcPr>
            <w:tcW w:w="289" w:type="pct"/>
            <w:vAlign w:val="center"/>
          </w:tcPr>
          <w:p w14:paraId="1BE3BD4F" w14:textId="77777777" w:rsidR="007303EE" w:rsidRPr="00797379" w:rsidRDefault="007303EE" w:rsidP="00F5225F">
            <w:pPr>
              <w:pStyle w:val="TableTextCentered"/>
              <w:spacing w:before="0" w:after="0"/>
            </w:pPr>
            <w:r w:rsidRPr="00797379">
              <w:t>28</w:t>
            </w:r>
          </w:p>
        </w:tc>
        <w:tc>
          <w:tcPr>
            <w:tcW w:w="290" w:type="pct"/>
            <w:vAlign w:val="center"/>
          </w:tcPr>
          <w:p w14:paraId="0AE24EFA" w14:textId="2A8C480A" w:rsidR="007303EE" w:rsidRPr="00797379" w:rsidRDefault="000B5510" w:rsidP="00F5225F">
            <w:pPr>
              <w:pStyle w:val="TableTextCentered"/>
              <w:spacing w:before="0" w:after="0"/>
            </w:pPr>
            <w:r>
              <w:t>N/A</w:t>
            </w:r>
          </w:p>
        </w:tc>
        <w:tc>
          <w:tcPr>
            <w:tcW w:w="289" w:type="pct"/>
            <w:vAlign w:val="center"/>
          </w:tcPr>
          <w:p w14:paraId="26FC870B" w14:textId="3CBECB58" w:rsidR="007303EE" w:rsidRPr="00797379" w:rsidRDefault="000B5510" w:rsidP="00F5225F">
            <w:pPr>
              <w:pStyle w:val="TableTextCentered"/>
              <w:spacing w:before="0" w:after="0"/>
            </w:pPr>
            <w:r>
              <w:t>N/A</w:t>
            </w:r>
          </w:p>
        </w:tc>
        <w:tc>
          <w:tcPr>
            <w:tcW w:w="289" w:type="pct"/>
            <w:vAlign w:val="center"/>
          </w:tcPr>
          <w:p w14:paraId="40D569A4" w14:textId="523F0EE8" w:rsidR="007303EE" w:rsidRPr="00797379" w:rsidRDefault="000B5510" w:rsidP="00F5225F">
            <w:pPr>
              <w:pStyle w:val="TableTextCentered"/>
              <w:spacing w:before="0" w:after="0"/>
            </w:pPr>
            <w:r>
              <w:t>N/A</w:t>
            </w:r>
          </w:p>
        </w:tc>
        <w:tc>
          <w:tcPr>
            <w:tcW w:w="290" w:type="pct"/>
            <w:vAlign w:val="center"/>
          </w:tcPr>
          <w:p w14:paraId="56429EB4" w14:textId="77777777" w:rsidR="007303EE" w:rsidRPr="00797379" w:rsidRDefault="007303EE" w:rsidP="00F5225F">
            <w:pPr>
              <w:pStyle w:val="TableTextCentered"/>
              <w:spacing w:before="0" w:after="0"/>
            </w:pPr>
            <w:r w:rsidRPr="00797379">
              <w:t>43</w:t>
            </w:r>
          </w:p>
        </w:tc>
        <w:tc>
          <w:tcPr>
            <w:tcW w:w="289" w:type="pct"/>
            <w:vAlign w:val="center"/>
          </w:tcPr>
          <w:p w14:paraId="54CF4F55" w14:textId="2175C63E" w:rsidR="007303EE" w:rsidRPr="00797379" w:rsidRDefault="000B5510" w:rsidP="00F5225F">
            <w:pPr>
              <w:pStyle w:val="TableTextCentered"/>
              <w:spacing w:before="0" w:after="0"/>
            </w:pPr>
            <w:r>
              <w:t>N/A</w:t>
            </w:r>
          </w:p>
        </w:tc>
        <w:tc>
          <w:tcPr>
            <w:tcW w:w="290" w:type="pct"/>
            <w:vAlign w:val="center"/>
          </w:tcPr>
          <w:p w14:paraId="302357F5" w14:textId="2CFF18A6" w:rsidR="007303EE" w:rsidRPr="00797379" w:rsidRDefault="000B5510" w:rsidP="00F5225F">
            <w:pPr>
              <w:pStyle w:val="TableTextCentered"/>
              <w:spacing w:before="0" w:after="0"/>
            </w:pPr>
            <w:r>
              <w:t>N/A</w:t>
            </w:r>
          </w:p>
        </w:tc>
        <w:tc>
          <w:tcPr>
            <w:tcW w:w="289" w:type="pct"/>
            <w:vAlign w:val="center"/>
          </w:tcPr>
          <w:p w14:paraId="56F210F1" w14:textId="22144ABD" w:rsidR="007303EE" w:rsidRPr="00797379" w:rsidRDefault="000B5510" w:rsidP="00F5225F">
            <w:pPr>
              <w:pStyle w:val="TableTextCentered"/>
              <w:spacing w:before="0" w:after="0"/>
            </w:pPr>
            <w:r>
              <w:t>N/A</w:t>
            </w:r>
          </w:p>
        </w:tc>
        <w:tc>
          <w:tcPr>
            <w:tcW w:w="290" w:type="pct"/>
            <w:vAlign w:val="center"/>
          </w:tcPr>
          <w:p w14:paraId="1F80DD92" w14:textId="77777777" w:rsidR="007303EE" w:rsidRPr="00797379" w:rsidRDefault="007303EE" w:rsidP="00F5225F">
            <w:pPr>
              <w:pStyle w:val="TableTextCentered"/>
              <w:spacing w:before="0" w:after="0"/>
            </w:pPr>
            <w:r w:rsidRPr="00797379">
              <w:t>30</w:t>
            </w:r>
          </w:p>
        </w:tc>
      </w:tr>
      <w:tr w:rsidR="007303EE" w:rsidRPr="00797379" w14:paraId="6883DBCA" w14:textId="77777777" w:rsidTr="000B5510">
        <w:trPr>
          <w:cnfStyle w:val="000000100000" w:firstRow="0" w:lastRow="0" w:firstColumn="0" w:lastColumn="0" w:oddVBand="0" w:evenVBand="0" w:oddHBand="1" w:evenHBand="0" w:firstRowFirstColumn="0" w:firstRowLastColumn="0" w:lastRowFirstColumn="0" w:lastRowLastColumn="0"/>
        </w:trPr>
        <w:tc>
          <w:tcPr>
            <w:tcW w:w="1179" w:type="pct"/>
          </w:tcPr>
          <w:p w14:paraId="5E2C5E06" w14:textId="77777777" w:rsidR="007303EE" w:rsidRPr="00B70F71" w:rsidRDefault="007303EE" w:rsidP="00F5225F">
            <w:pPr>
              <w:pStyle w:val="TableSubheading"/>
              <w:spacing w:before="0" w:after="0"/>
              <w:rPr>
                <w:rFonts w:asciiTheme="minorHAnsi" w:hAnsiTheme="minorHAnsi"/>
              </w:rPr>
            </w:pPr>
            <w:r w:rsidRPr="00B70F71">
              <w:rPr>
                <w:rFonts w:asciiTheme="minorHAnsi" w:hAnsiTheme="minorHAnsi"/>
              </w:rPr>
              <w:t>Asian</w:t>
            </w:r>
          </w:p>
        </w:tc>
        <w:tc>
          <w:tcPr>
            <w:tcW w:w="347" w:type="pct"/>
            <w:vAlign w:val="center"/>
          </w:tcPr>
          <w:p w14:paraId="671FFC92" w14:textId="77777777" w:rsidR="007303EE" w:rsidRPr="00797379" w:rsidRDefault="007303EE" w:rsidP="00F5225F">
            <w:pPr>
              <w:pStyle w:val="TableTextCentered"/>
              <w:spacing w:before="0" w:after="0"/>
            </w:pPr>
            <w:r w:rsidRPr="00797379">
              <w:t>433</w:t>
            </w:r>
          </w:p>
        </w:tc>
        <w:tc>
          <w:tcPr>
            <w:tcW w:w="289" w:type="pct"/>
            <w:vAlign w:val="center"/>
          </w:tcPr>
          <w:p w14:paraId="5129588F" w14:textId="77777777" w:rsidR="007303EE" w:rsidRPr="00797379" w:rsidRDefault="007303EE" w:rsidP="00F5225F">
            <w:pPr>
              <w:pStyle w:val="TableTextCentered"/>
              <w:spacing w:before="0" w:after="0"/>
            </w:pPr>
            <w:r w:rsidRPr="00797379">
              <w:t>78</w:t>
            </w:r>
          </w:p>
        </w:tc>
        <w:tc>
          <w:tcPr>
            <w:tcW w:w="289" w:type="pct"/>
            <w:vAlign w:val="center"/>
          </w:tcPr>
          <w:p w14:paraId="3A3758E4" w14:textId="77777777" w:rsidR="007303EE" w:rsidRPr="00797379" w:rsidRDefault="007303EE" w:rsidP="00F5225F">
            <w:pPr>
              <w:pStyle w:val="TableTextCentered"/>
              <w:spacing w:before="0" w:after="0"/>
            </w:pPr>
            <w:r w:rsidRPr="00797379">
              <w:t>75</w:t>
            </w:r>
          </w:p>
        </w:tc>
        <w:tc>
          <w:tcPr>
            <w:tcW w:w="290" w:type="pct"/>
            <w:vAlign w:val="center"/>
          </w:tcPr>
          <w:p w14:paraId="7859EEBA" w14:textId="77777777" w:rsidR="007303EE" w:rsidRPr="00797379" w:rsidRDefault="007303EE" w:rsidP="00F5225F">
            <w:pPr>
              <w:pStyle w:val="TableTextCentered"/>
              <w:spacing w:before="0" w:after="0"/>
            </w:pPr>
            <w:r w:rsidRPr="00797379">
              <w:t>77</w:t>
            </w:r>
          </w:p>
        </w:tc>
        <w:tc>
          <w:tcPr>
            <w:tcW w:w="289" w:type="pct"/>
            <w:vAlign w:val="center"/>
          </w:tcPr>
          <w:p w14:paraId="2D2855D9" w14:textId="77777777" w:rsidR="007303EE" w:rsidRPr="00797379" w:rsidRDefault="007303EE" w:rsidP="00F5225F">
            <w:pPr>
              <w:pStyle w:val="TableTextCentered"/>
              <w:spacing w:before="0" w:after="0"/>
            </w:pPr>
            <w:r w:rsidRPr="00797379">
              <w:t>64</w:t>
            </w:r>
          </w:p>
        </w:tc>
        <w:tc>
          <w:tcPr>
            <w:tcW w:w="290" w:type="pct"/>
            <w:vAlign w:val="center"/>
          </w:tcPr>
          <w:p w14:paraId="7F723E78" w14:textId="77777777" w:rsidR="007303EE" w:rsidRPr="00797379" w:rsidRDefault="007303EE" w:rsidP="00F5225F">
            <w:pPr>
              <w:pStyle w:val="TableTextCentered"/>
              <w:spacing w:before="0" w:after="0"/>
            </w:pPr>
            <w:r w:rsidRPr="00797379">
              <w:t>19</w:t>
            </w:r>
          </w:p>
        </w:tc>
        <w:tc>
          <w:tcPr>
            <w:tcW w:w="289" w:type="pct"/>
            <w:vAlign w:val="center"/>
          </w:tcPr>
          <w:p w14:paraId="5CD37D39" w14:textId="77777777" w:rsidR="007303EE" w:rsidRPr="00797379" w:rsidRDefault="007303EE" w:rsidP="00F5225F">
            <w:pPr>
              <w:pStyle w:val="TableTextCentered"/>
              <w:spacing w:before="0" w:after="0"/>
            </w:pPr>
            <w:r w:rsidRPr="00797379">
              <w:t>22</w:t>
            </w:r>
          </w:p>
        </w:tc>
        <w:tc>
          <w:tcPr>
            <w:tcW w:w="289" w:type="pct"/>
            <w:vAlign w:val="center"/>
          </w:tcPr>
          <w:p w14:paraId="3877E8D2" w14:textId="77777777" w:rsidR="007303EE" w:rsidRPr="00797379" w:rsidRDefault="007303EE" w:rsidP="00F5225F">
            <w:pPr>
              <w:pStyle w:val="TableTextCentered"/>
              <w:spacing w:before="0" w:after="0"/>
            </w:pPr>
            <w:r w:rsidRPr="00797379">
              <w:t>17</w:t>
            </w:r>
          </w:p>
        </w:tc>
        <w:tc>
          <w:tcPr>
            <w:tcW w:w="290" w:type="pct"/>
            <w:vAlign w:val="center"/>
          </w:tcPr>
          <w:p w14:paraId="6B2B9674" w14:textId="77777777" w:rsidR="007303EE" w:rsidRPr="00797379" w:rsidRDefault="007303EE" w:rsidP="00F5225F">
            <w:pPr>
              <w:pStyle w:val="TableTextCentered"/>
              <w:spacing w:before="0" w:after="0"/>
            </w:pPr>
            <w:r w:rsidRPr="00797379">
              <w:t>26</w:t>
            </w:r>
          </w:p>
        </w:tc>
        <w:tc>
          <w:tcPr>
            <w:tcW w:w="289" w:type="pct"/>
            <w:vAlign w:val="center"/>
          </w:tcPr>
          <w:p w14:paraId="0237DC00" w14:textId="77777777" w:rsidR="007303EE" w:rsidRPr="00797379" w:rsidRDefault="007303EE" w:rsidP="00F5225F">
            <w:pPr>
              <w:pStyle w:val="TableTextCentered"/>
              <w:spacing w:before="0" w:after="0"/>
            </w:pPr>
            <w:r w:rsidRPr="00797379">
              <w:t>3</w:t>
            </w:r>
          </w:p>
        </w:tc>
        <w:tc>
          <w:tcPr>
            <w:tcW w:w="290" w:type="pct"/>
            <w:vAlign w:val="center"/>
          </w:tcPr>
          <w:p w14:paraId="33FFA938" w14:textId="77777777" w:rsidR="007303EE" w:rsidRPr="00797379" w:rsidRDefault="007303EE" w:rsidP="00F5225F">
            <w:pPr>
              <w:pStyle w:val="TableTextCentered"/>
              <w:spacing w:before="0" w:after="0"/>
            </w:pPr>
            <w:r w:rsidRPr="00797379">
              <w:t>3</w:t>
            </w:r>
          </w:p>
        </w:tc>
        <w:tc>
          <w:tcPr>
            <w:tcW w:w="289" w:type="pct"/>
            <w:vAlign w:val="center"/>
          </w:tcPr>
          <w:p w14:paraId="720B8C2E" w14:textId="77777777" w:rsidR="007303EE" w:rsidRPr="00797379" w:rsidRDefault="007303EE" w:rsidP="00F5225F">
            <w:pPr>
              <w:pStyle w:val="TableTextCentered"/>
              <w:spacing w:before="0" w:after="0"/>
            </w:pPr>
            <w:r w:rsidRPr="00797379">
              <w:t>6</w:t>
            </w:r>
          </w:p>
        </w:tc>
        <w:tc>
          <w:tcPr>
            <w:tcW w:w="290" w:type="pct"/>
            <w:vAlign w:val="center"/>
          </w:tcPr>
          <w:p w14:paraId="400DB274" w14:textId="77777777" w:rsidR="007303EE" w:rsidRPr="00797379" w:rsidRDefault="007303EE" w:rsidP="00F5225F">
            <w:pPr>
              <w:pStyle w:val="TableTextCentered"/>
              <w:spacing w:before="0" w:after="0"/>
            </w:pPr>
            <w:r w:rsidRPr="00797379">
              <w:t>9</w:t>
            </w:r>
          </w:p>
        </w:tc>
      </w:tr>
      <w:tr w:rsidR="007303EE" w:rsidRPr="00797379" w14:paraId="6F48043A" w14:textId="77777777" w:rsidTr="000B5510">
        <w:tc>
          <w:tcPr>
            <w:tcW w:w="1179" w:type="pct"/>
          </w:tcPr>
          <w:p w14:paraId="2593B172" w14:textId="77777777" w:rsidR="007303EE" w:rsidRPr="00B70F71" w:rsidRDefault="007303EE" w:rsidP="00F5225F">
            <w:pPr>
              <w:pStyle w:val="TableSubheading"/>
              <w:spacing w:before="0" w:after="0"/>
              <w:rPr>
                <w:rFonts w:asciiTheme="minorHAnsi" w:hAnsiTheme="minorHAnsi"/>
              </w:rPr>
            </w:pPr>
            <w:r w:rsidRPr="00B70F71">
              <w:rPr>
                <w:rFonts w:asciiTheme="minorHAnsi" w:hAnsiTheme="minorHAnsi"/>
              </w:rPr>
              <w:t>Black or African American</w:t>
            </w:r>
          </w:p>
        </w:tc>
        <w:tc>
          <w:tcPr>
            <w:tcW w:w="347" w:type="pct"/>
            <w:vAlign w:val="center"/>
          </w:tcPr>
          <w:p w14:paraId="2E0B2CD2" w14:textId="77777777" w:rsidR="007303EE" w:rsidRPr="00797379" w:rsidRDefault="007303EE" w:rsidP="00F5225F">
            <w:pPr>
              <w:pStyle w:val="TableTextCentered"/>
              <w:spacing w:before="0" w:after="0"/>
            </w:pPr>
            <w:r w:rsidRPr="00797379">
              <w:t>24</w:t>
            </w:r>
          </w:p>
        </w:tc>
        <w:tc>
          <w:tcPr>
            <w:tcW w:w="289" w:type="pct"/>
            <w:vAlign w:val="center"/>
          </w:tcPr>
          <w:p w14:paraId="7DC335EC" w14:textId="77777777" w:rsidR="007303EE" w:rsidRPr="00797379" w:rsidRDefault="007303EE" w:rsidP="00F5225F">
            <w:pPr>
              <w:pStyle w:val="TableTextCentered"/>
              <w:spacing w:before="0" w:after="0"/>
            </w:pPr>
            <w:r w:rsidRPr="00797379">
              <w:t>45</w:t>
            </w:r>
          </w:p>
        </w:tc>
        <w:tc>
          <w:tcPr>
            <w:tcW w:w="289" w:type="pct"/>
            <w:vAlign w:val="center"/>
          </w:tcPr>
          <w:p w14:paraId="44F8A36F" w14:textId="77777777" w:rsidR="007303EE" w:rsidRPr="00797379" w:rsidRDefault="007303EE" w:rsidP="00F5225F">
            <w:pPr>
              <w:pStyle w:val="TableTextCentered"/>
              <w:spacing w:before="0" w:after="0"/>
            </w:pPr>
            <w:r w:rsidRPr="00797379">
              <w:t>33</w:t>
            </w:r>
          </w:p>
        </w:tc>
        <w:tc>
          <w:tcPr>
            <w:tcW w:w="290" w:type="pct"/>
            <w:vAlign w:val="center"/>
          </w:tcPr>
          <w:p w14:paraId="11A2A72E" w14:textId="77777777" w:rsidR="007303EE" w:rsidRPr="00797379" w:rsidRDefault="007303EE" w:rsidP="00F5225F">
            <w:pPr>
              <w:pStyle w:val="TableTextCentered"/>
              <w:spacing w:before="0" w:after="0"/>
            </w:pPr>
            <w:r w:rsidRPr="00797379">
              <w:t>33</w:t>
            </w:r>
          </w:p>
        </w:tc>
        <w:tc>
          <w:tcPr>
            <w:tcW w:w="289" w:type="pct"/>
            <w:vAlign w:val="center"/>
          </w:tcPr>
          <w:p w14:paraId="27F438A0" w14:textId="77777777" w:rsidR="007303EE" w:rsidRPr="00797379" w:rsidRDefault="007303EE" w:rsidP="00F5225F">
            <w:pPr>
              <w:pStyle w:val="TableTextCentered"/>
              <w:spacing w:before="0" w:after="0"/>
            </w:pPr>
            <w:r w:rsidRPr="00797379">
              <w:t>26</w:t>
            </w:r>
          </w:p>
        </w:tc>
        <w:tc>
          <w:tcPr>
            <w:tcW w:w="290" w:type="pct"/>
            <w:vAlign w:val="center"/>
          </w:tcPr>
          <w:p w14:paraId="5F2D0C58" w14:textId="77777777" w:rsidR="007303EE" w:rsidRPr="00797379" w:rsidRDefault="007303EE" w:rsidP="00F5225F">
            <w:pPr>
              <w:pStyle w:val="TableTextCentered"/>
              <w:spacing w:before="0" w:after="0"/>
            </w:pPr>
            <w:r w:rsidRPr="00797379">
              <w:t>50</w:t>
            </w:r>
          </w:p>
        </w:tc>
        <w:tc>
          <w:tcPr>
            <w:tcW w:w="289" w:type="pct"/>
            <w:vAlign w:val="center"/>
          </w:tcPr>
          <w:p w14:paraId="5E3F6AFA" w14:textId="77777777" w:rsidR="007303EE" w:rsidRPr="00797379" w:rsidRDefault="007303EE" w:rsidP="00F5225F">
            <w:pPr>
              <w:pStyle w:val="TableTextCentered"/>
              <w:spacing w:before="0" w:after="0"/>
            </w:pPr>
            <w:r w:rsidRPr="00797379">
              <w:t>43</w:t>
            </w:r>
          </w:p>
        </w:tc>
        <w:tc>
          <w:tcPr>
            <w:tcW w:w="289" w:type="pct"/>
            <w:vAlign w:val="center"/>
          </w:tcPr>
          <w:p w14:paraId="41F7DEF3" w14:textId="77777777" w:rsidR="007303EE" w:rsidRPr="00797379" w:rsidRDefault="007303EE" w:rsidP="00F5225F">
            <w:pPr>
              <w:pStyle w:val="TableTextCentered"/>
              <w:spacing w:before="0" w:after="0"/>
            </w:pPr>
            <w:r w:rsidRPr="00797379">
              <w:t>46</w:t>
            </w:r>
          </w:p>
        </w:tc>
        <w:tc>
          <w:tcPr>
            <w:tcW w:w="290" w:type="pct"/>
            <w:vAlign w:val="center"/>
          </w:tcPr>
          <w:p w14:paraId="5D30D9DB" w14:textId="77777777" w:rsidR="007303EE" w:rsidRPr="00797379" w:rsidRDefault="007303EE" w:rsidP="00F5225F">
            <w:pPr>
              <w:pStyle w:val="TableTextCentered"/>
              <w:spacing w:before="0" w:after="0"/>
            </w:pPr>
            <w:r w:rsidRPr="00797379">
              <w:t>44</w:t>
            </w:r>
          </w:p>
        </w:tc>
        <w:tc>
          <w:tcPr>
            <w:tcW w:w="289" w:type="pct"/>
            <w:vAlign w:val="center"/>
          </w:tcPr>
          <w:p w14:paraId="36228EA3" w14:textId="77777777" w:rsidR="007303EE" w:rsidRPr="00797379" w:rsidRDefault="007303EE" w:rsidP="00F5225F">
            <w:pPr>
              <w:pStyle w:val="TableTextCentered"/>
              <w:spacing w:before="0" w:after="0"/>
            </w:pPr>
            <w:r w:rsidRPr="00797379">
              <w:t>5</w:t>
            </w:r>
          </w:p>
        </w:tc>
        <w:tc>
          <w:tcPr>
            <w:tcW w:w="290" w:type="pct"/>
            <w:vAlign w:val="center"/>
          </w:tcPr>
          <w:p w14:paraId="66C6C227" w14:textId="77777777" w:rsidR="007303EE" w:rsidRPr="00797379" w:rsidRDefault="007303EE" w:rsidP="00F5225F">
            <w:pPr>
              <w:pStyle w:val="TableTextCentered"/>
              <w:spacing w:before="0" w:after="0"/>
            </w:pPr>
            <w:r w:rsidRPr="00797379">
              <w:t>23</w:t>
            </w:r>
          </w:p>
        </w:tc>
        <w:tc>
          <w:tcPr>
            <w:tcW w:w="289" w:type="pct"/>
            <w:vAlign w:val="center"/>
          </w:tcPr>
          <w:p w14:paraId="7213422F" w14:textId="77777777" w:rsidR="007303EE" w:rsidRPr="00797379" w:rsidRDefault="007303EE" w:rsidP="00F5225F">
            <w:pPr>
              <w:pStyle w:val="TableTextCentered"/>
              <w:spacing w:before="0" w:after="0"/>
            </w:pPr>
            <w:r w:rsidRPr="00797379">
              <w:t>21</w:t>
            </w:r>
          </w:p>
        </w:tc>
        <w:tc>
          <w:tcPr>
            <w:tcW w:w="290" w:type="pct"/>
            <w:vAlign w:val="center"/>
          </w:tcPr>
          <w:p w14:paraId="67DEF41E" w14:textId="77777777" w:rsidR="007303EE" w:rsidRPr="00797379" w:rsidRDefault="007303EE" w:rsidP="00F5225F">
            <w:pPr>
              <w:pStyle w:val="TableTextCentered"/>
              <w:spacing w:before="0" w:after="0"/>
            </w:pPr>
            <w:r w:rsidRPr="00797379">
              <w:t>30</w:t>
            </w:r>
          </w:p>
        </w:tc>
      </w:tr>
      <w:tr w:rsidR="007303EE" w:rsidRPr="00797379" w14:paraId="18484840" w14:textId="77777777" w:rsidTr="000B5510">
        <w:trPr>
          <w:cnfStyle w:val="000000100000" w:firstRow="0" w:lastRow="0" w:firstColumn="0" w:lastColumn="0" w:oddVBand="0" w:evenVBand="0" w:oddHBand="1" w:evenHBand="0" w:firstRowFirstColumn="0" w:firstRowLastColumn="0" w:lastRowFirstColumn="0" w:lastRowLastColumn="0"/>
        </w:trPr>
        <w:tc>
          <w:tcPr>
            <w:tcW w:w="1179" w:type="pct"/>
          </w:tcPr>
          <w:p w14:paraId="38D72366" w14:textId="77777777" w:rsidR="007303EE" w:rsidRPr="00B70F71" w:rsidRDefault="007303EE" w:rsidP="00F5225F">
            <w:pPr>
              <w:pStyle w:val="TableSubheading"/>
              <w:spacing w:before="0" w:after="0"/>
              <w:rPr>
                <w:rFonts w:asciiTheme="minorHAnsi" w:hAnsiTheme="minorHAnsi"/>
              </w:rPr>
            </w:pPr>
            <w:r w:rsidRPr="00B70F71">
              <w:rPr>
                <w:rFonts w:asciiTheme="minorHAnsi" w:hAnsiTheme="minorHAnsi"/>
              </w:rPr>
              <w:t>Hispanic or Latino</w:t>
            </w:r>
          </w:p>
        </w:tc>
        <w:tc>
          <w:tcPr>
            <w:tcW w:w="347" w:type="pct"/>
            <w:vAlign w:val="center"/>
          </w:tcPr>
          <w:p w14:paraId="3075E37C" w14:textId="77777777" w:rsidR="007303EE" w:rsidRPr="00797379" w:rsidRDefault="007303EE" w:rsidP="00F5225F">
            <w:pPr>
              <w:pStyle w:val="TableTextCentered"/>
              <w:spacing w:before="0" w:after="0"/>
            </w:pPr>
            <w:r w:rsidRPr="00797379">
              <w:t>72</w:t>
            </w:r>
          </w:p>
        </w:tc>
        <w:tc>
          <w:tcPr>
            <w:tcW w:w="289" w:type="pct"/>
            <w:vAlign w:val="center"/>
          </w:tcPr>
          <w:p w14:paraId="35A4E74F" w14:textId="77777777" w:rsidR="007303EE" w:rsidRPr="00797379" w:rsidRDefault="007303EE" w:rsidP="00F5225F">
            <w:pPr>
              <w:pStyle w:val="TableTextCentered"/>
              <w:spacing w:before="0" w:after="0"/>
            </w:pPr>
            <w:r w:rsidRPr="00797379">
              <w:t>62</w:t>
            </w:r>
          </w:p>
        </w:tc>
        <w:tc>
          <w:tcPr>
            <w:tcW w:w="289" w:type="pct"/>
            <w:vAlign w:val="center"/>
          </w:tcPr>
          <w:p w14:paraId="124AA4AF" w14:textId="77777777" w:rsidR="007303EE" w:rsidRPr="00797379" w:rsidRDefault="007303EE" w:rsidP="00F5225F">
            <w:pPr>
              <w:pStyle w:val="TableTextCentered"/>
              <w:spacing w:before="0" w:after="0"/>
            </w:pPr>
            <w:r w:rsidRPr="00797379">
              <w:t>57</w:t>
            </w:r>
          </w:p>
        </w:tc>
        <w:tc>
          <w:tcPr>
            <w:tcW w:w="290" w:type="pct"/>
            <w:vAlign w:val="center"/>
          </w:tcPr>
          <w:p w14:paraId="549C7F07" w14:textId="77777777" w:rsidR="007303EE" w:rsidRPr="00797379" w:rsidRDefault="007303EE" w:rsidP="00F5225F">
            <w:pPr>
              <w:pStyle w:val="TableTextCentered"/>
              <w:spacing w:before="0" w:after="0"/>
            </w:pPr>
            <w:r w:rsidRPr="00797379">
              <w:t>53</w:t>
            </w:r>
          </w:p>
        </w:tc>
        <w:tc>
          <w:tcPr>
            <w:tcW w:w="289" w:type="pct"/>
            <w:vAlign w:val="center"/>
          </w:tcPr>
          <w:p w14:paraId="12C204E4" w14:textId="77777777" w:rsidR="007303EE" w:rsidRPr="00797379" w:rsidRDefault="007303EE" w:rsidP="00F5225F">
            <w:pPr>
              <w:pStyle w:val="TableTextCentered"/>
              <w:spacing w:before="0" w:after="0"/>
            </w:pPr>
            <w:r w:rsidRPr="00797379">
              <w:t>22</w:t>
            </w:r>
          </w:p>
        </w:tc>
        <w:tc>
          <w:tcPr>
            <w:tcW w:w="290" w:type="pct"/>
            <w:vAlign w:val="center"/>
          </w:tcPr>
          <w:p w14:paraId="38424E09" w14:textId="77777777" w:rsidR="007303EE" w:rsidRPr="00797379" w:rsidRDefault="007303EE" w:rsidP="00F5225F">
            <w:pPr>
              <w:pStyle w:val="TableTextCentered"/>
              <w:spacing w:before="0" w:after="0"/>
            </w:pPr>
            <w:r w:rsidRPr="00797379">
              <w:t>31</w:t>
            </w:r>
          </w:p>
        </w:tc>
        <w:tc>
          <w:tcPr>
            <w:tcW w:w="289" w:type="pct"/>
            <w:vAlign w:val="center"/>
          </w:tcPr>
          <w:p w14:paraId="62B87361" w14:textId="77777777" w:rsidR="007303EE" w:rsidRPr="00797379" w:rsidRDefault="007303EE" w:rsidP="00F5225F">
            <w:pPr>
              <w:pStyle w:val="TableTextCentered"/>
              <w:spacing w:before="0" w:after="0"/>
            </w:pPr>
            <w:r w:rsidRPr="00797379">
              <w:t>31</w:t>
            </w:r>
          </w:p>
        </w:tc>
        <w:tc>
          <w:tcPr>
            <w:tcW w:w="289" w:type="pct"/>
            <w:vAlign w:val="center"/>
          </w:tcPr>
          <w:p w14:paraId="592F2E59" w14:textId="77777777" w:rsidR="007303EE" w:rsidRPr="00797379" w:rsidRDefault="007303EE" w:rsidP="00F5225F">
            <w:pPr>
              <w:pStyle w:val="TableTextCentered"/>
              <w:spacing w:before="0" w:after="0"/>
            </w:pPr>
            <w:r w:rsidRPr="00797379">
              <w:t>31</w:t>
            </w:r>
          </w:p>
        </w:tc>
        <w:tc>
          <w:tcPr>
            <w:tcW w:w="290" w:type="pct"/>
            <w:vAlign w:val="center"/>
          </w:tcPr>
          <w:p w14:paraId="0211EB92" w14:textId="77777777" w:rsidR="007303EE" w:rsidRPr="00797379" w:rsidRDefault="007303EE" w:rsidP="00F5225F">
            <w:pPr>
              <w:pStyle w:val="TableTextCentered"/>
              <w:spacing w:before="0" w:after="0"/>
            </w:pPr>
            <w:r w:rsidRPr="00797379">
              <w:t>43</w:t>
            </w:r>
          </w:p>
        </w:tc>
        <w:tc>
          <w:tcPr>
            <w:tcW w:w="289" w:type="pct"/>
            <w:vAlign w:val="center"/>
          </w:tcPr>
          <w:p w14:paraId="0486EE59" w14:textId="77777777" w:rsidR="007303EE" w:rsidRPr="00797379" w:rsidRDefault="007303EE" w:rsidP="00F5225F">
            <w:pPr>
              <w:pStyle w:val="TableTextCentered"/>
              <w:spacing w:before="0" w:after="0"/>
            </w:pPr>
            <w:r w:rsidRPr="00797379">
              <w:t>7</w:t>
            </w:r>
          </w:p>
        </w:tc>
        <w:tc>
          <w:tcPr>
            <w:tcW w:w="290" w:type="pct"/>
            <w:vAlign w:val="center"/>
          </w:tcPr>
          <w:p w14:paraId="4772898D" w14:textId="77777777" w:rsidR="007303EE" w:rsidRPr="00797379" w:rsidRDefault="007303EE" w:rsidP="00F5225F">
            <w:pPr>
              <w:pStyle w:val="TableTextCentered"/>
              <w:spacing w:before="0" w:after="0"/>
            </w:pPr>
            <w:r w:rsidRPr="00797379">
              <w:t>11</w:t>
            </w:r>
          </w:p>
        </w:tc>
        <w:tc>
          <w:tcPr>
            <w:tcW w:w="289" w:type="pct"/>
            <w:vAlign w:val="center"/>
          </w:tcPr>
          <w:p w14:paraId="1013C00E" w14:textId="77777777" w:rsidR="007303EE" w:rsidRPr="00797379" w:rsidRDefault="007303EE" w:rsidP="00F5225F">
            <w:pPr>
              <w:pStyle w:val="TableTextCentered"/>
              <w:spacing w:before="0" w:after="0"/>
            </w:pPr>
            <w:r w:rsidRPr="00797379">
              <w:t>17</w:t>
            </w:r>
          </w:p>
        </w:tc>
        <w:tc>
          <w:tcPr>
            <w:tcW w:w="290" w:type="pct"/>
            <w:vAlign w:val="center"/>
          </w:tcPr>
          <w:p w14:paraId="60BB9B79" w14:textId="77777777" w:rsidR="007303EE" w:rsidRPr="00797379" w:rsidRDefault="007303EE" w:rsidP="00F5225F">
            <w:pPr>
              <w:pStyle w:val="TableTextCentered"/>
              <w:spacing w:before="0" w:after="0"/>
            </w:pPr>
            <w:r w:rsidRPr="00797379">
              <w:t>34</w:t>
            </w:r>
          </w:p>
        </w:tc>
      </w:tr>
      <w:tr w:rsidR="007303EE" w:rsidRPr="00797379" w14:paraId="52499EA7" w14:textId="77777777" w:rsidTr="000B5510">
        <w:tc>
          <w:tcPr>
            <w:tcW w:w="1179" w:type="pct"/>
          </w:tcPr>
          <w:p w14:paraId="28088A2E" w14:textId="77777777" w:rsidR="007303EE" w:rsidRPr="00B70F71" w:rsidRDefault="007303EE" w:rsidP="00F5225F">
            <w:pPr>
              <w:pStyle w:val="TableSubheading"/>
              <w:spacing w:before="0" w:after="0"/>
              <w:rPr>
                <w:rFonts w:asciiTheme="minorHAnsi" w:hAnsiTheme="minorHAnsi"/>
              </w:rPr>
            </w:pPr>
            <w:r w:rsidRPr="00B70F71">
              <w:rPr>
                <w:rFonts w:asciiTheme="minorHAnsi" w:hAnsiTheme="minorHAnsi"/>
              </w:rPr>
              <w:t>Multi-Race, Not Hispanic or Latino</w:t>
            </w:r>
          </w:p>
        </w:tc>
        <w:tc>
          <w:tcPr>
            <w:tcW w:w="347" w:type="pct"/>
            <w:vAlign w:val="center"/>
          </w:tcPr>
          <w:p w14:paraId="6AA9D2C3" w14:textId="77777777" w:rsidR="007303EE" w:rsidRPr="00797379" w:rsidRDefault="007303EE" w:rsidP="00F5225F">
            <w:pPr>
              <w:pStyle w:val="TableTextCentered"/>
              <w:spacing w:before="0" w:after="0"/>
            </w:pPr>
            <w:r w:rsidRPr="00797379">
              <w:t>166</w:t>
            </w:r>
          </w:p>
        </w:tc>
        <w:tc>
          <w:tcPr>
            <w:tcW w:w="289" w:type="pct"/>
            <w:vAlign w:val="center"/>
          </w:tcPr>
          <w:p w14:paraId="10076AB2" w14:textId="77777777" w:rsidR="007303EE" w:rsidRPr="00797379" w:rsidRDefault="007303EE" w:rsidP="00F5225F">
            <w:pPr>
              <w:pStyle w:val="TableTextCentered"/>
              <w:spacing w:before="0" w:after="0"/>
            </w:pPr>
            <w:r w:rsidRPr="00797379">
              <w:t>76</w:t>
            </w:r>
          </w:p>
        </w:tc>
        <w:tc>
          <w:tcPr>
            <w:tcW w:w="289" w:type="pct"/>
            <w:vAlign w:val="center"/>
          </w:tcPr>
          <w:p w14:paraId="0794D8B4" w14:textId="77777777" w:rsidR="007303EE" w:rsidRPr="00797379" w:rsidRDefault="007303EE" w:rsidP="00F5225F">
            <w:pPr>
              <w:pStyle w:val="TableTextCentered"/>
              <w:spacing w:before="0" w:after="0"/>
            </w:pPr>
            <w:r w:rsidRPr="00797379">
              <w:t>79</w:t>
            </w:r>
          </w:p>
        </w:tc>
        <w:tc>
          <w:tcPr>
            <w:tcW w:w="290" w:type="pct"/>
            <w:vAlign w:val="center"/>
          </w:tcPr>
          <w:p w14:paraId="744A210B" w14:textId="77777777" w:rsidR="007303EE" w:rsidRPr="00797379" w:rsidRDefault="007303EE" w:rsidP="00F5225F">
            <w:pPr>
              <w:pStyle w:val="TableTextCentered"/>
              <w:spacing w:before="0" w:after="0"/>
            </w:pPr>
            <w:r w:rsidRPr="00797379">
              <w:t>78</w:t>
            </w:r>
          </w:p>
        </w:tc>
        <w:tc>
          <w:tcPr>
            <w:tcW w:w="289" w:type="pct"/>
            <w:vAlign w:val="center"/>
          </w:tcPr>
          <w:p w14:paraId="5AE290EA" w14:textId="77777777" w:rsidR="007303EE" w:rsidRPr="00797379" w:rsidRDefault="007303EE" w:rsidP="00F5225F">
            <w:pPr>
              <w:pStyle w:val="TableTextCentered"/>
              <w:spacing w:before="0" w:after="0"/>
            </w:pPr>
            <w:r w:rsidRPr="00797379">
              <w:t>49</w:t>
            </w:r>
          </w:p>
        </w:tc>
        <w:tc>
          <w:tcPr>
            <w:tcW w:w="290" w:type="pct"/>
            <w:vAlign w:val="center"/>
          </w:tcPr>
          <w:p w14:paraId="40DE4CD4" w14:textId="77777777" w:rsidR="007303EE" w:rsidRPr="00797379" w:rsidRDefault="007303EE" w:rsidP="00F5225F">
            <w:pPr>
              <w:pStyle w:val="TableTextCentered"/>
              <w:spacing w:before="0" w:after="0"/>
            </w:pPr>
            <w:r w:rsidRPr="00797379">
              <w:t>20</w:t>
            </w:r>
          </w:p>
        </w:tc>
        <w:tc>
          <w:tcPr>
            <w:tcW w:w="289" w:type="pct"/>
            <w:vAlign w:val="center"/>
          </w:tcPr>
          <w:p w14:paraId="2B364978" w14:textId="77777777" w:rsidR="007303EE" w:rsidRPr="00797379" w:rsidRDefault="007303EE" w:rsidP="00F5225F">
            <w:pPr>
              <w:pStyle w:val="TableTextCentered"/>
              <w:spacing w:before="0" w:after="0"/>
            </w:pPr>
            <w:r w:rsidRPr="00797379">
              <w:t>18</w:t>
            </w:r>
          </w:p>
        </w:tc>
        <w:tc>
          <w:tcPr>
            <w:tcW w:w="289" w:type="pct"/>
            <w:vAlign w:val="center"/>
          </w:tcPr>
          <w:p w14:paraId="5CAD3C03" w14:textId="77777777" w:rsidR="007303EE" w:rsidRPr="00797379" w:rsidRDefault="007303EE" w:rsidP="00F5225F">
            <w:pPr>
              <w:pStyle w:val="TableTextCentered"/>
              <w:spacing w:before="0" w:after="0"/>
            </w:pPr>
            <w:r w:rsidRPr="00797379">
              <w:t>17</w:t>
            </w:r>
          </w:p>
        </w:tc>
        <w:tc>
          <w:tcPr>
            <w:tcW w:w="290" w:type="pct"/>
            <w:vAlign w:val="center"/>
          </w:tcPr>
          <w:p w14:paraId="7CE41A80" w14:textId="77777777" w:rsidR="007303EE" w:rsidRPr="00797379" w:rsidRDefault="007303EE" w:rsidP="00F5225F">
            <w:pPr>
              <w:pStyle w:val="TableTextCentered"/>
              <w:spacing w:before="0" w:after="0"/>
            </w:pPr>
            <w:r w:rsidRPr="00797379">
              <w:t>35</w:t>
            </w:r>
          </w:p>
        </w:tc>
        <w:tc>
          <w:tcPr>
            <w:tcW w:w="289" w:type="pct"/>
            <w:vAlign w:val="center"/>
          </w:tcPr>
          <w:p w14:paraId="55D9916A" w14:textId="77777777" w:rsidR="007303EE" w:rsidRPr="00797379" w:rsidRDefault="007303EE" w:rsidP="00F5225F">
            <w:pPr>
              <w:pStyle w:val="TableTextCentered"/>
              <w:spacing w:before="0" w:after="0"/>
            </w:pPr>
            <w:r w:rsidRPr="00797379">
              <w:t>3</w:t>
            </w:r>
          </w:p>
        </w:tc>
        <w:tc>
          <w:tcPr>
            <w:tcW w:w="290" w:type="pct"/>
            <w:vAlign w:val="center"/>
          </w:tcPr>
          <w:p w14:paraId="16AC8586" w14:textId="77777777" w:rsidR="007303EE" w:rsidRPr="00797379" w:rsidRDefault="007303EE" w:rsidP="00F5225F">
            <w:pPr>
              <w:pStyle w:val="TableTextCentered"/>
              <w:spacing w:before="0" w:after="0"/>
            </w:pPr>
            <w:r w:rsidRPr="00797379">
              <w:t>3</w:t>
            </w:r>
          </w:p>
        </w:tc>
        <w:tc>
          <w:tcPr>
            <w:tcW w:w="289" w:type="pct"/>
            <w:vAlign w:val="center"/>
          </w:tcPr>
          <w:p w14:paraId="738B1C60" w14:textId="77777777" w:rsidR="007303EE" w:rsidRPr="00797379" w:rsidRDefault="007303EE" w:rsidP="00F5225F">
            <w:pPr>
              <w:pStyle w:val="TableTextCentered"/>
              <w:spacing w:before="0" w:after="0"/>
            </w:pPr>
            <w:r w:rsidRPr="00797379">
              <w:t>4</w:t>
            </w:r>
          </w:p>
        </w:tc>
        <w:tc>
          <w:tcPr>
            <w:tcW w:w="290" w:type="pct"/>
            <w:vAlign w:val="center"/>
          </w:tcPr>
          <w:p w14:paraId="3ACC7FA5" w14:textId="77777777" w:rsidR="007303EE" w:rsidRPr="00797379" w:rsidRDefault="007303EE" w:rsidP="00F5225F">
            <w:pPr>
              <w:pStyle w:val="TableTextCentered"/>
              <w:spacing w:before="0" w:after="0"/>
            </w:pPr>
            <w:r w:rsidRPr="00797379">
              <w:t>15</w:t>
            </w:r>
          </w:p>
        </w:tc>
      </w:tr>
      <w:tr w:rsidR="007303EE" w:rsidRPr="00797379" w14:paraId="03F23202" w14:textId="77777777" w:rsidTr="000B5510">
        <w:trPr>
          <w:cnfStyle w:val="000000100000" w:firstRow="0" w:lastRow="0" w:firstColumn="0" w:lastColumn="0" w:oddVBand="0" w:evenVBand="0" w:oddHBand="1" w:evenHBand="0" w:firstRowFirstColumn="0" w:firstRowLastColumn="0" w:lastRowFirstColumn="0" w:lastRowLastColumn="0"/>
        </w:trPr>
        <w:tc>
          <w:tcPr>
            <w:tcW w:w="1179" w:type="pct"/>
          </w:tcPr>
          <w:p w14:paraId="6D5851F8" w14:textId="77777777" w:rsidR="007303EE" w:rsidRPr="00B70F71" w:rsidRDefault="007303EE" w:rsidP="00F5225F">
            <w:pPr>
              <w:pStyle w:val="TableSubheading"/>
              <w:spacing w:before="0" w:after="0"/>
              <w:rPr>
                <w:rFonts w:asciiTheme="minorHAnsi" w:hAnsiTheme="minorHAnsi"/>
                <w:spacing w:val="-4"/>
              </w:rPr>
            </w:pPr>
            <w:r w:rsidRPr="00B70F71">
              <w:rPr>
                <w:rFonts w:asciiTheme="minorHAnsi" w:hAnsiTheme="minorHAnsi"/>
                <w:spacing w:val="-4"/>
              </w:rPr>
              <w:t>Native Hawaiian or Other Pacific Islander</w:t>
            </w:r>
          </w:p>
        </w:tc>
        <w:tc>
          <w:tcPr>
            <w:tcW w:w="347" w:type="pct"/>
            <w:vAlign w:val="center"/>
          </w:tcPr>
          <w:p w14:paraId="704D871C" w14:textId="026798A6" w:rsidR="007303EE" w:rsidRPr="00797379" w:rsidRDefault="000B5510" w:rsidP="00F5225F">
            <w:pPr>
              <w:pStyle w:val="TableTextCentered"/>
              <w:spacing w:before="0" w:after="0"/>
            </w:pPr>
            <w:r>
              <w:t>N/A</w:t>
            </w:r>
          </w:p>
        </w:tc>
        <w:tc>
          <w:tcPr>
            <w:tcW w:w="289" w:type="pct"/>
            <w:vAlign w:val="center"/>
          </w:tcPr>
          <w:p w14:paraId="69452C4A" w14:textId="535C7BE1" w:rsidR="007303EE" w:rsidRPr="00797379" w:rsidRDefault="000B5510" w:rsidP="00F5225F">
            <w:pPr>
              <w:pStyle w:val="TableTextCentered"/>
              <w:spacing w:before="0" w:after="0"/>
            </w:pPr>
            <w:r>
              <w:t>N/A</w:t>
            </w:r>
          </w:p>
        </w:tc>
        <w:tc>
          <w:tcPr>
            <w:tcW w:w="289" w:type="pct"/>
            <w:vAlign w:val="center"/>
          </w:tcPr>
          <w:p w14:paraId="1DC0FB1C" w14:textId="666383E4" w:rsidR="007303EE" w:rsidRPr="00797379" w:rsidRDefault="000B5510" w:rsidP="00F5225F">
            <w:pPr>
              <w:pStyle w:val="TableTextCentered"/>
              <w:spacing w:before="0" w:after="0"/>
            </w:pPr>
            <w:r>
              <w:t>N/A</w:t>
            </w:r>
          </w:p>
        </w:tc>
        <w:tc>
          <w:tcPr>
            <w:tcW w:w="290" w:type="pct"/>
            <w:vAlign w:val="center"/>
          </w:tcPr>
          <w:p w14:paraId="0F6E2E0D" w14:textId="0F49D9AF" w:rsidR="007303EE" w:rsidRPr="00797379" w:rsidRDefault="000B5510" w:rsidP="00F5225F">
            <w:pPr>
              <w:pStyle w:val="TableTextCentered"/>
              <w:spacing w:before="0" w:after="0"/>
            </w:pPr>
            <w:r>
              <w:t>N/A</w:t>
            </w:r>
          </w:p>
        </w:tc>
        <w:tc>
          <w:tcPr>
            <w:tcW w:w="289" w:type="pct"/>
            <w:vAlign w:val="center"/>
          </w:tcPr>
          <w:p w14:paraId="10E96A23" w14:textId="77777777" w:rsidR="007303EE" w:rsidRPr="00797379" w:rsidRDefault="007303EE" w:rsidP="00F5225F">
            <w:pPr>
              <w:pStyle w:val="TableTextCentered"/>
              <w:spacing w:before="0" w:after="0"/>
            </w:pPr>
            <w:r w:rsidRPr="00797379">
              <w:t>38</w:t>
            </w:r>
          </w:p>
        </w:tc>
        <w:tc>
          <w:tcPr>
            <w:tcW w:w="290" w:type="pct"/>
            <w:vAlign w:val="center"/>
          </w:tcPr>
          <w:p w14:paraId="65998A25" w14:textId="2D071918" w:rsidR="007303EE" w:rsidRPr="00797379" w:rsidRDefault="000B5510" w:rsidP="00F5225F">
            <w:pPr>
              <w:pStyle w:val="TableTextCentered"/>
              <w:spacing w:before="0" w:after="0"/>
            </w:pPr>
            <w:r>
              <w:t>N/A</w:t>
            </w:r>
          </w:p>
        </w:tc>
        <w:tc>
          <w:tcPr>
            <w:tcW w:w="289" w:type="pct"/>
            <w:vAlign w:val="center"/>
          </w:tcPr>
          <w:p w14:paraId="4E558794" w14:textId="1DAB062B" w:rsidR="007303EE" w:rsidRPr="00797379" w:rsidRDefault="000B5510" w:rsidP="00F5225F">
            <w:pPr>
              <w:pStyle w:val="TableTextCentered"/>
              <w:spacing w:before="0" w:after="0"/>
            </w:pPr>
            <w:r>
              <w:t>N/A</w:t>
            </w:r>
          </w:p>
        </w:tc>
        <w:tc>
          <w:tcPr>
            <w:tcW w:w="289" w:type="pct"/>
            <w:vAlign w:val="center"/>
          </w:tcPr>
          <w:p w14:paraId="423F2650" w14:textId="5637DE34" w:rsidR="007303EE" w:rsidRPr="00797379" w:rsidRDefault="000B5510" w:rsidP="00F5225F">
            <w:pPr>
              <w:pStyle w:val="TableTextCentered"/>
              <w:spacing w:before="0" w:after="0"/>
            </w:pPr>
            <w:r>
              <w:t>N/A</w:t>
            </w:r>
          </w:p>
        </w:tc>
        <w:tc>
          <w:tcPr>
            <w:tcW w:w="290" w:type="pct"/>
            <w:vAlign w:val="center"/>
          </w:tcPr>
          <w:p w14:paraId="0BAD93F9" w14:textId="77777777" w:rsidR="007303EE" w:rsidRPr="00797379" w:rsidRDefault="007303EE" w:rsidP="00F5225F">
            <w:pPr>
              <w:pStyle w:val="TableTextCentered"/>
              <w:spacing w:before="0" w:after="0"/>
            </w:pPr>
            <w:r w:rsidRPr="00797379">
              <w:t>37</w:t>
            </w:r>
          </w:p>
        </w:tc>
        <w:tc>
          <w:tcPr>
            <w:tcW w:w="289" w:type="pct"/>
            <w:vAlign w:val="center"/>
          </w:tcPr>
          <w:p w14:paraId="1D1260D2" w14:textId="15D4CD53" w:rsidR="007303EE" w:rsidRPr="00797379" w:rsidRDefault="000B5510" w:rsidP="00F5225F">
            <w:pPr>
              <w:pStyle w:val="TableTextCentered"/>
              <w:spacing w:before="0" w:after="0"/>
            </w:pPr>
            <w:r>
              <w:t>N/A</w:t>
            </w:r>
          </w:p>
        </w:tc>
        <w:tc>
          <w:tcPr>
            <w:tcW w:w="290" w:type="pct"/>
            <w:vAlign w:val="center"/>
          </w:tcPr>
          <w:p w14:paraId="651915F4" w14:textId="5FA78C84" w:rsidR="007303EE" w:rsidRPr="00797379" w:rsidRDefault="000B5510" w:rsidP="00F5225F">
            <w:pPr>
              <w:pStyle w:val="TableTextCentered"/>
              <w:spacing w:before="0" w:after="0"/>
            </w:pPr>
            <w:r>
              <w:t>N/A</w:t>
            </w:r>
          </w:p>
        </w:tc>
        <w:tc>
          <w:tcPr>
            <w:tcW w:w="289" w:type="pct"/>
            <w:vAlign w:val="center"/>
          </w:tcPr>
          <w:p w14:paraId="0E6C1E4A" w14:textId="0E534C3E" w:rsidR="007303EE" w:rsidRPr="00797379" w:rsidRDefault="000B5510" w:rsidP="00F5225F">
            <w:pPr>
              <w:pStyle w:val="TableTextCentered"/>
              <w:spacing w:before="0" w:after="0"/>
            </w:pPr>
            <w:r>
              <w:t>N/A</w:t>
            </w:r>
          </w:p>
        </w:tc>
        <w:tc>
          <w:tcPr>
            <w:tcW w:w="290" w:type="pct"/>
            <w:vAlign w:val="center"/>
          </w:tcPr>
          <w:p w14:paraId="64D2BEE5" w14:textId="77777777" w:rsidR="007303EE" w:rsidRPr="00797379" w:rsidRDefault="007303EE" w:rsidP="00F5225F">
            <w:pPr>
              <w:pStyle w:val="TableTextCentered"/>
              <w:spacing w:before="0" w:after="0"/>
            </w:pPr>
            <w:r w:rsidRPr="00797379">
              <w:t>25</w:t>
            </w:r>
          </w:p>
        </w:tc>
      </w:tr>
      <w:tr w:rsidR="007303EE" w:rsidRPr="00797379" w14:paraId="69C8F266" w14:textId="77777777" w:rsidTr="000B5510">
        <w:tc>
          <w:tcPr>
            <w:tcW w:w="1179" w:type="pct"/>
          </w:tcPr>
          <w:p w14:paraId="7D752FE5" w14:textId="77777777" w:rsidR="007303EE" w:rsidRPr="00B70F71" w:rsidRDefault="007303EE" w:rsidP="00F5225F">
            <w:pPr>
              <w:pStyle w:val="TableSubheading"/>
              <w:spacing w:before="0" w:after="0"/>
              <w:rPr>
                <w:rFonts w:asciiTheme="minorHAnsi" w:hAnsiTheme="minorHAnsi"/>
              </w:rPr>
            </w:pPr>
            <w:r w:rsidRPr="00B70F71">
              <w:rPr>
                <w:rFonts w:asciiTheme="minorHAnsi" w:hAnsiTheme="minorHAnsi"/>
              </w:rPr>
              <w:t>White</w:t>
            </w:r>
          </w:p>
        </w:tc>
        <w:tc>
          <w:tcPr>
            <w:tcW w:w="347" w:type="pct"/>
            <w:vAlign w:val="center"/>
          </w:tcPr>
          <w:p w14:paraId="13BB54BD" w14:textId="77777777" w:rsidR="007303EE" w:rsidRPr="00797379" w:rsidRDefault="007303EE" w:rsidP="00F5225F">
            <w:pPr>
              <w:pStyle w:val="TableTextCentered"/>
              <w:spacing w:before="0" w:after="0"/>
            </w:pPr>
            <w:r w:rsidRPr="00797379">
              <w:t>1,336</w:t>
            </w:r>
          </w:p>
        </w:tc>
        <w:tc>
          <w:tcPr>
            <w:tcW w:w="289" w:type="pct"/>
            <w:vAlign w:val="center"/>
          </w:tcPr>
          <w:p w14:paraId="14AE838C" w14:textId="77777777" w:rsidR="007303EE" w:rsidRPr="00797379" w:rsidRDefault="007303EE" w:rsidP="00F5225F">
            <w:pPr>
              <w:pStyle w:val="TableTextCentered"/>
              <w:spacing w:before="0" w:after="0"/>
            </w:pPr>
            <w:r w:rsidRPr="00797379">
              <w:t>66</w:t>
            </w:r>
          </w:p>
        </w:tc>
        <w:tc>
          <w:tcPr>
            <w:tcW w:w="289" w:type="pct"/>
            <w:vAlign w:val="center"/>
          </w:tcPr>
          <w:p w14:paraId="05F93DC5" w14:textId="77777777" w:rsidR="007303EE" w:rsidRPr="00797379" w:rsidRDefault="007303EE" w:rsidP="00F5225F">
            <w:pPr>
              <w:pStyle w:val="TableTextCentered"/>
              <w:spacing w:before="0" w:after="0"/>
            </w:pPr>
            <w:r w:rsidRPr="00797379">
              <w:t>63</w:t>
            </w:r>
          </w:p>
        </w:tc>
        <w:tc>
          <w:tcPr>
            <w:tcW w:w="290" w:type="pct"/>
            <w:vAlign w:val="center"/>
          </w:tcPr>
          <w:p w14:paraId="45C372FA" w14:textId="77777777" w:rsidR="007303EE" w:rsidRPr="00797379" w:rsidRDefault="007303EE" w:rsidP="00F5225F">
            <w:pPr>
              <w:pStyle w:val="TableTextCentered"/>
              <w:spacing w:before="0" w:after="0"/>
            </w:pPr>
            <w:r w:rsidRPr="00797379">
              <w:t>69</w:t>
            </w:r>
          </w:p>
        </w:tc>
        <w:tc>
          <w:tcPr>
            <w:tcW w:w="289" w:type="pct"/>
            <w:vAlign w:val="center"/>
          </w:tcPr>
          <w:p w14:paraId="761EB470" w14:textId="77777777" w:rsidR="007303EE" w:rsidRPr="00797379" w:rsidRDefault="007303EE" w:rsidP="00F5225F">
            <w:pPr>
              <w:pStyle w:val="TableTextCentered"/>
              <w:spacing w:before="0" w:after="0"/>
            </w:pPr>
            <w:r w:rsidRPr="00797379">
              <w:t>50</w:t>
            </w:r>
          </w:p>
        </w:tc>
        <w:tc>
          <w:tcPr>
            <w:tcW w:w="290" w:type="pct"/>
            <w:vAlign w:val="center"/>
          </w:tcPr>
          <w:p w14:paraId="12FD21CE" w14:textId="77777777" w:rsidR="007303EE" w:rsidRPr="00797379" w:rsidRDefault="007303EE" w:rsidP="00F5225F">
            <w:pPr>
              <w:pStyle w:val="TableTextCentered"/>
              <w:spacing w:before="0" w:after="0"/>
            </w:pPr>
            <w:r w:rsidRPr="00797379">
              <w:t>29</w:t>
            </w:r>
          </w:p>
        </w:tc>
        <w:tc>
          <w:tcPr>
            <w:tcW w:w="289" w:type="pct"/>
            <w:vAlign w:val="center"/>
          </w:tcPr>
          <w:p w14:paraId="14068BB8" w14:textId="77777777" w:rsidR="007303EE" w:rsidRPr="00797379" w:rsidRDefault="007303EE" w:rsidP="00F5225F">
            <w:pPr>
              <w:pStyle w:val="TableTextCentered"/>
              <w:spacing w:before="0" w:after="0"/>
            </w:pPr>
            <w:r w:rsidRPr="00797379">
              <w:t>33</w:t>
            </w:r>
          </w:p>
        </w:tc>
        <w:tc>
          <w:tcPr>
            <w:tcW w:w="289" w:type="pct"/>
            <w:vAlign w:val="center"/>
          </w:tcPr>
          <w:p w14:paraId="5A2AC7F1" w14:textId="77777777" w:rsidR="007303EE" w:rsidRPr="00797379" w:rsidRDefault="007303EE" w:rsidP="00F5225F">
            <w:pPr>
              <w:pStyle w:val="TableTextCentered"/>
              <w:spacing w:before="0" w:after="0"/>
            </w:pPr>
            <w:r w:rsidRPr="00797379">
              <w:t>27</w:t>
            </w:r>
          </w:p>
        </w:tc>
        <w:tc>
          <w:tcPr>
            <w:tcW w:w="290" w:type="pct"/>
            <w:vAlign w:val="center"/>
          </w:tcPr>
          <w:p w14:paraId="364547EF" w14:textId="77777777" w:rsidR="007303EE" w:rsidRPr="00797379" w:rsidRDefault="007303EE" w:rsidP="00F5225F">
            <w:pPr>
              <w:pStyle w:val="TableTextCentered"/>
              <w:spacing w:before="0" w:after="0"/>
            </w:pPr>
            <w:r w:rsidRPr="00797379">
              <w:t>38</w:t>
            </w:r>
          </w:p>
        </w:tc>
        <w:tc>
          <w:tcPr>
            <w:tcW w:w="289" w:type="pct"/>
            <w:vAlign w:val="center"/>
          </w:tcPr>
          <w:p w14:paraId="1AE57E6F" w14:textId="77777777" w:rsidR="007303EE" w:rsidRPr="00797379" w:rsidRDefault="007303EE" w:rsidP="00F5225F">
            <w:pPr>
              <w:pStyle w:val="TableTextCentered"/>
              <w:spacing w:before="0" w:after="0"/>
            </w:pPr>
            <w:r w:rsidRPr="00797379">
              <w:t>5</w:t>
            </w:r>
          </w:p>
        </w:tc>
        <w:tc>
          <w:tcPr>
            <w:tcW w:w="290" w:type="pct"/>
            <w:vAlign w:val="center"/>
          </w:tcPr>
          <w:p w14:paraId="71301D4C" w14:textId="77777777" w:rsidR="007303EE" w:rsidRPr="00797379" w:rsidRDefault="007303EE" w:rsidP="00F5225F">
            <w:pPr>
              <w:pStyle w:val="TableTextCentered"/>
              <w:spacing w:before="0" w:after="0"/>
            </w:pPr>
            <w:r w:rsidRPr="00797379">
              <w:t>5</w:t>
            </w:r>
          </w:p>
        </w:tc>
        <w:tc>
          <w:tcPr>
            <w:tcW w:w="289" w:type="pct"/>
            <w:vAlign w:val="center"/>
          </w:tcPr>
          <w:p w14:paraId="5DE0D68E" w14:textId="77777777" w:rsidR="007303EE" w:rsidRPr="00797379" w:rsidRDefault="007303EE" w:rsidP="00F5225F">
            <w:pPr>
              <w:pStyle w:val="TableTextCentered"/>
              <w:spacing w:before="0" w:after="0"/>
            </w:pPr>
            <w:r w:rsidRPr="00797379">
              <w:t>4</w:t>
            </w:r>
          </w:p>
        </w:tc>
        <w:tc>
          <w:tcPr>
            <w:tcW w:w="290" w:type="pct"/>
            <w:vAlign w:val="center"/>
          </w:tcPr>
          <w:p w14:paraId="1593FFCC" w14:textId="77777777" w:rsidR="007303EE" w:rsidRPr="00797379" w:rsidRDefault="007303EE" w:rsidP="00F5225F">
            <w:pPr>
              <w:pStyle w:val="TableTextCentered"/>
              <w:spacing w:before="0" w:after="0"/>
            </w:pPr>
            <w:r w:rsidRPr="00797379">
              <w:t>13</w:t>
            </w:r>
          </w:p>
        </w:tc>
      </w:tr>
      <w:tr w:rsidR="007303EE" w:rsidRPr="00797379" w14:paraId="7850AA27" w14:textId="77777777" w:rsidTr="000B5510">
        <w:trPr>
          <w:cnfStyle w:val="000000100000" w:firstRow="0" w:lastRow="0" w:firstColumn="0" w:lastColumn="0" w:oddVBand="0" w:evenVBand="0" w:oddHBand="1" w:evenHBand="0" w:firstRowFirstColumn="0" w:firstRowLastColumn="0" w:lastRowFirstColumn="0" w:lastRowLastColumn="0"/>
        </w:trPr>
        <w:tc>
          <w:tcPr>
            <w:tcW w:w="1179" w:type="pct"/>
          </w:tcPr>
          <w:p w14:paraId="5D082339" w14:textId="77777777" w:rsidR="007303EE" w:rsidRPr="00B70F71" w:rsidRDefault="007303EE" w:rsidP="00F5225F">
            <w:pPr>
              <w:pStyle w:val="TableSubheading"/>
              <w:spacing w:before="0" w:after="0"/>
              <w:rPr>
                <w:rFonts w:asciiTheme="minorHAnsi" w:hAnsiTheme="minorHAnsi"/>
              </w:rPr>
            </w:pPr>
            <w:r w:rsidRPr="00B70F71">
              <w:rPr>
                <w:rFonts w:asciiTheme="minorHAnsi" w:hAnsiTheme="minorHAnsi"/>
              </w:rPr>
              <w:t>High Needs</w:t>
            </w:r>
          </w:p>
        </w:tc>
        <w:tc>
          <w:tcPr>
            <w:tcW w:w="347" w:type="pct"/>
            <w:vAlign w:val="center"/>
          </w:tcPr>
          <w:p w14:paraId="1C3C1854" w14:textId="77777777" w:rsidR="007303EE" w:rsidRPr="00797379" w:rsidRDefault="007303EE" w:rsidP="00F5225F">
            <w:pPr>
              <w:pStyle w:val="TableTextCentered"/>
              <w:spacing w:before="0" w:after="0"/>
            </w:pPr>
            <w:r w:rsidRPr="00797379">
              <w:t>660</w:t>
            </w:r>
          </w:p>
        </w:tc>
        <w:tc>
          <w:tcPr>
            <w:tcW w:w="289" w:type="pct"/>
            <w:vAlign w:val="center"/>
          </w:tcPr>
          <w:p w14:paraId="487E0118" w14:textId="77777777" w:rsidR="007303EE" w:rsidRPr="00797379" w:rsidRDefault="007303EE" w:rsidP="00F5225F">
            <w:pPr>
              <w:pStyle w:val="TableTextCentered"/>
              <w:spacing w:before="0" w:after="0"/>
            </w:pPr>
            <w:r w:rsidRPr="00797379">
              <w:t>42</w:t>
            </w:r>
          </w:p>
        </w:tc>
        <w:tc>
          <w:tcPr>
            <w:tcW w:w="289" w:type="pct"/>
            <w:vAlign w:val="center"/>
          </w:tcPr>
          <w:p w14:paraId="24FCC080" w14:textId="77777777" w:rsidR="007303EE" w:rsidRPr="00797379" w:rsidRDefault="007303EE" w:rsidP="00F5225F">
            <w:pPr>
              <w:pStyle w:val="TableTextCentered"/>
              <w:spacing w:before="0" w:after="0"/>
            </w:pPr>
            <w:r w:rsidRPr="00797379">
              <w:t>39</w:t>
            </w:r>
          </w:p>
        </w:tc>
        <w:tc>
          <w:tcPr>
            <w:tcW w:w="290" w:type="pct"/>
            <w:vAlign w:val="center"/>
          </w:tcPr>
          <w:p w14:paraId="0F71AC9E" w14:textId="77777777" w:rsidR="007303EE" w:rsidRPr="00797379" w:rsidRDefault="007303EE" w:rsidP="00F5225F">
            <w:pPr>
              <w:pStyle w:val="TableTextCentered"/>
              <w:spacing w:before="0" w:after="0"/>
            </w:pPr>
            <w:r w:rsidRPr="00797379">
              <w:t>42</w:t>
            </w:r>
          </w:p>
        </w:tc>
        <w:tc>
          <w:tcPr>
            <w:tcW w:w="289" w:type="pct"/>
            <w:vAlign w:val="center"/>
          </w:tcPr>
          <w:p w14:paraId="16F7F321" w14:textId="77777777" w:rsidR="007303EE" w:rsidRPr="00797379" w:rsidRDefault="007303EE" w:rsidP="00F5225F">
            <w:pPr>
              <w:pStyle w:val="TableTextCentered"/>
              <w:spacing w:before="0" w:after="0"/>
            </w:pPr>
            <w:r w:rsidRPr="00797379">
              <w:t>23</w:t>
            </w:r>
          </w:p>
        </w:tc>
        <w:tc>
          <w:tcPr>
            <w:tcW w:w="290" w:type="pct"/>
            <w:vAlign w:val="center"/>
          </w:tcPr>
          <w:p w14:paraId="413708A3" w14:textId="77777777" w:rsidR="007303EE" w:rsidRPr="00797379" w:rsidRDefault="007303EE" w:rsidP="00F5225F">
            <w:pPr>
              <w:pStyle w:val="TableTextCentered"/>
              <w:spacing w:before="0" w:after="0"/>
            </w:pPr>
            <w:r w:rsidRPr="00797379">
              <w:t>43</w:t>
            </w:r>
          </w:p>
        </w:tc>
        <w:tc>
          <w:tcPr>
            <w:tcW w:w="289" w:type="pct"/>
            <w:vAlign w:val="center"/>
          </w:tcPr>
          <w:p w14:paraId="77533246" w14:textId="77777777" w:rsidR="007303EE" w:rsidRPr="00797379" w:rsidRDefault="007303EE" w:rsidP="00F5225F">
            <w:pPr>
              <w:pStyle w:val="TableTextCentered"/>
              <w:spacing w:before="0" w:after="0"/>
            </w:pPr>
            <w:r w:rsidRPr="00797379">
              <w:t>47</w:t>
            </w:r>
          </w:p>
        </w:tc>
        <w:tc>
          <w:tcPr>
            <w:tcW w:w="289" w:type="pct"/>
            <w:vAlign w:val="center"/>
          </w:tcPr>
          <w:p w14:paraId="4DBC9832" w14:textId="77777777" w:rsidR="007303EE" w:rsidRPr="00797379" w:rsidRDefault="007303EE" w:rsidP="00F5225F">
            <w:pPr>
              <w:pStyle w:val="TableTextCentered"/>
              <w:spacing w:before="0" w:after="0"/>
            </w:pPr>
            <w:r w:rsidRPr="00797379">
              <w:t>42</w:t>
            </w:r>
          </w:p>
        </w:tc>
        <w:tc>
          <w:tcPr>
            <w:tcW w:w="290" w:type="pct"/>
            <w:vAlign w:val="center"/>
          </w:tcPr>
          <w:p w14:paraId="57279E3D" w14:textId="77777777" w:rsidR="007303EE" w:rsidRPr="00797379" w:rsidRDefault="007303EE" w:rsidP="00F5225F">
            <w:pPr>
              <w:pStyle w:val="TableTextCentered"/>
              <w:spacing w:before="0" w:after="0"/>
            </w:pPr>
            <w:r w:rsidRPr="00797379">
              <w:t>45</w:t>
            </w:r>
          </w:p>
        </w:tc>
        <w:tc>
          <w:tcPr>
            <w:tcW w:w="289" w:type="pct"/>
            <w:vAlign w:val="center"/>
          </w:tcPr>
          <w:p w14:paraId="25EE6F77" w14:textId="77777777" w:rsidR="007303EE" w:rsidRPr="00797379" w:rsidRDefault="007303EE" w:rsidP="00F5225F">
            <w:pPr>
              <w:pStyle w:val="TableTextCentered"/>
              <w:spacing w:before="0" w:after="0"/>
            </w:pPr>
            <w:r w:rsidRPr="00797379">
              <w:t>15</w:t>
            </w:r>
          </w:p>
        </w:tc>
        <w:tc>
          <w:tcPr>
            <w:tcW w:w="290" w:type="pct"/>
            <w:vAlign w:val="center"/>
          </w:tcPr>
          <w:p w14:paraId="4736F1E3" w14:textId="77777777" w:rsidR="007303EE" w:rsidRPr="00797379" w:rsidRDefault="007303EE" w:rsidP="00F5225F">
            <w:pPr>
              <w:pStyle w:val="TableTextCentered"/>
              <w:spacing w:before="0" w:after="0"/>
            </w:pPr>
            <w:r w:rsidRPr="00797379">
              <w:t>15</w:t>
            </w:r>
          </w:p>
        </w:tc>
        <w:tc>
          <w:tcPr>
            <w:tcW w:w="289" w:type="pct"/>
            <w:vAlign w:val="center"/>
          </w:tcPr>
          <w:p w14:paraId="21EA5A26" w14:textId="77777777" w:rsidR="007303EE" w:rsidRPr="00797379" w:rsidRDefault="007303EE" w:rsidP="00F5225F">
            <w:pPr>
              <w:pStyle w:val="TableTextCentered"/>
              <w:spacing w:before="0" w:after="0"/>
            </w:pPr>
            <w:r w:rsidRPr="00797379">
              <w:t>15</w:t>
            </w:r>
          </w:p>
        </w:tc>
        <w:tc>
          <w:tcPr>
            <w:tcW w:w="290" w:type="pct"/>
            <w:vAlign w:val="center"/>
          </w:tcPr>
          <w:p w14:paraId="36911EA0" w14:textId="77777777" w:rsidR="007303EE" w:rsidRPr="00797379" w:rsidRDefault="007303EE" w:rsidP="00F5225F">
            <w:pPr>
              <w:pStyle w:val="TableTextCentered"/>
              <w:spacing w:before="0" w:after="0"/>
            </w:pPr>
            <w:r w:rsidRPr="00797379">
              <w:t>32</w:t>
            </w:r>
          </w:p>
        </w:tc>
      </w:tr>
      <w:tr w:rsidR="007303EE" w:rsidRPr="00797379" w14:paraId="26010CC9" w14:textId="77777777" w:rsidTr="000B5510">
        <w:tc>
          <w:tcPr>
            <w:tcW w:w="1179" w:type="pct"/>
          </w:tcPr>
          <w:p w14:paraId="499C85B1" w14:textId="77777777" w:rsidR="007303EE" w:rsidRPr="00B70F71" w:rsidRDefault="007303EE" w:rsidP="00F5225F">
            <w:pPr>
              <w:pStyle w:val="TableSubheading"/>
              <w:spacing w:before="0" w:after="0"/>
              <w:rPr>
                <w:rFonts w:asciiTheme="minorHAnsi" w:hAnsiTheme="minorHAnsi"/>
              </w:rPr>
            </w:pPr>
            <w:r w:rsidRPr="00B70F71">
              <w:rPr>
                <w:rFonts w:asciiTheme="minorHAnsi" w:hAnsiTheme="minorHAnsi"/>
              </w:rPr>
              <w:t>English Learners</w:t>
            </w:r>
          </w:p>
        </w:tc>
        <w:tc>
          <w:tcPr>
            <w:tcW w:w="347" w:type="pct"/>
            <w:vAlign w:val="center"/>
          </w:tcPr>
          <w:p w14:paraId="14C1A3F5" w14:textId="77777777" w:rsidR="007303EE" w:rsidRPr="00797379" w:rsidRDefault="007303EE" w:rsidP="00F5225F">
            <w:pPr>
              <w:pStyle w:val="TableTextCentered"/>
              <w:spacing w:before="0" w:after="0"/>
            </w:pPr>
            <w:r w:rsidRPr="00797379">
              <w:t>187</w:t>
            </w:r>
          </w:p>
        </w:tc>
        <w:tc>
          <w:tcPr>
            <w:tcW w:w="289" w:type="pct"/>
            <w:vAlign w:val="center"/>
          </w:tcPr>
          <w:p w14:paraId="63BB9A82" w14:textId="77777777" w:rsidR="007303EE" w:rsidRPr="00797379" w:rsidRDefault="007303EE" w:rsidP="00F5225F">
            <w:pPr>
              <w:pStyle w:val="TableTextCentered"/>
              <w:spacing w:before="0" w:after="0"/>
            </w:pPr>
            <w:r w:rsidRPr="00797379">
              <w:t>52</w:t>
            </w:r>
          </w:p>
        </w:tc>
        <w:tc>
          <w:tcPr>
            <w:tcW w:w="289" w:type="pct"/>
            <w:vAlign w:val="center"/>
          </w:tcPr>
          <w:p w14:paraId="2F236962" w14:textId="77777777" w:rsidR="007303EE" w:rsidRPr="00797379" w:rsidRDefault="007303EE" w:rsidP="00F5225F">
            <w:pPr>
              <w:pStyle w:val="TableTextCentered"/>
              <w:spacing w:before="0" w:after="0"/>
            </w:pPr>
            <w:r w:rsidRPr="00797379">
              <w:t>48</w:t>
            </w:r>
          </w:p>
        </w:tc>
        <w:tc>
          <w:tcPr>
            <w:tcW w:w="290" w:type="pct"/>
            <w:vAlign w:val="center"/>
          </w:tcPr>
          <w:p w14:paraId="7C8EAD9D" w14:textId="77777777" w:rsidR="007303EE" w:rsidRPr="00797379" w:rsidRDefault="007303EE" w:rsidP="00F5225F">
            <w:pPr>
              <w:pStyle w:val="TableTextCentered"/>
              <w:spacing w:before="0" w:after="0"/>
            </w:pPr>
            <w:r w:rsidRPr="00797379">
              <w:t>51</w:t>
            </w:r>
          </w:p>
        </w:tc>
        <w:tc>
          <w:tcPr>
            <w:tcW w:w="289" w:type="pct"/>
            <w:vAlign w:val="center"/>
          </w:tcPr>
          <w:p w14:paraId="08A75826" w14:textId="77777777" w:rsidR="007303EE" w:rsidRPr="00797379" w:rsidRDefault="007303EE" w:rsidP="00F5225F">
            <w:pPr>
              <w:pStyle w:val="TableTextCentered"/>
              <w:spacing w:before="0" w:after="0"/>
            </w:pPr>
            <w:r w:rsidRPr="00797379">
              <w:t>19</w:t>
            </w:r>
          </w:p>
        </w:tc>
        <w:tc>
          <w:tcPr>
            <w:tcW w:w="290" w:type="pct"/>
            <w:vAlign w:val="center"/>
          </w:tcPr>
          <w:p w14:paraId="16ED63E0" w14:textId="77777777" w:rsidR="007303EE" w:rsidRPr="00797379" w:rsidRDefault="007303EE" w:rsidP="00F5225F">
            <w:pPr>
              <w:pStyle w:val="TableTextCentered"/>
              <w:spacing w:before="0" w:after="0"/>
            </w:pPr>
            <w:r w:rsidRPr="00797379">
              <w:t>36</w:t>
            </w:r>
          </w:p>
        </w:tc>
        <w:tc>
          <w:tcPr>
            <w:tcW w:w="289" w:type="pct"/>
            <w:vAlign w:val="center"/>
          </w:tcPr>
          <w:p w14:paraId="2C1D5973" w14:textId="77777777" w:rsidR="007303EE" w:rsidRPr="00797379" w:rsidRDefault="007303EE" w:rsidP="00F5225F">
            <w:pPr>
              <w:pStyle w:val="TableTextCentered"/>
              <w:spacing w:before="0" w:after="0"/>
            </w:pPr>
            <w:r w:rsidRPr="00797379">
              <w:t>38</w:t>
            </w:r>
          </w:p>
        </w:tc>
        <w:tc>
          <w:tcPr>
            <w:tcW w:w="289" w:type="pct"/>
            <w:vAlign w:val="center"/>
          </w:tcPr>
          <w:p w14:paraId="7CFD58C8" w14:textId="77777777" w:rsidR="007303EE" w:rsidRPr="00797379" w:rsidRDefault="007303EE" w:rsidP="00F5225F">
            <w:pPr>
              <w:pStyle w:val="TableTextCentered"/>
              <w:spacing w:before="0" w:after="0"/>
            </w:pPr>
            <w:r w:rsidRPr="00797379">
              <w:t>34</w:t>
            </w:r>
          </w:p>
        </w:tc>
        <w:tc>
          <w:tcPr>
            <w:tcW w:w="290" w:type="pct"/>
            <w:vAlign w:val="center"/>
          </w:tcPr>
          <w:p w14:paraId="1E43DFDA" w14:textId="77777777" w:rsidR="007303EE" w:rsidRPr="00797379" w:rsidRDefault="007303EE" w:rsidP="00F5225F">
            <w:pPr>
              <w:pStyle w:val="TableTextCentered"/>
              <w:spacing w:before="0" w:after="0"/>
            </w:pPr>
            <w:r w:rsidRPr="00797379">
              <w:t>41</w:t>
            </w:r>
          </w:p>
        </w:tc>
        <w:tc>
          <w:tcPr>
            <w:tcW w:w="289" w:type="pct"/>
            <w:vAlign w:val="center"/>
          </w:tcPr>
          <w:p w14:paraId="2CEF76F4" w14:textId="77777777" w:rsidR="007303EE" w:rsidRPr="00797379" w:rsidRDefault="007303EE" w:rsidP="00F5225F">
            <w:pPr>
              <w:pStyle w:val="TableTextCentered"/>
              <w:spacing w:before="0" w:after="0"/>
            </w:pPr>
            <w:r w:rsidRPr="00797379">
              <w:t>11</w:t>
            </w:r>
          </w:p>
        </w:tc>
        <w:tc>
          <w:tcPr>
            <w:tcW w:w="290" w:type="pct"/>
            <w:vAlign w:val="center"/>
          </w:tcPr>
          <w:p w14:paraId="79B3306D" w14:textId="77777777" w:rsidR="007303EE" w:rsidRPr="00797379" w:rsidRDefault="007303EE" w:rsidP="00F5225F">
            <w:pPr>
              <w:pStyle w:val="TableTextCentered"/>
              <w:spacing w:before="0" w:after="0"/>
            </w:pPr>
            <w:r w:rsidRPr="00797379">
              <w:t>14</w:t>
            </w:r>
          </w:p>
        </w:tc>
        <w:tc>
          <w:tcPr>
            <w:tcW w:w="289" w:type="pct"/>
            <w:vAlign w:val="center"/>
          </w:tcPr>
          <w:p w14:paraId="6A55B1DE" w14:textId="77777777" w:rsidR="007303EE" w:rsidRPr="00797379" w:rsidRDefault="007303EE" w:rsidP="00F5225F">
            <w:pPr>
              <w:pStyle w:val="TableTextCentered"/>
              <w:spacing w:before="0" w:after="0"/>
            </w:pPr>
            <w:r w:rsidRPr="00797379">
              <w:t>16</w:t>
            </w:r>
          </w:p>
        </w:tc>
        <w:tc>
          <w:tcPr>
            <w:tcW w:w="290" w:type="pct"/>
            <w:vAlign w:val="center"/>
          </w:tcPr>
          <w:p w14:paraId="74957D9E" w14:textId="77777777" w:rsidR="007303EE" w:rsidRPr="00797379" w:rsidRDefault="007303EE" w:rsidP="00F5225F">
            <w:pPr>
              <w:pStyle w:val="TableTextCentered"/>
              <w:spacing w:before="0" w:after="0"/>
            </w:pPr>
            <w:r w:rsidRPr="00797379">
              <w:t>40</w:t>
            </w:r>
          </w:p>
        </w:tc>
      </w:tr>
      <w:tr w:rsidR="007303EE" w:rsidRPr="00797379" w14:paraId="73827E84" w14:textId="77777777" w:rsidTr="000B5510">
        <w:trPr>
          <w:cnfStyle w:val="000000100000" w:firstRow="0" w:lastRow="0" w:firstColumn="0" w:lastColumn="0" w:oddVBand="0" w:evenVBand="0" w:oddHBand="1" w:evenHBand="0" w:firstRowFirstColumn="0" w:firstRowLastColumn="0" w:lastRowFirstColumn="0" w:lastRowLastColumn="0"/>
        </w:trPr>
        <w:tc>
          <w:tcPr>
            <w:tcW w:w="1179" w:type="pct"/>
          </w:tcPr>
          <w:p w14:paraId="11545490" w14:textId="77777777" w:rsidR="007303EE" w:rsidRPr="00B70F71" w:rsidRDefault="007303EE" w:rsidP="00F5225F">
            <w:pPr>
              <w:pStyle w:val="TableSubheading"/>
              <w:spacing w:before="0" w:after="0"/>
              <w:rPr>
                <w:rFonts w:asciiTheme="minorHAnsi" w:hAnsiTheme="minorHAnsi"/>
                <w:spacing w:val="-4"/>
              </w:rPr>
            </w:pPr>
            <w:r w:rsidRPr="00B70F71">
              <w:rPr>
                <w:rFonts w:asciiTheme="minorHAnsi" w:hAnsiTheme="minorHAnsi"/>
                <w:spacing w:val="-4"/>
              </w:rPr>
              <w:t>Low Income</w:t>
            </w:r>
          </w:p>
        </w:tc>
        <w:tc>
          <w:tcPr>
            <w:tcW w:w="347" w:type="pct"/>
            <w:vAlign w:val="center"/>
          </w:tcPr>
          <w:p w14:paraId="6B3CCE1C" w14:textId="77777777" w:rsidR="007303EE" w:rsidRPr="00797379" w:rsidRDefault="007303EE" w:rsidP="00F5225F">
            <w:pPr>
              <w:pStyle w:val="TableTextCentered"/>
              <w:spacing w:before="0" w:after="0"/>
            </w:pPr>
            <w:r w:rsidRPr="00797379">
              <w:t>181</w:t>
            </w:r>
          </w:p>
        </w:tc>
        <w:tc>
          <w:tcPr>
            <w:tcW w:w="289" w:type="pct"/>
            <w:vAlign w:val="center"/>
          </w:tcPr>
          <w:p w14:paraId="16BBF20C" w14:textId="77777777" w:rsidR="007303EE" w:rsidRPr="00797379" w:rsidRDefault="007303EE" w:rsidP="00F5225F">
            <w:pPr>
              <w:pStyle w:val="TableTextCentered"/>
              <w:spacing w:before="0" w:after="0"/>
            </w:pPr>
            <w:r w:rsidRPr="00797379">
              <w:t>40</w:t>
            </w:r>
          </w:p>
        </w:tc>
        <w:tc>
          <w:tcPr>
            <w:tcW w:w="289" w:type="pct"/>
            <w:vAlign w:val="center"/>
          </w:tcPr>
          <w:p w14:paraId="43418329" w14:textId="77777777" w:rsidR="007303EE" w:rsidRPr="00797379" w:rsidRDefault="007303EE" w:rsidP="00F5225F">
            <w:pPr>
              <w:pStyle w:val="TableTextCentered"/>
              <w:spacing w:before="0" w:after="0"/>
            </w:pPr>
            <w:r w:rsidRPr="00797379">
              <w:t>35</w:t>
            </w:r>
          </w:p>
        </w:tc>
        <w:tc>
          <w:tcPr>
            <w:tcW w:w="290" w:type="pct"/>
            <w:vAlign w:val="center"/>
          </w:tcPr>
          <w:p w14:paraId="43519CB4" w14:textId="77777777" w:rsidR="007303EE" w:rsidRPr="00797379" w:rsidRDefault="007303EE" w:rsidP="00F5225F">
            <w:pPr>
              <w:pStyle w:val="TableTextCentered"/>
              <w:spacing w:before="0" w:after="0"/>
            </w:pPr>
            <w:r w:rsidRPr="00797379">
              <w:t>41</w:t>
            </w:r>
          </w:p>
        </w:tc>
        <w:tc>
          <w:tcPr>
            <w:tcW w:w="289" w:type="pct"/>
            <w:vAlign w:val="center"/>
          </w:tcPr>
          <w:p w14:paraId="2CF572F1" w14:textId="77777777" w:rsidR="007303EE" w:rsidRPr="00797379" w:rsidRDefault="007303EE" w:rsidP="00F5225F">
            <w:pPr>
              <w:pStyle w:val="TableTextCentered"/>
              <w:spacing w:before="0" w:after="0"/>
            </w:pPr>
            <w:r w:rsidRPr="00797379">
              <w:t>23</w:t>
            </w:r>
          </w:p>
        </w:tc>
        <w:tc>
          <w:tcPr>
            <w:tcW w:w="290" w:type="pct"/>
            <w:vAlign w:val="center"/>
          </w:tcPr>
          <w:p w14:paraId="5F476150" w14:textId="77777777" w:rsidR="007303EE" w:rsidRPr="00797379" w:rsidRDefault="007303EE" w:rsidP="00F5225F">
            <w:pPr>
              <w:pStyle w:val="TableTextCentered"/>
              <w:spacing w:before="0" w:after="0"/>
            </w:pPr>
            <w:r w:rsidRPr="00797379">
              <w:t>44</w:t>
            </w:r>
          </w:p>
        </w:tc>
        <w:tc>
          <w:tcPr>
            <w:tcW w:w="289" w:type="pct"/>
            <w:vAlign w:val="center"/>
          </w:tcPr>
          <w:p w14:paraId="506D2B21" w14:textId="77777777" w:rsidR="007303EE" w:rsidRPr="00797379" w:rsidRDefault="007303EE" w:rsidP="00F5225F">
            <w:pPr>
              <w:pStyle w:val="TableTextCentered"/>
              <w:spacing w:before="0" w:after="0"/>
            </w:pPr>
            <w:r w:rsidRPr="00797379">
              <w:t>47</w:t>
            </w:r>
          </w:p>
        </w:tc>
        <w:tc>
          <w:tcPr>
            <w:tcW w:w="289" w:type="pct"/>
            <w:vAlign w:val="center"/>
          </w:tcPr>
          <w:p w14:paraId="071C6E81" w14:textId="77777777" w:rsidR="007303EE" w:rsidRPr="00797379" w:rsidRDefault="007303EE" w:rsidP="00F5225F">
            <w:pPr>
              <w:pStyle w:val="TableTextCentered"/>
              <w:spacing w:before="0" w:after="0"/>
            </w:pPr>
            <w:r w:rsidRPr="00797379">
              <w:t>38</w:t>
            </w:r>
          </w:p>
        </w:tc>
        <w:tc>
          <w:tcPr>
            <w:tcW w:w="290" w:type="pct"/>
            <w:vAlign w:val="center"/>
          </w:tcPr>
          <w:p w14:paraId="68C7F259" w14:textId="77777777" w:rsidR="007303EE" w:rsidRPr="00797379" w:rsidRDefault="007303EE" w:rsidP="00F5225F">
            <w:pPr>
              <w:pStyle w:val="TableTextCentered"/>
              <w:spacing w:before="0" w:after="0"/>
            </w:pPr>
            <w:r w:rsidRPr="00797379">
              <w:t>44</w:t>
            </w:r>
          </w:p>
        </w:tc>
        <w:tc>
          <w:tcPr>
            <w:tcW w:w="289" w:type="pct"/>
            <w:vAlign w:val="center"/>
          </w:tcPr>
          <w:p w14:paraId="59A935F8" w14:textId="77777777" w:rsidR="007303EE" w:rsidRPr="00797379" w:rsidRDefault="007303EE" w:rsidP="00F5225F">
            <w:pPr>
              <w:pStyle w:val="TableTextCentered"/>
              <w:spacing w:before="0" w:after="0"/>
            </w:pPr>
            <w:r w:rsidRPr="00797379">
              <w:t>16</w:t>
            </w:r>
          </w:p>
        </w:tc>
        <w:tc>
          <w:tcPr>
            <w:tcW w:w="290" w:type="pct"/>
            <w:vAlign w:val="center"/>
          </w:tcPr>
          <w:p w14:paraId="4B884BAD" w14:textId="77777777" w:rsidR="007303EE" w:rsidRPr="00797379" w:rsidRDefault="007303EE" w:rsidP="00F5225F">
            <w:pPr>
              <w:pStyle w:val="TableTextCentered"/>
              <w:spacing w:before="0" w:after="0"/>
            </w:pPr>
            <w:r w:rsidRPr="00797379">
              <w:t>18</w:t>
            </w:r>
          </w:p>
        </w:tc>
        <w:tc>
          <w:tcPr>
            <w:tcW w:w="289" w:type="pct"/>
            <w:vAlign w:val="center"/>
          </w:tcPr>
          <w:p w14:paraId="46CC0ADB" w14:textId="77777777" w:rsidR="007303EE" w:rsidRPr="00797379" w:rsidRDefault="007303EE" w:rsidP="00F5225F">
            <w:pPr>
              <w:pStyle w:val="TableTextCentered"/>
              <w:spacing w:before="0" w:after="0"/>
            </w:pPr>
            <w:r w:rsidRPr="00797379">
              <w:t>21</w:t>
            </w:r>
          </w:p>
        </w:tc>
        <w:tc>
          <w:tcPr>
            <w:tcW w:w="290" w:type="pct"/>
            <w:vAlign w:val="center"/>
          </w:tcPr>
          <w:p w14:paraId="1CC959B0" w14:textId="77777777" w:rsidR="007303EE" w:rsidRPr="00797379" w:rsidRDefault="007303EE" w:rsidP="00F5225F">
            <w:pPr>
              <w:pStyle w:val="TableTextCentered"/>
              <w:spacing w:before="0" w:after="0"/>
            </w:pPr>
            <w:r w:rsidRPr="00797379">
              <w:t>33</w:t>
            </w:r>
          </w:p>
        </w:tc>
      </w:tr>
      <w:tr w:rsidR="007303EE" w:rsidRPr="00797379" w14:paraId="0A9C44C6" w14:textId="77777777" w:rsidTr="000B5510">
        <w:tc>
          <w:tcPr>
            <w:tcW w:w="1179" w:type="pct"/>
          </w:tcPr>
          <w:p w14:paraId="703C7607" w14:textId="77777777" w:rsidR="007303EE" w:rsidRPr="00B70F71" w:rsidRDefault="007303EE" w:rsidP="00F5225F">
            <w:pPr>
              <w:pStyle w:val="TableSubheading"/>
              <w:spacing w:before="0" w:after="0"/>
              <w:rPr>
                <w:rFonts w:asciiTheme="minorHAnsi" w:hAnsiTheme="minorHAnsi"/>
              </w:rPr>
            </w:pPr>
            <w:r w:rsidRPr="00B70F71">
              <w:rPr>
                <w:rFonts w:asciiTheme="minorHAnsi" w:hAnsiTheme="minorHAnsi"/>
              </w:rPr>
              <w:t>Students with Disabilities</w:t>
            </w:r>
          </w:p>
        </w:tc>
        <w:tc>
          <w:tcPr>
            <w:tcW w:w="347" w:type="pct"/>
            <w:vAlign w:val="center"/>
          </w:tcPr>
          <w:p w14:paraId="5A88CFEB" w14:textId="77777777" w:rsidR="007303EE" w:rsidRPr="00797379" w:rsidRDefault="007303EE" w:rsidP="00F5225F">
            <w:pPr>
              <w:pStyle w:val="TableTextCentered"/>
              <w:spacing w:before="0" w:after="0"/>
            </w:pPr>
            <w:r w:rsidRPr="00797379">
              <w:t>447</w:t>
            </w:r>
          </w:p>
        </w:tc>
        <w:tc>
          <w:tcPr>
            <w:tcW w:w="289" w:type="pct"/>
            <w:vAlign w:val="center"/>
          </w:tcPr>
          <w:p w14:paraId="4D9D616F" w14:textId="77777777" w:rsidR="007303EE" w:rsidRPr="00797379" w:rsidRDefault="007303EE" w:rsidP="00F5225F">
            <w:pPr>
              <w:pStyle w:val="TableTextCentered"/>
              <w:spacing w:before="0" w:after="0"/>
            </w:pPr>
            <w:r w:rsidRPr="00797379">
              <w:t>33</w:t>
            </w:r>
          </w:p>
        </w:tc>
        <w:tc>
          <w:tcPr>
            <w:tcW w:w="289" w:type="pct"/>
            <w:vAlign w:val="center"/>
          </w:tcPr>
          <w:p w14:paraId="29AFAADB" w14:textId="77777777" w:rsidR="007303EE" w:rsidRPr="00797379" w:rsidRDefault="007303EE" w:rsidP="00F5225F">
            <w:pPr>
              <w:pStyle w:val="TableTextCentered"/>
              <w:spacing w:before="0" w:after="0"/>
            </w:pPr>
            <w:r w:rsidRPr="00797379">
              <w:t>31</w:t>
            </w:r>
          </w:p>
        </w:tc>
        <w:tc>
          <w:tcPr>
            <w:tcW w:w="290" w:type="pct"/>
            <w:vAlign w:val="center"/>
          </w:tcPr>
          <w:p w14:paraId="533A4AA1" w14:textId="77777777" w:rsidR="007303EE" w:rsidRPr="00797379" w:rsidRDefault="007303EE" w:rsidP="00F5225F">
            <w:pPr>
              <w:pStyle w:val="TableTextCentered"/>
              <w:spacing w:before="0" w:after="0"/>
            </w:pPr>
            <w:r w:rsidRPr="00797379">
              <w:t>32</w:t>
            </w:r>
          </w:p>
        </w:tc>
        <w:tc>
          <w:tcPr>
            <w:tcW w:w="289" w:type="pct"/>
            <w:vAlign w:val="center"/>
          </w:tcPr>
          <w:p w14:paraId="7E4DEFBB" w14:textId="77777777" w:rsidR="007303EE" w:rsidRPr="00797379" w:rsidRDefault="007303EE" w:rsidP="00F5225F">
            <w:pPr>
              <w:pStyle w:val="TableTextCentered"/>
              <w:spacing w:before="0" w:after="0"/>
            </w:pPr>
            <w:r w:rsidRPr="00797379">
              <w:t>12</w:t>
            </w:r>
          </w:p>
        </w:tc>
        <w:tc>
          <w:tcPr>
            <w:tcW w:w="290" w:type="pct"/>
            <w:vAlign w:val="center"/>
          </w:tcPr>
          <w:p w14:paraId="0EF2D2B2" w14:textId="77777777" w:rsidR="007303EE" w:rsidRPr="00797379" w:rsidRDefault="007303EE" w:rsidP="00F5225F">
            <w:pPr>
              <w:pStyle w:val="TableTextCentered"/>
              <w:spacing w:before="0" w:after="0"/>
            </w:pPr>
            <w:r w:rsidRPr="00797379">
              <w:t>49</w:t>
            </w:r>
          </w:p>
        </w:tc>
        <w:tc>
          <w:tcPr>
            <w:tcW w:w="289" w:type="pct"/>
            <w:vAlign w:val="center"/>
          </w:tcPr>
          <w:p w14:paraId="1489B096" w14:textId="77777777" w:rsidR="007303EE" w:rsidRPr="00797379" w:rsidRDefault="007303EE" w:rsidP="00F5225F">
            <w:pPr>
              <w:pStyle w:val="TableTextCentered"/>
              <w:spacing w:before="0" w:after="0"/>
            </w:pPr>
            <w:r w:rsidRPr="00797379">
              <w:t>50</w:t>
            </w:r>
          </w:p>
        </w:tc>
        <w:tc>
          <w:tcPr>
            <w:tcW w:w="289" w:type="pct"/>
            <w:vAlign w:val="center"/>
          </w:tcPr>
          <w:p w14:paraId="01482DA2" w14:textId="77777777" w:rsidR="007303EE" w:rsidRPr="00797379" w:rsidRDefault="007303EE" w:rsidP="00F5225F">
            <w:pPr>
              <w:pStyle w:val="TableTextCentered"/>
              <w:spacing w:before="0" w:after="0"/>
            </w:pPr>
            <w:r w:rsidRPr="00797379">
              <w:t>48</w:t>
            </w:r>
          </w:p>
        </w:tc>
        <w:tc>
          <w:tcPr>
            <w:tcW w:w="290" w:type="pct"/>
            <w:vAlign w:val="center"/>
          </w:tcPr>
          <w:p w14:paraId="490B49BC" w14:textId="77777777" w:rsidR="007303EE" w:rsidRPr="00797379" w:rsidRDefault="007303EE" w:rsidP="00F5225F">
            <w:pPr>
              <w:pStyle w:val="TableTextCentered"/>
              <w:spacing w:before="0" w:after="0"/>
            </w:pPr>
            <w:r w:rsidRPr="00797379">
              <w:t>40</w:t>
            </w:r>
          </w:p>
        </w:tc>
        <w:tc>
          <w:tcPr>
            <w:tcW w:w="289" w:type="pct"/>
            <w:vAlign w:val="center"/>
          </w:tcPr>
          <w:p w14:paraId="51189FBE" w14:textId="77777777" w:rsidR="007303EE" w:rsidRPr="00797379" w:rsidRDefault="007303EE" w:rsidP="00F5225F">
            <w:pPr>
              <w:pStyle w:val="TableTextCentered"/>
              <w:spacing w:before="0" w:after="0"/>
            </w:pPr>
            <w:r w:rsidRPr="00797379">
              <w:t>19</w:t>
            </w:r>
          </w:p>
        </w:tc>
        <w:tc>
          <w:tcPr>
            <w:tcW w:w="290" w:type="pct"/>
            <w:vAlign w:val="center"/>
          </w:tcPr>
          <w:p w14:paraId="38B51749" w14:textId="77777777" w:rsidR="007303EE" w:rsidRPr="00797379" w:rsidRDefault="007303EE" w:rsidP="00F5225F">
            <w:pPr>
              <w:pStyle w:val="TableTextCentered"/>
              <w:spacing w:before="0" w:after="0"/>
            </w:pPr>
            <w:r w:rsidRPr="00797379">
              <w:t>18</w:t>
            </w:r>
          </w:p>
        </w:tc>
        <w:tc>
          <w:tcPr>
            <w:tcW w:w="289" w:type="pct"/>
            <w:vAlign w:val="center"/>
          </w:tcPr>
          <w:p w14:paraId="164B2E81" w14:textId="77777777" w:rsidR="007303EE" w:rsidRPr="00797379" w:rsidRDefault="007303EE" w:rsidP="00F5225F">
            <w:pPr>
              <w:pStyle w:val="TableTextCentered"/>
              <w:spacing w:before="0" w:after="0"/>
            </w:pPr>
            <w:r w:rsidRPr="00797379">
              <w:t>20</w:t>
            </w:r>
          </w:p>
        </w:tc>
        <w:tc>
          <w:tcPr>
            <w:tcW w:w="290" w:type="pct"/>
            <w:vAlign w:val="center"/>
          </w:tcPr>
          <w:p w14:paraId="5D43BC51" w14:textId="77777777" w:rsidR="007303EE" w:rsidRPr="00797379" w:rsidRDefault="007303EE" w:rsidP="00F5225F">
            <w:pPr>
              <w:pStyle w:val="TableTextCentered"/>
              <w:spacing w:before="0" w:after="0"/>
            </w:pPr>
            <w:r w:rsidRPr="00797379">
              <w:t>48</w:t>
            </w:r>
          </w:p>
        </w:tc>
      </w:tr>
    </w:tbl>
    <w:p w14:paraId="31DC75D3" w14:textId="0CCA27EC" w:rsidR="007303EE" w:rsidRPr="00797379" w:rsidRDefault="007303EE" w:rsidP="006C2038">
      <w:pPr>
        <w:pStyle w:val="TableETitles"/>
      </w:pPr>
      <w:bookmarkStart w:id="241" w:name="_Toc220933505"/>
      <w:bookmarkEnd w:id="239"/>
      <w:bookmarkEnd w:id="240"/>
      <w:r w:rsidRPr="00797379">
        <w:t>Table E2. MCAS ELA Achievement by Student Group, Grade 10, 2023-2025</w:t>
      </w:r>
      <w:bookmarkEnd w:id="241"/>
    </w:p>
    <w:tbl>
      <w:tblPr>
        <w:tblStyle w:val="MSVTable1"/>
        <w:tblW w:w="5000" w:type="pct"/>
        <w:tblLayout w:type="fixed"/>
        <w:tblLook w:val="0420" w:firstRow="1" w:lastRow="0" w:firstColumn="0" w:lastColumn="0" w:noHBand="0" w:noVBand="1"/>
      </w:tblPr>
      <w:tblGrid>
        <w:gridCol w:w="3053"/>
        <w:gridCol w:w="899"/>
        <w:gridCol w:w="749"/>
        <w:gridCol w:w="749"/>
        <w:gridCol w:w="752"/>
        <w:gridCol w:w="749"/>
        <w:gridCol w:w="748"/>
        <w:gridCol w:w="751"/>
        <w:gridCol w:w="748"/>
        <w:gridCol w:w="748"/>
        <w:gridCol w:w="751"/>
        <w:gridCol w:w="748"/>
        <w:gridCol w:w="748"/>
        <w:gridCol w:w="751"/>
      </w:tblGrid>
      <w:tr w:rsidR="007303EE" w:rsidRPr="00797379" w14:paraId="05983402" w14:textId="77777777" w:rsidTr="00132A03">
        <w:trPr>
          <w:cnfStyle w:val="100000000000" w:firstRow="1" w:lastRow="0" w:firstColumn="0" w:lastColumn="0" w:oddVBand="0" w:evenVBand="0" w:oddHBand="0" w:evenHBand="0" w:firstRowFirstColumn="0" w:firstRowLastColumn="0" w:lastRowFirstColumn="0" w:lastRowLastColumn="0"/>
          <w:tblHeader/>
        </w:trPr>
        <w:tc>
          <w:tcPr>
            <w:tcW w:w="1179" w:type="pct"/>
            <w:tcMar>
              <w:left w:w="29" w:type="dxa"/>
              <w:right w:w="29" w:type="dxa"/>
            </w:tcMar>
            <w:vAlign w:val="center"/>
          </w:tcPr>
          <w:p w14:paraId="71A0FDC2" w14:textId="77777777" w:rsidR="007303EE" w:rsidRPr="00797379" w:rsidRDefault="007303EE" w:rsidP="00B156B6">
            <w:pPr>
              <w:pStyle w:val="TableColHeadingCenter"/>
            </w:pPr>
            <w:r w:rsidRPr="00797379">
              <w:t>Group</w:t>
            </w:r>
          </w:p>
        </w:tc>
        <w:tc>
          <w:tcPr>
            <w:tcW w:w="347" w:type="pct"/>
            <w:tcMar>
              <w:left w:w="29" w:type="dxa"/>
              <w:right w:w="29" w:type="dxa"/>
            </w:tcMar>
            <w:vAlign w:val="center"/>
          </w:tcPr>
          <w:p w14:paraId="48340113" w14:textId="77777777" w:rsidR="007303EE" w:rsidRPr="00797379" w:rsidRDefault="007303EE" w:rsidP="00B156B6">
            <w:pPr>
              <w:pStyle w:val="TableColHeadingCenter"/>
            </w:pPr>
            <w:r w:rsidRPr="00797379">
              <w:t># Included (2025)</w:t>
            </w:r>
          </w:p>
        </w:tc>
        <w:tc>
          <w:tcPr>
            <w:tcW w:w="289" w:type="pct"/>
            <w:tcMar>
              <w:left w:w="29" w:type="dxa"/>
              <w:right w:w="29" w:type="dxa"/>
            </w:tcMar>
            <w:vAlign w:val="center"/>
          </w:tcPr>
          <w:p w14:paraId="0E1A0AA6" w14:textId="77777777" w:rsidR="007303EE" w:rsidRPr="00797379" w:rsidRDefault="007303EE" w:rsidP="00B156B6">
            <w:pPr>
              <w:pStyle w:val="TableColHeadingCenter"/>
            </w:pPr>
            <w:r w:rsidRPr="00797379">
              <w:t>% M/E 2023</w:t>
            </w:r>
          </w:p>
        </w:tc>
        <w:tc>
          <w:tcPr>
            <w:tcW w:w="289" w:type="pct"/>
            <w:tcMar>
              <w:left w:w="29" w:type="dxa"/>
              <w:right w:w="29" w:type="dxa"/>
            </w:tcMar>
            <w:vAlign w:val="center"/>
          </w:tcPr>
          <w:p w14:paraId="1817467E" w14:textId="77777777" w:rsidR="007303EE" w:rsidRPr="00797379" w:rsidRDefault="007303EE" w:rsidP="00B156B6">
            <w:pPr>
              <w:pStyle w:val="TableColHeadingCenter"/>
            </w:pPr>
            <w:r w:rsidRPr="00797379">
              <w:t>% M/E 2024</w:t>
            </w:r>
          </w:p>
        </w:tc>
        <w:tc>
          <w:tcPr>
            <w:tcW w:w="290" w:type="pct"/>
            <w:tcMar>
              <w:left w:w="29" w:type="dxa"/>
              <w:right w:w="29" w:type="dxa"/>
            </w:tcMar>
            <w:vAlign w:val="center"/>
          </w:tcPr>
          <w:p w14:paraId="4FF80E7D" w14:textId="77777777" w:rsidR="007303EE" w:rsidRPr="00797379" w:rsidRDefault="007303EE" w:rsidP="00B156B6">
            <w:pPr>
              <w:pStyle w:val="TableColHeadingCenter"/>
            </w:pPr>
            <w:r w:rsidRPr="00797379">
              <w:t>% M/E 2025</w:t>
            </w:r>
          </w:p>
        </w:tc>
        <w:tc>
          <w:tcPr>
            <w:tcW w:w="289" w:type="pct"/>
            <w:tcMar>
              <w:left w:w="29" w:type="dxa"/>
              <w:right w:w="29" w:type="dxa"/>
            </w:tcMar>
            <w:vAlign w:val="center"/>
          </w:tcPr>
          <w:p w14:paraId="7A50AC85" w14:textId="77777777" w:rsidR="007303EE" w:rsidRPr="00797379" w:rsidRDefault="007303EE" w:rsidP="00B156B6">
            <w:pPr>
              <w:pStyle w:val="TableColHeadingCenter"/>
            </w:pPr>
            <w:r w:rsidRPr="00797379">
              <w:t>% M/E 2025 State</w:t>
            </w:r>
          </w:p>
        </w:tc>
        <w:tc>
          <w:tcPr>
            <w:tcW w:w="289" w:type="pct"/>
            <w:tcMar>
              <w:left w:w="29" w:type="dxa"/>
              <w:right w:w="29" w:type="dxa"/>
            </w:tcMar>
            <w:vAlign w:val="center"/>
          </w:tcPr>
          <w:p w14:paraId="03F765BA" w14:textId="77777777" w:rsidR="007303EE" w:rsidRPr="00797379" w:rsidRDefault="007303EE" w:rsidP="00B156B6">
            <w:pPr>
              <w:pStyle w:val="TableColHeadingCenter"/>
            </w:pPr>
            <w:r w:rsidRPr="00797379">
              <w:t>% PME 2023</w:t>
            </w:r>
          </w:p>
        </w:tc>
        <w:tc>
          <w:tcPr>
            <w:tcW w:w="290" w:type="pct"/>
            <w:tcMar>
              <w:left w:w="29" w:type="dxa"/>
              <w:right w:w="29" w:type="dxa"/>
            </w:tcMar>
            <w:vAlign w:val="center"/>
          </w:tcPr>
          <w:p w14:paraId="45064A57" w14:textId="77777777" w:rsidR="007303EE" w:rsidRPr="00797379" w:rsidRDefault="007303EE" w:rsidP="00B156B6">
            <w:pPr>
              <w:pStyle w:val="TableColHeadingCenter"/>
            </w:pPr>
            <w:r w:rsidRPr="00797379">
              <w:t>% PME 2024</w:t>
            </w:r>
          </w:p>
        </w:tc>
        <w:tc>
          <w:tcPr>
            <w:tcW w:w="289" w:type="pct"/>
            <w:tcMar>
              <w:left w:w="29" w:type="dxa"/>
              <w:right w:w="29" w:type="dxa"/>
            </w:tcMar>
            <w:vAlign w:val="center"/>
          </w:tcPr>
          <w:p w14:paraId="1D5EC72C" w14:textId="77777777" w:rsidR="007303EE" w:rsidRPr="00797379" w:rsidRDefault="007303EE" w:rsidP="00B156B6">
            <w:pPr>
              <w:pStyle w:val="TableColHeadingCenter"/>
            </w:pPr>
            <w:r w:rsidRPr="00797379">
              <w:t>% PME 2025</w:t>
            </w:r>
          </w:p>
        </w:tc>
        <w:tc>
          <w:tcPr>
            <w:tcW w:w="289" w:type="pct"/>
            <w:tcMar>
              <w:left w:w="29" w:type="dxa"/>
              <w:right w:w="29" w:type="dxa"/>
            </w:tcMar>
            <w:vAlign w:val="center"/>
          </w:tcPr>
          <w:p w14:paraId="580B951C" w14:textId="77777777" w:rsidR="007303EE" w:rsidRPr="00797379" w:rsidRDefault="007303EE" w:rsidP="00B156B6">
            <w:pPr>
              <w:pStyle w:val="TableColHeadingCenter"/>
            </w:pPr>
            <w:r w:rsidRPr="00797379">
              <w:t>% PME 2025 State</w:t>
            </w:r>
          </w:p>
        </w:tc>
        <w:tc>
          <w:tcPr>
            <w:tcW w:w="290" w:type="pct"/>
            <w:tcMar>
              <w:left w:w="29" w:type="dxa"/>
              <w:right w:w="29" w:type="dxa"/>
            </w:tcMar>
            <w:vAlign w:val="center"/>
          </w:tcPr>
          <w:p w14:paraId="4F6440DE" w14:textId="77777777" w:rsidR="007303EE" w:rsidRPr="00797379" w:rsidRDefault="007303EE" w:rsidP="00B156B6">
            <w:pPr>
              <w:pStyle w:val="TableColHeadingCenter"/>
            </w:pPr>
            <w:r w:rsidRPr="00797379">
              <w:t>% NM 2023</w:t>
            </w:r>
          </w:p>
        </w:tc>
        <w:tc>
          <w:tcPr>
            <w:tcW w:w="289" w:type="pct"/>
            <w:tcMar>
              <w:left w:w="29" w:type="dxa"/>
              <w:right w:w="29" w:type="dxa"/>
            </w:tcMar>
            <w:vAlign w:val="center"/>
          </w:tcPr>
          <w:p w14:paraId="54195B7D" w14:textId="77777777" w:rsidR="007303EE" w:rsidRPr="00797379" w:rsidRDefault="007303EE" w:rsidP="00B156B6">
            <w:pPr>
              <w:pStyle w:val="TableColHeadingCenter"/>
            </w:pPr>
            <w:r w:rsidRPr="00797379">
              <w:t>% NM 2024</w:t>
            </w:r>
          </w:p>
        </w:tc>
        <w:tc>
          <w:tcPr>
            <w:tcW w:w="289" w:type="pct"/>
            <w:tcMar>
              <w:left w:w="29" w:type="dxa"/>
              <w:right w:w="29" w:type="dxa"/>
            </w:tcMar>
            <w:vAlign w:val="center"/>
          </w:tcPr>
          <w:p w14:paraId="6BD7B841" w14:textId="77777777" w:rsidR="007303EE" w:rsidRPr="00797379" w:rsidRDefault="007303EE" w:rsidP="00B156B6">
            <w:pPr>
              <w:pStyle w:val="TableColHeadingCenter"/>
            </w:pPr>
            <w:r w:rsidRPr="00797379">
              <w:t>% NM 2025</w:t>
            </w:r>
          </w:p>
        </w:tc>
        <w:tc>
          <w:tcPr>
            <w:tcW w:w="290" w:type="pct"/>
            <w:tcMar>
              <w:left w:w="29" w:type="dxa"/>
              <w:right w:w="29" w:type="dxa"/>
            </w:tcMar>
            <w:vAlign w:val="center"/>
          </w:tcPr>
          <w:p w14:paraId="4DC47A64" w14:textId="77777777" w:rsidR="007303EE" w:rsidRPr="00797379" w:rsidRDefault="007303EE" w:rsidP="00B156B6">
            <w:pPr>
              <w:pStyle w:val="TableColHeadingCenter"/>
            </w:pPr>
            <w:r w:rsidRPr="00797379">
              <w:t>% NM 2025 State</w:t>
            </w:r>
          </w:p>
        </w:tc>
      </w:tr>
      <w:tr w:rsidR="007303EE" w:rsidRPr="00797379" w14:paraId="40AA6CBA" w14:textId="77777777" w:rsidTr="000B5510">
        <w:trPr>
          <w:cnfStyle w:val="000000100000" w:firstRow="0" w:lastRow="0" w:firstColumn="0" w:lastColumn="0" w:oddVBand="0" w:evenVBand="0" w:oddHBand="1" w:evenHBand="0" w:firstRowFirstColumn="0" w:firstRowLastColumn="0" w:lastRowFirstColumn="0" w:lastRowLastColumn="0"/>
        </w:trPr>
        <w:tc>
          <w:tcPr>
            <w:tcW w:w="1179" w:type="pct"/>
          </w:tcPr>
          <w:p w14:paraId="3B0FF6DC" w14:textId="77777777" w:rsidR="007303EE" w:rsidRPr="00BC5460" w:rsidRDefault="007303EE" w:rsidP="00F5225F">
            <w:pPr>
              <w:pStyle w:val="TableSubheading"/>
              <w:spacing w:before="0" w:after="0"/>
              <w:rPr>
                <w:rFonts w:asciiTheme="minorHAnsi" w:hAnsiTheme="minorHAnsi"/>
              </w:rPr>
            </w:pPr>
            <w:r w:rsidRPr="00BC5460">
              <w:rPr>
                <w:rFonts w:asciiTheme="minorHAnsi" w:hAnsiTheme="minorHAnsi"/>
              </w:rPr>
              <w:t>All Students</w:t>
            </w:r>
          </w:p>
        </w:tc>
        <w:tc>
          <w:tcPr>
            <w:tcW w:w="347" w:type="pct"/>
            <w:vAlign w:val="center"/>
          </w:tcPr>
          <w:p w14:paraId="6E7E305C" w14:textId="77777777" w:rsidR="007303EE" w:rsidRPr="00797379" w:rsidRDefault="007303EE" w:rsidP="00F5225F">
            <w:pPr>
              <w:pStyle w:val="TableTextCentered"/>
              <w:spacing w:before="0" w:after="0"/>
            </w:pPr>
            <w:r w:rsidRPr="00797379">
              <w:t>348</w:t>
            </w:r>
          </w:p>
        </w:tc>
        <w:tc>
          <w:tcPr>
            <w:tcW w:w="289" w:type="pct"/>
            <w:vAlign w:val="center"/>
          </w:tcPr>
          <w:p w14:paraId="7A121C79" w14:textId="77777777" w:rsidR="007303EE" w:rsidRPr="00797379" w:rsidRDefault="007303EE" w:rsidP="00F5225F">
            <w:pPr>
              <w:pStyle w:val="TableTextCentered"/>
              <w:spacing w:before="0" w:after="0"/>
            </w:pPr>
            <w:r w:rsidRPr="00797379">
              <w:t>87</w:t>
            </w:r>
          </w:p>
        </w:tc>
        <w:tc>
          <w:tcPr>
            <w:tcW w:w="289" w:type="pct"/>
            <w:vAlign w:val="center"/>
          </w:tcPr>
          <w:p w14:paraId="23DB5342" w14:textId="77777777" w:rsidR="007303EE" w:rsidRPr="00797379" w:rsidRDefault="007303EE" w:rsidP="00F5225F">
            <w:pPr>
              <w:pStyle w:val="TableTextCentered"/>
              <w:spacing w:before="0" w:after="0"/>
            </w:pPr>
            <w:r w:rsidRPr="00797379">
              <w:t>85</w:t>
            </w:r>
          </w:p>
        </w:tc>
        <w:tc>
          <w:tcPr>
            <w:tcW w:w="290" w:type="pct"/>
            <w:vAlign w:val="center"/>
          </w:tcPr>
          <w:p w14:paraId="3015C3D9" w14:textId="77777777" w:rsidR="007303EE" w:rsidRPr="00797379" w:rsidRDefault="007303EE" w:rsidP="00F5225F">
            <w:pPr>
              <w:pStyle w:val="TableTextCentered"/>
              <w:spacing w:before="0" w:after="0"/>
            </w:pPr>
            <w:r w:rsidRPr="00797379">
              <w:t>80</w:t>
            </w:r>
          </w:p>
        </w:tc>
        <w:tc>
          <w:tcPr>
            <w:tcW w:w="289" w:type="pct"/>
            <w:vAlign w:val="center"/>
          </w:tcPr>
          <w:p w14:paraId="4E073080" w14:textId="77777777" w:rsidR="007303EE" w:rsidRPr="00797379" w:rsidRDefault="007303EE" w:rsidP="00F5225F">
            <w:pPr>
              <w:pStyle w:val="TableTextCentered"/>
              <w:spacing w:before="0" w:after="0"/>
            </w:pPr>
            <w:r w:rsidRPr="00797379">
              <w:t>51</w:t>
            </w:r>
          </w:p>
        </w:tc>
        <w:tc>
          <w:tcPr>
            <w:tcW w:w="289" w:type="pct"/>
            <w:vAlign w:val="center"/>
          </w:tcPr>
          <w:p w14:paraId="04DC8215" w14:textId="77777777" w:rsidR="007303EE" w:rsidRPr="00797379" w:rsidRDefault="007303EE" w:rsidP="00F5225F">
            <w:pPr>
              <w:pStyle w:val="TableTextCentered"/>
              <w:spacing w:before="0" w:after="0"/>
            </w:pPr>
            <w:r w:rsidRPr="00797379">
              <w:t>11</w:t>
            </w:r>
          </w:p>
        </w:tc>
        <w:tc>
          <w:tcPr>
            <w:tcW w:w="290" w:type="pct"/>
            <w:vAlign w:val="center"/>
          </w:tcPr>
          <w:p w14:paraId="1A772278" w14:textId="77777777" w:rsidR="007303EE" w:rsidRPr="00797379" w:rsidRDefault="007303EE" w:rsidP="00F5225F">
            <w:pPr>
              <w:pStyle w:val="TableTextCentered"/>
              <w:spacing w:before="0" w:after="0"/>
            </w:pPr>
            <w:r w:rsidRPr="00797379">
              <w:t>11</w:t>
            </w:r>
          </w:p>
        </w:tc>
        <w:tc>
          <w:tcPr>
            <w:tcW w:w="289" w:type="pct"/>
            <w:vAlign w:val="center"/>
          </w:tcPr>
          <w:p w14:paraId="677209F7" w14:textId="77777777" w:rsidR="007303EE" w:rsidRPr="00797379" w:rsidRDefault="007303EE" w:rsidP="00F5225F">
            <w:pPr>
              <w:pStyle w:val="TableTextCentered"/>
              <w:spacing w:before="0" w:after="0"/>
            </w:pPr>
            <w:r w:rsidRPr="00797379">
              <w:t>16</w:t>
            </w:r>
          </w:p>
        </w:tc>
        <w:tc>
          <w:tcPr>
            <w:tcW w:w="289" w:type="pct"/>
            <w:vAlign w:val="center"/>
          </w:tcPr>
          <w:p w14:paraId="1CF547A9" w14:textId="77777777" w:rsidR="007303EE" w:rsidRPr="00797379" w:rsidRDefault="007303EE" w:rsidP="00F5225F">
            <w:pPr>
              <w:pStyle w:val="TableTextCentered"/>
              <w:spacing w:before="0" w:after="0"/>
            </w:pPr>
            <w:r w:rsidRPr="00797379">
              <w:t>35</w:t>
            </w:r>
          </w:p>
        </w:tc>
        <w:tc>
          <w:tcPr>
            <w:tcW w:w="290" w:type="pct"/>
            <w:vAlign w:val="center"/>
          </w:tcPr>
          <w:p w14:paraId="08CAECB3" w14:textId="77777777" w:rsidR="007303EE" w:rsidRPr="00797379" w:rsidRDefault="007303EE" w:rsidP="00F5225F">
            <w:pPr>
              <w:pStyle w:val="TableTextCentered"/>
              <w:spacing w:before="0" w:after="0"/>
            </w:pPr>
            <w:r w:rsidRPr="00797379">
              <w:t>2</w:t>
            </w:r>
          </w:p>
        </w:tc>
        <w:tc>
          <w:tcPr>
            <w:tcW w:w="289" w:type="pct"/>
            <w:vAlign w:val="center"/>
          </w:tcPr>
          <w:p w14:paraId="6BE73B62" w14:textId="77777777" w:rsidR="007303EE" w:rsidRPr="00797379" w:rsidRDefault="007303EE" w:rsidP="00F5225F">
            <w:pPr>
              <w:pStyle w:val="TableTextCentered"/>
              <w:spacing w:before="0" w:after="0"/>
            </w:pPr>
            <w:r w:rsidRPr="00797379">
              <w:t>3</w:t>
            </w:r>
          </w:p>
        </w:tc>
        <w:tc>
          <w:tcPr>
            <w:tcW w:w="289" w:type="pct"/>
            <w:vAlign w:val="center"/>
          </w:tcPr>
          <w:p w14:paraId="20DE0CD3" w14:textId="77777777" w:rsidR="007303EE" w:rsidRPr="00797379" w:rsidRDefault="007303EE" w:rsidP="00F5225F">
            <w:pPr>
              <w:pStyle w:val="TableTextCentered"/>
              <w:spacing w:before="0" w:after="0"/>
            </w:pPr>
            <w:r w:rsidRPr="00797379">
              <w:t>4</w:t>
            </w:r>
          </w:p>
        </w:tc>
        <w:tc>
          <w:tcPr>
            <w:tcW w:w="290" w:type="pct"/>
            <w:vAlign w:val="center"/>
          </w:tcPr>
          <w:p w14:paraId="019EB5A0" w14:textId="77777777" w:rsidR="007303EE" w:rsidRPr="00797379" w:rsidRDefault="007303EE" w:rsidP="00F5225F">
            <w:pPr>
              <w:pStyle w:val="TableTextCentered"/>
              <w:spacing w:before="0" w:after="0"/>
            </w:pPr>
            <w:r w:rsidRPr="00797379">
              <w:t>15</w:t>
            </w:r>
          </w:p>
        </w:tc>
      </w:tr>
      <w:tr w:rsidR="007303EE" w:rsidRPr="00797379" w14:paraId="77299A04" w14:textId="77777777" w:rsidTr="000B5510">
        <w:tc>
          <w:tcPr>
            <w:tcW w:w="1179" w:type="pct"/>
          </w:tcPr>
          <w:p w14:paraId="6519FED9" w14:textId="77777777" w:rsidR="007303EE" w:rsidRPr="00BC5460" w:rsidRDefault="007303EE" w:rsidP="00F5225F">
            <w:pPr>
              <w:pStyle w:val="TableSubheading"/>
              <w:spacing w:before="0" w:after="0"/>
              <w:rPr>
                <w:rFonts w:asciiTheme="minorHAnsi" w:hAnsiTheme="minorHAnsi"/>
              </w:rPr>
            </w:pPr>
            <w:r w:rsidRPr="00BC5460">
              <w:rPr>
                <w:rFonts w:asciiTheme="minorHAnsi" w:hAnsiTheme="minorHAnsi"/>
              </w:rPr>
              <w:t>American Indian or Alaskan Native</w:t>
            </w:r>
          </w:p>
        </w:tc>
        <w:tc>
          <w:tcPr>
            <w:tcW w:w="347" w:type="pct"/>
            <w:vAlign w:val="center"/>
          </w:tcPr>
          <w:p w14:paraId="3152C9FD" w14:textId="273B2F71" w:rsidR="007303EE" w:rsidRPr="00797379" w:rsidRDefault="000B5510" w:rsidP="00F5225F">
            <w:pPr>
              <w:pStyle w:val="TableTextCentered"/>
              <w:spacing w:before="0" w:after="0"/>
            </w:pPr>
            <w:r>
              <w:t>N/A</w:t>
            </w:r>
          </w:p>
        </w:tc>
        <w:tc>
          <w:tcPr>
            <w:tcW w:w="289" w:type="pct"/>
            <w:vAlign w:val="center"/>
          </w:tcPr>
          <w:p w14:paraId="501BABC0" w14:textId="6F7FBB25" w:rsidR="007303EE" w:rsidRPr="00797379" w:rsidRDefault="000B5510" w:rsidP="00F5225F">
            <w:pPr>
              <w:pStyle w:val="TableTextCentered"/>
              <w:spacing w:before="0" w:after="0"/>
            </w:pPr>
            <w:r>
              <w:t>N/A</w:t>
            </w:r>
          </w:p>
        </w:tc>
        <w:tc>
          <w:tcPr>
            <w:tcW w:w="289" w:type="pct"/>
            <w:vAlign w:val="center"/>
          </w:tcPr>
          <w:p w14:paraId="5098D178" w14:textId="0EC8BE86" w:rsidR="007303EE" w:rsidRPr="00797379" w:rsidRDefault="000B5510" w:rsidP="00F5225F">
            <w:pPr>
              <w:pStyle w:val="TableTextCentered"/>
              <w:spacing w:before="0" w:after="0"/>
            </w:pPr>
            <w:r>
              <w:t>N/A</w:t>
            </w:r>
          </w:p>
        </w:tc>
        <w:tc>
          <w:tcPr>
            <w:tcW w:w="290" w:type="pct"/>
            <w:vAlign w:val="center"/>
          </w:tcPr>
          <w:p w14:paraId="11A8D7F1" w14:textId="64105767" w:rsidR="007303EE" w:rsidRPr="00797379" w:rsidRDefault="000B5510" w:rsidP="00F5225F">
            <w:pPr>
              <w:pStyle w:val="TableTextCentered"/>
              <w:spacing w:before="0" w:after="0"/>
            </w:pPr>
            <w:r>
              <w:t>N/A</w:t>
            </w:r>
          </w:p>
        </w:tc>
        <w:tc>
          <w:tcPr>
            <w:tcW w:w="289" w:type="pct"/>
            <w:vAlign w:val="center"/>
          </w:tcPr>
          <w:p w14:paraId="1570E8E2" w14:textId="77777777" w:rsidR="007303EE" w:rsidRPr="00797379" w:rsidRDefault="007303EE" w:rsidP="00F5225F">
            <w:pPr>
              <w:pStyle w:val="TableTextCentered"/>
              <w:spacing w:before="0" w:after="0"/>
            </w:pPr>
            <w:r w:rsidRPr="00797379">
              <w:t>38</w:t>
            </w:r>
          </w:p>
        </w:tc>
        <w:tc>
          <w:tcPr>
            <w:tcW w:w="289" w:type="pct"/>
            <w:vAlign w:val="center"/>
          </w:tcPr>
          <w:p w14:paraId="27A2DFA6" w14:textId="32D7D76A" w:rsidR="007303EE" w:rsidRPr="00797379" w:rsidRDefault="000B5510" w:rsidP="00F5225F">
            <w:pPr>
              <w:pStyle w:val="TableTextCentered"/>
              <w:spacing w:before="0" w:after="0"/>
            </w:pPr>
            <w:r>
              <w:t>N/A</w:t>
            </w:r>
          </w:p>
        </w:tc>
        <w:tc>
          <w:tcPr>
            <w:tcW w:w="290" w:type="pct"/>
            <w:vAlign w:val="center"/>
          </w:tcPr>
          <w:p w14:paraId="2E6AA9F7" w14:textId="65BC6D7A" w:rsidR="007303EE" w:rsidRPr="00797379" w:rsidRDefault="000B5510" w:rsidP="00F5225F">
            <w:pPr>
              <w:pStyle w:val="TableTextCentered"/>
              <w:spacing w:before="0" w:after="0"/>
            </w:pPr>
            <w:r>
              <w:t>N/A</w:t>
            </w:r>
          </w:p>
        </w:tc>
        <w:tc>
          <w:tcPr>
            <w:tcW w:w="289" w:type="pct"/>
            <w:vAlign w:val="center"/>
          </w:tcPr>
          <w:p w14:paraId="4D072738" w14:textId="68CF97EA" w:rsidR="007303EE" w:rsidRPr="00797379" w:rsidRDefault="000B5510" w:rsidP="00F5225F">
            <w:pPr>
              <w:pStyle w:val="TableTextCentered"/>
              <w:spacing w:before="0" w:after="0"/>
            </w:pPr>
            <w:r>
              <w:t>N/A</w:t>
            </w:r>
          </w:p>
        </w:tc>
        <w:tc>
          <w:tcPr>
            <w:tcW w:w="289" w:type="pct"/>
            <w:vAlign w:val="center"/>
          </w:tcPr>
          <w:p w14:paraId="26787BEB" w14:textId="77777777" w:rsidR="007303EE" w:rsidRPr="00797379" w:rsidRDefault="007303EE" w:rsidP="00F5225F">
            <w:pPr>
              <w:pStyle w:val="TableTextCentered"/>
              <w:spacing w:before="0" w:after="0"/>
            </w:pPr>
            <w:r w:rsidRPr="00797379">
              <w:t>41</w:t>
            </w:r>
          </w:p>
        </w:tc>
        <w:tc>
          <w:tcPr>
            <w:tcW w:w="290" w:type="pct"/>
            <w:vAlign w:val="center"/>
          </w:tcPr>
          <w:p w14:paraId="7736A169" w14:textId="4F2E82FA" w:rsidR="007303EE" w:rsidRPr="00797379" w:rsidRDefault="000B5510" w:rsidP="00F5225F">
            <w:pPr>
              <w:pStyle w:val="TableTextCentered"/>
              <w:spacing w:before="0" w:after="0"/>
            </w:pPr>
            <w:r>
              <w:t>N/A</w:t>
            </w:r>
          </w:p>
        </w:tc>
        <w:tc>
          <w:tcPr>
            <w:tcW w:w="289" w:type="pct"/>
            <w:vAlign w:val="center"/>
          </w:tcPr>
          <w:p w14:paraId="05DB3E72" w14:textId="751E77CE" w:rsidR="007303EE" w:rsidRPr="00797379" w:rsidRDefault="000B5510" w:rsidP="00F5225F">
            <w:pPr>
              <w:pStyle w:val="TableTextCentered"/>
              <w:spacing w:before="0" w:after="0"/>
            </w:pPr>
            <w:r>
              <w:t>N/A</w:t>
            </w:r>
          </w:p>
        </w:tc>
        <w:tc>
          <w:tcPr>
            <w:tcW w:w="289" w:type="pct"/>
            <w:vAlign w:val="center"/>
          </w:tcPr>
          <w:p w14:paraId="46F75449" w14:textId="34EAF0E7" w:rsidR="007303EE" w:rsidRPr="00797379" w:rsidRDefault="000B5510" w:rsidP="00F5225F">
            <w:pPr>
              <w:pStyle w:val="TableTextCentered"/>
              <w:spacing w:before="0" w:after="0"/>
            </w:pPr>
            <w:r>
              <w:t>N/A</w:t>
            </w:r>
          </w:p>
        </w:tc>
        <w:tc>
          <w:tcPr>
            <w:tcW w:w="290" w:type="pct"/>
            <w:vAlign w:val="center"/>
          </w:tcPr>
          <w:p w14:paraId="19694931" w14:textId="77777777" w:rsidR="007303EE" w:rsidRPr="00797379" w:rsidRDefault="007303EE" w:rsidP="00F5225F">
            <w:pPr>
              <w:pStyle w:val="TableTextCentered"/>
              <w:spacing w:before="0" w:after="0"/>
            </w:pPr>
            <w:r w:rsidRPr="00797379">
              <w:t>21</w:t>
            </w:r>
          </w:p>
        </w:tc>
      </w:tr>
      <w:tr w:rsidR="007303EE" w:rsidRPr="00797379" w14:paraId="2AA45D27" w14:textId="77777777" w:rsidTr="000B5510">
        <w:trPr>
          <w:cnfStyle w:val="000000100000" w:firstRow="0" w:lastRow="0" w:firstColumn="0" w:lastColumn="0" w:oddVBand="0" w:evenVBand="0" w:oddHBand="1" w:evenHBand="0" w:firstRowFirstColumn="0" w:firstRowLastColumn="0" w:lastRowFirstColumn="0" w:lastRowLastColumn="0"/>
        </w:trPr>
        <w:tc>
          <w:tcPr>
            <w:tcW w:w="1179" w:type="pct"/>
          </w:tcPr>
          <w:p w14:paraId="120674A8" w14:textId="77777777" w:rsidR="007303EE" w:rsidRPr="00BC5460" w:rsidRDefault="007303EE" w:rsidP="00F5225F">
            <w:pPr>
              <w:pStyle w:val="TableSubheading"/>
              <w:spacing w:before="0" w:after="0"/>
              <w:rPr>
                <w:rFonts w:asciiTheme="minorHAnsi" w:hAnsiTheme="minorHAnsi"/>
              </w:rPr>
            </w:pPr>
            <w:r w:rsidRPr="00BC5460">
              <w:rPr>
                <w:rFonts w:asciiTheme="minorHAnsi" w:hAnsiTheme="minorHAnsi"/>
              </w:rPr>
              <w:t>Asian</w:t>
            </w:r>
          </w:p>
        </w:tc>
        <w:tc>
          <w:tcPr>
            <w:tcW w:w="347" w:type="pct"/>
            <w:vAlign w:val="center"/>
          </w:tcPr>
          <w:p w14:paraId="1CB60569" w14:textId="77777777" w:rsidR="007303EE" w:rsidRPr="00797379" w:rsidRDefault="007303EE" w:rsidP="00F5225F">
            <w:pPr>
              <w:pStyle w:val="TableTextCentered"/>
              <w:spacing w:before="0" w:after="0"/>
            </w:pPr>
            <w:r w:rsidRPr="00797379">
              <w:t>65</w:t>
            </w:r>
          </w:p>
        </w:tc>
        <w:tc>
          <w:tcPr>
            <w:tcW w:w="289" w:type="pct"/>
            <w:vAlign w:val="center"/>
          </w:tcPr>
          <w:p w14:paraId="0DFA3F5A" w14:textId="77777777" w:rsidR="007303EE" w:rsidRPr="00797379" w:rsidRDefault="007303EE" w:rsidP="00F5225F">
            <w:pPr>
              <w:pStyle w:val="TableTextCentered"/>
              <w:spacing w:before="0" w:after="0"/>
            </w:pPr>
            <w:r w:rsidRPr="00797379">
              <w:t>93</w:t>
            </w:r>
          </w:p>
        </w:tc>
        <w:tc>
          <w:tcPr>
            <w:tcW w:w="289" w:type="pct"/>
            <w:vAlign w:val="center"/>
          </w:tcPr>
          <w:p w14:paraId="545D07A2" w14:textId="77777777" w:rsidR="007303EE" w:rsidRPr="00797379" w:rsidRDefault="007303EE" w:rsidP="00F5225F">
            <w:pPr>
              <w:pStyle w:val="TableTextCentered"/>
              <w:spacing w:before="0" w:after="0"/>
            </w:pPr>
            <w:r w:rsidRPr="00797379">
              <w:t>95</w:t>
            </w:r>
          </w:p>
        </w:tc>
        <w:tc>
          <w:tcPr>
            <w:tcW w:w="290" w:type="pct"/>
            <w:vAlign w:val="center"/>
          </w:tcPr>
          <w:p w14:paraId="0FFAA493" w14:textId="77777777" w:rsidR="007303EE" w:rsidRPr="00797379" w:rsidRDefault="007303EE" w:rsidP="00F5225F">
            <w:pPr>
              <w:pStyle w:val="TableTextCentered"/>
              <w:spacing w:before="0" w:after="0"/>
            </w:pPr>
            <w:r w:rsidRPr="00797379">
              <w:t>86</w:t>
            </w:r>
          </w:p>
        </w:tc>
        <w:tc>
          <w:tcPr>
            <w:tcW w:w="289" w:type="pct"/>
            <w:vAlign w:val="center"/>
          </w:tcPr>
          <w:p w14:paraId="1D886343" w14:textId="77777777" w:rsidR="007303EE" w:rsidRPr="00797379" w:rsidRDefault="007303EE" w:rsidP="00F5225F">
            <w:pPr>
              <w:pStyle w:val="TableTextCentered"/>
              <w:spacing w:before="0" w:after="0"/>
            </w:pPr>
            <w:r w:rsidRPr="00797379">
              <w:t>76</w:t>
            </w:r>
          </w:p>
        </w:tc>
        <w:tc>
          <w:tcPr>
            <w:tcW w:w="289" w:type="pct"/>
            <w:vAlign w:val="center"/>
          </w:tcPr>
          <w:p w14:paraId="1454BC3D" w14:textId="77777777" w:rsidR="007303EE" w:rsidRPr="00797379" w:rsidRDefault="007303EE" w:rsidP="00F5225F">
            <w:pPr>
              <w:pStyle w:val="TableTextCentered"/>
              <w:spacing w:before="0" w:after="0"/>
            </w:pPr>
            <w:r w:rsidRPr="00797379">
              <w:t>6</w:t>
            </w:r>
          </w:p>
        </w:tc>
        <w:tc>
          <w:tcPr>
            <w:tcW w:w="290" w:type="pct"/>
            <w:vAlign w:val="center"/>
          </w:tcPr>
          <w:p w14:paraId="11C61ACC" w14:textId="77777777" w:rsidR="007303EE" w:rsidRPr="00797379" w:rsidRDefault="007303EE" w:rsidP="00F5225F">
            <w:pPr>
              <w:pStyle w:val="TableTextCentered"/>
              <w:spacing w:before="0" w:after="0"/>
            </w:pPr>
            <w:r w:rsidRPr="00797379">
              <w:t>5</w:t>
            </w:r>
          </w:p>
        </w:tc>
        <w:tc>
          <w:tcPr>
            <w:tcW w:w="289" w:type="pct"/>
            <w:vAlign w:val="center"/>
          </w:tcPr>
          <w:p w14:paraId="77FEC525" w14:textId="77777777" w:rsidR="007303EE" w:rsidRPr="00797379" w:rsidRDefault="007303EE" w:rsidP="00F5225F">
            <w:pPr>
              <w:pStyle w:val="TableTextCentered"/>
              <w:spacing w:before="0" w:after="0"/>
            </w:pPr>
            <w:r w:rsidRPr="00797379">
              <w:t>11</w:t>
            </w:r>
          </w:p>
        </w:tc>
        <w:tc>
          <w:tcPr>
            <w:tcW w:w="289" w:type="pct"/>
            <w:vAlign w:val="center"/>
          </w:tcPr>
          <w:p w14:paraId="03DE0FC3" w14:textId="77777777" w:rsidR="007303EE" w:rsidRPr="00797379" w:rsidRDefault="007303EE" w:rsidP="00F5225F">
            <w:pPr>
              <w:pStyle w:val="TableTextCentered"/>
              <w:spacing w:before="0" w:after="0"/>
            </w:pPr>
            <w:r w:rsidRPr="00797379">
              <w:t>18</w:t>
            </w:r>
          </w:p>
        </w:tc>
        <w:tc>
          <w:tcPr>
            <w:tcW w:w="290" w:type="pct"/>
            <w:vAlign w:val="center"/>
          </w:tcPr>
          <w:p w14:paraId="790F4DEE" w14:textId="77777777" w:rsidR="007303EE" w:rsidRPr="00797379" w:rsidRDefault="007303EE" w:rsidP="00F5225F">
            <w:pPr>
              <w:pStyle w:val="TableTextCentered"/>
              <w:spacing w:before="0" w:after="0"/>
            </w:pPr>
            <w:r w:rsidRPr="00797379">
              <w:t>1</w:t>
            </w:r>
          </w:p>
        </w:tc>
        <w:tc>
          <w:tcPr>
            <w:tcW w:w="289" w:type="pct"/>
            <w:vAlign w:val="center"/>
          </w:tcPr>
          <w:p w14:paraId="5B2D961A" w14:textId="77777777" w:rsidR="007303EE" w:rsidRPr="00797379" w:rsidRDefault="007303EE" w:rsidP="00F5225F">
            <w:pPr>
              <w:pStyle w:val="TableTextCentered"/>
              <w:spacing w:before="0" w:after="0"/>
            </w:pPr>
            <w:r w:rsidRPr="00797379">
              <w:t>0</w:t>
            </w:r>
          </w:p>
        </w:tc>
        <w:tc>
          <w:tcPr>
            <w:tcW w:w="289" w:type="pct"/>
            <w:vAlign w:val="center"/>
          </w:tcPr>
          <w:p w14:paraId="7EE439FC" w14:textId="77777777" w:rsidR="007303EE" w:rsidRPr="00797379" w:rsidRDefault="007303EE" w:rsidP="00F5225F">
            <w:pPr>
              <w:pStyle w:val="TableTextCentered"/>
              <w:spacing w:before="0" w:after="0"/>
            </w:pPr>
            <w:r w:rsidRPr="00797379">
              <w:t>3</w:t>
            </w:r>
          </w:p>
        </w:tc>
        <w:tc>
          <w:tcPr>
            <w:tcW w:w="290" w:type="pct"/>
            <w:vAlign w:val="center"/>
          </w:tcPr>
          <w:p w14:paraId="149170E2" w14:textId="77777777" w:rsidR="007303EE" w:rsidRPr="00797379" w:rsidRDefault="007303EE" w:rsidP="00F5225F">
            <w:pPr>
              <w:pStyle w:val="TableTextCentered"/>
              <w:spacing w:before="0" w:after="0"/>
            </w:pPr>
            <w:r w:rsidRPr="00797379">
              <w:t>5</w:t>
            </w:r>
          </w:p>
        </w:tc>
      </w:tr>
      <w:tr w:rsidR="007303EE" w:rsidRPr="00797379" w14:paraId="51BD00D1" w14:textId="77777777" w:rsidTr="000B5510">
        <w:tc>
          <w:tcPr>
            <w:tcW w:w="1179" w:type="pct"/>
          </w:tcPr>
          <w:p w14:paraId="7E966CD8" w14:textId="77777777" w:rsidR="007303EE" w:rsidRPr="00BC5460" w:rsidRDefault="007303EE" w:rsidP="00F5225F">
            <w:pPr>
              <w:pStyle w:val="TableSubheading"/>
              <w:spacing w:before="0" w:after="0"/>
              <w:rPr>
                <w:rFonts w:asciiTheme="minorHAnsi" w:hAnsiTheme="minorHAnsi"/>
              </w:rPr>
            </w:pPr>
            <w:r w:rsidRPr="00BC5460">
              <w:rPr>
                <w:rFonts w:asciiTheme="minorHAnsi" w:hAnsiTheme="minorHAnsi"/>
              </w:rPr>
              <w:t>Black or African American</w:t>
            </w:r>
          </w:p>
        </w:tc>
        <w:tc>
          <w:tcPr>
            <w:tcW w:w="347" w:type="pct"/>
            <w:vAlign w:val="center"/>
          </w:tcPr>
          <w:p w14:paraId="6BDA85D7" w14:textId="77777777" w:rsidR="007303EE" w:rsidRPr="00797379" w:rsidRDefault="007303EE" w:rsidP="00F5225F">
            <w:pPr>
              <w:pStyle w:val="TableTextCentered"/>
              <w:spacing w:before="0" w:after="0"/>
            </w:pPr>
            <w:r w:rsidRPr="00797379">
              <w:t>7</w:t>
            </w:r>
          </w:p>
        </w:tc>
        <w:tc>
          <w:tcPr>
            <w:tcW w:w="289" w:type="pct"/>
            <w:vAlign w:val="center"/>
          </w:tcPr>
          <w:p w14:paraId="394D6E2F" w14:textId="169EB051" w:rsidR="007303EE" w:rsidRPr="00797379" w:rsidRDefault="000B5510" w:rsidP="00F5225F">
            <w:pPr>
              <w:pStyle w:val="TableTextCentered"/>
              <w:spacing w:before="0" w:after="0"/>
            </w:pPr>
            <w:r>
              <w:t>N/A</w:t>
            </w:r>
          </w:p>
        </w:tc>
        <w:tc>
          <w:tcPr>
            <w:tcW w:w="289" w:type="pct"/>
            <w:vAlign w:val="center"/>
          </w:tcPr>
          <w:p w14:paraId="6A88DC42" w14:textId="5D3F4090" w:rsidR="007303EE" w:rsidRPr="00797379" w:rsidRDefault="000B5510" w:rsidP="00F5225F">
            <w:pPr>
              <w:pStyle w:val="TableTextCentered"/>
              <w:spacing w:before="0" w:after="0"/>
            </w:pPr>
            <w:r>
              <w:t>N/A</w:t>
            </w:r>
          </w:p>
        </w:tc>
        <w:tc>
          <w:tcPr>
            <w:tcW w:w="290" w:type="pct"/>
            <w:vAlign w:val="center"/>
          </w:tcPr>
          <w:p w14:paraId="1F76D25B" w14:textId="3E756173" w:rsidR="007303EE" w:rsidRPr="00797379" w:rsidRDefault="000B5510" w:rsidP="00F5225F">
            <w:pPr>
              <w:pStyle w:val="TableTextCentered"/>
              <w:spacing w:before="0" w:after="0"/>
            </w:pPr>
            <w:r>
              <w:t>N/A</w:t>
            </w:r>
          </w:p>
        </w:tc>
        <w:tc>
          <w:tcPr>
            <w:tcW w:w="289" w:type="pct"/>
            <w:vAlign w:val="center"/>
          </w:tcPr>
          <w:p w14:paraId="2C70A2A2" w14:textId="77777777" w:rsidR="007303EE" w:rsidRPr="00797379" w:rsidRDefault="007303EE" w:rsidP="00F5225F">
            <w:pPr>
              <w:pStyle w:val="TableTextCentered"/>
              <w:spacing w:before="0" w:after="0"/>
            </w:pPr>
            <w:r w:rsidRPr="00797379">
              <w:t>35</w:t>
            </w:r>
          </w:p>
        </w:tc>
        <w:tc>
          <w:tcPr>
            <w:tcW w:w="289" w:type="pct"/>
            <w:vAlign w:val="center"/>
          </w:tcPr>
          <w:p w14:paraId="781BF5D1" w14:textId="7C7DBA02" w:rsidR="007303EE" w:rsidRPr="00797379" w:rsidRDefault="000B5510" w:rsidP="00F5225F">
            <w:pPr>
              <w:pStyle w:val="TableTextCentered"/>
              <w:spacing w:before="0" w:after="0"/>
            </w:pPr>
            <w:r>
              <w:t>N/A</w:t>
            </w:r>
          </w:p>
        </w:tc>
        <w:tc>
          <w:tcPr>
            <w:tcW w:w="290" w:type="pct"/>
            <w:vAlign w:val="center"/>
          </w:tcPr>
          <w:p w14:paraId="63B25261" w14:textId="3FAF3E46" w:rsidR="007303EE" w:rsidRPr="00797379" w:rsidRDefault="000B5510" w:rsidP="00F5225F">
            <w:pPr>
              <w:pStyle w:val="TableTextCentered"/>
              <w:spacing w:before="0" w:after="0"/>
            </w:pPr>
            <w:r>
              <w:t>N/A</w:t>
            </w:r>
          </w:p>
        </w:tc>
        <w:tc>
          <w:tcPr>
            <w:tcW w:w="289" w:type="pct"/>
            <w:vAlign w:val="center"/>
          </w:tcPr>
          <w:p w14:paraId="4B0F2C07" w14:textId="0CFBF031" w:rsidR="007303EE" w:rsidRPr="00797379" w:rsidRDefault="000B5510" w:rsidP="00F5225F">
            <w:pPr>
              <w:pStyle w:val="TableTextCentered"/>
              <w:spacing w:before="0" w:after="0"/>
            </w:pPr>
            <w:r>
              <w:t>N/A</w:t>
            </w:r>
          </w:p>
        </w:tc>
        <w:tc>
          <w:tcPr>
            <w:tcW w:w="289" w:type="pct"/>
            <w:vAlign w:val="center"/>
          </w:tcPr>
          <w:p w14:paraId="2018EBC0" w14:textId="77777777" w:rsidR="007303EE" w:rsidRPr="00797379" w:rsidRDefault="007303EE" w:rsidP="00F5225F">
            <w:pPr>
              <w:pStyle w:val="TableTextCentered"/>
              <w:spacing w:before="0" w:after="0"/>
            </w:pPr>
            <w:r w:rsidRPr="00797379">
              <w:t>42</w:t>
            </w:r>
          </w:p>
        </w:tc>
        <w:tc>
          <w:tcPr>
            <w:tcW w:w="290" w:type="pct"/>
            <w:vAlign w:val="center"/>
          </w:tcPr>
          <w:p w14:paraId="7718EB1B" w14:textId="2B463862" w:rsidR="007303EE" w:rsidRPr="00797379" w:rsidRDefault="000B5510" w:rsidP="00F5225F">
            <w:pPr>
              <w:pStyle w:val="TableTextCentered"/>
              <w:spacing w:before="0" w:after="0"/>
            </w:pPr>
            <w:r>
              <w:t>N/A</w:t>
            </w:r>
          </w:p>
        </w:tc>
        <w:tc>
          <w:tcPr>
            <w:tcW w:w="289" w:type="pct"/>
            <w:vAlign w:val="center"/>
          </w:tcPr>
          <w:p w14:paraId="12005A28" w14:textId="213C9CC3" w:rsidR="007303EE" w:rsidRPr="00797379" w:rsidRDefault="000B5510" w:rsidP="00F5225F">
            <w:pPr>
              <w:pStyle w:val="TableTextCentered"/>
              <w:spacing w:before="0" w:after="0"/>
            </w:pPr>
            <w:r>
              <w:t>N/A</w:t>
            </w:r>
          </w:p>
        </w:tc>
        <w:tc>
          <w:tcPr>
            <w:tcW w:w="289" w:type="pct"/>
            <w:vAlign w:val="center"/>
          </w:tcPr>
          <w:p w14:paraId="328F6103" w14:textId="728ABA24" w:rsidR="007303EE" w:rsidRPr="00797379" w:rsidRDefault="000B5510" w:rsidP="00F5225F">
            <w:pPr>
              <w:pStyle w:val="TableTextCentered"/>
              <w:spacing w:before="0" w:after="0"/>
            </w:pPr>
            <w:r>
              <w:t>N/A</w:t>
            </w:r>
          </w:p>
        </w:tc>
        <w:tc>
          <w:tcPr>
            <w:tcW w:w="290" w:type="pct"/>
            <w:vAlign w:val="center"/>
          </w:tcPr>
          <w:p w14:paraId="41897792" w14:textId="77777777" w:rsidR="007303EE" w:rsidRPr="00797379" w:rsidRDefault="007303EE" w:rsidP="00F5225F">
            <w:pPr>
              <w:pStyle w:val="TableTextCentered"/>
              <w:spacing w:before="0" w:after="0"/>
            </w:pPr>
            <w:r w:rsidRPr="00797379">
              <w:t>23</w:t>
            </w:r>
          </w:p>
        </w:tc>
      </w:tr>
      <w:tr w:rsidR="007303EE" w:rsidRPr="00797379" w14:paraId="0B7DED3F" w14:textId="77777777" w:rsidTr="000B5510">
        <w:trPr>
          <w:cnfStyle w:val="000000100000" w:firstRow="0" w:lastRow="0" w:firstColumn="0" w:lastColumn="0" w:oddVBand="0" w:evenVBand="0" w:oddHBand="1" w:evenHBand="0" w:firstRowFirstColumn="0" w:firstRowLastColumn="0" w:lastRowFirstColumn="0" w:lastRowLastColumn="0"/>
        </w:trPr>
        <w:tc>
          <w:tcPr>
            <w:tcW w:w="1179" w:type="pct"/>
          </w:tcPr>
          <w:p w14:paraId="5AD53787" w14:textId="77777777" w:rsidR="007303EE" w:rsidRPr="00BC5460" w:rsidRDefault="007303EE" w:rsidP="00F5225F">
            <w:pPr>
              <w:pStyle w:val="TableSubheading"/>
              <w:spacing w:before="0" w:after="0"/>
              <w:rPr>
                <w:rFonts w:asciiTheme="minorHAnsi" w:hAnsiTheme="minorHAnsi"/>
              </w:rPr>
            </w:pPr>
            <w:r w:rsidRPr="00BC5460">
              <w:rPr>
                <w:rFonts w:asciiTheme="minorHAnsi" w:hAnsiTheme="minorHAnsi"/>
              </w:rPr>
              <w:t>Hispanic or Latino</w:t>
            </w:r>
          </w:p>
        </w:tc>
        <w:tc>
          <w:tcPr>
            <w:tcW w:w="347" w:type="pct"/>
            <w:vAlign w:val="center"/>
          </w:tcPr>
          <w:p w14:paraId="40C01B92" w14:textId="77777777" w:rsidR="007303EE" w:rsidRPr="00797379" w:rsidRDefault="007303EE" w:rsidP="00F5225F">
            <w:pPr>
              <w:pStyle w:val="TableTextCentered"/>
              <w:spacing w:before="0" w:after="0"/>
            </w:pPr>
            <w:r w:rsidRPr="00797379">
              <w:t>18</w:t>
            </w:r>
          </w:p>
        </w:tc>
        <w:tc>
          <w:tcPr>
            <w:tcW w:w="289" w:type="pct"/>
            <w:vAlign w:val="center"/>
          </w:tcPr>
          <w:p w14:paraId="24EE8E9A" w14:textId="77777777" w:rsidR="007303EE" w:rsidRPr="00797379" w:rsidRDefault="007303EE" w:rsidP="00F5225F">
            <w:pPr>
              <w:pStyle w:val="TableTextCentered"/>
              <w:spacing w:before="0" w:after="0"/>
            </w:pPr>
            <w:r w:rsidRPr="00797379">
              <w:t>92</w:t>
            </w:r>
          </w:p>
        </w:tc>
        <w:tc>
          <w:tcPr>
            <w:tcW w:w="289" w:type="pct"/>
            <w:vAlign w:val="center"/>
          </w:tcPr>
          <w:p w14:paraId="6EE16643" w14:textId="77777777" w:rsidR="007303EE" w:rsidRPr="00797379" w:rsidRDefault="007303EE" w:rsidP="00F5225F">
            <w:pPr>
              <w:pStyle w:val="TableTextCentered"/>
              <w:spacing w:before="0" w:after="0"/>
            </w:pPr>
            <w:r w:rsidRPr="00797379">
              <w:t>80</w:t>
            </w:r>
          </w:p>
        </w:tc>
        <w:tc>
          <w:tcPr>
            <w:tcW w:w="290" w:type="pct"/>
            <w:vAlign w:val="center"/>
          </w:tcPr>
          <w:p w14:paraId="581CFAA5" w14:textId="77777777" w:rsidR="007303EE" w:rsidRPr="00797379" w:rsidRDefault="007303EE" w:rsidP="00F5225F">
            <w:pPr>
              <w:pStyle w:val="TableTextCentered"/>
              <w:spacing w:before="0" w:after="0"/>
            </w:pPr>
            <w:r w:rsidRPr="00797379">
              <w:t>72</w:t>
            </w:r>
          </w:p>
        </w:tc>
        <w:tc>
          <w:tcPr>
            <w:tcW w:w="289" w:type="pct"/>
            <w:vAlign w:val="center"/>
          </w:tcPr>
          <w:p w14:paraId="6AC871C4" w14:textId="77777777" w:rsidR="007303EE" w:rsidRPr="00797379" w:rsidRDefault="007303EE" w:rsidP="00F5225F">
            <w:pPr>
              <w:pStyle w:val="TableTextCentered"/>
              <w:spacing w:before="0" w:after="0"/>
            </w:pPr>
            <w:r w:rsidRPr="00797379">
              <w:t>31</w:t>
            </w:r>
          </w:p>
        </w:tc>
        <w:tc>
          <w:tcPr>
            <w:tcW w:w="289" w:type="pct"/>
            <w:vAlign w:val="center"/>
          </w:tcPr>
          <w:p w14:paraId="26C166A3" w14:textId="77777777" w:rsidR="007303EE" w:rsidRPr="00797379" w:rsidRDefault="007303EE" w:rsidP="00F5225F">
            <w:pPr>
              <w:pStyle w:val="TableTextCentered"/>
              <w:spacing w:before="0" w:after="0"/>
            </w:pPr>
            <w:r w:rsidRPr="00797379">
              <w:t>8</w:t>
            </w:r>
          </w:p>
        </w:tc>
        <w:tc>
          <w:tcPr>
            <w:tcW w:w="290" w:type="pct"/>
            <w:vAlign w:val="center"/>
          </w:tcPr>
          <w:p w14:paraId="648B4D8F" w14:textId="77777777" w:rsidR="007303EE" w:rsidRPr="00797379" w:rsidRDefault="007303EE" w:rsidP="00F5225F">
            <w:pPr>
              <w:pStyle w:val="TableTextCentered"/>
              <w:spacing w:before="0" w:after="0"/>
            </w:pPr>
            <w:r w:rsidRPr="00797379">
              <w:t>20</w:t>
            </w:r>
          </w:p>
        </w:tc>
        <w:tc>
          <w:tcPr>
            <w:tcW w:w="289" w:type="pct"/>
            <w:vAlign w:val="center"/>
          </w:tcPr>
          <w:p w14:paraId="4F2B58B1" w14:textId="77777777" w:rsidR="007303EE" w:rsidRPr="00797379" w:rsidRDefault="007303EE" w:rsidP="00F5225F">
            <w:pPr>
              <w:pStyle w:val="TableTextCentered"/>
              <w:spacing w:before="0" w:after="0"/>
            </w:pPr>
            <w:r w:rsidRPr="00797379">
              <w:t>17</w:t>
            </w:r>
          </w:p>
        </w:tc>
        <w:tc>
          <w:tcPr>
            <w:tcW w:w="289" w:type="pct"/>
            <w:vAlign w:val="center"/>
          </w:tcPr>
          <w:p w14:paraId="4CF64DCD" w14:textId="77777777" w:rsidR="007303EE" w:rsidRPr="00797379" w:rsidRDefault="007303EE" w:rsidP="00F5225F">
            <w:pPr>
              <w:pStyle w:val="TableTextCentered"/>
              <w:spacing w:before="0" w:after="0"/>
            </w:pPr>
            <w:r w:rsidRPr="00797379">
              <w:t>41</w:t>
            </w:r>
          </w:p>
        </w:tc>
        <w:tc>
          <w:tcPr>
            <w:tcW w:w="290" w:type="pct"/>
            <w:vAlign w:val="center"/>
          </w:tcPr>
          <w:p w14:paraId="20138099" w14:textId="77777777" w:rsidR="007303EE" w:rsidRPr="00797379" w:rsidRDefault="007303EE" w:rsidP="00F5225F">
            <w:pPr>
              <w:pStyle w:val="TableTextCentered"/>
              <w:spacing w:before="0" w:after="0"/>
            </w:pPr>
            <w:r w:rsidRPr="00797379">
              <w:t>0</w:t>
            </w:r>
          </w:p>
        </w:tc>
        <w:tc>
          <w:tcPr>
            <w:tcW w:w="289" w:type="pct"/>
            <w:vAlign w:val="center"/>
          </w:tcPr>
          <w:p w14:paraId="2739403B" w14:textId="77777777" w:rsidR="007303EE" w:rsidRPr="00797379" w:rsidRDefault="007303EE" w:rsidP="00F5225F">
            <w:pPr>
              <w:pStyle w:val="TableTextCentered"/>
              <w:spacing w:before="0" w:after="0"/>
            </w:pPr>
            <w:r w:rsidRPr="00797379">
              <w:t>0</w:t>
            </w:r>
          </w:p>
        </w:tc>
        <w:tc>
          <w:tcPr>
            <w:tcW w:w="289" w:type="pct"/>
            <w:vAlign w:val="center"/>
          </w:tcPr>
          <w:p w14:paraId="5A61D852" w14:textId="77777777" w:rsidR="007303EE" w:rsidRPr="00797379" w:rsidRDefault="007303EE" w:rsidP="00F5225F">
            <w:pPr>
              <w:pStyle w:val="TableTextCentered"/>
              <w:spacing w:before="0" w:after="0"/>
            </w:pPr>
            <w:r w:rsidRPr="00797379">
              <w:t>11</w:t>
            </w:r>
          </w:p>
        </w:tc>
        <w:tc>
          <w:tcPr>
            <w:tcW w:w="290" w:type="pct"/>
            <w:vAlign w:val="center"/>
          </w:tcPr>
          <w:p w14:paraId="76B4A72A" w14:textId="77777777" w:rsidR="007303EE" w:rsidRPr="00797379" w:rsidRDefault="007303EE" w:rsidP="00F5225F">
            <w:pPr>
              <w:pStyle w:val="TableTextCentered"/>
              <w:spacing w:before="0" w:after="0"/>
            </w:pPr>
            <w:r w:rsidRPr="00797379">
              <w:t>28</w:t>
            </w:r>
          </w:p>
        </w:tc>
      </w:tr>
      <w:tr w:rsidR="007303EE" w:rsidRPr="00797379" w14:paraId="4E83AFDD" w14:textId="77777777" w:rsidTr="000B5510">
        <w:tc>
          <w:tcPr>
            <w:tcW w:w="1179" w:type="pct"/>
          </w:tcPr>
          <w:p w14:paraId="79034E71" w14:textId="77777777" w:rsidR="007303EE" w:rsidRPr="00BC5460" w:rsidRDefault="007303EE" w:rsidP="00F5225F">
            <w:pPr>
              <w:pStyle w:val="TableSubheading"/>
              <w:spacing w:before="0" w:after="0"/>
              <w:rPr>
                <w:rFonts w:asciiTheme="minorHAnsi" w:hAnsiTheme="minorHAnsi"/>
              </w:rPr>
            </w:pPr>
            <w:r w:rsidRPr="00BC5460">
              <w:rPr>
                <w:rFonts w:asciiTheme="minorHAnsi" w:hAnsiTheme="minorHAnsi"/>
              </w:rPr>
              <w:t>Multi-Race, Not Hispanic or Latino</w:t>
            </w:r>
          </w:p>
        </w:tc>
        <w:tc>
          <w:tcPr>
            <w:tcW w:w="347" w:type="pct"/>
            <w:vAlign w:val="center"/>
          </w:tcPr>
          <w:p w14:paraId="0EE54CF9" w14:textId="77777777" w:rsidR="007303EE" w:rsidRPr="00797379" w:rsidRDefault="007303EE" w:rsidP="00F5225F">
            <w:pPr>
              <w:pStyle w:val="TableTextCentered"/>
              <w:spacing w:before="0" w:after="0"/>
            </w:pPr>
            <w:r w:rsidRPr="00797379">
              <w:t>16</w:t>
            </w:r>
          </w:p>
        </w:tc>
        <w:tc>
          <w:tcPr>
            <w:tcW w:w="289" w:type="pct"/>
            <w:vAlign w:val="center"/>
          </w:tcPr>
          <w:p w14:paraId="0DC6B31E" w14:textId="77777777" w:rsidR="007303EE" w:rsidRPr="00797379" w:rsidRDefault="007303EE" w:rsidP="00F5225F">
            <w:pPr>
              <w:pStyle w:val="TableTextCentered"/>
              <w:spacing w:before="0" w:after="0"/>
            </w:pPr>
            <w:r w:rsidRPr="00797379">
              <w:t>96</w:t>
            </w:r>
          </w:p>
        </w:tc>
        <w:tc>
          <w:tcPr>
            <w:tcW w:w="289" w:type="pct"/>
            <w:vAlign w:val="center"/>
          </w:tcPr>
          <w:p w14:paraId="1AD24464" w14:textId="77777777" w:rsidR="007303EE" w:rsidRPr="00797379" w:rsidRDefault="007303EE" w:rsidP="00F5225F">
            <w:pPr>
              <w:pStyle w:val="TableTextCentered"/>
              <w:spacing w:before="0" w:after="0"/>
            </w:pPr>
            <w:r w:rsidRPr="00797379">
              <w:t>93</w:t>
            </w:r>
          </w:p>
        </w:tc>
        <w:tc>
          <w:tcPr>
            <w:tcW w:w="290" w:type="pct"/>
            <w:vAlign w:val="center"/>
          </w:tcPr>
          <w:p w14:paraId="0F96768A" w14:textId="77777777" w:rsidR="007303EE" w:rsidRPr="00797379" w:rsidRDefault="007303EE" w:rsidP="00F5225F">
            <w:pPr>
              <w:pStyle w:val="TableTextCentered"/>
              <w:spacing w:before="0" w:after="0"/>
            </w:pPr>
            <w:r w:rsidRPr="00797379">
              <w:t>100</w:t>
            </w:r>
          </w:p>
        </w:tc>
        <w:tc>
          <w:tcPr>
            <w:tcW w:w="289" w:type="pct"/>
            <w:vAlign w:val="center"/>
          </w:tcPr>
          <w:p w14:paraId="1A4E472E" w14:textId="77777777" w:rsidR="007303EE" w:rsidRPr="00797379" w:rsidRDefault="007303EE" w:rsidP="00F5225F">
            <w:pPr>
              <w:pStyle w:val="TableTextCentered"/>
              <w:spacing w:before="0" w:after="0"/>
            </w:pPr>
            <w:r w:rsidRPr="00797379">
              <w:t>56</w:t>
            </w:r>
          </w:p>
        </w:tc>
        <w:tc>
          <w:tcPr>
            <w:tcW w:w="289" w:type="pct"/>
            <w:vAlign w:val="center"/>
          </w:tcPr>
          <w:p w14:paraId="480D6848" w14:textId="77777777" w:rsidR="007303EE" w:rsidRPr="00797379" w:rsidRDefault="007303EE" w:rsidP="00F5225F">
            <w:pPr>
              <w:pStyle w:val="TableTextCentered"/>
              <w:spacing w:before="0" w:after="0"/>
            </w:pPr>
            <w:r w:rsidRPr="00797379">
              <w:t>4</w:t>
            </w:r>
          </w:p>
        </w:tc>
        <w:tc>
          <w:tcPr>
            <w:tcW w:w="290" w:type="pct"/>
            <w:vAlign w:val="center"/>
          </w:tcPr>
          <w:p w14:paraId="45667151" w14:textId="77777777" w:rsidR="007303EE" w:rsidRPr="00797379" w:rsidRDefault="007303EE" w:rsidP="00F5225F">
            <w:pPr>
              <w:pStyle w:val="TableTextCentered"/>
              <w:spacing w:before="0" w:after="0"/>
            </w:pPr>
            <w:r w:rsidRPr="00797379">
              <w:t>7</w:t>
            </w:r>
          </w:p>
        </w:tc>
        <w:tc>
          <w:tcPr>
            <w:tcW w:w="289" w:type="pct"/>
            <w:vAlign w:val="center"/>
          </w:tcPr>
          <w:p w14:paraId="0615FE21" w14:textId="77777777" w:rsidR="007303EE" w:rsidRPr="00797379" w:rsidRDefault="007303EE" w:rsidP="00F5225F">
            <w:pPr>
              <w:pStyle w:val="TableTextCentered"/>
              <w:spacing w:before="0" w:after="0"/>
            </w:pPr>
            <w:r w:rsidRPr="00797379">
              <w:t>0</w:t>
            </w:r>
          </w:p>
        </w:tc>
        <w:tc>
          <w:tcPr>
            <w:tcW w:w="289" w:type="pct"/>
            <w:vAlign w:val="center"/>
          </w:tcPr>
          <w:p w14:paraId="14C2F954" w14:textId="77777777" w:rsidR="007303EE" w:rsidRPr="00797379" w:rsidRDefault="007303EE" w:rsidP="00F5225F">
            <w:pPr>
              <w:pStyle w:val="TableTextCentered"/>
              <w:spacing w:before="0" w:after="0"/>
            </w:pPr>
            <w:r w:rsidRPr="00797379">
              <w:t>33</w:t>
            </w:r>
          </w:p>
        </w:tc>
        <w:tc>
          <w:tcPr>
            <w:tcW w:w="290" w:type="pct"/>
            <w:vAlign w:val="center"/>
          </w:tcPr>
          <w:p w14:paraId="16E3CDFB" w14:textId="77777777" w:rsidR="007303EE" w:rsidRPr="00797379" w:rsidRDefault="007303EE" w:rsidP="00F5225F">
            <w:pPr>
              <w:pStyle w:val="TableTextCentered"/>
              <w:spacing w:before="0" w:after="0"/>
            </w:pPr>
            <w:r w:rsidRPr="00797379">
              <w:t>0</w:t>
            </w:r>
          </w:p>
        </w:tc>
        <w:tc>
          <w:tcPr>
            <w:tcW w:w="289" w:type="pct"/>
            <w:vAlign w:val="center"/>
          </w:tcPr>
          <w:p w14:paraId="3C61CE15" w14:textId="77777777" w:rsidR="007303EE" w:rsidRPr="00797379" w:rsidRDefault="007303EE" w:rsidP="00F5225F">
            <w:pPr>
              <w:pStyle w:val="TableTextCentered"/>
              <w:spacing w:before="0" w:after="0"/>
            </w:pPr>
            <w:r w:rsidRPr="00797379">
              <w:t>0</w:t>
            </w:r>
          </w:p>
        </w:tc>
        <w:tc>
          <w:tcPr>
            <w:tcW w:w="289" w:type="pct"/>
            <w:vAlign w:val="center"/>
          </w:tcPr>
          <w:p w14:paraId="0F2BC270" w14:textId="77777777" w:rsidR="007303EE" w:rsidRPr="00797379" w:rsidRDefault="007303EE" w:rsidP="00F5225F">
            <w:pPr>
              <w:pStyle w:val="TableTextCentered"/>
              <w:spacing w:before="0" w:after="0"/>
            </w:pPr>
            <w:r w:rsidRPr="00797379">
              <w:t>0</w:t>
            </w:r>
          </w:p>
        </w:tc>
        <w:tc>
          <w:tcPr>
            <w:tcW w:w="290" w:type="pct"/>
            <w:vAlign w:val="center"/>
          </w:tcPr>
          <w:p w14:paraId="1CCF0F1E" w14:textId="77777777" w:rsidR="007303EE" w:rsidRPr="00797379" w:rsidRDefault="007303EE" w:rsidP="00F5225F">
            <w:pPr>
              <w:pStyle w:val="TableTextCentered"/>
              <w:spacing w:before="0" w:after="0"/>
            </w:pPr>
            <w:r w:rsidRPr="00797379">
              <w:t>11</w:t>
            </w:r>
          </w:p>
        </w:tc>
      </w:tr>
      <w:tr w:rsidR="007303EE" w:rsidRPr="00797379" w14:paraId="0E4EAE72" w14:textId="77777777" w:rsidTr="000B5510">
        <w:trPr>
          <w:cnfStyle w:val="000000100000" w:firstRow="0" w:lastRow="0" w:firstColumn="0" w:lastColumn="0" w:oddVBand="0" w:evenVBand="0" w:oddHBand="1" w:evenHBand="0" w:firstRowFirstColumn="0" w:firstRowLastColumn="0" w:lastRowFirstColumn="0" w:lastRowLastColumn="0"/>
        </w:trPr>
        <w:tc>
          <w:tcPr>
            <w:tcW w:w="1179" w:type="pct"/>
          </w:tcPr>
          <w:p w14:paraId="2CFE9371" w14:textId="77777777" w:rsidR="007303EE" w:rsidRPr="00BC5460" w:rsidRDefault="007303EE" w:rsidP="00F5225F">
            <w:pPr>
              <w:pStyle w:val="TableSubheading"/>
              <w:spacing w:before="0" w:after="0"/>
              <w:rPr>
                <w:rFonts w:asciiTheme="minorHAnsi" w:hAnsiTheme="minorHAnsi"/>
                <w:spacing w:val="-4"/>
              </w:rPr>
            </w:pPr>
            <w:r w:rsidRPr="00BC5460">
              <w:rPr>
                <w:rFonts w:asciiTheme="minorHAnsi" w:hAnsiTheme="minorHAnsi"/>
                <w:spacing w:val="-4"/>
              </w:rPr>
              <w:t>Native Hawaiian or Other Pacific Islander</w:t>
            </w:r>
          </w:p>
        </w:tc>
        <w:tc>
          <w:tcPr>
            <w:tcW w:w="347" w:type="pct"/>
            <w:vAlign w:val="center"/>
          </w:tcPr>
          <w:p w14:paraId="3D6B2DF1" w14:textId="4A13ED26" w:rsidR="007303EE" w:rsidRPr="00797379" w:rsidRDefault="000B5510" w:rsidP="00F5225F">
            <w:pPr>
              <w:pStyle w:val="TableTextCentered"/>
              <w:spacing w:before="0" w:after="0"/>
            </w:pPr>
            <w:r>
              <w:t>N/A</w:t>
            </w:r>
          </w:p>
        </w:tc>
        <w:tc>
          <w:tcPr>
            <w:tcW w:w="289" w:type="pct"/>
            <w:vAlign w:val="center"/>
          </w:tcPr>
          <w:p w14:paraId="53CE52DD" w14:textId="6219D705" w:rsidR="007303EE" w:rsidRPr="00797379" w:rsidRDefault="000B5510" w:rsidP="00F5225F">
            <w:pPr>
              <w:pStyle w:val="TableTextCentered"/>
              <w:spacing w:before="0" w:after="0"/>
            </w:pPr>
            <w:r>
              <w:t>N/A</w:t>
            </w:r>
          </w:p>
        </w:tc>
        <w:tc>
          <w:tcPr>
            <w:tcW w:w="289" w:type="pct"/>
            <w:vAlign w:val="center"/>
          </w:tcPr>
          <w:p w14:paraId="2D4DB9BC" w14:textId="794F85FD" w:rsidR="007303EE" w:rsidRPr="00797379" w:rsidRDefault="000B5510" w:rsidP="00F5225F">
            <w:pPr>
              <w:pStyle w:val="TableTextCentered"/>
              <w:spacing w:before="0" w:after="0"/>
            </w:pPr>
            <w:r>
              <w:t>N/A</w:t>
            </w:r>
          </w:p>
        </w:tc>
        <w:tc>
          <w:tcPr>
            <w:tcW w:w="290" w:type="pct"/>
            <w:vAlign w:val="center"/>
          </w:tcPr>
          <w:p w14:paraId="19DB25C9" w14:textId="3BBB8FF9" w:rsidR="007303EE" w:rsidRPr="00797379" w:rsidRDefault="000B5510" w:rsidP="00F5225F">
            <w:pPr>
              <w:pStyle w:val="TableTextCentered"/>
              <w:spacing w:before="0" w:after="0"/>
            </w:pPr>
            <w:r>
              <w:t>N/A</w:t>
            </w:r>
          </w:p>
        </w:tc>
        <w:tc>
          <w:tcPr>
            <w:tcW w:w="289" w:type="pct"/>
            <w:vAlign w:val="center"/>
          </w:tcPr>
          <w:p w14:paraId="07454440" w14:textId="77777777" w:rsidR="007303EE" w:rsidRPr="00797379" w:rsidRDefault="007303EE" w:rsidP="00F5225F">
            <w:pPr>
              <w:pStyle w:val="TableTextCentered"/>
              <w:spacing w:before="0" w:after="0"/>
            </w:pPr>
            <w:r w:rsidRPr="00797379">
              <w:t>43</w:t>
            </w:r>
          </w:p>
        </w:tc>
        <w:tc>
          <w:tcPr>
            <w:tcW w:w="289" w:type="pct"/>
            <w:vAlign w:val="center"/>
          </w:tcPr>
          <w:p w14:paraId="0757EF85" w14:textId="7B27E386" w:rsidR="007303EE" w:rsidRPr="00797379" w:rsidRDefault="000B5510" w:rsidP="00F5225F">
            <w:pPr>
              <w:pStyle w:val="TableTextCentered"/>
              <w:spacing w:before="0" w:after="0"/>
            </w:pPr>
            <w:r>
              <w:t>N/A</w:t>
            </w:r>
          </w:p>
        </w:tc>
        <w:tc>
          <w:tcPr>
            <w:tcW w:w="290" w:type="pct"/>
            <w:vAlign w:val="center"/>
          </w:tcPr>
          <w:p w14:paraId="538C717F" w14:textId="60A5F3C3" w:rsidR="007303EE" w:rsidRPr="00797379" w:rsidRDefault="000B5510" w:rsidP="00F5225F">
            <w:pPr>
              <w:pStyle w:val="TableTextCentered"/>
              <w:spacing w:before="0" w:after="0"/>
            </w:pPr>
            <w:r>
              <w:t>N/A</w:t>
            </w:r>
          </w:p>
        </w:tc>
        <w:tc>
          <w:tcPr>
            <w:tcW w:w="289" w:type="pct"/>
            <w:vAlign w:val="center"/>
          </w:tcPr>
          <w:p w14:paraId="4DEAE71C" w14:textId="6D410933" w:rsidR="007303EE" w:rsidRPr="00797379" w:rsidRDefault="000B5510" w:rsidP="00F5225F">
            <w:pPr>
              <w:pStyle w:val="TableTextCentered"/>
              <w:spacing w:before="0" w:after="0"/>
            </w:pPr>
            <w:r>
              <w:t>N/A</w:t>
            </w:r>
          </w:p>
        </w:tc>
        <w:tc>
          <w:tcPr>
            <w:tcW w:w="289" w:type="pct"/>
            <w:vAlign w:val="center"/>
          </w:tcPr>
          <w:p w14:paraId="47B0EC12" w14:textId="77777777" w:rsidR="007303EE" w:rsidRPr="00797379" w:rsidRDefault="007303EE" w:rsidP="00F5225F">
            <w:pPr>
              <w:pStyle w:val="TableTextCentered"/>
              <w:spacing w:before="0" w:after="0"/>
            </w:pPr>
            <w:r w:rsidRPr="00797379">
              <w:t>42</w:t>
            </w:r>
          </w:p>
        </w:tc>
        <w:tc>
          <w:tcPr>
            <w:tcW w:w="290" w:type="pct"/>
            <w:vAlign w:val="center"/>
          </w:tcPr>
          <w:p w14:paraId="695D52A4" w14:textId="7FB6564D" w:rsidR="007303EE" w:rsidRPr="00797379" w:rsidRDefault="000B5510" w:rsidP="00F5225F">
            <w:pPr>
              <w:pStyle w:val="TableTextCentered"/>
              <w:spacing w:before="0" w:after="0"/>
            </w:pPr>
            <w:r>
              <w:t>N/A</w:t>
            </w:r>
          </w:p>
        </w:tc>
        <w:tc>
          <w:tcPr>
            <w:tcW w:w="289" w:type="pct"/>
            <w:vAlign w:val="center"/>
          </w:tcPr>
          <w:p w14:paraId="3C385131" w14:textId="26072DC0" w:rsidR="007303EE" w:rsidRPr="00797379" w:rsidRDefault="000B5510" w:rsidP="00F5225F">
            <w:pPr>
              <w:pStyle w:val="TableTextCentered"/>
              <w:spacing w:before="0" w:after="0"/>
            </w:pPr>
            <w:r>
              <w:t>N/A</w:t>
            </w:r>
          </w:p>
        </w:tc>
        <w:tc>
          <w:tcPr>
            <w:tcW w:w="289" w:type="pct"/>
            <w:vAlign w:val="center"/>
          </w:tcPr>
          <w:p w14:paraId="578FA90E" w14:textId="5F47C697" w:rsidR="007303EE" w:rsidRPr="00797379" w:rsidRDefault="000B5510" w:rsidP="00F5225F">
            <w:pPr>
              <w:pStyle w:val="TableTextCentered"/>
              <w:spacing w:before="0" w:after="0"/>
            </w:pPr>
            <w:r>
              <w:t>N/A</w:t>
            </w:r>
          </w:p>
        </w:tc>
        <w:tc>
          <w:tcPr>
            <w:tcW w:w="290" w:type="pct"/>
            <w:vAlign w:val="center"/>
          </w:tcPr>
          <w:p w14:paraId="3D555946" w14:textId="77777777" w:rsidR="007303EE" w:rsidRPr="00797379" w:rsidRDefault="007303EE" w:rsidP="00F5225F">
            <w:pPr>
              <w:pStyle w:val="TableTextCentered"/>
              <w:spacing w:before="0" w:after="0"/>
            </w:pPr>
            <w:r w:rsidRPr="00797379">
              <w:t>15</w:t>
            </w:r>
          </w:p>
        </w:tc>
      </w:tr>
      <w:tr w:rsidR="007303EE" w:rsidRPr="00797379" w14:paraId="648BB4B6" w14:textId="77777777" w:rsidTr="000B5510">
        <w:tc>
          <w:tcPr>
            <w:tcW w:w="1179" w:type="pct"/>
          </w:tcPr>
          <w:p w14:paraId="7B8700FC" w14:textId="77777777" w:rsidR="007303EE" w:rsidRPr="00BC5460" w:rsidRDefault="007303EE" w:rsidP="00F5225F">
            <w:pPr>
              <w:pStyle w:val="TableSubheading"/>
              <w:spacing w:before="0" w:after="0"/>
              <w:rPr>
                <w:rFonts w:asciiTheme="minorHAnsi" w:hAnsiTheme="minorHAnsi"/>
              </w:rPr>
            </w:pPr>
            <w:r w:rsidRPr="00BC5460">
              <w:rPr>
                <w:rFonts w:asciiTheme="minorHAnsi" w:hAnsiTheme="minorHAnsi"/>
              </w:rPr>
              <w:t>White</w:t>
            </w:r>
          </w:p>
        </w:tc>
        <w:tc>
          <w:tcPr>
            <w:tcW w:w="347" w:type="pct"/>
            <w:vAlign w:val="center"/>
          </w:tcPr>
          <w:p w14:paraId="053DBEE2" w14:textId="77777777" w:rsidR="007303EE" w:rsidRPr="00797379" w:rsidRDefault="007303EE" w:rsidP="00F5225F">
            <w:pPr>
              <w:pStyle w:val="TableTextCentered"/>
              <w:spacing w:before="0" w:after="0"/>
            </w:pPr>
            <w:r w:rsidRPr="00797379">
              <w:t>242</w:t>
            </w:r>
          </w:p>
        </w:tc>
        <w:tc>
          <w:tcPr>
            <w:tcW w:w="289" w:type="pct"/>
            <w:vAlign w:val="center"/>
          </w:tcPr>
          <w:p w14:paraId="2CD096FB" w14:textId="77777777" w:rsidR="007303EE" w:rsidRPr="00797379" w:rsidRDefault="007303EE" w:rsidP="00F5225F">
            <w:pPr>
              <w:pStyle w:val="TableTextCentered"/>
              <w:spacing w:before="0" w:after="0"/>
            </w:pPr>
            <w:r w:rsidRPr="00797379">
              <w:t>83</w:t>
            </w:r>
          </w:p>
        </w:tc>
        <w:tc>
          <w:tcPr>
            <w:tcW w:w="289" w:type="pct"/>
            <w:vAlign w:val="center"/>
          </w:tcPr>
          <w:p w14:paraId="593CDB79" w14:textId="77777777" w:rsidR="007303EE" w:rsidRPr="00797379" w:rsidRDefault="007303EE" w:rsidP="00F5225F">
            <w:pPr>
              <w:pStyle w:val="TableTextCentered"/>
              <w:spacing w:before="0" w:after="0"/>
            </w:pPr>
            <w:r w:rsidRPr="00797379">
              <w:t>82</w:t>
            </w:r>
          </w:p>
        </w:tc>
        <w:tc>
          <w:tcPr>
            <w:tcW w:w="290" w:type="pct"/>
            <w:vAlign w:val="center"/>
          </w:tcPr>
          <w:p w14:paraId="0EBC84F4" w14:textId="77777777" w:rsidR="007303EE" w:rsidRPr="00797379" w:rsidRDefault="007303EE" w:rsidP="00F5225F">
            <w:pPr>
              <w:pStyle w:val="TableTextCentered"/>
              <w:spacing w:before="0" w:after="0"/>
            </w:pPr>
            <w:r w:rsidRPr="00797379">
              <w:t>78</w:t>
            </w:r>
          </w:p>
        </w:tc>
        <w:tc>
          <w:tcPr>
            <w:tcW w:w="289" w:type="pct"/>
            <w:vAlign w:val="center"/>
          </w:tcPr>
          <w:p w14:paraId="71454FDE" w14:textId="77777777" w:rsidR="007303EE" w:rsidRPr="00797379" w:rsidRDefault="007303EE" w:rsidP="00F5225F">
            <w:pPr>
              <w:pStyle w:val="TableTextCentered"/>
              <w:spacing w:before="0" w:after="0"/>
            </w:pPr>
            <w:r w:rsidRPr="00797379">
              <w:t>59</w:t>
            </w:r>
          </w:p>
        </w:tc>
        <w:tc>
          <w:tcPr>
            <w:tcW w:w="289" w:type="pct"/>
            <w:vAlign w:val="center"/>
          </w:tcPr>
          <w:p w14:paraId="0B15DF94" w14:textId="77777777" w:rsidR="007303EE" w:rsidRPr="00797379" w:rsidRDefault="007303EE" w:rsidP="00F5225F">
            <w:pPr>
              <w:pStyle w:val="TableTextCentered"/>
              <w:spacing w:before="0" w:after="0"/>
            </w:pPr>
            <w:r w:rsidRPr="00797379">
              <w:t>15</w:t>
            </w:r>
          </w:p>
        </w:tc>
        <w:tc>
          <w:tcPr>
            <w:tcW w:w="290" w:type="pct"/>
            <w:vAlign w:val="center"/>
          </w:tcPr>
          <w:p w14:paraId="612EE1D8" w14:textId="77777777" w:rsidR="007303EE" w:rsidRPr="00797379" w:rsidRDefault="007303EE" w:rsidP="00F5225F">
            <w:pPr>
              <w:pStyle w:val="TableTextCentered"/>
              <w:spacing w:before="0" w:after="0"/>
            </w:pPr>
            <w:r w:rsidRPr="00797379">
              <w:t>14</w:t>
            </w:r>
          </w:p>
        </w:tc>
        <w:tc>
          <w:tcPr>
            <w:tcW w:w="289" w:type="pct"/>
            <w:vAlign w:val="center"/>
          </w:tcPr>
          <w:p w14:paraId="5E9AF455" w14:textId="77777777" w:rsidR="007303EE" w:rsidRPr="00797379" w:rsidRDefault="007303EE" w:rsidP="00F5225F">
            <w:pPr>
              <w:pStyle w:val="TableTextCentered"/>
              <w:spacing w:before="0" w:after="0"/>
            </w:pPr>
            <w:r w:rsidRPr="00797379">
              <w:t>18</w:t>
            </w:r>
          </w:p>
        </w:tc>
        <w:tc>
          <w:tcPr>
            <w:tcW w:w="289" w:type="pct"/>
            <w:vAlign w:val="center"/>
          </w:tcPr>
          <w:p w14:paraId="799C4B0D" w14:textId="77777777" w:rsidR="007303EE" w:rsidRPr="00797379" w:rsidRDefault="007303EE" w:rsidP="00F5225F">
            <w:pPr>
              <w:pStyle w:val="TableTextCentered"/>
              <w:spacing w:before="0" w:after="0"/>
            </w:pPr>
            <w:r w:rsidRPr="00797379">
              <w:t>33</w:t>
            </w:r>
          </w:p>
        </w:tc>
        <w:tc>
          <w:tcPr>
            <w:tcW w:w="290" w:type="pct"/>
            <w:vAlign w:val="center"/>
          </w:tcPr>
          <w:p w14:paraId="7BF81A52" w14:textId="77777777" w:rsidR="007303EE" w:rsidRPr="00797379" w:rsidRDefault="007303EE" w:rsidP="00F5225F">
            <w:pPr>
              <w:pStyle w:val="TableTextCentered"/>
              <w:spacing w:before="0" w:after="0"/>
            </w:pPr>
            <w:r w:rsidRPr="00797379">
              <w:t>2</w:t>
            </w:r>
          </w:p>
        </w:tc>
        <w:tc>
          <w:tcPr>
            <w:tcW w:w="289" w:type="pct"/>
            <w:vAlign w:val="center"/>
          </w:tcPr>
          <w:p w14:paraId="7816AB81" w14:textId="77777777" w:rsidR="007303EE" w:rsidRPr="00797379" w:rsidRDefault="007303EE" w:rsidP="00F5225F">
            <w:pPr>
              <w:pStyle w:val="TableTextCentered"/>
              <w:spacing w:before="0" w:after="0"/>
            </w:pPr>
            <w:r w:rsidRPr="00797379">
              <w:t>5</w:t>
            </w:r>
          </w:p>
        </w:tc>
        <w:tc>
          <w:tcPr>
            <w:tcW w:w="289" w:type="pct"/>
            <w:vAlign w:val="center"/>
          </w:tcPr>
          <w:p w14:paraId="18BE6D7A" w14:textId="77777777" w:rsidR="007303EE" w:rsidRPr="00797379" w:rsidRDefault="007303EE" w:rsidP="00F5225F">
            <w:pPr>
              <w:pStyle w:val="TableTextCentered"/>
              <w:spacing w:before="0" w:after="0"/>
            </w:pPr>
            <w:r w:rsidRPr="00797379">
              <w:t>5</w:t>
            </w:r>
          </w:p>
        </w:tc>
        <w:tc>
          <w:tcPr>
            <w:tcW w:w="290" w:type="pct"/>
            <w:vAlign w:val="center"/>
          </w:tcPr>
          <w:p w14:paraId="5C7A8D4D" w14:textId="77777777" w:rsidR="007303EE" w:rsidRPr="00797379" w:rsidRDefault="007303EE" w:rsidP="00F5225F">
            <w:pPr>
              <w:pStyle w:val="TableTextCentered"/>
              <w:spacing w:before="0" w:after="0"/>
            </w:pPr>
            <w:r w:rsidRPr="00797379">
              <w:t>9</w:t>
            </w:r>
          </w:p>
        </w:tc>
      </w:tr>
      <w:tr w:rsidR="007303EE" w:rsidRPr="00797379" w14:paraId="7748F512" w14:textId="77777777" w:rsidTr="000B5510">
        <w:trPr>
          <w:cnfStyle w:val="000000100000" w:firstRow="0" w:lastRow="0" w:firstColumn="0" w:lastColumn="0" w:oddVBand="0" w:evenVBand="0" w:oddHBand="1" w:evenHBand="0" w:firstRowFirstColumn="0" w:firstRowLastColumn="0" w:lastRowFirstColumn="0" w:lastRowLastColumn="0"/>
        </w:trPr>
        <w:tc>
          <w:tcPr>
            <w:tcW w:w="1179" w:type="pct"/>
          </w:tcPr>
          <w:p w14:paraId="5EA09FFA" w14:textId="77777777" w:rsidR="007303EE" w:rsidRPr="00BC5460" w:rsidRDefault="007303EE" w:rsidP="00F5225F">
            <w:pPr>
              <w:pStyle w:val="TableSubheading"/>
              <w:spacing w:before="0" w:after="0"/>
              <w:rPr>
                <w:rFonts w:asciiTheme="minorHAnsi" w:hAnsiTheme="minorHAnsi"/>
              </w:rPr>
            </w:pPr>
            <w:r w:rsidRPr="00BC5460">
              <w:rPr>
                <w:rFonts w:asciiTheme="minorHAnsi" w:hAnsiTheme="minorHAnsi"/>
              </w:rPr>
              <w:t>High Needs</w:t>
            </w:r>
          </w:p>
        </w:tc>
        <w:tc>
          <w:tcPr>
            <w:tcW w:w="347" w:type="pct"/>
            <w:vAlign w:val="center"/>
          </w:tcPr>
          <w:p w14:paraId="53262F4F" w14:textId="77777777" w:rsidR="007303EE" w:rsidRPr="00797379" w:rsidRDefault="007303EE" w:rsidP="00F5225F">
            <w:pPr>
              <w:pStyle w:val="TableTextCentered"/>
              <w:spacing w:before="0" w:after="0"/>
            </w:pPr>
            <w:r w:rsidRPr="00797379">
              <w:t>80</w:t>
            </w:r>
          </w:p>
        </w:tc>
        <w:tc>
          <w:tcPr>
            <w:tcW w:w="289" w:type="pct"/>
            <w:vAlign w:val="center"/>
          </w:tcPr>
          <w:p w14:paraId="7AF1BC58" w14:textId="77777777" w:rsidR="007303EE" w:rsidRPr="00797379" w:rsidRDefault="007303EE" w:rsidP="00F5225F">
            <w:pPr>
              <w:pStyle w:val="TableTextCentered"/>
              <w:spacing w:before="0" w:after="0"/>
            </w:pPr>
            <w:r w:rsidRPr="00797379">
              <w:t>60</w:t>
            </w:r>
          </w:p>
        </w:tc>
        <w:tc>
          <w:tcPr>
            <w:tcW w:w="289" w:type="pct"/>
            <w:vAlign w:val="center"/>
          </w:tcPr>
          <w:p w14:paraId="26D36339" w14:textId="77777777" w:rsidR="007303EE" w:rsidRPr="00797379" w:rsidRDefault="007303EE" w:rsidP="00F5225F">
            <w:pPr>
              <w:pStyle w:val="TableTextCentered"/>
              <w:spacing w:before="0" w:after="0"/>
            </w:pPr>
            <w:r w:rsidRPr="00797379">
              <w:t>51</w:t>
            </w:r>
          </w:p>
        </w:tc>
        <w:tc>
          <w:tcPr>
            <w:tcW w:w="290" w:type="pct"/>
            <w:vAlign w:val="center"/>
          </w:tcPr>
          <w:p w14:paraId="169240E0" w14:textId="77777777" w:rsidR="007303EE" w:rsidRPr="00797379" w:rsidRDefault="007303EE" w:rsidP="00F5225F">
            <w:pPr>
              <w:pStyle w:val="TableTextCentered"/>
              <w:spacing w:before="0" w:after="0"/>
            </w:pPr>
            <w:r w:rsidRPr="00797379">
              <w:t>50</w:t>
            </w:r>
          </w:p>
        </w:tc>
        <w:tc>
          <w:tcPr>
            <w:tcW w:w="289" w:type="pct"/>
            <w:vAlign w:val="center"/>
          </w:tcPr>
          <w:p w14:paraId="03CF8993" w14:textId="77777777" w:rsidR="007303EE" w:rsidRPr="00797379" w:rsidRDefault="007303EE" w:rsidP="00F5225F">
            <w:pPr>
              <w:pStyle w:val="TableTextCentered"/>
              <w:spacing w:before="0" w:after="0"/>
            </w:pPr>
            <w:r w:rsidRPr="00797379">
              <w:t>30</w:t>
            </w:r>
          </w:p>
        </w:tc>
        <w:tc>
          <w:tcPr>
            <w:tcW w:w="289" w:type="pct"/>
            <w:vAlign w:val="center"/>
          </w:tcPr>
          <w:p w14:paraId="4BDD88B8" w14:textId="77777777" w:rsidR="007303EE" w:rsidRPr="00797379" w:rsidRDefault="007303EE" w:rsidP="00F5225F">
            <w:pPr>
              <w:pStyle w:val="TableTextCentered"/>
              <w:spacing w:before="0" w:after="0"/>
            </w:pPr>
            <w:r w:rsidRPr="00797379">
              <w:t>33</w:t>
            </w:r>
          </w:p>
        </w:tc>
        <w:tc>
          <w:tcPr>
            <w:tcW w:w="290" w:type="pct"/>
            <w:vAlign w:val="center"/>
          </w:tcPr>
          <w:p w14:paraId="0CD2DD27" w14:textId="77777777" w:rsidR="007303EE" w:rsidRPr="00797379" w:rsidRDefault="007303EE" w:rsidP="00F5225F">
            <w:pPr>
              <w:pStyle w:val="TableTextCentered"/>
              <w:spacing w:before="0" w:after="0"/>
            </w:pPr>
            <w:r w:rsidRPr="00797379">
              <w:t>33</w:t>
            </w:r>
          </w:p>
        </w:tc>
        <w:tc>
          <w:tcPr>
            <w:tcW w:w="289" w:type="pct"/>
            <w:vAlign w:val="center"/>
          </w:tcPr>
          <w:p w14:paraId="107AE0A3" w14:textId="77777777" w:rsidR="007303EE" w:rsidRPr="00797379" w:rsidRDefault="007303EE" w:rsidP="00F5225F">
            <w:pPr>
              <w:pStyle w:val="TableTextCentered"/>
              <w:spacing w:before="0" w:after="0"/>
            </w:pPr>
            <w:r w:rsidRPr="00797379">
              <w:t>34</w:t>
            </w:r>
          </w:p>
        </w:tc>
        <w:tc>
          <w:tcPr>
            <w:tcW w:w="289" w:type="pct"/>
            <w:vAlign w:val="center"/>
          </w:tcPr>
          <w:p w14:paraId="55087AEC" w14:textId="77777777" w:rsidR="007303EE" w:rsidRPr="00797379" w:rsidRDefault="007303EE" w:rsidP="00F5225F">
            <w:pPr>
              <w:pStyle w:val="TableTextCentered"/>
              <w:spacing w:before="0" w:after="0"/>
            </w:pPr>
            <w:r w:rsidRPr="00797379">
              <w:t>44</w:t>
            </w:r>
          </w:p>
        </w:tc>
        <w:tc>
          <w:tcPr>
            <w:tcW w:w="290" w:type="pct"/>
            <w:vAlign w:val="center"/>
          </w:tcPr>
          <w:p w14:paraId="416081EE" w14:textId="77777777" w:rsidR="007303EE" w:rsidRPr="00797379" w:rsidRDefault="007303EE" w:rsidP="00F5225F">
            <w:pPr>
              <w:pStyle w:val="TableTextCentered"/>
              <w:spacing w:before="0" w:after="0"/>
            </w:pPr>
            <w:r w:rsidRPr="00797379">
              <w:t>7</w:t>
            </w:r>
          </w:p>
        </w:tc>
        <w:tc>
          <w:tcPr>
            <w:tcW w:w="289" w:type="pct"/>
            <w:vAlign w:val="center"/>
          </w:tcPr>
          <w:p w14:paraId="2E656B44" w14:textId="77777777" w:rsidR="007303EE" w:rsidRPr="00797379" w:rsidRDefault="007303EE" w:rsidP="00F5225F">
            <w:pPr>
              <w:pStyle w:val="TableTextCentered"/>
              <w:spacing w:before="0" w:after="0"/>
            </w:pPr>
            <w:r w:rsidRPr="00797379">
              <w:t>16</w:t>
            </w:r>
          </w:p>
        </w:tc>
        <w:tc>
          <w:tcPr>
            <w:tcW w:w="289" w:type="pct"/>
            <w:vAlign w:val="center"/>
          </w:tcPr>
          <w:p w14:paraId="03D0E773" w14:textId="77777777" w:rsidR="007303EE" w:rsidRPr="00797379" w:rsidRDefault="007303EE" w:rsidP="00F5225F">
            <w:pPr>
              <w:pStyle w:val="TableTextCentered"/>
              <w:spacing w:before="0" w:after="0"/>
            </w:pPr>
            <w:r w:rsidRPr="00797379">
              <w:t>16</w:t>
            </w:r>
          </w:p>
        </w:tc>
        <w:tc>
          <w:tcPr>
            <w:tcW w:w="290" w:type="pct"/>
            <w:vAlign w:val="center"/>
          </w:tcPr>
          <w:p w14:paraId="004BCECB" w14:textId="77777777" w:rsidR="007303EE" w:rsidRPr="00797379" w:rsidRDefault="007303EE" w:rsidP="00F5225F">
            <w:pPr>
              <w:pStyle w:val="TableTextCentered"/>
              <w:spacing w:before="0" w:after="0"/>
            </w:pPr>
            <w:r w:rsidRPr="00797379">
              <w:t>26</w:t>
            </w:r>
          </w:p>
        </w:tc>
      </w:tr>
      <w:tr w:rsidR="007303EE" w:rsidRPr="00797379" w14:paraId="535650AB" w14:textId="77777777" w:rsidTr="000B5510">
        <w:tc>
          <w:tcPr>
            <w:tcW w:w="1179" w:type="pct"/>
          </w:tcPr>
          <w:p w14:paraId="44EE9DA4" w14:textId="77777777" w:rsidR="007303EE" w:rsidRPr="00BC5460" w:rsidRDefault="007303EE" w:rsidP="00F5225F">
            <w:pPr>
              <w:pStyle w:val="TableSubheading"/>
              <w:spacing w:before="0" w:after="0"/>
              <w:rPr>
                <w:rFonts w:asciiTheme="minorHAnsi" w:hAnsiTheme="minorHAnsi"/>
              </w:rPr>
            </w:pPr>
            <w:r w:rsidRPr="00BC5460">
              <w:rPr>
                <w:rFonts w:asciiTheme="minorHAnsi" w:hAnsiTheme="minorHAnsi"/>
              </w:rPr>
              <w:t>English Learners</w:t>
            </w:r>
          </w:p>
        </w:tc>
        <w:tc>
          <w:tcPr>
            <w:tcW w:w="347" w:type="pct"/>
            <w:vAlign w:val="center"/>
          </w:tcPr>
          <w:p w14:paraId="1122663C" w14:textId="77777777" w:rsidR="007303EE" w:rsidRPr="00797379" w:rsidRDefault="007303EE" w:rsidP="00F5225F">
            <w:pPr>
              <w:pStyle w:val="TableTextCentered"/>
              <w:spacing w:before="0" w:after="0"/>
            </w:pPr>
            <w:r w:rsidRPr="00797379">
              <w:t>5</w:t>
            </w:r>
          </w:p>
        </w:tc>
        <w:tc>
          <w:tcPr>
            <w:tcW w:w="289" w:type="pct"/>
            <w:vAlign w:val="center"/>
          </w:tcPr>
          <w:p w14:paraId="6FB8D47A" w14:textId="4369F26B" w:rsidR="007303EE" w:rsidRPr="00797379" w:rsidRDefault="000B5510" w:rsidP="00F5225F">
            <w:pPr>
              <w:pStyle w:val="TableTextCentered"/>
              <w:spacing w:before="0" w:after="0"/>
            </w:pPr>
            <w:r>
              <w:t>N/A</w:t>
            </w:r>
          </w:p>
        </w:tc>
        <w:tc>
          <w:tcPr>
            <w:tcW w:w="289" w:type="pct"/>
            <w:vAlign w:val="center"/>
          </w:tcPr>
          <w:p w14:paraId="20BC2D81" w14:textId="77777777" w:rsidR="007303EE" w:rsidRPr="00797379" w:rsidRDefault="007303EE" w:rsidP="00F5225F">
            <w:pPr>
              <w:pStyle w:val="TableTextCentered"/>
              <w:spacing w:before="0" w:after="0"/>
            </w:pPr>
            <w:r w:rsidRPr="00797379">
              <w:t>54</w:t>
            </w:r>
          </w:p>
        </w:tc>
        <w:tc>
          <w:tcPr>
            <w:tcW w:w="290" w:type="pct"/>
            <w:vAlign w:val="center"/>
          </w:tcPr>
          <w:p w14:paraId="6E2A77F7" w14:textId="749A964D" w:rsidR="007303EE" w:rsidRPr="00797379" w:rsidRDefault="000B5510" w:rsidP="00F5225F">
            <w:pPr>
              <w:pStyle w:val="TableTextCentered"/>
              <w:spacing w:before="0" w:after="0"/>
            </w:pPr>
            <w:r>
              <w:t>N/A</w:t>
            </w:r>
          </w:p>
        </w:tc>
        <w:tc>
          <w:tcPr>
            <w:tcW w:w="289" w:type="pct"/>
            <w:vAlign w:val="center"/>
          </w:tcPr>
          <w:p w14:paraId="6E493138" w14:textId="77777777" w:rsidR="007303EE" w:rsidRPr="00797379" w:rsidRDefault="007303EE" w:rsidP="00F5225F">
            <w:pPr>
              <w:pStyle w:val="TableTextCentered"/>
              <w:spacing w:before="0" w:after="0"/>
            </w:pPr>
            <w:r w:rsidRPr="00797379">
              <w:t>11</w:t>
            </w:r>
          </w:p>
        </w:tc>
        <w:tc>
          <w:tcPr>
            <w:tcW w:w="289" w:type="pct"/>
            <w:vAlign w:val="center"/>
          </w:tcPr>
          <w:p w14:paraId="08F2202B" w14:textId="2CB1D976" w:rsidR="007303EE" w:rsidRPr="00797379" w:rsidRDefault="000B5510" w:rsidP="00F5225F">
            <w:pPr>
              <w:pStyle w:val="TableTextCentered"/>
              <w:spacing w:before="0" w:after="0"/>
            </w:pPr>
            <w:r>
              <w:t>N/A</w:t>
            </w:r>
          </w:p>
        </w:tc>
        <w:tc>
          <w:tcPr>
            <w:tcW w:w="290" w:type="pct"/>
            <w:vAlign w:val="center"/>
          </w:tcPr>
          <w:p w14:paraId="4BC8B79C" w14:textId="77777777" w:rsidR="007303EE" w:rsidRPr="00797379" w:rsidRDefault="007303EE" w:rsidP="00F5225F">
            <w:pPr>
              <w:pStyle w:val="TableTextCentered"/>
              <w:spacing w:before="0" w:after="0"/>
            </w:pPr>
            <w:r w:rsidRPr="00797379">
              <w:t>31</w:t>
            </w:r>
          </w:p>
        </w:tc>
        <w:tc>
          <w:tcPr>
            <w:tcW w:w="289" w:type="pct"/>
            <w:vAlign w:val="center"/>
          </w:tcPr>
          <w:p w14:paraId="6E38B908" w14:textId="489E220E" w:rsidR="007303EE" w:rsidRPr="00797379" w:rsidRDefault="000B5510" w:rsidP="00F5225F">
            <w:pPr>
              <w:pStyle w:val="TableTextCentered"/>
              <w:spacing w:before="0" w:after="0"/>
            </w:pPr>
            <w:r>
              <w:t>N/A</w:t>
            </w:r>
          </w:p>
        </w:tc>
        <w:tc>
          <w:tcPr>
            <w:tcW w:w="289" w:type="pct"/>
            <w:vAlign w:val="center"/>
          </w:tcPr>
          <w:p w14:paraId="111F4E30" w14:textId="77777777" w:rsidR="007303EE" w:rsidRPr="00797379" w:rsidRDefault="007303EE" w:rsidP="00F5225F">
            <w:pPr>
              <w:pStyle w:val="TableTextCentered"/>
              <w:spacing w:before="0" w:after="0"/>
            </w:pPr>
            <w:r w:rsidRPr="00797379">
              <w:t>38</w:t>
            </w:r>
          </w:p>
        </w:tc>
        <w:tc>
          <w:tcPr>
            <w:tcW w:w="290" w:type="pct"/>
            <w:vAlign w:val="center"/>
          </w:tcPr>
          <w:p w14:paraId="790738AA" w14:textId="4AACFC2C" w:rsidR="007303EE" w:rsidRPr="00797379" w:rsidRDefault="000B5510" w:rsidP="00F5225F">
            <w:pPr>
              <w:pStyle w:val="TableTextCentered"/>
              <w:spacing w:before="0" w:after="0"/>
            </w:pPr>
            <w:r>
              <w:t>N/A</w:t>
            </w:r>
          </w:p>
        </w:tc>
        <w:tc>
          <w:tcPr>
            <w:tcW w:w="289" w:type="pct"/>
            <w:vAlign w:val="center"/>
          </w:tcPr>
          <w:p w14:paraId="2515B890" w14:textId="77777777" w:rsidR="007303EE" w:rsidRPr="00797379" w:rsidRDefault="007303EE" w:rsidP="00F5225F">
            <w:pPr>
              <w:pStyle w:val="TableTextCentered"/>
              <w:spacing w:before="0" w:after="0"/>
            </w:pPr>
            <w:r w:rsidRPr="00797379">
              <w:t>15</w:t>
            </w:r>
          </w:p>
        </w:tc>
        <w:tc>
          <w:tcPr>
            <w:tcW w:w="289" w:type="pct"/>
            <w:vAlign w:val="center"/>
          </w:tcPr>
          <w:p w14:paraId="4D5627E1" w14:textId="302B15F7" w:rsidR="007303EE" w:rsidRPr="00797379" w:rsidRDefault="000B5510" w:rsidP="00F5225F">
            <w:pPr>
              <w:pStyle w:val="TableTextCentered"/>
              <w:spacing w:before="0" w:after="0"/>
            </w:pPr>
            <w:r>
              <w:t>N/A</w:t>
            </w:r>
          </w:p>
        </w:tc>
        <w:tc>
          <w:tcPr>
            <w:tcW w:w="290" w:type="pct"/>
            <w:vAlign w:val="center"/>
          </w:tcPr>
          <w:p w14:paraId="7D44CC16" w14:textId="77777777" w:rsidR="007303EE" w:rsidRPr="00797379" w:rsidRDefault="007303EE" w:rsidP="00F5225F">
            <w:pPr>
              <w:pStyle w:val="TableTextCentered"/>
              <w:spacing w:before="0" w:after="0"/>
            </w:pPr>
            <w:r w:rsidRPr="00797379">
              <w:t>50</w:t>
            </w:r>
          </w:p>
        </w:tc>
      </w:tr>
      <w:tr w:rsidR="007303EE" w:rsidRPr="00797379" w14:paraId="73AD7205" w14:textId="77777777" w:rsidTr="000B5510">
        <w:trPr>
          <w:cnfStyle w:val="000000100000" w:firstRow="0" w:lastRow="0" w:firstColumn="0" w:lastColumn="0" w:oddVBand="0" w:evenVBand="0" w:oddHBand="1" w:evenHBand="0" w:firstRowFirstColumn="0" w:firstRowLastColumn="0" w:lastRowFirstColumn="0" w:lastRowLastColumn="0"/>
        </w:trPr>
        <w:tc>
          <w:tcPr>
            <w:tcW w:w="1179" w:type="pct"/>
          </w:tcPr>
          <w:p w14:paraId="31618085" w14:textId="77777777" w:rsidR="007303EE" w:rsidRPr="00BC5460" w:rsidRDefault="007303EE" w:rsidP="00F5225F">
            <w:pPr>
              <w:pStyle w:val="TableSubheading"/>
              <w:spacing w:before="0" w:after="0"/>
              <w:rPr>
                <w:rFonts w:asciiTheme="minorHAnsi" w:hAnsiTheme="minorHAnsi"/>
                <w:spacing w:val="-4"/>
              </w:rPr>
            </w:pPr>
            <w:r w:rsidRPr="00BC5460">
              <w:rPr>
                <w:rFonts w:asciiTheme="minorHAnsi" w:hAnsiTheme="minorHAnsi"/>
                <w:spacing w:val="-4"/>
              </w:rPr>
              <w:t>Low Income</w:t>
            </w:r>
          </w:p>
        </w:tc>
        <w:tc>
          <w:tcPr>
            <w:tcW w:w="347" w:type="pct"/>
            <w:vAlign w:val="center"/>
          </w:tcPr>
          <w:p w14:paraId="048C4457" w14:textId="77777777" w:rsidR="007303EE" w:rsidRPr="00797379" w:rsidRDefault="007303EE" w:rsidP="00F5225F">
            <w:pPr>
              <w:pStyle w:val="TableTextCentered"/>
              <w:spacing w:before="0" w:after="0"/>
            </w:pPr>
            <w:r w:rsidRPr="00797379">
              <w:t>30</w:t>
            </w:r>
          </w:p>
        </w:tc>
        <w:tc>
          <w:tcPr>
            <w:tcW w:w="289" w:type="pct"/>
            <w:vAlign w:val="center"/>
          </w:tcPr>
          <w:p w14:paraId="14265ECD" w14:textId="77777777" w:rsidR="007303EE" w:rsidRPr="00797379" w:rsidRDefault="007303EE" w:rsidP="00F5225F">
            <w:pPr>
              <w:pStyle w:val="TableTextCentered"/>
              <w:spacing w:before="0" w:after="0"/>
            </w:pPr>
            <w:r w:rsidRPr="00797379">
              <w:t>71</w:t>
            </w:r>
          </w:p>
        </w:tc>
        <w:tc>
          <w:tcPr>
            <w:tcW w:w="289" w:type="pct"/>
            <w:vAlign w:val="center"/>
          </w:tcPr>
          <w:p w14:paraId="1F0FA3DC" w14:textId="77777777" w:rsidR="007303EE" w:rsidRPr="00797379" w:rsidRDefault="007303EE" w:rsidP="00F5225F">
            <w:pPr>
              <w:pStyle w:val="TableTextCentered"/>
              <w:spacing w:before="0" w:after="0"/>
            </w:pPr>
            <w:r w:rsidRPr="00797379">
              <w:t>57</w:t>
            </w:r>
          </w:p>
        </w:tc>
        <w:tc>
          <w:tcPr>
            <w:tcW w:w="290" w:type="pct"/>
            <w:vAlign w:val="center"/>
          </w:tcPr>
          <w:p w14:paraId="360DEA0B" w14:textId="77777777" w:rsidR="007303EE" w:rsidRPr="00797379" w:rsidRDefault="007303EE" w:rsidP="00F5225F">
            <w:pPr>
              <w:pStyle w:val="TableTextCentered"/>
              <w:spacing w:before="0" w:after="0"/>
            </w:pPr>
            <w:r w:rsidRPr="00797379">
              <w:t>70</w:t>
            </w:r>
          </w:p>
        </w:tc>
        <w:tc>
          <w:tcPr>
            <w:tcW w:w="289" w:type="pct"/>
            <w:vAlign w:val="center"/>
          </w:tcPr>
          <w:p w14:paraId="4ED86789" w14:textId="77777777" w:rsidR="007303EE" w:rsidRPr="00797379" w:rsidRDefault="007303EE" w:rsidP="00F5225F">
            <w:pPr>
              <w:pStyle w:val="TableTextCentered"/>
              <w:spacing w:before="0" w:after="0"/>
            </w:pPr>
            <w:r w:rsidRPr="00797379">
              <w:t>31</w:t>
            </w:r>
          </w:p>
        </w:tc>
        <w:tc>
          <w:tcPr>
            <w:tcW w:w="289" w:type="pct"/>
            <w:vAlign w:val="center"/>
          </w:tcPr>
          <w:p w14:paraId="5F08CDCE" w14:textId="77777777" w:rsidR="007303EE" w:rsidRPr="00797379" w:rsidRDefault="007303EE" w:rsidP="00F5225F">
            <w:pPr>
              <w:pStyle w:val="TableTextCentered"/>
              <w:spacing w:before="0" w:after="0"/>
            </w:pPr>
            <w:r w:rsidRPr="00797379">
              <w:t>17</w:t>
            </w:r>
          </w:p>
        </w:tc>
        <w:tc>
          <w:tcPr>
            <w:tcW w:w="290" w:type="pct"/>
            <w:vAlign w:val="center"/>
          </w:tcPr>
          <w:p w14:paraId="6FCC4C46" w14:textId="77777777" w:rsidR="007303EE" w:rsidRPr="00797379" w:rsidRDefault="007303EE" w:rsidP="00F5225F">
            <w:pPr>
              <w:pStyle w:val="TableTextCentered"/>
              <w:spacing w:before="0" w:after="0"/>
            </w:pPr>
            <w:r w:rsidRPr="00797379">
              <w:t>32</w:t>
            </w:r>
          </w:p>
        </w:tc>
        <w:tc>
          <w:tcPr>
            <w:tcW w:w="289" w:type="pct"/>
            <w:vAlign w:val="center"/>
          </w:tcPr>
          <w:p w14:paraId="0B96FD9D" w14:textId="77777777" w:rsidR="007303EE" w:rsidRPr="00797379" w:rsidRDefault="007303EE" w:rsidP="00F5225F">
            <w:pPr>
              <w:pStyle w:val="TableTextCentered"/>
              <w:spacing w:before="0" w:after="0"/>
            </w:pPr>
            <w:r w:rsidRPr="00797379">
              <w:t>20</w:t>
            </w:r>
          </w:p>
        </w:tc>
        <w:tc>
          <w:tcPr>
            <w:tcW w:w="289" w:type="pct"/>
            <w:vAlign w:val="center"/>
          </w:tcPr>
          <w:p w14:paraId="3A8C1DF8" w14:textId="77777777" w:rsidR="007303EE" w:rsidRPr="00797379" w:rsidRDefault="007303EE" w:rsidP="00F5225F">
            <w:pPr>
              <w:pStyle w:val="TableTextCentered"/>
              <w:spacing w:before="0" w:after="0"/>
            </w:pPr>
            <w:r w:rsidRPr="00797379">
              <w:t>43</w:t>
            </w:r>
          </w:p>
        </w:tc>
        <w:tc>
          <w:tcPr>
            <w:tcW w:w="290" w:type="pct"/>
            <w:vAlign w:val="center"/>
          </w:tcPr>
          <w:p w14:paraId="2C6673D5" w14:textId="77777777" w:rsidR="007303EE" w:rsidRPr="00797379" w:rsidRDefault="007303EE" w:rsidP="00F5225F">
            <w:pPr>
              <w:pStyle w:val="TableTextCentered"/>
              <w:spacing w:before="0" w:after="0"/>
            </w:pPr>
            <w:r w:rsidRPr="00797379">
              <w:t>13</w:t>
            </w:r>
          </w:p>
        </w:tc>
        <w:tc>
          <w:tcPr>
            <w:tcW w:w="289" w:type="pct"/>
            <w:vAlign w:val="center"/>
          </w:tcPr>
          <w:p w14:paraId="717689D1" w14:textId="77777777" w:rsidR="007303EE" w:rsidRPr="00797379" w:rsidRDefault="007303EE" w:rsidP="00F5225F">
            <w:pPr>
              <w:pStyle w:val="TableTextCentered"/>
              <w:spacing w:before="0" w:after="0"/>
            </w:pPr>
            <w:r w:rsidRPr="00797379">
              <w:t>11</w:t>
            </w:r>
          </w:p>
        </w:tc>
        <w:tc>
          <w:tcPr>
            <w:tcW w:w="289" w:type="pct"/>
            <w:vAlign w:val="center"/>
          </w:tcPr>
          <w:p w14:paraId="6B921627" w14:textId="77777777" w:rsidR="007303EE" w:rsidRPr="00797379" w:rsidRDefault="007303EE" w:rsidP="00F5225F">
            <w:pPr>
              <w:pStyle w:val="TableTextCentered"/>
              <w:spacing w:before="0" w:after="0"/>
            </w:pPr>
            <w:r w:rsidRPr="00797379">
              <w:t>10</w:t>
            </w:r>
          </w:p>
        </w:tc>
        <w:tc>
          <w:tcPr>
            <w:tcW w:w="290" w:type="pct"/>
            <w:vAlign w:val="center"/>
          </w:tcPr>
          <w:p w14:paraId="5E68C07D" w14:textId="77777777" w:rsidR="007303EE" w:rsidRPr="00797379" w:rsidRDefault="007303EE" w:rsidP="00F5225F">
            <w:pPr>
              <w:pStyle w:val="TableTextCentered"/>
              <w:spacing w:before="0" w:after="0"/>
            </w:pPr>
            <w:r w:rsidRPr="00797379">
              <w:t>26</w:t>
            </w:r>
          </w:p>
        </w:tc>
      </w:tr>
      <w:tr w:rsidR="007303EE" w:rsidRPr="00797379" w14:paraId="132A83EB" w14:textId="77777777" w:rsidTr="000B5510">
        <w:tc>
          <w:tcPr>
            <w:tcW w:w="1179" w:type="pct"/>
          </w:tcPr>
          <w:p w14:paraId="5FFC1842" w14:textId="77777777" w:rsidR="007303EE" w:rsidRPr="00BC5460" w:rsidRDefault="007303EE" w:rsidP="00F5225F">
            <w:pPr>
              <w:pStyle w:val="TableSubheading"/>
              <w:spacing w:before="0" w:after="0"/>
              <w:rPr>
                <w:rFonts w:asciiTheme="minorHAnsi" w:hAnsiTheme="minorHAnsi"/>
              </w:rPr>
            </w:pPr>
            <w:r w:rsidRPr="00BC5460">
              <w:rPr>
                <w:rFonts w:asciiTheme="minorHAnsi" w:hAnsiTheme="minorHAnsi"/>
              </w:rPr>
              <w:t>Students with Disabilities</w:t>
            </w:r>
          </w:p>
        </w:tc>
        <w:tc>
          <w:tcPr>
            <w:tcW w:w="347" w:type="pct"/>
            <w:vAlign w:val="center"/>
          </w:tcPr>
          <w:p w14:paraId="653B9249" w14:textId="77777777" w:rsidR="007303EE" w:rsidRPr="00797379" w:rsidRDefault="007303EE" w:rsidP="00F5225F">
            <w:pPr>
              <w:pStyle w:val="TableTextCentered"/>
              <w:spacing w:before="0" w:after="0"/>
            </w:pPr>
            <w:r w:rsidRPr="00797379">
              <w:t>57</w:t>
            </w:r>
          </w:p>
        </w:tc>
        <w:tc>
          <w:tcPr>
            <w:tcW w:w="289" w:type="pct"/>
            <w:vAlign w:val="center"/>
          </w:tcPr>
          <w:p w14:paraId="3967F374" w14:textId="77777777" w:rsidR="007303EE" w:rsidRPr="00797379" w:rsidRDefault="007303EE" w:rsidP="00F5225F">
            <w:pPr>
              <w:pStyle w:val="TableTextCentered"/>
              <w:spacing w:before="0" w:after="0"/>
            </w:pPr>
            <w:r w:rsidRPr="00797379">
              <w:t>56</w:t>
            </w:r>
          </w:p>
        </w:tc>
        <w:tc>
          <w:tcPr>
            <w:tcW w:w="289" w:type="pct"/>
            <w:vAlign w:val="center"/>
          </w:tcPr>
          <w:p w14:paraId="63F3896C" w14:textId="77777777" w:rsidR="007303EE" w:rsidRPr="00797379" w:rsidRDefault="007303EE" w:rsidP="00F5225F">
            <w:pPr>
              <w:pStyle w:val="TableTextCentered"/>
              <w:spacing w:before="0" w:after="0"/>
            </w:pPr>
            <w:r w:rsidRPr="00797379">
              <w:t>39</w:t>
            </w:r>
          </w:p>
        </w:tc>
        <w:tc>
          <w:tcPr>
            <w:tcW w:w="290" w:type="pct"/>
            <w:vAlign w:val="center"/>
          </w:tcPr>
          <w:p w14:paraId="10EBDDBD" w14:textId="77777777" w:rsidR="007303EE" w:rsidRPr="00797379" w:rsidRDefault="007303EE" w:rsidP="00F5225F">
            <w:pPr>
              <w:pStyle w:val="TableTextCentered"/>
              <w:spacing w:before="0" w:after="0"/>
            </w:pPr>
            <w:r w:rsidRPr="00797379">
              <w:t>37</w:t>
            </w:r>
          </w:p>
        </w:tc>
        <w:tc>
          <w:tcPr>
            <w:tcW w:w="289" w:type="pct"/>
            <w:vAlign w:val="center"/>
          </w:tcPr>
          <w:p w14:paraId="43A6458C" w14:textId="77777777" w:rsidR="007303EE" w:rsidRPr="00797379" w:rsidRDefault="007303EE" w:rsidP="00F5225F">
            <w:pPr>
              <w:pStyle w:val="TableTextCentered"/>
              <w:spacing w:before="0" w:after="0"/>
            </w:pPr>
            <w:r w:rsidRPr="00797379">
              <w:t>17</w:t>
            </w:r>
          </w:p>
        </w:tc>
        <w:tc>
          <w:tcPr>
            <w:tcW w:w="289" w:type="pct"/>
            <w:vAlign w:val="center"/>
          </w:tcPr>
          <w:p w14:paraId="5CC6D3F0" w14:textId="77777777" w:rsidR="007303EE" w:rsidRPr="00797379" w:rsidRDefault="007303EE" w:rsidP="00F5225F">
            <w:pPr>
              <w:pStyle w:val="TableTextCentered"/>
              <w:spacing w:before="0" w:after="0"/>
            </w:pPr>
            <w:r w:rsidRPr="00797379">
              <w:t>36</w:t>
            </w:r>
          </w:p>
        </w:tc>
        <w:tc>
          <w:tcPr>
            <w:tcW w:w="290" w:type="pct"/>
            <w:vAlign w:val="center"/>
          </w:tcPr>
          <w:p w14:paraId="52BD9459" w14:textId="77777777" w:rsidR="007303EE" w:rsidRPr="00797379" w:rsidRDefault="007303EE" w:rsidP="00F5225F">
            <w:pPr>
              <w:pStyle w:val="TableTextCentered"/>
              <w:spacing w:before="0" w:after="0"/>
            </w:pPr>
            <w:r w:rsidRPr="00797379">
              <w:t>39</w:t>
            </w:r>
          </w:p>
        </w:tc>
        <w:tc>
          <w:tcPr>
            <w:tcW w:w="289" w:type="pct"/>
            <w:vAlign w:val="center"/>
          </w:tcPr>
          <w:p w14:paraId="4DF10554" w14:textId="77777777" w:rsidR="007303EE" w:rsidRPr="00797379" w:rsidRDefault="007303EE" w:rsidP="00F5225F">
            <w:pPr>
              <w:pStyle w:val="TableTextCentered"/>
              <w:spacing w:before="0" w:after="0"/>
            </w:pPr>
            <w:r w:rsidRPr="00797379">
              <w:t>42</w:t>
            </w:r>
          </w:p>
        </w:tc>
        <w:tc>
          <w:tcPr>
            <w:tcW w:w="289" w:type="pct"/>
            <w:vAlign w:val="center"/>
          </w:tcPr>
          <w:p w14:paraId="3266500B" w14:textId="77777777" w:rsidR="007303EE" w:rsidRPr="00797379" w:rsidRDefault="007303EE" w:rsidP="00F5225F">
            <w:pPr>
              <w:pStyle w:val="TableTextCentered"/>
              <w:spacing w:before="0" w:after="0"/>
            </w:pPr>
            <w:r w:rsidRPr="00797379">
              <w:t>46</w:t>
            </w:r>
          </w:p>
        </w:tc>
        <w:tc>
          <w:tcPr>
            <w:tcW w:w="290" w:type="pct"/>
            <w:vAlign w:val="center"/>
          </w:tcPr>
          <w:p w14:paraId="1A197863" w14:textId="77777777" w:rsidR="007303EE" w:rsidRPr="00797379" w:rsidRDefault="007303EE" w:rsidP="00F5225F">
            <w:pPr>
              <w:pStyle w:val="TableTextCentered"/>
              <w:spacing w:before="0" w:after="0"/>
            </w:pPr>
            <w:r w:rsidRPr="00797379">
              <w:t>7</w:t>
            </w:r>
          </w:p>
        </w:tc>
        <w:tc>
          <w:tcPr>
            <w:tcW w:w="289" w:type="pct"/>
            <w:vAlign w:val="center"/>
          </w:tcPr>
          <w:p w14:paraId="5E2C1EE4" w14:textId="77777777" w:rsidR="007303EE" w:rsidRPr="00797379" w:rsidRDefault="007303EE" w:rsidP="00F5225F">
            <w:pPr>
              <w:pStyle w:val="TableTextCentered"/>
              <w:spacing w:before="0" w:after="0"/>
            </w:pPr>
            <w:r w:rsidRPr="00797379">
              <w:t>22</w:t>
            </w:r>
          </w:p>
        </w:tc>
        <w:tc>
          <w:tcPr>
            <w:tcW w:w="289" w:type="pct"/>
            <w:vAlign w:val="center"/>
          </w:tcPr>
          <w:p w14:paraId="5DAA021E" w14:textId="77777777" w:rsidR="007303EE" w:rsidRPr="00797379" w:rsidRDefault="007303EE" w:rsidP="00F5225F">
            <w:pPr>
              <w:pStyle w:val="TableTextCentered"/>
              <w:spacing w:before="0" w:after="0"/>
            </w:pPr>
            <w:r w:rsidRPr="00797379">
              <w:t>21</w:t>
            </w:r>
          </w:p>
        </w:tc>
        <w:tc>
          <w:tcPr>
            <w:tcW w:w="290" w:type="pct"/>
            <w:vAlign w:val="center"/>
          </w:tcPr>
          <w:p w14:paraId="5E202B50" w14:textId="77777777" w:rsidR="007303EE" w:rsidRPr="00797379" w:rsidRDefault="007303EE" w:rsidP="00F5225F">
            <w:pPr>
              <w:pStyle w:val="TableTextCentered"/>
              <w:spacing w:before="0" w:after="0"/>
            </w:pPr>
            <w:r w:rsidRPr="00797379">
              <w:t>38</w:t>
            </w:r>
          </w:p>
        </w:tc>
      </w:tr>
    </w:tbl>
    <w:p w14:paraId="61137867" w14:textId="23242C50" w:rsidR="007303EE" w:rsidRPr="00797379" w:rsidRDefault="007303EE" w:rsidP="006C2038">
      <w:pPr>
        <w:pStyle w:val="TableETitles"/>
      </w:pPr>
      <w:bookmarkStart w:id="242" w:name="_Toc220933506"/>
      <w:r w:rsidRPr="00797379">
        <w:t>Table E3. MCAS Mathematics Achievement by Student Group, Grades 3-8, 2023-2025</w:t>
      </w:r>
      <w:bookmarkEnd w:id="242"/>
    </w:p>
    <w:tbl>
      <w:tblPr>
        <w:tblStyle w:val="MSVTable1"/>
        <w:tblW w:w="5000" w:type="pct"/>
        <w:tblLayout w:type="fixed"/>
        <w:tblLook w:val="0420" w:firstRow="1" w:lastRow="0" w:firstColumn="0" w:lastColumn="0" w:noHBand="0" w:noVBand="1"/>
      </w:tblPr>
      <w:tblGrid>
        <w:gridCol w:w="3053"/>
        <w:gridCol w:w="899"/>
        <w:gridCol w:w="749"/>
        <w:gridCol w:w="748"/>
        <w:gridCol w:w="751"/>
        <w:gridCol w:w="748"/>
        <w:gridCol w:w="751"/>
        <w:gridCol w:w="748"/>
        <w:gridCol w:w="748"/>
        <w:gridCol w:w="751"/>
        <w:gridCol w:w="748"/>
        <w:gridCol w:w="751"/>
        <w:gridCol w:w="748"/>
        <w:gridCol w:w="751"/>
      </w:tblGrid>
      <w:tr w:rsidR="007303EE" w:rsidRPr="00797379" w14:paraId="46AAD273" w14:textId="77777777" w:rsidTr="00132A03">
        <w:trPr>
          <w:cnfStyle w:val="100000000000" w:firstRow="1" w:lastRow="0" w:firstColumn="0" w:lastColumn="0" w:oddVBand="0" w:evenVBand="0" w:oddHBand="0" w:evenHBand="0" w:firstRowFirstColumn="0" w:firstRowLastColumn="0" w:lastRowFirstColumn="0" w:lastRowLastColumn="0"/>
          <w:tblHeader/>
        </w:trPr>
        <w:tc>
          <w:tcPr>
            <w:tcW w:w="1179" w:type="pct"/>
            <w:tcMar>
              <w:left w:w="29" w:type="dxa"/>
              <w:right w:w="29" w:type="dxa"/>
            </w:tcMar>
            <w:vAlign w:val="center"/>
          </w:tcPr>
          <w:p w14:paraId="42FF03CD" w14:textId="77777777" w:rsidR="007303EE" w:rsidRPr="00797379" w:rsidRDefault="007303EE" w:rsidP="003B7772">
            <w:pPr>
              <w:pStyle w:val="TableColHeadingCenter"/>
            </w:pPr>
            <w:r w:rsidRPr="00797379">
              <w:t>Group</w:t>
            </w:r>
          </w:p>
        </w:tc>
        <w:tc>
          <w:tcPr>
            <w:tcW w:w="347" w:type="pct"/>
            <w:tcMar>
              <w:left w:w="29" w:type="dxa"/>
              <w:right w:w="29" w:type="dxa"/>
            </w:tcMar>
            <w:vAlign w:val="center"/>
          </w:tcPr>
          <w:p w14:paraId="4C419707" w14:textId="77777777" w:rsidR="007303EE" w:rsidRPr="00797379" w:rsidRDefault="007303EE" w:rsidP="003B7772">
            <w:pPr>
              <w:pStyle w:val="TableColHeadingCenter"/>
            </w:pPr>
            <w:r w:rsidRPr="00797379">
              <w:t># Included (2025)</w:t>
            </w:r>
          </w:p>
        </w:tc>
        <w:tc>
          <w:tcPr>
            <w:tcW w:w="289" w:type="pct"/>
            <w:tcMar>
              <w:left w:w="29" w:type="dxa"/>
              <w:right w:w="29" w:type="dxa"/>
            </w:tcMar>
            <w:vAlign w:val="center"/>
          </w:tcPr>
          <w:p w14:paraId="0B4BD34B" w14:textId="77777777" w:rsidR="007303EE" w:rsidRPr="00797379" w:rsidRDefault="007303EE" w:rsidP="003B7772">
            <w:pPr>
              <w:pStyle w:val="TableColHeadingCenter"/>
            </w:pPr>
            <w:r w:rsidRPr="00797379">
              <w:t>% M/E 2023</w:t>
            </w:r>
          </w:p>
        </w:tc>
        <w:tc>
          <w:tcPr>
            <w:tcW w:w="289" w:type="pct"/>
            <w:tcMar>
              <w:left w:w="29" w:type="dxa"/>
              <w:right w:w="29" w:type="dxa"/>
            </w:tcMar>
            <w:vAlign w:val="center"/>
          </w:tcPr>
          <w:p w14:paraId="76F59F5D" w14:textId="77777777" w:rsidR="007303EE" w:rsidRPr="00797379" w:rsidRDefault="007303EE" w:rsidP="003B7772">
            <w:pPr>
              <w:pStyle w:val="TableColHeadingCenter"/>
            </w:pPr>
            <w:r w:rsidRPr="00797379">
              <w:t>% M/E 2024</w:t>
            </w:r>
          </w:p>
        </w:tc>
        <w:tc>
          <w:tcPr>
            <w:tcW w:w="290" w:type="pct"/>
            <w:tcMar>
              <w:left w:w="29" w:type="dxa"/>
              <w:right w:w="29" w:type="dxa"/>
            </w:tcMar>
            <w:vAlign w:val="center"/>
          </w:tcPr>
          <w:p w14:paraId="47EF98B0" w14:textId="77777777" w:rsidR="007303EE" w:rsidRPr="00797379" w:rsidRDefault="007303EE" w:rsidP="003B7772">
            <w:pPr>
              <w:pStyle w:val="TableColHeadingCenter"/>
            </w:pPr>
            <w:r w:rsidRPr="00797379">
              <w:t>% M/E 2025</w:t>
            </w:r>
          </w:p>
        </w:tc>
        <w:tc>
          <w:tcPr>
            <w:tcW w:w="289" w:type="pct"/>
            <w:tcMar>
              <w:left w:w="29" w:type="dxa"/>
              <w:right w:w="29" w:type="dxa"/>
            </w:tcMar>
            <w:vAlign w:val="center"/>
          </w:tcPr>
          <w:p w14:paraId="4DC172FA" w14:textId="77777777" w:rsidR="007303EE" w:rsidRPr="00797379" w:rsidRDefault="007303EE" w:rsidP="003B7772">
            <w:pPr>
              <w:pStyle w:val="TableColHeadingCenter"/>
            </w:pPr>
            <w:r w:rsidRPr="00797379">
              <w:t>% M/E 2025 State</w:t>
            </w:r>
          </w:p>
        </w:tc>
        <w:tc>
          <w:tcPr>
            <w:tcW w:w="290" w:type="pct"/>
            <w:tcMar>
              <w:left w:w="29" w:type="dxa"/>
              <w:right w:w="29" w:type="dxa"/>
            </w:tcMar>
            <w:vAlign w:val="center"/>
          </w:tcPr>
          <w:p w14:paraId="1164AEE6" w14:textId="77777777" w:rsidR="007303EE" w:rsidRPr="00797379" w:rsidRDefault="007303EE" w:rsidP="003B7772">
            <w:pPr>
              <w:pStyle w:val="TableColHeadingCenter"/>
            </w:pPr>
            <w:r w:rsidRPr="00797379">
              <w:t>% PME 2023</w:t>
            </w:r>
          </w:p>
        </w:tc>
        <w:tc>
          <w:tcPr>
            <w:tcW w:w="289" w:type="pct"/>
            <w:tcMar>
              <w:left w:w="29" w:type="dxa"/>
              <w:right w:w="29" w:type="dxa"/>
            </w:tcMar>
            <w:vAlign w:val="center"/>
          </w:tcPr>
          <w:p w14:paraId="5E966B5E" w14:textId="77777777" w:rsidR="007303EE" w:rsidRPr="00797379" w:rsidRDefault="007303EE" w:rsidP="003B7772">
            <w:pPr>
              <w:pStyle w:val="TableColHeadingCenter"/>
            </w:pPr>
            <w:r w:rsidRPr="00797379">
              <w:t>% PME 2024</w:t>
            </w:r>
          </w:p>
        </w:tc>
        <w:tc>
          <w:tcPr>
            <w:tcW w:w="289" w:type="pct"/>
            <w:tcMar>
              <w:left w:w="29" w:type="dxa"/>
              <w:right w:w="29" w:type="dxa"/>
            </w:tcMar>
            <w:vAlign w:val="center"/>
          </w:tcPr>
          <w:p w14:paraId="4BA1EFBB" w14:textId="77777777" w:rsidR="007303EE" w:rsidRPr="00797379" w:rsidRDefault="007303EE" w:rsidP="003B7772">
            <w:pPr>
              <w:pStyle w:val="TableColHeadingCenter"/>
            </w:pPr>
            <w:r w:rsidRPr="00797379">
              <w:t>% PME 2025</w:t>
            </w:r>
          </w:p>
        </w:tc>
        <w:tc>
          <w:tcPr>
            <w:tcW w:w="290" w:type="pct"/>
            <w:tcMar>
              <w:left w:w="29" w:type="dxa"/>
              <w:right w:w="29" w:type="dxa"/>
            </w:tcMar>
            <w:vAlign w:val="center"/>
          </w:tcPr>
          <w:p w14:paraId="1E76B912" w14:textId="77777777" w:rsidR="007303EE" w:rsidRPr="00797379" w:rsidRDefault="007303EE" w:rsidP="003B7772">
            <w:pPr>
              <w:pStyle w:val="TableColHeadingCenter"/>
            </w:pPr>
            <w:r w:rsidRPr="00797379">
              <w:t>% PME 2025 State</w:t>
            </w:r>
          </w:p>
        </w:tc>
        <w:tc>
          <w:tcPr>
            <w:tcW w:w="289" w:type="pct"/>
            <w:tcMar>
              <w:left w:w="29" w:type="dxa"/>
              <w:right w:w="29" w:type="dxa"/>
            </w:tcMar>
            <w:vAlign w:val="center"/>
          </w:tcPr>
          <w:p w14:paraId="4BA69CBD" w14:textId="77777777" w:rsidR="007303EE" w:rsidRPr="00797379" w:rsidRDefault="007303EE" w:rsidP="003B7772">
            <w:pPr>
              <w:pStyle w:val="TableColHeadingCenter"/>
            </w:pPr>
            <w:r w:rsidRPr="00797379">
              <w:t>% NM 2023</w:t>
            </w:r>
          </w:p>
        </w:tc>
        <w:tc>
          <w:tcPr>
            <w:tcW w:w="290" w:type="pct"/>
            <w:tcMar>
              <w:left w:w="29" w:type="dxa"/>
              <w:right w:w="29" w:type="dxa"/>
            </w:tcMar>
            <w:vAlign w:val="center"/>
          </w:tcPr>
          <w:p w14:paraId="51D7D726" w14:textId="77777777" w:rsidR="007303EE" w:rsidRPr="00797379" w:rsidRDefault="007303EE" w:rsidP="003B7772">
            <w:pPr>
              <w:pStyle w:val="TableColHeadingCenter"/>
            </w:pPr>
            <w:r w:rsidRPr="00797379">
              <w:t>% NM 2024</w:t>
            </w:r>
          </w:p>
        </w:tc>
        <w:tc>
          <w:tcPr>
            <w:tcW w:w="289" w:type="pct"/>
            <w:tcMar>
              <w:left w:w="29" w:type="dxa"/>
              <w:right w:w="29" w:type="dxa"/>
            </w:tcMar>
            <w:vAlign w:val="center"/>
          </w:tcPr>
          <w:p w14:paraId="6065BA80" w14:textId="77777777" w:rsidR="007303EE" w:rsidRPr="00797379" w:rsidRDefault="007303EE" w:rsidP="003B7772">
            <w:pPr>
              <w:pStyle w:val="TableColHeadingCenter"/>
            </w:pPr>
            <w:r w:rsidRPr="00797379">
              <w:t>% NM 2025</w:t>
            </w:r>
          </w:p>
        </w:tc>
        <w:tc>
          <w:tcPr>
            <w:tcW w:w="290" w:type="pct"/>
            <w:tcMar>
              <w:left w:w="29" w:type="dxa"/>
              <w:right w:w="29" w:type="dxa"/>
            </w:tcMar>
            <w:vAlign w:val="center"/>
          </w:tcPr>
          <w:p w14:paraId="39B09758" w14:textId="77777777" w:rsidR="007303EE" w:rsidRPr="00797379" w:rsidRDefault="007303EE" w:rsidP="003B7772">
            <w:pPr>
              <w:pStyle w:val="TableColHeadingCenter"/>
            </w:pPr>
            <w:r w:rsidRPr="00797379">
              <w:t>% NM 2025 State</w:t>
            </w:r>
          </w:p>
        </w:tc>
      </w:tr>
      <w:tr w:rsidR="007303EE" w:rsidRPr="00797379" w14:paraId="7DB1E21F" w14:textId="77777777" w:rsidTr="000B5510">
        <w:trPr>
          <w:cnfStyle w:val="000000100000" w:firstRow="0" w:lastRow="0" w:firstColumn="0" w:lastColumn="0" w:oddVBand="0" w:evenVBand="0" w:oddHBand="1" w:evenHBand="0" w:firstRowFirstColumn="0" w:firstRowLastColumn="0" w:lastRowFirstColumn="0" w:lastRowLastColumn="0"/>
        </w:trPr>
        <w:tc>
          <w:tcPr>
            <w:tcW w:w="1179" w:type="pct"/>
          </w:tcPr>
          <w:p w14:paraId="22586A8F" w14:textId="77777777" w:rsidR="007303EE" w:rsidRPr="00F5225F" w:rsidRDefault="007303EE" w:rsidP="00F5225F">
            <w:pPr>
              <w:pStyle w:val="TableSubheading"/>
              <w:spacing w:before="0" w:after="0"/>
              <w:rPr>
                <w:rFonts w:asciiTheme="minorHAnsi" w:hAnsiTheme="minorHAnsi"/>
              </w:rPr>
            </w:pPr>
            <w:r w:rsidRPr="00F5225F">
              <w:rPr>
                <w:rFonts w:asciiTheme="minorHAnsi" w:hAnsiTheme="minorHAnsi"/>
              </w:rPr>
              <w:t>All Students</w:t>
            </w:r>
          </w:p>
        </w:tc>
        <w:tc>
          <w:tcPr>
            <w:tcW w:w="347" w:type="pct"/>
            <w:vAlign w:val="center"/>
          </w:tcPr>
          <w:p w14:paraId="34FCAF31" w14:textId="77777777" w:rsidR="007303EE" w:rsidRPr="00797379" w:rsidRDefault="007303EE" w:rsidP="00F5225F">
            <w:pPr>
              <w:pStyle w:val="TableTextCentered"/>
              <w:spacing w:before="0" w:after="0"/>
            </w:pPr>
            <w:r w:rsidRPr="00797379">
              <w:t>2,034</w:t>
            </w:r>
          </w:p>
        </w:tc>
        <w:tc>
          <w:tcPr>
            <w:tcW w:w="289" w:type="pct"/>
            <w:vAlign w:val="center"/>
          </w:tcPr>
          <w:p w14:paraId="5CD9A9F7" w14:textId="77777777" w:rsidR="007303EE" w:rsidRPr="00797379" w:rsidRDefault="007303EE" w:rsidP="00F5225F">
            <w:pPr>
              <w:pStyle w:val="TableTextCentered"/>
              <w:spacing w:before="0" w:after="0"/>
            </w:pPr>
            <w:r w:rsidRPr="00797379">
              <w:t>70</w:t>
            </w:r>
          </w:p>
        </w:tc>
        <w:tc>
          <w:tcPr>
            <w:tcW w:w="289" w:type="pct"/>
            <w:vAlign w:val="center"/>
          </w:tcPr>
          <w:p w14:paraId="255A474B" w14:textId="77777777" w:rsidR="007303EE" w:rsidRPr="00797379" w:rsidRDefault="007303EE" w:rsidP="00F5225F">
            <w:pPr>
              <w:pStyle w:val="TableTextCentered"/>
              <w:spacing w:before="0" w:after="0"/>
            </w:pPr>
            <w:r w:rsidRPr="00797379">
              <w:t>74</w:t>
            </w:r>
          </w:p>
        </w:tc>
        <w:tc>
          <w:tcPr>
            <w:tcW w:w="290" w:type="pct"/>
            <w:vAlign w:val="center"/>
          </w:tcPr>
          <w:p w14:paraId="136DC491" w14:textId="77777777" w:rsidR="007303EE" w:rsidRPr="00797379" w:rsidRDefault="007303EE" w:rsidP="00F5225F">
            <w:pPr>
              <w:pStyle w:val="TableTextCentered"/>
              <w:spacing w:before="0" w:after="0"/>
            </w:pPr>
            <w:r w:rsidRPr="00797379">
              <w:t>74</w:t>
            </w:r>
          </w:p>
        </w:tc>
        <w:tc>
          <w:tcPr>
            <w:tcW w:w="289" w:type="pct"/>
            <w:vAlign w:val="center"/>
          </w:tcPr>
          <w:p w14:paraId="751AAA9E" w14:textId="77777777" w:rsidR="007303EE" w:rsidRPr="00797379" w:rsidRDefault="007303EE" w:rsidP="00F5225F">
            <w:pPr>
              <w:pStyle w:val="TableTextCentered"/>
              <w:spacing w:before="0" w:after="0"/>
            </w:pPr>
            <w:r w:rsidRPr="00797379">
              <w:t>41</w:t>
            </w:r>
          </w:p>
        </w:tc>
        <w:tc>
          <w:tcPr>
            <w:tcW w:w="290" w:type="pct"/>
            <w:vAlign w:val="center"/>
          </w:tcPr>
          <w:p w14:paraId="1B10553B" w14:textId="77777777" w:rsidR="007303EE" w:rsidRPr="00797379" w:rsidRDefault="007303EE" w:rsidP="00F5225F">
            <w:pPr>
              <w:pStyle w:val="TableTextCentered"/>
              <w:spacing w:before="0" w:after="0"/>
            </w:pPr>
            <w:r w:rsidRPr="00797379">
              <w:t>25</w:t>
            </w:r>
          </w:p>
        </w:tc>
        <w:tc>
          <w:tcPr>
            <w:tcW w:w="289" w:type="pct"/>
            <w:vAlign w:val="center"/>
          </w:tcPr>
          <w:p w14:paraId="5CA26637" w14:textId="77777777" w:rsidR="007303EE" w:rsidRPr="00797379" w:rsidRDefault="007303EE" w:rsidP="00F5225F">
            <w:pPr>
              <w:pStyle w:val="TableTextCentered"/>
              <w:spacing w:before="0" w:after="0"/>
            </w:pPr>
            <w:r w:rsidRPr="00797379">
              <w:t>23</w:t>
            </w:r>
          </w:p>
        </w:tc>
        <w:tc>
          <w:tcPr>
            <w:tcW w:w="289" w:type="pct"/>
            <w:vAlign w:val="center"/>
          </w:tcPr>
          <w:p w14:paraId="5D382525" w14:textId="77777777" w:rsidR="007303EE" w:rsidRPr="00797379" w:rsidRDefault="007303EE" w:rsidP="00F5225F">
            <w:pPr>
              <w:pStyle w:val="TableTextCentered"/>
              <w:spacing w:before="0" w:after="0"/>
            </w:pPr>
            <w:r w:rsidRPr="00797379">
              <w:t>22</w:t>
            </w:r>
          </w:p>
        </w:tc>
        <w:tc>
          <w:tcPr>
            <w:tcW w:w="290" w:type="pct"/>
            <w:vAlign w:val="center"/>
          </w:tcPr>
          <w:p w14:paraId="4DF5DC20" w14:textId="77777777" w:rsidR="007303EE" w:rsidRPr="00797379" w:rsidRDefault="007303EE" w:rsidP="00F5225F">
            <w:pPr>
              <w:pStyle w:val="TableTextCentered"/>
              <w:spacing w:before="0" w:after="0"/>
            </w:pPr>
            <w:r w:rsidRPr="00797379">
              <w:t>40</w:t>
            </w:r>
          </w:p>
        </w:tc>
        <w:tc>
          <w:tcPr>
            <w:tcW w:w="289" w:type="pct"/>
            <w:vAlign w:val="center"/>
          </w:tcPr>
          <w:p w14:paraId="6C0A8FBD" w14:textId="77777777" w:rsidR="007303EE" w:rsidRPr="00797379" w:rsidRDefault="007303EE" w:rsidP="00F5225F">
            <w:pPr>
              <w:pStyle w:val="TableTextCentered"/>
              <w:spacing w:before="0" w:after="0"/>
            </w:pPr>
            <w:r w:rsidRPr="00797379">
              <w:t>5</w:t>
            </w:r>
          </w:p>
        </w:tc>
        <w:tc>
          <w:tcPr>
            <w:tcW w:w="290" w:type="pct"/>
            <w:vAlign w:val="center"/>
          </w:tcPr>
          <w:p w14:paraId="6C3936E0" w14:textId="77777777" w:rsidR="007303EE" w:rsidRPr="00797379" w:rsidRDefault="007303EE" w:rsidP="00F5225F">
            <w:pPr>
              <w:pStyle w:val="TableTextCentered"/>
              <w:spacing w:before="0" w:after="0"/>
            </w:pPr>
            <w:r w:rsidRPr="00797379">
              <w:t>4</w:t>
            </w:r>
          </w:p>
        </w:tc>
        <w:tc>
          <w:tcPr>
            <w:tcW w:w="289" w:type="pct"/>
            <w:vAlign w:val="center"/>
          </w:tcPr>
          <w:p w14:paraId="69FB1AE5" w14:textId="77777777" w:rsidR="007303EE" w:rsidRPr="00797379" w:rsidRDefault="007303EE" w:rsidP="00F5225F">
            <w:pPr>
              <w:pStyle w:val="TableTextCentered"/>
              <w:spacing w:before="0" w:after="0"/>
            </w:pPr>
            <w:r w:rsidRPr="00797379">
              <w:t>4</w:t>
            </w:r>
          </w:p>
        </w:tc>
        <w:tc>
          <w:tcPr>
            <w:tcW w:w="290" w:type="pct"/>
            <w:vAlign w:val="center"/>
          </w:tcPr>
          <w:p w14:paraId="6143B634" w14:textId="77777777" w:rsidR="007303EE" w:rsidRPr="00797379" w:rsidRDefault="007303EE" w:rsidP="00F5225F">
            <w:pPr>
              <w:pStyle w:val="TableTextCentered"/>
              <w:spacing w:before="0" w:after="0"/>
            </w:pPr>
            <w:r w:rsidRPr="00797379">
              <w:t>19</w:t>
            </w:r>
          </w:p>
        </w:tc>
      </w:tr>
      <w:tr w:rsidR="007303EE" w:rsidRPr="00797379" w14:paraId="108DF801" w14:textId="77777777" w:rsidTr="000B5510">
        <w:tc>
          <w:tcPr>
            <w:tcW w:w="1179" w:type="pct"/>
          </w:tcPr>
          <w:p w14:paraId="2C3CBB6B" w14:textId="77777777" w:rsidR="007303EE" w:rsidRPr="00F5225F" w:rsidRDefault="007303EE" w:rsidP="00F5225F">
            <w:pPr>
              <w:pStyle w:val="TableSubheading"/>
              <w:spacing w:before="0" w:after="0"/>
              <w:rPr>
                <w:rFonts w:asciiTheme="minorHAnsi" w:hAnsiTheme="minorHAnsi"/>
              </w:rPr>
            </w:pPr>
            <w:r w:rsidRPr="00F5225F">
              <w:rPr>
                <w:rFonts w:asciiTheme="minorHAnsi" w:hAnsiTheme="minorHAnsi"/>
              </w:rPr>
              <w:t>American Indian or Alaskan Native</w:t>
            </w:r>
          </w:p>
        </w:tc>
        <w:tc>
          <w:tcPr>
            <w:tcW w:w="347" w:type="pct"/>
            <w:vAlign w:val="center"/>
          </w:tcPr>
          <w:p w14:paraId="30EED0F6" w14:textId="77777777" w:rsidR="007303EE" w:rsidRPr="00797379" w:rsidRDefault="007303EE" w:rsidP="00F5225F">
            <w:pPr>
              <w:pStyle w:val="TableTextCentered"/>
              <w:spacing w:before="0" w:after="0"/>
            </w:pPr>
            <w:r w:rsidRPr="00797379">
              <w:t>1</w:t>
            </w:r>
          </w:p>
        </w:tc>
        <w:tc>
          <w:tcPr>
            <w:tcW w:w="289" w:type="pct"/>
            <w:vAlign w:val="center"/>
          </w:tcPr>
          <w:p w14:paraId="54D34615" w14:textId="29C22DFF" w:rsidR="007303EE" w:rsidRPr="00797379" w:rsidRDefault="000B5510" w:rsidP="00F5225F">
            <w:pPr>
              <w:pStyle w:val="TableTextCentered"/>
              <w:spacing w:before="0" w:after="0"/>
            </w:pPr>
            <w:r>
              <w:t>N/A</w:t>
            </w:r>
          </w:p>
        </w:tc>
        <w:tc>
          <w:tcPr>
            <w:tcW w:w="289" w:type="pct"/>
            <w:vAlign w:val="center"/>
          </w:tcPr>
          <w:p w14:paraId="48346FDE" w14:textId="446A70A7" w:rsidR="007303EE" w:rsidRPr="00797379" w:rsidRDefault="000B5510" w:rsidP="00F5225F">
            <w:pPr>
              <w:pStyle w:val="TableTextCentered"/>
              <w:spacing w:before="0" w:after="0"/>
            </w:pPr>
            <w:r>
              <w:t>N/A</w:t>
            </w:r>
          </w:p>
        </w:tc>
        <w:tc>
          <w:tcPr>
            <w:tcW w:w="290" w:type="pct"/>
            <w:vAlign w:val="center"/>
          </w:tcPr>
          <w:p w14:paraId="1EB46221" w14:textId="74C34D1E" w:rsidR="007303EE" w:rsidRPr="00797379" w:rsidRDefault="000B5510" w:rsidP="00F5225F">
            <w:pPr>
              <w:pStyle w:val="TableTextCentered"/>
              <w:spacing w:before="0" w:after="0"/>
            </w:pPr>
            <w:r>
              <w:t>N/A</w:t>
            </w:r>
          </w:p>
        </w:tc>
        <w:tc>
          <w:tcPr>
            <w:tcW w:w="289" w:type="pct"/>
            <w:vAlign w:val="center"/>
          </w:tcPr>
          <w:p w14:paraId="09255499" w14:textId="77777777" w:rsidR="007303EE" w:rsidRPr="00797379" w:rsidRDefault="007303EE" w:rsidP="00F5225F">
            <w:pPr>
              <w:pStyle w:val="TableTextCentered"/>
              <w:spacing w:before="0" w:after="0"/>
            </w:pPr>
            <w:r w:rsidRPr="00797379">
              <w:t>27</w:t>
            </w:r>
          </w:p>
        </w:tc>
        <w:tc>
          <w:tcPr>
            <w:tcW w:w="290" w:type="pct"/>
            <w:vAlign w:val="center"/>
          </w:tcPr>
          <w:p w14:paraId="782B256E" w14:textId="58C9D6F3" w:rsidR="007303EE" w:rsidRPr="00797379" w:rsidRDefault="000B5510" w:rsidP="00F5225F">
            <w:pPr>
              <w:pStyle w:val="TableTextCentered"/>
              <w:spacing w:before="0" w:after="0"/>
            </w:pPr>
            <w:r>
              <w:t>N/A</w:t>
            </w:r>
          </w:p>
        </w:tc>
        <w:tc>
          <w:tcPr>
            <w:tcW w:w="289" w:type="pct"/>
            <w:vAlign w:val="center"/>
          </w:tcPr>
          <w:p w14:paraId="2A47E17A" w14:textId="330F81D5" w:rsidR="007303EE" w:rsidRPr="00797379" w:rsidRDefault="000B5510" w:rsidP="00F5225F">
            <w:pPr>
              <w:pStyle w:val="TableTextCentered"/>
              <w:spacing w:before="0" w:after="0"/>
            </w:pPr>
            <w:r>
              <w:t>N/A</w:t>
            </w:r>
          </w:p>
        </w:tc>
        <w:tc>
          <w:tcPr>
            <w:tcW w:w="289" w:type="pct"/>
            <w:vAlign w:val="center"/>
          </w:tcPr>
          <w:p w14:paraId="22A1CA2E" w14:textId="68DD660E" w:rsidR="007303EE" w:rsidRPr="00797379" w:rsidRDefault="000B5510" w:rsidP="00F5225F">
            <w:pPr>
              <w:pStyle w:val="TableTextCentered"/>
              <w:spacing w:before="0" w:after="0"/>
            </w:pPr>
            <w:r>
              <w:t>N/A</w:t>
            </w:r>
          </w:p>
        </w:tc>
        <w:tc>
          <w:tcPr>
            <w:tcW w:w="290" w:type="pct"/>
            <w:vAlign w:val="center"/>
          </w:tcPr>
          <w:p w14:paraId="33D61DC7" w14:textId="77777777" w:rsidR="007303EE" w:rsidRPr="00797379" w:rsidRDefault="007303EE" w:rsidP="00F5225F">
            <w:pPr>
              <w:pStyle w:val="TableTextCentered"/>
              <w:spacing w:before="0" w:after="0"/>
            </w:pPr>
            <w:r w:rsidRPr="00797379">
              <w:t>45</w:t>
            </w:r>
          </w:p>
        </w:tc>
        <w:tc>
          <w:tcPr>
            <w:tcW w:w="289" w:type="pct"/>
            <w:vAlign w:val="center"/>
          </w:tcPr>
          <w:p w14:paraId="384137AE" w14:textId="0FCF262E" w:rsidR="007303EE" w:rsidRPr="00797379" w:rsidRDefault="000B5510" w:rsidP="00F5225F">
            <w:pPr>
              <w:pStyle w:val="TableTextCentered"/>
              <w:spacing w:before="0" w:after="0"/>
            </w:pPr>
            <w:r>
              <w:t>N/A</w:t>
            </w:r>
          </w:p>
        </w:tc>
        <w:tc>
          <w:tcPr>
            <w:tcW w:w="290" w:type="pct"/>
            <w:vAlign w:val="center"/>
          </w:tcPr>
          <w:p w14:paraId="3901E6A1" w14:textId="0F15B2DA" w:rsidR="007303EE" w:rsidRPr="00797379" w:rsidRDefault="000B5510" w:rsidP="00F5225F">
            <w:pPr>
              <w:pStyle w:val="TableTextCentered"/>
              <w:spacing w:before="0" w:after="0"/>
            </w:pPr>
            <w:r>
              <w:t>N/A</w:t>
            </w:r>
          </w:p>
        </w:tc>
        <w:tc>
          <w:tcPr>
            <w:tcW w:w="289" w:type="pct"/>
            <w:vAlign w:val="center"/>
          </w:tcPr>
          <w:p w14:paraId="18F96EDB" w14:textId="602E09FC" w:rsidR="007303EE" w:rsidRPr="00797379" w:rsidRDefault="000B5510" w:rsidP="00F5225F">
            <w:pPr>
              <w:pStyle w:val="TableTextCentered"/>
              <w:spacing w:before="0" w:after="0"/>
            </w:pPr>
            <w:r>
              <w:t>N/A</w:t>
            </w:r>
          </w:p>
        </w:tc>
        <w:tc>
          <w:tcPr>
            <w:tcW w:w="290" w:type="pct"/>
            <w:vAlign w:val="center"/>
          </w:tcPr>
          <w:p w14:paraId="341E7C29" w14:textId="77777777" w:rsidR="007303EE" w:rsidRPr="00797379" w:rsidRDefault="007303EE" w:rsidP="00F5225F">
            <w:pPr>
              <w:pStyle w:val="TableTextCentered"/>
              <w:spacing w:before="0" w:after="0"/>
            </w:pPr>
            <w:r w:rsidRPr="00797379">
              <w:t>28</w:t>
            </w:r>
          </w:p>
        </w:tc>
      </w:tr>
      <w:tr w:rsidR="007303EE" w:rsidRPr="00797379" w14:paraId="1E7F2BE0" w14:textId="77777777" w:rsidTr="000B5510">
        <w:trPr>
          <w:cnfStyle w:val="000000100000" w:firstRow="0" w:lastRow="0" w:firstColumn="0" w:lastColumn="0" w:oddVBand="0" w:evenVBand="0" w:oddHBand="1" w:evenHBand="0" w:firstRowFirstColumn="0" w:firstRowLastColumn="0" w:lastRowFirstColumn="0" w:lastRowLastColumn="0"/>
        </w:trPr>
        <w:tc>
          <w:tcPr>
            <w:tcW w:w="1179" w:type="pct"/>
          </w:tcPr>
          <w:p w14:paraId="3170004D" w14:textId="77777777" w:rsidR="007303EE" w:rsidRPr="00F5225F" w:rsidRDefault="007303EE" w:rsidP="00F5225F">
            <w:pPr>
              <w:pStyle w:val="TableSubheading"/>
              <w:spacing w:before="0" w:after="0"/>
              <w:rPr>
                <w:rFonts w:asciiTheme="minorHAnsi" w:hAnsiTheme="minorHAnsi"/>
              </w:rPr>
            </w:pPr>
            <w:r w:rsidRPr="00F5225F">
              <w:rPr>
                <w:rFonts w:asciiTheme="minorHAnsi" w:hAnsiTheme="minorHAnsi"/>
              </w:rPr>
              <w:t>Asian</w:t>
            </w:r>
          </w:p>
        </w:tc>
        <w:tc>
          <w:tcPr>
            <w:tcW w:w="347" w:type="pct"/>
            <w:vAlign w:val="center"/>
          </w:tcPr>
          <w:p w14:paraId="30C85DD2" w14:textId="77777777" w:rsidR="007303EE" w:rsidRPr="00797379" w:rsidRDefault="007303EE" w:rsidP="00F5225F">
            <w:pPr>
              <w:pStyle w:val="TableTextCentered"/>
              <w:spacing w:before="0" w:after="0"/>
            </w:pPr>
            <w:r w:rsidRPr="00797379">
              <w:t>430</w:t>
            </w:r>
          </w:p>
        </w:tc>
        <w:tc>
          <w:tcPr>
            <w:tcW w:w="289" w:type="pct"/>
            <w:vAlign w:val="center"/>
          </w:tcPr>
          <w:p w14:paraId="11C3FE95" w14:textId="77777777" w:rsidR="007303EE" w:rsidRPr="00797379" w:rsidRDefault="007303EE" w:rsidP="00F5225F">
            <w:pPr>
              <w:pStyle w:val="TableTextCentered"/>
              <w:spacing w:before="0" w:after="0"/>
            </w:pPr>
            <w:r w:rsidRPr="00797379">
              <w:t>86</w:t>
            </w:r>
          </w:p>
        </w:tc>
        <w:tc>
          <w:tcPr>
            <w:tcW w:w="289" w:type="pct"/>
            <w:vAlign w:val="center"/>
          </w:tcPr>
          <w:p w14:paraId="270A63EF" w14:textId="77777777" w:rsidR="007303EE" w:rsidRPr="00797379" w:rsidRDefault="007303EE" w:rsidP="00F5225F">
            <w:pPr>
              <w:pStyle w:val="TableTextCentered"/>
              <w:spacing w:before="0" w:after="0"/>
            </w:pPr>
            <w:r w:rsidRPr="00797379">
              <w:t>90</w:t>
            </w:r>
          </w:p>
        </w:tc>
        <w:tc>
          <w:tcPr>
            <w:tcW w:w="290" w:type="pct"/>
            <w:vAlign w:val="center"/>
          </w:tcPr>
          <w:p w14:paraId="54A89E71" w14:textId="77777777" w:rsidR="007303EE" w:rsidRPr="00797379" w:rsidRDefault="007303EE" w:rsidP="00F5225F">
            <w:pPr>
              <w:pStyle w:val="TableTextCentered"/>
              <w:spacing w:before="0" w:after="0"/>
            </w:pPr>
            <w:r w:rsidRPr="00797379">
              <w:t>87</w:t>
            </w:r>
          </w:p>
        </w:tc>
        <w:tc>
          <w:tcPr>
            <w:tcW w:w="289" w:type="pct"/>
            <w:vAlign w:val="center"/>
          </w:tcPr>
          <w:p w14:paraId="63D32DFD" w14:textId="77777777" w:rsidR="007303EE" w:rsidRPr="00797379" w:rsidRDefault="007303EE" w:rsidP="00F5225F">
            <w:pPr>
              <w:pStyle w:val="TableTextCentered"/>
              <w:spacing w:before="0" w:after="0"/>
            </w:pPr>
            <w:r w:rsidRPr="00797379">
              <w:t>71</w:t>
            </w:r>
          </w:p>
        </w:tc>
        <w:tc>
          <w:tcPr>
            <w:tcW w:w="290" w:type="pct"/>
            <w:vAlign w:val="center"/>
          </w:tcPr>
          <w:p w14:paraId="3798340D" w14:textId="77777777" w:rsidR="007303EE" w:rsidRPr="00797379" w:rsidRDefault="007303EE" w:rsidP="00F5225F">
            <w:pPr>
              <w:pStyle w:val="TableTextCentered"/>
              <w:spacing w:before="0" w:after="0"/>
            </w:pPr>
            <w:r w:rsidRPr="00797379">
              <w:t>13</w:t>
            </w:r>
          </w:p>
        </w:tc>
        <w:tc>
          <w:tcPr>
            <w:tcW w:w="289" w:type="pct"/>
            <w:vAlign w:val="center"/>
          </w:tcPr>
          <w:p w14:paraId="6511BB33" w14:textId="77777777" w:rsidR="007303EE" w:rsidRPr="00797379" w:rsidRDefault="007303EE" w:rsidP="00F5225F">
            <w:pPr>
              <w:pStyle w:val="TableTextCentered"/>
              <w:spacing w:before="0" w:after="0"/>
            </w:pPr>
            <w:r w:rsidRPr="00797379">
              <w:t>8</w:t>
            </w:r>
          </w:p>
        </w:tc>
        <w:tc>
          <w:tcPr>
            <w:tcW w:w="289" w:type="pct"/>
            <w:vAlign w:val="center"/>
          </w:tcPr>
          <w:p w14:paraId="7447839E" w14:textId="77777777" w:rsidR="007303EE" w:rsidRPr="00797379" w:rsidRDefault="007303EE" w:rsidP="00F5225F">
            <w:pPr>
              <w:pStyle w:val="TableTextCentered"/>
              <w:spacing w:before="0" w:after="0"/>
            </w:pPr>
            <w:r w:rsidRPr="00797379">
              <w:t>10</w:t>
            </w:r>
          </w:p>
        </w:tc>
        <w:tc>
          <w:tcPr>
            <w:tcW w:w="290" w:type="pct"/>
            <w:vAlign w:val="center"/>
          </w:tcPr>
          <w:p w14:paraId="76913A68" w14:textId="77777777" w:rsidR="007303EE" w:rsidRPr="00797379" w:rsidRDefault="007303EE" w:rsidP="00F5225F">
            <w:pPr>
              <w:pStyle w:val="TableTextCentered"/>
              <w:spacing w:before="0" w:after="0"/>
            </w:pPr>
            <w:r w:rsidRPr="00797379">
              <w:t>22</w:t>
            </w:r>
          </w:p>
        </w:tc>
        <w:tc>
          <w:tcPr>
            <w:tcW w:w="289" w:type="pct"/>
            <w:vAlign w:val="center"/>
          </w:tcPr>
          <w:p w14:paraId="3C7AAB48" w14:textId="77777777" w:rsidR="007303EE" w:rsidRPr="00797379" w:rsidRDefault="007303EE" w:rsidP="00F5225F">
            <w:pPr>
              <w:pStyle w:val="TableTextCentered"/>
              <w:spacing w:before="0" w:after="0"/>
            </w:pPr>
            <w:r w:rsidRPr="00797379">
              <w:t>1</w:t>
            </w:r>
          </w:p>
        </w:tc>
        <w:tc>
          <w:tcPr>
            <w:tcW w:w="290" w:type="pct"/>
            <w:vAlign w:val="center"/>
          </w:tcPr>
          <w:p w14:paraId="4909BA9A" w14:textId="77777777" w:rsidR="007303EE" w:rsidRPr="00797379" w:rsidRDefault="007303EE" w:rsidP="00F5225F">
            <w:pPr>
              <w:pStyle w:val="TableTextCentered"/>
              <w:spacing w:before="0" w:after="0"/>
            </w:pPr>
            <w:r w:rsidRPr="00797379">
              <w:t>2</w:t>
            </w:r>
          </w:p>
        </w:tc>
        <w:tc>
          <w:tcPr>
            <w:tcW w:w="289" w:type="pct"/>
            <w:vAlign w:val="center"/>
          </w:tcPr>
          <w:p w14:paraId="154890CC" w14:textId="77777777" w:rsidR="007303EE" w:rsidRPr="00797379" w:rsidRDefault="007303EE" w:rsidP="00F5225F">
            <w:pPr>
              <w:pStyle w:val="TableTextCentered"/>
              <w:spacing w:before="0" w:after="0"/>
            </w:pPr>
            <w:r w:rsidRPr="00797379">
              <w:t>2</w:t>
            </w:r>
          </w:p>
        </w:tc>
        <w:tc>
          <w:tcPr>
            <w:tcW w:w="290" w:type="pct"/>
            <w:vAlign w:val="center"/>
          </w:tcPr>
          <w:p w14:paraId="1BE79656" w14:textId="77777777" w:rsidR="007303EE" w:rsidRPr="00797379" w:rsidRDefault="007303EE" w:rsidP="00F5225F">
            <w:pPr>
              <w:pStyle w:val="TableTextCentered"/>
              <w:spacing w:before="0" w:after="0"/>
            </w:pPr>
            <w:r w:rsidRPr="00797379">
              <w:t>7</w:t>
            </w:r>
          </w:p>
        </w:tc>
      </w:tr>
      <w:tr w:rsidR="007303EE" w:rsidRPr="00797379" w14:paraId="58B4EBD3" w14:textId="77777777" w:rsidTr="000B5510">
        <w:tc>
          <w:tcPr>
            <w:tcW w:w="1179" w:type="pct"/>
          </w:tcPr>
          <w:p w14:paraId="0FC2E08F" w14:textId="77777777" w:rsidR="007303EE" w:rsidRPr="00F5225F" w:rsidRDefault="007303EE" w:rsidP="00F5225F">
            <w:pPr>
              <w:pStyle w:val="TableSubheading"/>
              <w:spacing w:before="0" w:after="0"/>
              <w:rPr>
                <w:rFonts w:asciiTheme="minorHAnsi" w:hAnsiTheme="minorHAnsi"/>
              </w:rPr>
            </w:pPr>
            <w:r w:rsidRPr="00F5225F">
              <w:rPr>
                <w:rFonts w:asciiTheme="minorHAnsi" w:hAnsiTheme="minorHAnsi"/>
              </w:rPr>
              <w:t>Black or African American</w:t>
            </w:r>
          </w:p>
        </w:tc>
        <w:tc>
          <w:tcPr>
            <w:tcW w:w="347" w:type="pct"/>
            <w:vAlign w:val="center"/>
          </w:tcPr>
          <w:p w14:paraId="422D798F" w14:textId="77777777" w:rsidR="007303EE" w:rsidRPr="00797379" w:rsidRDefault="007303EE" w:rsidP="00F5225F">
            <w:pPr>
              <w:pStyle w:val="TableTextCentered"/>
              <w:spacing w:before="0" w:after="0"/>
            </w:pPr>
            <w:r w:rsidRPr="00797379">
              <w:t>23</w:t>
            </w:r>
          </w:p>
        </w:tc>
        <w:tc>
          <w:tcPr>
            <w:tcW w:w="289" w:type="pct"/>
            <w:vAlign w:val="center"/>
          </w:tcPr>
          <w:p w14:paraId="659D31D9" w14:textId="77777777" w:rsidR="007303EE" w:rsidRPr="00797379" w:rsidRDefault="007303EE" w:rsidP="00F5225F">
            <w:pPr>
              <w:pStyle w:val="TableTextCentered"/>
              <w:spacing w:before="0" w:after="0"/>
            </w:pPr>
            <w:r w:rsidRPr="00797379">
              <w:t>50</w:t>
            </w:r>
          </w:p>
        </w:tc>
        <w:tc>
          <w:tcPr>
            <w:tcW w:w="289" w:type="pct"/>
            <w:vAlign w:val="center"/>
          </w:tcPr>
          <w:p w14:paraId="5A8E35EF" w14:textId="77777777" w:rsidR="007303EE" w:rsidRPr="00797379" w:rsidRDefault="007303EE" w:rsidP="00F5225F">
            <w:pPr>
              <w:pStyle w:val="TableTextCentered"/>
              <w:spacing w:before="0" w:after="0"/>
            </w:pPr>
            <w:r w:rsidRPr="00797379">
              <w:t>43</w:t>
            </w:r>
          </w:p>
        </w:tc>
        <w:tc>
          <w:tcPr>
            <w:tcW w:w="290" w:type="pct"/>
            <w:vAlign w:val="center"/>
          </w:tcPr>
          <w:p w14:paraId="1CB80571" w14:textId="77777777" w:rsidR="007303EE" w:rsidRPr="00797379" w:rsidRDefault="007303EE" w:rsidP="00F5225F">
            <w:pPr>
              <w:pStyle w:val="TableTextCentered"/>
              <w:spacing w:before="0" w:after="0"/>
            </w:pPr>
            <w:r w:rsidRPr="00797379">
              <w:t>43</w:t>
            </w:r>
          </w:p>
        </w:tc>
        <w:tc>
          <w:tcPr>
            <w:tcW w:w="289" w:type="pct"/>
            <w:vAlign w:val="center"/>
          </w:tcPr>
          <w:p w14:paraId="5AB57DF1" w14:textId="77777777" w:rsidR="007303EE" w:rsidRPr="00797379" w:rsidRDefault="007303EE" w:rsidP="00F5225F">
            <w:pPr>
              <w:pStyle w:val="TableTextCentered"/>
              <w:spacing w:before="0" w:after="0"/>
            </w:pPr>
            <w:r w:rsidRPr="00797379">
              <w:t>22</w:t>
            </w:r>
          </w:p>
        </w:tc>
        <w:tc>
          <w:tcPr>
            <w:tcW w:w="290" w:type="pct"/>
            <w:vAlign w:val="center"/>
          </w:tcPr>
          <w:p w14:paraId="7FAD61BC" w14:textId="77777777" w:rsidR="007303EE" w:rsidRPr="00797379" w:rsidRDefault="007303EE" w:rsidP="00F5225F">
            <w:pPr>
              <w:pStyle w:val="TableTextCentered"/>
              <w:spacing w:before="0" w:after="0"/>
            </w:pPr>
            <w:r w:rsidRPr="00797379">
              <w:t>32</w:t>
            </w:r>
          </w:p>
        </w:tc>
        <w:tc>
          <w:tcPr>
            <w:tcW w:w="289" w:type="pct"/>
            <w:vAlign w:val="center"/>
          </w:tcPr>
          <w:p w14:paraId="398B6BAC" w14:textId="77777777" w:rsidR="007303EE" w:rsidRPr="00797379" w:rsidRDefault="007303EE" w:rsidP="00F5225F">
            <w:pPr>
              <w:pStyle w:val="TableTextCentered"/>
              <w:spacing w:before="0" w:after="0"/>
            </w:pPr>
            <w:r w:rsidRPr="00797379">
              <w:t>40</w:t>
            </w:r>
          </w:p>
        </w:tc>
        <w:tc>
          <w:tcPr>
            <w:tcW w:w="289" w:type="pct"/>
            <w:vAlign w:val="center"/>
          </w:tcPr>
          <w:p w14:paraId="34AE816C" w14:textId="77777777" w:rsidR="007303EE" w:rsidRPr="00797379" w:rsidRDefault="007303EE" w:rsidP="00F5225F">
            <w:pPr>
              <w:pStyle w:val="TableTextCentered"/>
              <w:spacing w:before="0" w:after="0"/>
            </w:pPr>
            <w:r w:rsidRPr="00797379">
              <w:t>43</w:t>
            </w:r>
          </w:p>
        </w:tc>
        <w:tc>
          <w:tcPr>
            <w:tcW w:w="290" w:type="pct"/>
            <w:vAlign w:val="center"/>
          </w:tcPr>
          <w:p w14:paraId="25A7E134" w14:textId="77777777" w:rsidR="007303EE" w:rsidRPr="00797379" w:rsidRDefault="007303EE" w:rsidP="00F5225F">
            <w:pPr>
              <w:pStyle w:val="TableTextCentered"/>
              <w:spacing w:before="0" w:after="0"/>
            </w:pPr>
            <w:r w:rsidRPr="00797379">
              <w:t>46</w:t>
            </w:r>
          </w:p>
        </w:tc>
        <w:tc>
          <w:tcPr>
            <w:tcW w:w="289" w:type="pct"/>
            <w:vAlign w:val="center"/>
          </w:tcPr>
          <w:p w14:paraId="347760FB" w14:textId="77777777" w:rsidR="007303EE" w:rsidRPr="00797379" w:rsidRDefault="007303EE" w:rsidP="00F5225F">
            <w:pPr>
              <w:pStyle w:val="TableTextCentered"/>
              <w:spacing w:before="0" w:after="0"/>
            </w:pPr>
            <w:r w:rsidRPr="00797379">
              <w:t>18</w:t>
            </w:r>
          </w:p>
        </w:tc>
        <w:tc>
          <w:tcPr>
            <w:tcW w:w="290" w:type="pct"/>
            <w:vAlign w:val="center"/>
          </w:tcPr>
          <w:p w14:paraId="62D055E6" w14:textId="77777777" w:rsidR="007303EE" w:rsidRPr="00797379" w:rsidRDefault="007303EE" w:rsidP="00F5225F">
            <w:pPr>
              <w:pStyle w:val="TableTextCentered"/>
              <w:spacing w:before="0" w:after="0"/>
            </w:pPr>
            <w:r w:rsidRPr="00797379">
              <w:t>17</w:t>
            </w:r>
          </w:p>
        </w:tc>
        <w:tc>
          <w:tcPr>
            <w:tcW w:w="289" w:type="pct"/>
            <w:vAlign w:val="center"/>
          </w:tcPr>
          <w:p w14:paraId="6D7C34CA" w14:textId="77777777" w:rsidR="007303EE" w:rsidRPr="00797379" w:rsidRDefault="007303EE" w:rsidP="00F5225F">
            <w:pPr>
              <w:pStyle w:val="TableTextCentered"/>
              <w:spacing w:before="0" w:after="0"/>
            </w:pPr>
            <w:r w:rsidRPr="00797379">
              <w:t>13</w:t>
            </w:r>
          </w:p>
        </w:tc>
        <w:tc>
          <w:tcPr>
            <w:tcW w:w="290" w:type="pct"/>
            <w:vAlign w:val="center"/>
          </w:tcPr>
          <w:p w14:paraId="51021A39" w14:textId="77777777" w:rsidR="007303EE" w:rsidRPr="00797379" w:rsidRDefault="007303EE" w:rsidP="00F5225F">
            <w:pPr>
              <w:pStyle w:val="TableTextCentered"/>
              <w:spacing w:before="0" w:after="0"/>
            </w:pPr>
            <w:r w:rsidRPr="00797379">
              <w:t>32</w:t>
            </w:r>
          </w:p>
        </w:tc>
      </w:tr>
      <w:tr w:rsidR="007303EE" w:rsidRPr="00797379" w14:paraId="70BD4853" w14:textId="77777777" w:rsidTr="000B5510">
        <w:trPr>
          <w:cnfStyle w:val="000000100000" w:firstRow="0" w:lastRow="0" w:firstColumn="0" w:lastColumn="0" w:oddVBand="0" w:evenVBand="0" w:oddHBand="1" w:evenHBand="0" w:firstRowFirstColumn="0" w:firstRowLastColumn="0" w:lastRowFirstColumn="0" w:lastRowLastColumn="0"/>
        </w:trPr>
        <w:tc>
          <w:tcPr>
            <w:tcW w:w="1179" w:type="pct"/>
          </w:tcPr>
          <w:p w14:paraId="2FC7E5CE" w14:textId="77777777" w:rsidR="007303EE" w:rsidRPr="00F5225F" w:rsidRDefault="007303EE" w:rsidP="00F5225F">
            <w:pPr>
              <w:pStyle w:val="TableSubheading"/>
              <w:spacing w:before="0" w:after="0"/>
              <w:rPr>
                <w:rFonts w:asciiTheme="minorHAnsi" w:hAnsiTheme="minorHAnsi"/>
              </w:rPr>
            </w:pPr>
            <w:r w:rsidRPr="00F5225F">
              <w:rPr>
                <w:rFonts w:asciiTheme="minorHAnsi" w:hAnsiTheme="minorHAnsi"/>
              </w:rPr>
              <w:t>Hispanic or Latino</w:t>
            </w:r>
          </w:p>
        </w:tc>
        <w:tc>
          <w:tcPr>
            <w:tcW w:w="347" w:type="pct"/>
            <w:vAlign w:val="center"/>
          </w:tcPr>
          <w:p w14:paraId="22C7D5BF" w14:textId="77777777" w:rsidR="007303EE" w:rsidRPr="00797379" w:rsidRDefault="007303EE" w:rsidP="00F5225F">
            <w:pPr>
              <w:pStyle w:val="TableTextCentered"/>
              <w:spacing w:before="0" w:after="0"/>
            </w:pPr>
            <w:r w:rsidRPr="00797379">
              <w:t>72</w:t>
            </w:r>
          </w:p>
        </w:tc>
        <w:tc>
          <w:tcPr>
            <w:tcW w:w="289" w:type="pct"/>
            <w:vAlign w:val="center"/>
          </w:tcPr>
          <w:p w14:paraId="675FC5EB" w14:textId="77777777" w:rsidR="007303EE" w:rsidRPr="00797379" w:rsidRDefault="007303EE" w:rsidP="00F5225F">
            <w:pPr>
              <w:pStyle w:val="TableTextCentered"/>
              <w:spacing w:before="0" w:after="0"/>
            </w:pPr>
            <w:r w:rsidRPr="00797379">
              <w:t>64</w:t>
            </w:r>
          </w:p>
        </w:tc>
        <w:tc>
          <w:tcPr>
            <w:tcW w:w="289" w:type="pct"/>
            <w:vAlign w:val="center"/>
          </w:tcPr>
          <w:p w14:paraId="6038B7CA" w14:textId="77777777" w:rsidR="007303EE" w:rsidRPr="00797379" w:rsidRDefault="007303EE" w:rsidP="00F5225F">
            <w:pPr>
              <w:pStyle w:val="TableTextCentered"/>
              <w:spacing w:before="0" w:after="0"/>
            </w:pPr>
            <w:r w:rsidRPr="00797379">
              <w:t>63</w:t>
            </w:r>
          </w:p>
        </w:tc>
        <w:tc>
          <w:tcPr>
            <w:tcW w:w="290" w:type="pct"/>
            <w:vAlign w:val="center"/>
          </w:tcPr>
          <w:p w14:paraId="7AEF9E0A" w14:textId="77777777" w:rsidR="007303EE" w:rsidRPr="00797379" w:rsidRDefault="007303EE" w:rsidP="00F5225F">
            <w:pPr>
              <w:pStyle w:val="TableTextCentered"/>
              <w:spacing w:before="0" w:after="0"/>
            </w:pPr>
            <w:r w:rsidRPr="00797379">
              <w:t>63</w:t>
            </w:r>
          </w:p>
        </w:tc>
        <w:tc>
          <w:tcPr>
            <w:tcW w:w="289" w:type="pct"/>
            <w:vAlign w:val="center"/>
          </w:tcPr>
          <w:p w14:paraId="558EE7C8" w14:textId="77777777" w:rsidR="007303EE" w:rsidRPr="00797379" w:rsidRDefault="007303EE" w:rsidP="00F5225F">
            <w:pPr>
              <w:pStyle w:val="TableTextCentered"/>
              <w:spacing w:before="0" w:after="0"/>
            </w:pPr>
            <w:r w:rsidRPr="00797379">
              <w:t>20</w:t>
            </w:r>
          </w:p>
        </w:tc>
        <w:tc>
          <w:tcPr>
            <w:tcW w:w="290" w:type="pct"/>
            <w:vAlign w:val="center"/>
          </w:tcPr>
          <w:p w14:paraId="665ED120" w14:textId="77777777" w:rsidR="007303EE" w:rsidRPr="00797379" w:rsidRDefault="007303EE" w:rsidP="00F5225F">
            <w:pPr>
              <w:pStyle w:val="TableTextCentered"/>
              <w:spacing w:before="0" w:after="0"/>
            </w:pPr>
            <w:r w:rsidRPr="00797379">
              <w:t>30</w:t>
            </w:r>
          </w:p>
        </w:tc>
        <w:tc>
          <w:tcPr>
            <w:tcW w:w="289" w:type="pct"/>
            <w:vAlign w:val="center"/>
          </w:tcPr>
          <w:p w14:paraId="5E89A0EC" w14:textId="77777777" w:rsidR="007303EE" w:rsidRPr="00797379" w:rsidRDefault="007303EE" w:rsidP="00F5225F">
            <w:pPr>
              <w:pStyle w:val="TableTextCentered"/>
              <w:spacing w:before="0" w:after="0"/>
            </w:pPr>
            <w:r w:rsidRPr="00797379">
              <w:t>27</w:t>
            </w:r>
          </w:p>
        </w:tc>
        <w:tc>
          <w:tcPr>
            <w:tcW w:w="289" w:type="pct"/>
            <w:vAlign w:val="center"/>
          </w:tcPr>
          <w:p w14:paraId="60EF77F1" w14:textId="77777777" w:rsidR="007303EE" w:rsidRPr="00797379" w:rsidRDefault="007303EE" w:rsidP="00F5225F">
            <w:pPr>
              <w:pStyle w:val="TableTextCentered"/>
              <w:spacing w:before="0" w:after="0"/>
            </w:pPr>
            <w:r w:rsidRPr="00797379">
              <w:t>26</w:t>
            </w:r>
          </w:p>
        </w:tc>
        <w:tc>
          <w:tcPr>
            <w:tcW w:w="290" w:type="pct"/>
            <w:vAlign w:val="center"/>
          </w:tcPr>
          <w:p w14:paraId="5DD93C34" w14:textId="77777777" w:rsidR="007303EE" w:rsidRPr="00797379" w:rsidRDefault="007303EE" w:rsidP="00F5225F">
            <w:pPr>
              <w:pStyle w:val="TableTextCentered"/>
              <w:spacing w:before="0" w:after="0"/>
            </w:pPr>
            <w:r w:rsidRPr="00797379">
              <w:t>47</w:t>
            </w:r>
          </w:p>
        </w:tc>
        <w:tc>
          <w:tcPr>
            <w:tcW w:w="289" w:type="pct"/>
            <w:vAlign w:val="center"/>
          </w:tcPr>
          <w:p w14:paraId="71E7870E" w14:textId="77777777" w:rsidR="007303EE" w:rsidRPr="00797379" w:rsidRDefault="007303EE" w:rsidP="00F5225F">
            <w:pPr>
              <w:pStyle w:val="TableTextCentered"/>
              <w:spacing w:before="0" w:after="0"/>
            </w:pPr>
            <w:r w:rsidRPr="00797379">
              <w:t>7</w:t>
            </w:r>
          </w:p>
        </w:tc>
        <w:tc>
          <w:tcPr>
            <w:tcW w:w="290" w:type="pct"/>
            <w:vAlign w:val="center"/>
          </w:tcPr>
          <w:p w14:paraId="5A352111" w14:textId="77777777" w:rsidR="007303EE" w:rsidRPr="00797379" w:rsidRDefault="007303EE" w:rsidP="00F5225F">
            <w:pPr>
              <w:pStyle w:val="TableTextCentered"/>
              <w:spacing w:before="0" w:after="0"/>
            </w:pPr>
            <w:r w:rsidRPr="00797379">
              <w:t>10</w:t>
            </w:r>
          </w:p>
        </w:tc>
        <w:tc>
          <w:tcPr>
            <w:tcW w:w="289" w:type="pct"/>
            <w:vAlign w:val="center"/>
          </w:tcPr>
          <w:p w14:paraId="4342621E" w14:textId="77777777" w:rsidR="007303EE" w:rsidRPr="00797379" w:rsidRDefault="007303EE" w:rsidP="00F5225F">
            <w:pPr>
              <w:pStyle w:val="TableTextCentered"/>
              <w:spacing w:before="0" w:after="0"/>
            </w:pPr>
            <w:r w:rsidRPr="00797379">
              <w:t>11</w:t>
            </w:r>
          </w:p>
        </w:tc>
        <w:tc>
          <w:tcPr>
            <w:tcW w:w="290" w:type="pct"/>
            <w:vAlign w:val="center"/>
          </w:tcPr>
          <w:p w14:paraId="64BAE3AD" w14:textId="77777777" w:rsidR="007303EE" w:rsidRPr="00797379" w:rsidRDefault="007303EE" w:rsidP="00F5225F">
            <w:pPr>
              <w:pStyle w:val="TableTextCentered"/>
              <w:spacing w:before="0" w:after="0"/>
            </w:pPr>
            <w:r w:rsidRPr="00797379">
              <w:t>33</w:t>
            </w:r>
          </w:p>
        </w:tc>
      </w:tr>
      <w:tr w:rsidR="007303EE" w:rsidRPr="00797379" w14:paraId="2AF26E74" w14:textId="77777777" w:rsidTr="000B5510">
        <w:tc>
          <w:tcPr>
            <w:tcW w:w="1179" w:type="pct"/>
          </w:tcPr>
          <w:p w14:paraId="288C883F" w14:textId="77777777" w:rsidR="007303EE" w:rsidRPr="00F5225F" w:rsidRDefault="007303EE" w:rsidP="00F5225F">
            <w:pPr>
              <w:pStyle w:val="TableSubheading"/>
              <w:spacing w:before="0" w:after="0"/>
              <w:rPr>
                <w:rFonts w:asciiTheme="minorHAnsi" w:hAnsiTheme="minorHAnsi"/>
              </w:rPr>
            </w:pPr>
            <w:r w:rsidRPr="00F5225F">
              <w:rPr>
                <w:rFonts w:asciiTheme="minorHAnsi" w:hAnsiTheme="minorHAnsi"/>
              </w:rPr>
              <w:t>Multi-Race, Not Hispanic or Latino</w:t>
            </w:r>
          </w:p>
        </w:tc>
        <w:tc>
          <w:tcPr>
            <w:tcW w:w="347" w:type="pct"/>
            <w:vAlign w:val="center"/>
          </w:tcPr>
          <w:p w14:paraId="3253A889" w14:textId="77777777" w:rsidR="007303EE" w:rsidRPr="00797379" w:rsidRDefault="007303EE" w:rsidP="00F5225F">
            <w:pPr>
              <w:pStyle w:val="TableTextCentered"/>
              <w:spacing w:before="0" w:after="0"/>
            </w:pPr>
            <w:r w:rsidRPr="00797379">
              <w:t>167</w:t>
            </w:r>
          </w:p>
        </w:tc>
        <w:tc>
          <w:tcPr>
            <w:tcW w:w="289" w:type="pct"/>
            <w:vAlign w:val="center"/>
          </w:tcPr>
          <w:p w14:paraId="4E756CD4" w14:textId="77777777" w:rsidR="007303EE" w:rsidRPr="00797379" w:rsidRDefault="007303EE" w:rsidP="00F5225F">
            <w:pPr>
              <w:pStyle w:val="TableTextCentered"/>
              <w:spacing w:before="0" w:after="0"/>
            </w:pPr>
            <w:r w:rsidRPr="00797379">
              <w:t>74</w:t>
            </w:r>
          </w:p>
        </w:tc>
        <w:tc>
          <w:tcPr>
            <w:tcW w:w="289" w:type="pct"/>
            <w:vAlign w:val="center"/>
          </w:tcPr>
          <w:p w14:paraId="09DCF1C9" w14:textId="77777777" w:rsidR="007303EE" w:rsidRPr="00797379" w:rsidRDefault="007303EE" w:rsidP="00F5225F">
            <w:pPr>
              <w:pStyle w:val="TableTextCentered"/>
              <w:spacing w:before="0" w:after="0"/>
            </w:pPr>
            <w:r w:rsidRPr="00797379">
              <w:t>79</w:t>
            </w:r>
          </w:p>
        </w:tc>
        <w:tc>
          <w:tcPr>
            <w:tcW w:w="290" w:type="pct"/>
            <w:vAlign w:val="center"/>
          </w:tcPr>
          <w:p w14:paraId="7C346DA7" w14:textId="77777777" w:rsidR="007303EE" w:rsidRPr="00797379" w:rsidRDefault="007303EE" w:rsidP="00F5225F">
            <w:pPr>
              <w:pStyle w:val="TableTextCentered"/>
              <w:spacing w:before="0" w:after="0"/>
            </w:pPr>
            <w:r w:rsidRPr="00797379">
              <w:t>78</w:t>
            </w:r>
          </w:p>
        </w:tc>
        <w:tc>
          <w:tcPr>
            <w:tcW w:w="289" w:type="pct"/>
            <w:vAlign w:val="center"/>
          </w:tcPr>
          <w:p w14:paraId="025FA45F" w14:textId="77777777" w:rsidR="007303EE" w:rsidRPr="00797379" w:rsidRDefault="007303EE" w:rsidP="00F5225F">
            <w:pPr>
              <w:pStyle w:val="TableTextCentered"/>
              <w:spacing w:before="0" w:after="0"/>
            </w:pPr>
            <w:r w:rsidRPr="00797379">
              <w:t>48</w:t>
            </w:r>
          </w:p>
        </w:tc>
        <w:tc>
          <w:tcPr>
            <w:tcW w:w="290" w:type="pct"/>
            <w:vAlign w:val="center"/>
          </w:tcPr>
          <w:p w14:paraId="2A317800" w14:textId="77777777" w:rsidR="007303EE" w:rsidRPr="00797379" w:rsidRDefault="007303EE" w:rsidP="00F5225F">
            <w:pPr>
              <w:pStyle w:val="TableTextCentered"/>
              <w:spacing w:before="0" w:after="0"/>
            </w:pPr>
            <w:r w:rsidRPr="00797379">
              <w:t>22</w:t>
            </w:r>
          </w:p>
        </w:tc>
        <w:tc>
          <w:tcPr>
            <w:tcW w:w="289" w:type="pct"/>
            <w:vAlign w:val="center"/>
          </w:tcPr>
          <w:p w14:paraId="46D56747" w14:textId="77777777" w:rsidR="007303EE" w:rsidRPr="00797379" w:rsidRDefault="007303EE" w:rsidP="00F5225F">
            <w:pPr>
              <w:pStyle w:val="TableTextCentered"/>
              <w:spacing w:before="0" w:after="0"/>
            </w:pPr>
            <w:r w:rsidRPr="00797379">
              <w:t>17</w:t>
            </w:r>
          </w:p>
        </w:tc>
        <w:tc>
          <w:tcPr>
            <w:tcW w:w="289" w:type="pct"/>
            <w:vAlign w:val="center"/>
          </w:tcPr>
          <w:p w14:paraId="03E7E005" w14:textId="77777777" w:rsidR="007303EE" w:rsidRPr="00797379" w:rsidRDefault="007303EE" w:rsidP="00F5225F">
            <w:pPr>
              <w:pStyle w:val="TableTextCentered"/>
              <w:spacing w:before="0" w:after="0"/>
            </w:pPr>
            <w:r w:rsidRPr="00797379">
              <w:t>17</w:t>
            </w:r>
          </w:p>
        </w:tc>
        <w:tc>
          <w:tcPr>
            <w:tcW w:w="290" w:type="pct"/>
            <w:vAlign w:val="center"/>
          </w:tcPr>
          <w:p w14:paraId="7189CF65" w14:textId="77777777" w:rsidR="007303EE" w:rsidRPr="00797379" w:rsidRDefault="007303EE" w:rsidP="00F5225F">
            <w:pPr>
              <w:pStyle w:val="TableTextCentered"/>
              <w:spacing w:before="0" w:after="0"/>
            </w:pPr>
            <w:r w:rsidRPr="00797379">
              <w:t>36</w:t>
            </w:r>
          </w:p>
        </w:tc>
        <w:tc>
          <w:tcPr>
            <w:tcW w:w="289" w:type="pct"/>
            <w:vAlign w:val="center"/>
          </w:tcPr>
          <w:p w14:paraId="4EE63CA4" w14:textId="77777777" w:rsidR="007303EE" w:rsidRPr="00797379" w:rsidRDefault="007303EE" w:rsidP="00F5225F">
            <w:pPr>
              <w:pStyle w:val="TableTextCentered"/>
              <w:spacing w:before="0" w:after="0"/>
            </w:pPr>
            <w:r w:rsidRPr="00797379">
              <w:t>4</w:t>
            </w:r>
          </w:p>
        </w:tc>
        <w:tc>
          <w:tcPr>
            <w:tcW w:w="290" w:type="pct"/>
            <w:vAlign w:val="center"/>
          </w:tcPr>
          <w:p w14:paraId="71B14F98" w14:textId="77777777" w:rsidR="007303EE" w:rsidRPr="00797379" w:rsidRDefault="007303EE" w:rsidP="00F5225F">
            <w:pPr>
              <w:pStyle w:val="TableTextCentered"/>
              <w:spacing w:before="0" w:after="0"/>
            </w:pPr>
            <w:r w:rsidRPr="00797379">
              <w:t>4</w:t>
            </w:r>
          </w:p>
        </w:tc>
        <w:tc>
          <w:tcPr>
            <w:tcW w:w="289" w:type="pct"/>
            <w:vAlign w:val="center"/>
          </w:tcPr>
          <w:p w14:paraId="3A476943" w14:textId="77777777" w:rsidR="007303EE" w:rsidRPr="00797379" w:rsidRDefault="007303EE" w:rsidP="00F5225F">
            <w:pPr>
              <w:pStyle w:val="TableTextCentered"/>
              <w:spacing w:before="0" w:after="0"/>
            </w:pPr>
            <w:r w:rsidRPr="00797379">
              <w:t>4</w:t>
            </w:r>
          </w:p>
        </w:tc>
        <w:tc>
          <w:tcPr>
            <w:tcW w:w="290" w:type="pct"/>
            <w:vAlign w:val="center"/>
          </w:tcPr>
          <w:p w14:paraId="609E10AC" w14:textId="77777777" w:rsidR="007303EE" w:rsidRPr="00797379" w:rsidRDefault="007303EE" w:rsidP="00F5225F">
            <w:pPr>
              <w:pStyle w:val="TableTextCentered"/>
              <w:spacing w:before="0" w:after="0"/>
            </w:pPr>
            <w:r w:rsidRPr="00797379">
              <w:t>16</w:t>
            </w:r>
          </w:p>
        </w:tc>
      </w:tr>
      <w:tr w:rsidR="007303EE" w:rsidRPr="00797379" w14:paraId="6BE5E2C5" w14:textId="77777777" w:rsidTr="000B5510">
        <w:trPr>
          <w:cnfStyle w:val="000000100000" w:firstRow="0" w:lastRow="0" w:firstColumn="0" w:lastColumn="0" w:oddVBand="0" w:evenVBand="0" w:oddHBand="1" w:evenHBand="0" w:firstRowFirstColumn="0" w:firstRowLastColumn="0" w:lastRowFirstColumn="0" w:lastRowLastColumn="0"/>
        </w:trPr>
        <w:tc>
          <w:tcPr>
            <w:tcW w:w="1179" w:type="pct"/>
          </w:tcPr>
          <w:p w14:paraId="3184150F" w14:textId="77777777" w:rsidR="007303EE" w:rsidRPr="00F5225F" w:rsidRDefault="007303EE" w:rsidP="00F5225F">
            <w:pPr>
              <w:pStyle w:val="TableSubheading"/>
              <w:spacing w:before="0" w:after="0"/>
              <w:rPr>
                <w:rFonts w:asciiTheme="minorHAnsi" w:hAnsiTheme="minorHAnsi"/>
                <w:spacing w:val="-4"/>
              </w:rPr>
            </w:pPr>
            <w:r w:rsidRPr="00F5225F">
              <w:rPr>
                <w:rFonts w:asciiTheme="minorHAnsi" w:hAnsiTheme="minorHAnsi"/>
                <w:spacing w:val="-4"/>
              </w:rPr>
              <w:t>Native Hawaiian or Other Pacific Islander</w:t>
            </w:r>
          </w:p>
        </w:tc>
        <w:tc>
          <w:tcPr>
            <w:tcW w:w="347" w:type="pct"/>
            <w:vAlign w:val="center"/>
          </w:tcPr>
          <w:p w14:paraId="3328ADC7" w14:textId="3876F78D" w:rsidR="007303EE" w:rsidRPr="00797379" w:rsidRDefault="000B5510" w:rsidP="00F5225F">
            <w:pPr>
              <w:pStyle w:val="TableTextCentered"/>
              <w:spacing w:before="0" w:after="0"/>
            </w:pPr>
            <w:r>
              <w:t>N/A</w:t>
            </w:r>
          </w:p>
        </w:tc>
        <w:tc>
          <w:tcPr>
            <w:tcW w:w="289" w:type="pct"/>
            <w:vAlign w:val="center"/>
          </w:tcPr>
          <w:p w14:paraId="3A9F7027" w14:textId="722D6F59" w:rsidR="007303EE" w:rsidRPr="00797379" w:rsidRDefault="000B5510" w:rsidP="00F5225F">
            <w:pPr>
              <w:pStyle w:val="TableTextCentered"/>
              <w:spacing w:before="0" w:after="0"/>
            </w:pPr>
            <w:r>
              <w:t>N/A</w:t>
            </w:r>
          </w:p>
        </w:tc>
        <w:tc>
          <w:tcPr>
            <w:tcW w:w="289" w:type="pct"/>
            <w:vAlign w:val="center"/>
          </w:tcPr>
          <w:p w14:paraId="119E5F3D" w14:textId="5B0DA16F" w:rsidR="007303EE" w:rsidRPr="00797379" w:rsidRDefault="000B5510" w:rsidP="00F5225F">
            <w:pPr>
              <w:pStyle w:val="TableTextCentered"/>
              <w:spacing w:before="0" w:after="0"/>
            </w:pPr>
            <w:r>
              <w:t>N/A</w:t>
            </w:r>
          </w:p>
        </w:tc>
        <w:tc>
          <w:tcPr>
            <w:tcW w:w="290" w:type="pct"/>
            <w:vAlign w:val="center"/>
          </w:tcPr>
          <w:p w14:paraId="03B85D30" w14:textId="02C1666C" w:rsidR="007303EE" w:rsidRPr="00797379" w:rsidRDefault="000B5510" w:rsidP="00F5225F">
            <w:pPr>
              <w:pStyle w:val="TableTextCentered"/>
              <w:spacing w:before="0" w:after="0"/>
            </w:pPr>
            <w:r>
              <w:t>N/A</w:t>
            </w:r>
          </w:p>
        </w:tc>
        <w:tc>
          <w:tcPr>
            <w:tcW w:w="289" w:type="pct"/>
            <w:vAlign w:val="center"/>
          </w:tcPr>
          <w:p w14:paraId="52DBAC7D" w14:textId="77777777" w:rsidR="007303EE" w:rsidRPr="00797379" w:rsidRDefault="007303EE" w:rsidP="00F5225F">
            <w:pPr>
              <w:pStyle w:val="TableTextCentered"/>
              <w:spacing w:before="0" w:after="0"/>
            </w:pPr>
            <w:r w:rsidRPr="00797379">
              <w:t>36</w:t>
            </w:r>
          </w:p>
        </w:tc>
        <w:tc>
          <w:tcPr>
            <w:tcW w:w="290" w:type="pct"/>
            <w:vAlign w:val="center"/>
          </w:tcPr>
          <w:p w14:paraId="50751E23" w14:textId="4CCECB78" w:rsidR="007303EE" w:rsidRPr="00797379" w:rsidRDefault="000B5510" w:rsidP="00F5225F">
            <w:pPr>
              <w:pStyle w:val="TableTextCentered"/>
              <w:spacing w:before="0" w:after="0"/>
            </w:pPr>
            <w:r>
              <w:t>N/A</w:t>
            </w:r>
          </w:p>
        </w:tc>
        <w:tc>
          <w:tcPr>
            <w:tcW w:w="289" w:type="pct"/>
            <w:vAlign w:val="center"/>
          </w:tcPr>
          <w:p w14:paraId="3811FFAE" w14:textId="788733DB" w:rsidR="007303EE" w:rsidRPr="00797379" w:rsidRDefault="000B5510" w:rsidP="00F5225F">
            <w:pPr>
              <w:pStyle w:val="TableTextCentered"/>
              <w:spacing w:before="0" w:after="0"/>
            </w:pPr>
            <w:r>
              <w:t>N/A</w:t>
            </w:r>
          </w:p>
        </w:tc>
        <w:tc>
          <w:tcPr>
            <w:tcW w:w="289" w:type="pct"/>
            <w:vAlign w:val="center"/>
          </w:tcPr>
          <w:p w14:paraId="258A7D52" w14:textId="450DE055" w:rsidR="007303EE" w:rsidRPr="00797379" w:rsidRDefault="000B5510" w:rsidP="00F5225F">
            <w:pPr>
              <w:pStyle w:val="TableTextCentered"/>
              <w:spacing w:before="0" w:after="0"/>
            </w:pPr>
            <w:r>
              <w:t>N/A</w:t>
            </w:r>
          </w:p>
        </w:tc>
        <w:tc>
          <w:tcPr>
            <w:tcW w:w="290" w:type="pct"/>
            <w:vAlign w:val="center"/>
          </w:tcPr>
          <w:p w14:paraId="4CF674BA" w14:textId="77777777" w:rsidR="007303EE" w:rsidRPr="00797379" w:rsidRDefault="007303EE" w:rsidP="00F5225F">
            <w:pPr>
              <w:pStyle w:val="TableTextCentered"/>
              <w:spacing w:before="0" w:after="0"/>
            </w:pPr>
            <w:r w:rsidRPr="00797379">
              <w:t>41</w:t>
            </w:r>
          </w:p>
        </w:tc>
        <w:tc>
          <w:tcPr>
            <w:tcW w:w="289" w:type="pct"/>
            <w:vAlign w:val="center"/>
          </w:tcPr>
          <w:p w14:paraId="25E8D76B" w14:textId="554A8A88" w:rsidR="007303EE" w:rsidRPr="00797379" w:rsidRDefault="000B5510" w:rsidP="00F5225F">
            <w:pPr>
              <w:pStyle w:val="TableTextCentered"/>
              <w:spacing w:before="0" w:after="0"/>
            </w:pPr>
            <w:r>
              <w:t>N/A</w:t>
            </w:r>
          </w:p>
        </w:tc>
        <w:tc>
          <w:tcPr>
            <w:tcW w:w="290" w:type="pct"/>
            <w:vAlign w:val="center"/>
          </w:tcPr>
          <w:p w14:paraId="709CE129" w14:textId="5E0D609F" w:rsidR="007303EE" w:rsidRPr="00797379" w:rsidRDefault="000B5510" w:rsidP="00F5225F">
            <w:pPr>
              <w:pStyle w:val="TableTextCentered"/>
              <w:spacing w:before="0" w:after="0"/>
            </w:pPr>
            <w:r>
              <w:t>N/A</w:t>
            </w:r>
          </w:p>
        </w:tc>
        <w:tc>
          <w:tcPr>
            <w:tcW w:w="289" w:type="pct"/>
            <w:vAlign w:val="center"/>
          </w:tcPr>
          <w:p w14:paraId="4D76D210" w14:textId="43624926" w:rsidR="007303EE" w:rsidRPr="00797379" w:rsidRDefault="000B5510" w:rsidP="00F5225F">
            <w:pPr>
              <w:pStyle w:val="TableTextCentered"/>
              <w:spacing w:before="0" w:after="0"/>
            </w:pPr>
            <w:r>
              <w:t>N/A</w:t>
            </w:r>
          </w:p>
        </w:tc>
        <w:tc>
          <w:tcPr>
            <w:tcW w:w="290" w:type="pct"/>
            <w:vAlign w:val="center"/>
          </w:tcPr>
          <w:p w14:paraId="62658681" w14:textId="77777777" w:rsidR="007303EE" w:rsidRPr="00797379" w:rsidRDefault="007303EE" w:rsidP="00F5225F">
            <w:pPr>
              <w:pStyle w:val="TableTextCentered"/>
              <w:spacing w:before="0" w:after="0"/>
            </w:pPr>
            <w:r w:rsidRPr="00797379">
              <w:t>23</w:t>
            </w:r>
          </w:p>
        </w:tc>
      </w:tr>
      <w:tr w:rsidR="007303EE" w:rsidRPr="00797379" w14:paraId="6EC98521" w14:textId="77777777" w:rsidTr="000B5510">
        <w:tc>
          <w:tcPr>
            <w:tcW w:w="1179" w:type="pct"/>
          </w:tcPr>
          <w:p w14:paraId="6D398C96" w14:textId="77777777" w:rsidR="007303EE" w:rsidRPr="00F5225F" w:rsidRDefault="007303EE" w:rsidP="00F5225F">
            <w:pPr>
              <w:pStyle w:val="TableSubheading"/>
              <w:spacing w:before="0" w:after="0"/>
              <w:rPr>
                <w:rFonts w:asciiTheme="minorHAnsi" w:hAnsiTheme="minorHAnsi"/>
              </w:rPr>
            </w:pPr>
            <w:r w:rsidRPr="00F5225F">
              <w:rPr>
                <w:rFonts w:asciiTheme="minorHAnsi" w:hAnsiTheme="minorHAnsi"/>
              </w:rPr>
              <w:t>White</w:t>
            </w:r>
          </w:p>
        </w:tc>
        <w:tc>
          <w:tcPr>
            <w:tcW w:w="347" w:type="pct"/>
            <w:vAlign w:val="center"/>
          </w:tcPr>
          <w:p w14:paraId="53D33B6B" w14:textId="77777777" w:rsidR="007303EE" w:rsidRPr="00797379" w:rsidRDefault="007303EE" w:rsidP="00F5225F">
            <w:pPr>
              <w:pStyle w:val="TableTextCentered"/>
              <w:spacing w:before="0" w:after="0"/>
            </w:pPr>
            <w:r w:rsidRPr="00797379">
              <w:t>1,340</w:t>
            </w:r>
          </w:p>
        </w:tc>
        <w:tc>
          <w:tcPr>
            <w:tcW w:w="289" w:type="pct"/>
            <w:vAlign w:val="center"/>
          </w:tcPr>
          <w:p w14:paraId="699B6B7C" w14:textId="77777777" w:rsidR="007303EE" w:rsidRPr="00797379" w:rsidRDefault="007303EE" w:rsidP="00F5225F">
            <w:pPr>
              <w:pStyle w:val="TableTextCentered"/>
              <w:spacing w:before="0" w:after="0"/>
            </w:pPr>
            <w:r w:rsidRPr="00797379">
              <w:t>66</w:t>
            </w:r>
          </w:p>
        </w:tc>
        <w:tc>
          <w:tcPr>
            <w:tcW w:w="289" w:type="pct"/>
            <w:vAlign w:val="center"/>
          </w:tcPr>
          <w:p w14:paraId="0A77584E" w14:textId="77777777" w:rsidR="007303EE" w:rsidRPr="00797379" w:rsidRDefault="007303EE" w:rsidP="00F5225F">
            <w:pPr>
              <w:pStyle w:val="TableTextCentered"/>
              <w:spacing w:before="0" w:after="0"/>
            </w:pPr>
            <w:r w:rsidRPr="00797379">
              <w:t>69</w:t>
            </w:r>
          </w:p>
        </w:tc>
        <w:tc>
          <w:tcPr>
            <w:tcW w:w="290" w:type="pct"/>
            <w:vAlign w:val="center"/>
          </w:tcPr>
          <w:p w14:paraId="1F835D2A" w14:textId="77777777" w:rsidR="007303EE" w:rsidRPr="00797379" w:rsidRDefault="007303EE" w:rsidP="00F5225F">
            <w:pPr>
              <w:pStyle w:val="TableTextCentered"/>
              <w:spacing w:before="0" w:after="0"/>
            </w:pPr>
            <w:r w:rsidRPr="00797379">
              <w:t>70</w:t>
            </w:r>
          </w:p>
        </w:tc>
        <w:tc>
          <w:tcPr>
            <w:tcW w:w="289" w:type="pct"/>
            <w:vAlign w:val="center"/>
          </w:tcPr>
          <w:p w14:paraId="0D99C9E9" w14:textId="77777777" w:rsidR="007303EE" w:rsidRPr="00797379" w:rsidRDefault="007303EE" w:rsidP="00F5225F">
            <w:pPr>
              <w:pStyle w:val="TableTextCentered"/>
              <w:spacing w:before="0" w:after="0"/>
            </w:pPr>
            <w:r w:rsidRPr="00797379">
              <w:t>49</w:t>
            </w:r>
          </w:p>
        </w:tc>
        <w:tc>
          <w:tcPr>
            <w:tcW w:w="290" w:type="pct"/>
            <w:vAlign w:val="center"/>
          </w:tcPr>
          <w:p w14:paraId="5FE3A537" w14:textId="77777777" w:rsidR="007303EE" w:rsidRPr="00797379" w:rsidRDefault="007303EE" w:rsidP="00F5225F">
            <w:pPr>
              <w:pStyle w:val="TableTextCentered"/>
              <w:spacing w:before="0" w:after="0"/>
            </w:pPr>
            <w:r w:rsidRPr="00797379">
              <w:t>29</w:t>
            </w:r>
          </w:p>
        </w:tc>
        <w:tc>
          <w:tcPr>
            <w:tcW w:w="289" w:type="pct"/>
            <w:vAlign w:val="center"/>
          </w:tcPr>
          <w:p w14:paraId="3B462A50" w14:textId="77777777" w:rsidR="007303EE" w:rsidRPr="00797379" w:rsidRDefault="007303EE" w:rsidP="00F5225F">
            <w:pPr>
              <w:pStyle w:val="TableTextCentered"/>
              <w:spacing w:before="0" w:after="0"/>
            </w:pPr>
            <w:r w:rsidRPr="00797379">
              <w:t>27</w:t>
            </w:r>
          </w:p>
        </w:tc>
        <w:tc>
          <w:tcPr>
            <w:tcW w:w="289" w:type="pct"/>
            <w:vAlign w:val="center"/>
          </w:tcPr>
          <w:p w14:paraId="0DD21828" w14:textId="77777777" w:rsidR="007303EE" w:rsidRPr="00797379" w:rsidRDefault="007303EE" w:rsidP="00F5225F">
            <w:pPr>
              <w:pStyle w:val="TableTextCentered"/>
              <w:spacing w:before="0" w:after="0"/>
            </w:pPr>
            <w:r w:rsidRPr="00797379">
              <w:t>26</w:t>
            </w:r>
          </w:p>
        </w:tc>
        <w:tc>
          <w:tcPr>
            <w:tcW w:w="290" w:type="pct"/>
            <w:vAlign w:val="center"/>
          </w:tcPr>
          <w:p w14:paraId="4FF568E2" w14:textId="77777777" w:rsidR="007303EE" w:rsidRPr="00797379" w:rsidRDefault="007303EE" w:rsidP="00F5225F">
            <w:pPr>
              <w:pStyle w:val="TableTextCentered"/>
              <w:spacing w:before="0" w:after="0"/>
            </w:pPr>
            <w:r w:rsidRPr="00797379">
              <w:t>39</w:t>
            </w:r>
          </w:p>
        </w:tc>
        <w:tc>
          <w:tcPr>
            <w:tcW w:w="289" w:type="pct"/>
            <w:vAlign w:val="center"/>
          </w:tcPr>
          <w:p w14:paraId="14C58257" w14:textId="77777777" w:rsidR="007303EE" w:rsidRPr="00797379" w:rsidRDefault="007303EE" w:rsidP="00F5225F">
            <w:pPr>
              <w:pStyle w:val="TableTextCentered"/>
              <w:spacing w:before="0" w:after="0"/>
            </w:pPr>
            <w:r w:rsidRPr="00797379">
              <w:t>5</w:t>
            </w:r>
          </w:p>
        </w:tc>
        <w:tc>
          <w:tcPr>
            <w:tcW w:w="290" w:type="pct"/>
            <w:vAlign w:val="center"/>
          </w:tcPr>
          <w:p w14:paraId="78260E15" w14:textId="77777777" w:rsidR="007303EE" w:rsidRPr="00797379" w:rsidRDefault="007303EE" w:rsidP="00F5225F">
            <w:pPr>
              <w:pStyle w:val="TableTextCentered"/>
              <w:spacing w:before="0" w:after="0"/>
            </w:pPr>
            <w:r w:rsidRPr="00797379">
              <w:t>4</w:t>
            </w:r>
          </w:p>
        </w:tc>
        <w:tc>
          <w:tcPr>
            <w:tcW w:w="289" w:type="pct"/>
            <w:vAlign w:val="center"/>
          </w:tcPr>
          <w:p w14:paraId="66F72A98" w14:textId="77777777" w:rsidR="007303EE" w:rsidRPr="00797379" w:rsidRDefault="007303EE" w:rsidP="00F5225F">
            <w:pPr>
              <w:pStyle w:val="TableTextCentered"/>
              <w:spacing w:before="0" w:after="0"/>
            </w:pPr>
            <w:r w:rsidRPr="00797379">
              <w:t>4</w:t>
            </w:r>
          </w:p>
        </w:tc>
        <w:tc>
          <w:tcPr>
            <w:tcW w:w="290" w:type="pct"/>
            <w:vAlign w:val="center"/>
          </w:tcPr>
          <w:p w14:paraId="332A09DF" w14:textId="77777777" w:rsidR="007303EE" w:rsidRPr="00797379" w:rsidRDefault="007303EE" w:rsidP="00F5225F">
            <w:pPr>
              <w:pStyle w:val="TableTextCentered"/>
              <w:spacing w:before="0" w:after="0"/>
            </w:pPr>
            <w:r w:rsidRPr="00797379">
              <w:t>12</w:t>
            </w:r>
          </w:p>
        </w:tc>
      </w:tr>
      <w:tr w:rsidR="007303EE" w:rsidRPr="00797379" w14:paraId="433DE32B" w14:textId="77777777" w:rsidTr="000B5510">
        <w:trPr>
          <w:cnfStyle w:val="000000100000" w:firstRow="0" w:lastRow="0" w:firstColumn="0" w:lastColumn="0" w:oddVBand="0" w:evenVBand="0" w:oddHBand="1" w:evenHBand="0" w:firstRowFirstColumn="0" w:firstRowLastColumn="0" w:lastRowFirstColumn="0" w:lastRowLastColumn="0"/>
        </w:trPr>
        <w:tc>
          <w:tcPr>
            <w:tcW w:w="1179" w:type="pct"/>
          </w:tcPr>
          <w:p w14:paraId="44052A04" w14:textId="77777777" w:rsidR="007303EE" w:rsidRPr="00F5225F" w:rsidRDefault="007303EE" w:rsidP="00F5225F">
            <w:pPr>
              <w:pStyle w:val="TableSubheading"/>
              <w:spacing w:before="0" w:after="0"/>
              <w:rPr>
                <w:rFonts w:asciiTheme="minorHAnsi" w:hAnsiTheme="minorHAnsi"/>
              </w:rPr>
            </w:pPr>
            <w:r w:rsidRPr="00F5225F">
              <w:rPr>
                <w:rFonts w:asciiTheme="minorHAnsi" w:hAnsiTheme="minorHAnsi"/>
              </w:rPr>
              <w:t>High Needs</w:t>
            </w:r>
          </w:p>
        </w:tc>
        <w:tc>
          <w:tcPr>
            <w:tcW w:w="347" w:type="pct"/>
            <w:vAlign w:val="center"/>
          </w:tcPr>
          <w:p w14:paraId="1529AC01" w14:textId="77777777" w:rsidR="007303EE" w:rsidRPr="00797379" w:rsidRDefault="007303EE" w:rsidP="00F5225F">
            <w:pPr>
              <w:pStyle w:val="TableTextCentered"/>
              <w:spacing w:before="0" w:after="0"/>
            </w:pPr>
            <w:r w:rsidRPr="00797379">
              <w:t>654</w:t>
            </w:r>
          </w:p>
        </w:tc>
        <w:tc>
          <w:tcPr>
            <w:tcW w:w="289" w:type="pct"/>
            <w:vAlign w:val="center"/>
          </w:tcPr>
          <w:p w14:paraId="7AB85FF3" w14:textId="77777777" w:rsidR="007303EE" w:rsidRPr="00797379" w:rsidRDefault="007303EE" w:rsidP="00F5225F">
            <w:pPr>
              <w:pStyle w:val="TableTextCentered"/>
              <w:spacing w:before="0" w:after="0"/>
            </w:pPr>
            <w:r w:rsidRPr="00797379">
              <w:t>44</w:t>
            </w:r>
          </w:p>
        </w:tc>
        <w:tc>
          <w:tcPr>
            <w:tcW w:w="289" w:type="pct"/>
            <w:vAlign w:val="center"/>
          </w:tcPr>
          <w:p w14:paraId="0E45F952" w14:textId="77777777" w:rsidR="007303EE" w:rsidRPr="00797379" w:rsidRDefault="007303EE" w:rsidP="00F5225F">
            <w:pPr>
              <w:pStyle w:val="TableTextCentered"/>
              <w:spacing w:before="0" w:after="0"/>
            </w:pPr>
            <w:r w:rsidRPr="00797379">
              <w:t>48</w:t>
            </w:r>
          </w:p>
        </w:tc>
        <w:tc>
          <w:tcPr>
            <w:tcW w:w="290" w:type="pct"/>
            <w:vAlign w:val="center"/>
          </w:tcPr>
          <w:p w14:paraId="2D7A8500" w14:textId="77777777" w:rsidR="007303EE" w:rsidRPr="00797379" w:rsidRDefault="007303EE" w:rsidP="00F5225F">
            <w:pPr>
              <w:pStyle w:val="TableTextCentered"/>
              <w:spacing w:before="0" w:after="0"/>
            </w:pPr>
            <w:r w:rsidRPr="00797379">
              <w:t>48</w:t>
            </w:r>
          </w:p>
        </w:tc>
        <w:tc>
          <w:tcPr>
            <w:tcW w:w="289" w:type="pct"/>
            <w:vAlign w:val="center"/>
          </w:tcPr>
          <w:p w14:paraId="504D0C0B" w14:textId="77777777" w:rsidR="007303EE" w:rsidRPr="00797379" w:rsidRDefault="007303EE" w:rsidP="00F5225F">
            <w:pPr>
              <w:pStyle w:val="TableTextCentered"/>
              <w:spacing w:before="0" w:after="0"/>
            </w:pPr>
            <w:r w:rsidRPr="00797379">
              <w:t>23</w:t>
            </w:r>
          </w:p>
        </w:tc>
        <w:tc>
          <w:tcPr>
            <w:tcW w:w="290" w:type="pct"/>
            <w:vAlign w:val="center"/>
          </w:tcPr>
          <w:p w14:paraId="36D3E0EE" w14:textId="77777777" w:rsidR="007303EE" w:rsidRPr="00797379" w:rsidRDefault="007303EE" w:rsidP="00F5225F">
            <w:pPr>
              <w:pStyle w:val="TableTextCentered"/>
              <w:spacing w:before="0" w:after="0"/>
            </w:pPr>
            <w:r w:rsidRPr="00797379">
              <w:t>42</w:t>
            </w:r>
          </w:p>
        </w:tc>
        <w:tc>
          <w:tcPr>
            <w:tcW w:w="289" w:type="pct"/>
            <w:vAlign w:val="center"/>
          </w:tcPr>
          <w:p w14:paraId="7968E99E" w14:textId="77777777" w:rsidR="007303EE" w:rsidRPr="00797379" w:rsidRDefault="007303EE" w:rsidP="00F5225F">
            <w:pPr>
              <w:pStyle w:val="TableTextCentered"/>
              <w:spacing w:before="0" w:after="0"/>
            </w:pPr>
            <w:r w:rsidRPr="00797379">
              <w:t>41</w:t>
            </w:r>
          </w:p>
        </w:tc>
        <w:tc>
          <w:tcPr>
            <w:tcW w:w="289" w:type="pct"/>
            <w:vAlign w:val="center"/>
          </w:tcPr>
          <w:p w14:paraId="48D74676" w14:textId="77777777" w:rsidR="007303EE" w:rsidRPr="00797379" w:rsidRDefault="007303EE" w:rsidP="00F5225F">
            <w:pPr>
              <w:pStyle w:val="TableTextCentered"/>
              <w:spacing w:before="0" w:after="0"/>
            </w:pPr>
            <w:r w:rsidRPr="00797379">
              <w:t>41</w:t>
            </w:r>
          </w:p>
        </w:tc>
        <w:tc>
          <w:tcPr>
            <w:tcW w:w="290" w:type="pct"/>
            <w:vAlign w:val="center"/>
          </w:tcPr>
          <w:p w14:paraId="05B704A6" w14:textId="77777777" w:rsidR="007303EE" w:rsidRPr="00797379" w:rsidRDefault="007303EE" w:rsidP="00F5225F">
            <w:pPr>
              <w:pStyle w:val="TableTextCentered"/>
              <w:spacing w:before="0" w:after="0"/>
            </w:pPr>
            <w:r w:rsidRPr="00797379">
              <w:t>47</w:t>
            </w:r>
          </w:p>
        </w:tc>
        <w:tc>
          <w:tcPr>
            <w:tcW w:w="289" w:type="pct"/>
            <w:vAlign w:val="center"/>
          </w:tcPr>
          <w:p w14:paraId="5939F75F" w14:textId="77777777" w:rsidR="007303EE" w:rsidRPr="00797379" w:rsidRDefault="007303EE" w:rsidP="00F5225F">
            <w:pPr>
              <w:pStyle w:val="TableTextCentered"/>
              <w:spacing w:before="0" w:after="0"/>
            </w:pPr>
            <w:r w:rsidRPr="00797379">
              <w:t>14</w:t>
            </w:r>
          </w:p>
        </w:tc>
        <w:tc>
          <w:tcPr>
            <w:tcW w:w="290" w:type="pct"/>
            <w:vAlign w:val="center"/>
          </w:tcPr>
          <w:p w14:paraId="1FD3D1A7" w14:textId="77777777" w:rsidR="007303EE" w:rsidRPr="00797379" w:rsidRDefault="007303EE" w:rsidP="00F5225F">
            <w:pPr>
              <w:pStyle w:val="TableTextCentered"/>
              <w:spacing w:before="0" w:after="0"/>
            </w:pPr>
            <w:r w:rsidRPr="00797379">
              <w:t>11</w:t>
            </w:r>
          </w:p>
        </w:tc>
        <w:tc>
          <w:tcPr>
            <w:tcW w:w="289" w:type="pct"/>
            <w:vAlign w:val="center"/>
          </w:tcPr>
          <w:p w14:paraId="1C1EBADA" w14:textId="77777777" w:rsidR="007303EE" w:rsidRPr="00797379" w:rsidRDefault="007303EE" w:rsidP="00F5225F">
            <w:pPr>
              <w:pStyle w:val="TableTextCentered"/>
              <w:spacing w:before="0" w:after="0"/>
            </w:pPr>
            <w:r w:rsidRPr="00797379">
              <w:t>12</w:t>
            </w:r>
          </w:p>
        </w:tc>
        <w:tc>
          <w:tcPr>
            <w:tcW w:w="290" w:type="pct"/>
            <w:vAlign w:val="center"/>
          </w:tcPr>
          <w:p w14:paraId="61F30619" w14:textId="77777777" w:rsidR="007303EE" w:rsidRPr="00797379" w:rsidRDefault="007303EE" w:rsidP="00F5225F">
            <w:pPr>
              <w:pStyle w:val="TableTextCentered"/>
              <w:spacing w:before="0" w:after="0"/>
            </w:pPr>
            <w:r w:rsidRPr="00797379">
              <w:t>30</w:t>
            </w:r>
          </w:p>
        </w:tc>
      </w:tr>
      <w:tr w:rsidR="007303EE" w:rsidRPr="00797379" w14:paraId="00086A2D" w14:textId="77777777" w:rsidTr="000B5510">
        <w:tc>
          <w:tcPr>
            <w:tcW w:w="1179" w:type="pct"/>
          </w:tcPr>
          <w:p w14:paraId="3840CCA7" w14:textId="77777777" w:rsidR="007303EE" w:rsidRPr="00F5225F" w:rsidRDefault="007303EE" w:rsidP="00F5225F">
            <w:pPr>
              <w:pStyle w:val="TableSubheading"/>
              <w:spacing w:before="0" w:after="0"/>
              <w:rPr>
                <w:rFonts w:asciiTheme="minorHAnsi" w:hAnsiTheme="minorHAnsi"/>
              </w:rPr>
            </w:pPr>
            <w:r w:rsidRPr="00F5225F">
              <w:rPr>
                <w:rFonts w:asciiTheme="minorHAnsi" w:hAnsiTheme="minorHAnsi"/>
              </w:rPr>
              <w:t>English Learners</w:t>
            </w:r>
          </w:p>
        </w:tc>
        <w:tc>
          <w:tcPr>
            <w:tcW w:w="347" w:type="pct"/>
            <w:vAlign w:val="center"/>
          </w:tcPr>
          <w:p w14:paraId="28F7E8F4" w14:textId="77777777" w:rsidR="007303EE" w:rsidRPr="00797379" w:rsidRDefault="007303EE" w:rsidP="00F5225F">
            <w:pPr>
              <w:pStyle w:val="TableTextCentered"/>
              <w:spacing w:before="0" w:after="0"/>
            </w:pPr>
            <w:r w:rsidRPr="00797379">
              <w:t>184</w:t>
            </w:r>
          </w:p>
        </w:tc>
        <w:tc>
          <w:tcPr>
            <w:tcW w:w="289" w:type="pct"/>
            <w:vAlign w:val="center"/>
          </w:tcPr>
          <w:p w14:paraId="49B09AA7" w14:textId="77777777" w:rsidR="007303EE" w:rsidRPr="00797379" w:rsidRDefault="007303EE" w:rsidP="00F5225F">
            <w:pPr>
              <w:pStyle w:val="TableTextCentered"/>
              <w:spacing w:before="0" w:after="0"/>
            </w:pPr>
            <w:r w:rsidRPr="00797379">
              <w:t>64</w:t>
            </w:r>
          </w:p>
        </w:tc>
        <w:tc>
          <w:tcPr>
            <w:tcW w:w="289" w:type="pct"/>
            <w:vAlign w:val="center"/>
          </w:tcPr>
          <w:p w14:paraId="1729D37C" w14:textId="77777777" w:rsidR="007303EE" w:rsidRPr="00797379" w:rsidRDefault="007303EE" w:rsidP="00F5225F">
            <w:pPr>
              <w:pStyle w:val="TableTextCentered"/>
              <w:spacing w:before="0" w:after="0"/>
            </w:pPr>
            <w:r w:rsidRPr="00797379">
              <w:t>67</w:t>
            </w:r>
          </w:p>
        </w:tc>
        <w:tc>
          <w:tcPr>
            <w:tcW w:w="290" w:type="pct"/>
            <w:vAlign w:val="center"/>
          </w:tcPr>
          <w:p w14:paraId="3AA2F538" w14:textId="77777777" w:rsidR="007303EE" w:rsidRPr="00797379" w:rsidRDefault="007303EE" w:rsidP="00F5225F">
            <w:pPr>
              <w:pStyle w:val="TableTextCentered"/>
              <w:spacing w:before="0" w:after="0"/>
            </w:pPr>
            <w:r w:rsidRPr="00797379">
              <w:t>65</w:t>
            </w:r>
          </w:p>
        </w:tc>
        <w:tc>
          <w:tcPr>
            <w:tcW w:w="289" w:type="pct"/>
            <w:vAlign w:val="center"/>
          </w:tcPr>
          <w:p w14:paraId="18A62F87" w14:textId="77777777" w:rsidR="007303EE" w:rsidRPr="00797379" w:rsidRDefault="007303EE" w:rsidP="00F5225F">
            <w:pPr>
              <w:pStyle w:val="TableTextCentered"/>
              <w:spacing w:before="0" w:after="0"/>
            </w:pPr>
            <w:r w:rsidRPr="00797379">
              <w:t>22</w:t>
            </w:r>
          </w:p>
        </w:tc>
        <w:tc>
          <w:tcPr>
            <w:tcW w:w="290" w:type="pct"/>
            <w:vAlign w:val="center"/>
          </w:tcPr>
          <w:p w14:paraId="3A79FAC7" w14:textId="77777777" w:rsidR="007303EE" w:rsidRPr="00797379" w:rsidRDefault="007303EE" w:rsidP="00F5225F">
            <w:pPr>
              <w:pStyle w:val="TableTextCentered"/>
              <w:spacing w:before="0" w:after="0"/>
            </w:pPr>
            <w:r w:rsidRPr="00797379">
              <w:t>31</w:t>
            </w:r>
          </w:p>
        </w:tc>
        <w:tc>
          <w:tcPr>
            <w:tcW w:w="289" w:type="pct"/>
            <w:vAlign w:val="center"/>
          </w:tcPr>
          <w:p w14:paraId="749668A0" w14:textId="77777777" w:rsidR="007303EE" w:rsidRPr="00797379" w:rsidRDefault="007303EE" w:rsidP="00F5225F">
            <w:pPr>
              <w:pStyle w:val="TableTextCentered"/>
              <w:spacing w:before="0" w:after="0"/>
            </w:pPr>
            <w:r w:rsidRPr="00797379">
              <w:t>25</w:t>
            </w:r>
          </w:p>
        </w:tc>
        <w:tc>
          <w:tcPr>
            <w:tcW w:w="289" w:type="pct"/>
            <w:vAlign w:val="center"/>
          </w:tcPr>
          <w:p w14:paraId="4938B524" w14:textId="77777777" w:rsidR="007303EE" w:rsidRPr="00797379" w:rsidRDefault="007303EE" w:rsidP="00F5225F">
            <w:pPr>
              <w:pStyle w:val="TableTextCentered"/>
              <w:spacing w:before="0" w:after="0"/>
            </w:pPr>
            <w:r w:rsidRPr="00797379">
              <w:t>28</w:t>
            </w:r>
          </w:p>
        </w:tc>
        <w:tc>
          <w:tcPr>
            <w:tcW w:w="290" w:type="pct"/>
            <w:vAlign w:val="center"/>
          </w:tcPr>
          <w:p w14:paraId="1F89F907" w14:textId="77777777" w:rsidR="007303EE" w:rsidRPr="00797379" w:rsidRDefault="007303EE" w:rsidP="00F5225F">
            <w:pPr>
              <w:pStyle w:val="TableTextCentered"/>
              <w:spacing w:before="0" w:after="0"/>
            </w:pPr>
            <w:r w:rsidRPr="00797379">
              <w:t>44</w:t>
            </w:r>
          </w:p>
        </w:tc>
        <w:tc>
          <w:tcPr>
            <w:tcW w:w="289" w:type="pct"/>
            <w:vAlign w:val="center"/>
          </w:tcPr>
          <w:p w14:paraId="0B2337F2" w14:textId="77777777" w:rsidR="007303EE" w:rsidRPr="00797379" w:rsidRDefault="007303EE" w:rsidP="00F5225F">
            <w:pPr>
              <w:pStyle w:val="TableTextCentered"/>
              <w:spacing w:before="0" w:after="0"/>
            </w:pPr>
            <w:r w:rsidRPr="00797379">
              <w:t>5</w:t>
            </w:r>
          </w:p>
        </w:tc>
        <w:tc>
          <w:tcPr>
            <w:tcW w:w="290" w:type="pct"/>
            <w:vAlign w:val="center"/>
          </w:tcPr>
          <w:p w14:paraId="6125ED71" w14:textId="77777777" w:rsidR="007303EE" w:rsidRPr="00797379" w:rsidRDefault="007303EE" w:rsidP="00F5225F">
            <w:pPr>
              <w:pStyle w:val="TableTextCentered"/>
              <w:spacing w:before="0" w:after="0"/>
            </w:pPr>
            <w:r w:rsidRPr="00797379">
              <w:t>8</w:t>
            </w:r>
          </w:p>
        </w:tc>
        <w:tc>
          <w:tcPr>
            <w:tcW w:w="289" w:type="pct"/>
            <w:vAlign w:val="center"/>
          </w:tcPr>
          <w:p w14:paraId="0713008A" w14:textId="77777777" w:rsidR="007303EE" w:rsidRPr="00797379" w:rsidRDefault="007303EE" w:rsidP="00F5225F">
            <w:pPr>
              <w:pStyle w:val="TableTextCentered"/>
              <w:spacing w:before="0" w:after="0"/>
            </w:pPr>
            <w:r w:rsidRPr="00797379">
              <w:t>8</w:t>
            </w:r>
          </w:p>
        </w:tc>
        <w:tc>
          <w:tcPr>
            <w:tcW w:w="290" w:type="pct"/>
            <w:vAlign w:val="center"/>
          </w:tcPr>
          <w:p w14:paraId="7F08649A" w14:textId="77777777" w:rsidR="007303EE" w:rsidRPr="00797379" w:rsidRDefault="007303EE" w:rsidP="00F5225F">
            <w:pPr>
              <w:pStyle w:val="TableTextCentered"/>
              <w:spacing w:before="0" w:after="0"/>
            </w:pPr>
            <w:r w:rsidRPr="00797379">
              <w:t>34</w:t>
            </w:r>
          </w:p>
        </w:tc>
      </w:tr>
      <w:tr w:rsidR="007303EE" w:rsidRPr="00797379" w14:paraId="03915B25" w14:textId="77777777" w:rsidTr="000B5510">
        <w:trPr>
          <w:cnfStyle w:val="000000100000" w:firstRow="0" w:lastRow="0" w:firstColumn="0" w:lastColumn="0" w:oddVBand="0" w:evenVBand="0" w:oddHBand="1" w:evenHBand="0" w:firstRowFirstColumn="0" w:firstRowLastColumn="0" w:lastRowFirstColumn="0" w:lastRowLastColumn="0"/>
        </w:trPr>
        <w:tc>
          <w:tcPr>
            <w:tcW w:w="1179" w:type="pct"/>
          </w:tcPr>
          <w:p w14:paraId="5DDDE822" w14:textId="77777777" w:rsidR="007303EE" w:rsidRPr="00F5225F" w:rsidRDefault="007303EE" w:rsidP="00F5225F">
            <w:pPr>
              <w:pStyle w:val="TableSubheading"/>
              <w:spacing w:before="0" w:after="0"/>
              <w:rPr>
                <w:rFonts w:asciiTheme="minorHAnsi" w:hAnsiTheme="minorHAnsi"/>
                <w:spacing w:val="-4"/>
              </w:rPr>
            </w:pPr>
            <w:r w:rsidRPr="00F5225F">
              <w:rPr>
                <w:rFonts w:asciiTheme="minorHAnsi" w:hAnsiTheme="minorHAnsi"/>
                <w:spacing w:val="-4"/>
              </w:rPr>
              <w:t>Low Income</w:t>
            </w:r>
          </w:p>
        </w:tc>
        <w:tc>
          <w:tcPr>
            <w:tcW w:w="347" w:type="pct"/>
            <w:vAlign w:val="center"/>
          </w:tcPr>
          <w:p w14:paraId="251F4B81" w14:textId="77777777" w:rsidR="007303EE" w:rsidRPr="00797379" w:rsidRDefault="007303EE" w:rsidP="00F5225F">
            <w:pPr>
              <w:pStyle w:val="TableTextCentered"/>
              <w:spacing w:before="0" w:after="0"/>
            </w:pPr>
            <w:r w:rsidRPr="00797379">
              <w:t>177</w:t>
            </w:r>
          </w:p>
        </w:tc>
        <w:tc>
          <w:tcPr>
            <w:tcW w:w="289" w:type="pct"/>
            <w:vAlign w:val="center"/>
          </w:tcPr>
          <w:p w14:paraId="3CA04B3C" w14:textId="77777777" w:rsidR="007303EE" w:rsidRPr="00797379" w:rsidRDefault="007303EE" w:rsidP="00F5225F">
            <w:pPr>
              <w:pStyle w:val="TableTextCentered"/>
              <w:spacing w:before="0" w:after="0"/>
            </w:pPr>
            <w:r w:rsidRPr="00797379">
              <w:t>39</w:t>
            </w:r>
          </w:p>
        </w:tc>
        <w:tc>
          <w:tcPr>
            <w:tcW w:w="289" w:type="pct"/>
            <w:vAlign w:val="center"/>
          </w:tcPr>
          <w:p w14:paraId="6C731F8D" w14:textId="77777777" w:rsidR="007303EE" w:rsidRPr="00797379" w:rsidRDefault="007303EE" w:rsidP="00F5225F">
            <w:pPr>
              <w:pStyle w:val="TableTextCentered"/>
              <w:spacing w:before="0" w:after="0"/>
            </w:pPr>
            <w:r w:rsidRPr="00797379">
              <w:t>47</w:t>
            </w:r>
          </w:p>
        </w:tc>
        <w:tc>
          <w:tcPr>
            <w:tcW w:w="290" w:type="pct"/>
            <w:vAlign w:val="center"/>
          </w:tcPr>
          <w:p w14:paraId="178E4D80" w14:textId="77777777" w:rsidR="007303EE" w:rsidRPr="00797379" w:rsidRDefault="007303EE" w:rsidP="00F5225F">
            <w:pPr>
              <w:pStyle w:val="TableTextCentered"/>
              <w:spacing w:before="0" w:after="0"/>
            </w:pPr>
            <w:r w:rsidRPr="00797379">
              <w:t>44</w:t>
            </w:r>
          </w:p>
        </w:tc>
        <w:tc>
          <w:tcPr>
            <w:tcW w:w="289" w:type="pct"/>
            <w:vAlign w:val="center"/>
          </w:tcPr>
          <w:p w14:paraId="493FE2EB" w14:textId="77777777" w:rsidR="007303EE" w:rsidRPr="00797379" w:rsidRDefault="007303EE" w:rsidP="00F5225F">
            <w:pPr>
              <w:pStyle w:val="TableTextCentered"/>
              <w:spacing w:before="0" w:after="0"/>
            </w:pPr>
            <w:r w:rsidRPr="00797379">
              <w:t>21</w:t>
            </w:r>
          </w:p>
        </w:tc>
        <w:tc>
          <w:tcPr>
            <w:tcW w:w="290" w:type="pct"/>
            <w:vAlign w:val="center"/>
          </w:tcPr>
          <w:p w14:paraId="32F12CC9" w14:textId="77777777" w:rsidR="007303EE" w:rsidRPr="00797379" w:rsidRDefault="007303EE" w:rsidP="00F5225F">
            <w:pPr>
              <w:pStyle w:val="TableTextCentered"/>
              <w:spacing w:before="0" w:after="0"/>
            </w:pPr>
            <w:r w:rsidRPr="00797379">
              <w:t>47</w:t>
            </w:r>
          </w:p>
        </w:tc>
        <w:tc>
          <w:tcPr>
            <w:tcW w:w="289" w:type="pct"/>
            <w:vAlign w:val="center"/>
          </w:tcPr>
          <w:p w14:paraId="694FE592" w14:textId="77777777" w:rsidR="007303EE" w:rsidRPr="00797379" w:rsidRDefault="007303EE" w:rsidP="00F5225F">
            <w:pPr>
              <w:pStyle w:val="TableTextCentered"/>
              <w:spacing w:before="0" w:after="0"/>
            </w:pPr>
            <w:r w:rsidRPr="00797379">
              <w:t>40</w:t>
            </w:r>
          </w:p>
        </w:tc>
        <w:tc>
          <w:tcPr>
            <w:tcW w:w="289" w:type="pct"/>
            <w:vAlign w:val="center"/>
          </w:tcPr>
          <w:p w14:paraId="392707FA" w14:textId="77777777" w:rsidR="007303EE" w:rsidRPr="00797379" w:rsidRDefault="007303EE" w:rsidP="00F5225F">
            <w:pPr>
              <w:pStyle w:val="TableTextCentered"/>
              <w:spacing w:before="0" w:after="0"/>
            </w:pPr>
            <w:r w:rsidRPr="00797379">
              <w:t>41</w:t>
            </w:r>
          </w:p>
        </w:tc>
        <w:tc>
          <w:tcPr>
            <w:tcW w:w="290" w:type="pct"/>
            <w:vAlign w:val="center"/>
          </w:tcPr>
          <w:p w14:paraId="2969D7EA" w14:textId="77777777" w:rsidR="007303EE" w:rsidRPr="00797379" w:rsidRDefault="007303EE" w:rsidP="00F5225F">
            <w:pPr>
              <w:pStyle w:val="TableTextCentered"/>
              <w:spacing w:before="0" w:after="0"/>
            </w:pPr>
            <w:r w:rsidRPr="00797379">
              <w:t>47</w:t>
            </w:r>
          </w:p>
        </w:tc>
        <w:tc>
          <w:tcPr>
            <w:tcW w:w="289" w:type="pct"/>
            <w:vAlign w:val="center"/>
          </w:tcPr>
          <w:p w14:paraId="5C8CFA88" w14:textId="77777777" w:rsidR="007303EE" w:rsidRPr="00797379" w:rsidRDefault="007303EE" w:rsidP="00F5225F">
            <w:pPr>
              <w:pStyle w:val="TableTextCentered"/>
              <w:spacing w:before="0" w:after="0"/>
            </w:pPr>
            <w:r w:rsidRPr="00797379">
              <w:t>15</w:t>
            </w:r>
          </w:p>
        </w:tc>
        <w:tc>
          <w:tcPr>
            <w:tcW w:w="290" w:type="pct"/>
            <w:vAlign w:val="center"/>
          </w:tcPr>
          <w:p w14:paraId="27741B09" w14:textId="77777777" w:rsidR="007303EE" w:rsidRPr="00797379" w:rsidRDefault="007303EE" w:rsidP="00F5225F">
            <w:pPr>
              <w:pStyle w:val="TableTextCentered"/>
              <w:spacing w:before="0" w:after="0"/>
            </w:pPr>
            <w:r w:rsidRPr="00797379">
              <w:t>13</w:t>
            </w:r>
          </w:p>
        </w:tc>
        <w:tc>
          <w:tcPr>
            <w:tcW w:w="289" w:type="pct"/>
            <w:vAlign w:val="center"/>
          </w:tcPr>
          <w:p w14:paraId="2C3DE3C4" w14:textId="77777777" w:rsidR="007303EE" w:rsidRPr="00797379" w:rsidRDefault="007303EE" w:rsidP="00F5225F">
            <w:pPr>
              <w:pStyle w:val="TableTextCentered"/>
              <w:spacing w:before="0" w:after="0"/>
            </w:pPr>
            <w:r w:rsidRPr="00797379">
              <w:t>15</w:t>
            </w:r>
          </w:p>
        </w:tc>
        <w:tc>
          <w:tcPr>
            <w:tcW w:w="290" w:type="pct"/>
            <w:vAlign w:val="center"/>
          </w:tcPr>
          <w:p w14:paraId="5D579238" w14:textId="77777777" w:rsidR="007303EE" w:rsidRPr="00797379" w:rsidRDefault="007303EE" w:rsidP="00F5225F">
            <w:pPr>
              <w:pStyle w:val="TableTextCentered"/>
              <w:spacing w:before="0" w:after="0"/>
            </w:pPr>
            <w:r w:rsidRPr="00797379">
              <w:t>32</w:t>
            </w:r>
          </w:p>
        </w:tc>
      </w:tr>
      <w:tr w:rsidR="007303EE" w:rsidRPr="00797379" w14:paraId="781FF6C5" w14:textId="77777777" w:rsidTr="000B5510">
        <w:tc>
          <w:tcPr>
            <w:tcW w:w="1179" w:type="pct"/>
          </w:tcPr>
          <w:p w14:paraId="7A624406" w14:textId="77777777" w:rsidR="007303EE" w:rsidRPr="00F5225F" w:rsidRDefault="007303EE" w:rsidP="00F5225F">
            <w:pPr>
              <w:pStyle w:val="TableSubheading"/>
              <w:spacing w:before="0" w:after="0"/>
              <w:rPr>
                <w:rFonts w:asciiTheme="minorHAnsi" w:hAnsiTheme="minorHAnsi"/>
              </w:rPr>
            </w:pPr>
            <w:r w:rsidRPr="00F5225F">
              <w:rPr>
                <w:rFonts w:asciiTheme="minorHAnsi" w:hAnsiTheme="minorHAnsi"/>
              </w:rPr>
              <w:t>Students with Disabilities</w:t>
            </w:r>
          </w:p>
        </w:tc>
        <w:tc>
          <w:tcPr>
            <w:tcW w:w="347" w:type="pct"/>
            <w:vAlign w:val="center"/>
          </w:tcPr>
          <w:p w14:paraId="26D8931E" w14:textId="77777777" w:rsidR="007303EE" w:rsidRPr="00797379" w:rsidRDefault="007303EE" w:rsidP="00F5225F">
            <w:pPr>
              <w:pStyle w:val="TableTextCentered"/>
              <w:spacing w:before="0" w:after="0"/>
            </w:pPr>
            <w:r w:rsidRPr="00797379">
              <w:t>444</w:t>
            </w:r>
          </w:p>
        </w:tc>
        <w:tc>
          <w:tcPr>
            <w:tcW w:w="289" w:type="pct"/>
            <w:vAlign w:val="center"/>
          </w:tcPr>
          <w:p w14:paraId="5D909FF7" w14:textId="77777777" w:rsidR="007303EE" w:rsidRPr="00797379" w:rsidRDefault="007303EE" w:rsidP="00F5225F">
            <w:pPr>
              <w:pStyle w:val="TableTextCentered"/>
              <w:spacing w:before="0" w:after="0"/>
            </w:pPr>
            <w:r w:rsidRPr="00797379">
              <w:t>33</w:t>
            </w:r>
          </w:p>
        </w:tc>
        <w:tc>
          <w:tcPr>
            <w:tcW w:w="289" w:type="pct"/>
            <w:vAlign w:val="center"/>
          </w:tcPr>
          <w:p w14:paraId="1055BE2B" w14:textId="77777777" w:rsidR="007303EE" w:rsidRPr="00797379" w:rsidRDefault="007303EE" w:rsidP="00F5225F">
            <w:pPr>
              <w:pStyle w:val="TableTextCentered"/>
              <w:spacing w:before="0" w:after="0"/>
            </w:pPr>
            <w:r w:rsidRPr="00797379">
              <w:t>35</w:t>
            </w:r>
          </w:p>
        </w:tc>
        <w:tc>
          <w:tcPr>
            <w:tcW w:w="290" w:type="pct"/>
            <w:vAlign w:val="center"/>
          </w:tcPr>
          <w:p w14:paraId="446D3FA1" w14:textId="77777777" w:rsidR="007303EE" w:rsidRPr="00797379" w:rsidRDefault="007303EE" w:rsidP="00F5225F">
            <w:pPr>
              <w:pStyle w:val="TableTextCentered"/>
              <w:spacing w:before="0" w:after="0"/>
            </w:pPr>
            <w:r w:rsidRPr="00797379">
              <w:t>35</w:t>
            </w:r>
          </w:p>
        </w:tc>
        <w:tc>
          <w:tcPr>
            <w:tcW w:w="289" w:type="pct"/>
            <w:vAlign w:val="center"/>
          </w:tcPr>
          <w:p w14:paraId="2E2ECC52" w14:textId="77777777" w:rsidR="007303EE" w:rsidRPr="00797379" w:rsidRDefault="007303EE" w:rsidP="00F5225F">
            <w:pPr>
              <w:pStyle w:val="TableTextCentered"/>
              <w:spacing w:before="0" w:after="0"/>
            </w:pPr>
            <w:r w:rsidRPr="00797379">
              <w:t>13</w:t>
            </w:r>
          </w:p>
        </w:tc>
        <w:tc>
          <w:tcPr>
            <w:tcW w:w="290" w:type="pct"/>
            <w:vAlign w:val="center"/>
          </w:tcPr>
          <w:p w14:paraId="54612E8B" w14:textId="77777777" w:rsidR="007303EE" w:rsidRPr="00797379" w:rsidRDefault="007303EE" w:rsidP="00F5225F">
            <w:pPr>
              <w:pStyle w:val="TableTextCentered"/>
              <w:spacing w:before="0" w:after="0"/>
            </w:pPr>
            <w:r w:rsidRPr="00797379">
              <w:t>47</w:t>
            </w:r>
          </w:p>
        </w:tc>
        <w:tc>
          <w:tcPr>
            <w:tcW w:w="289" w:type="pct"/>
            <w:vAlign w:val="center"/>
          </w:tcPr>
          <w:p w14:paraId="2F4372A6" w14:textId="77777777" w:rsidR="007303EE" w:rsidRPr="00797379" w:rsidRDefault="007303EE" w:rsidP="00F5225F">
            <w:pPr>
              <w:pStyle w:val="TableTextCentered"/>
              <w:spacing w:before="0" w:after="0"/>
            </w:pPr>
            <w:r w:rsidRPr="00797379">
              <w:t>50</w:t>
            </w:r>
          </w:p>
        </w:tc>
        <w:tc>
          <w:tcPr>
            <w:tcW w:w="289" w:type="pct"/>
            <w:vAlign w:val="center"/>
          </w:tcPr>
          <w:p w14:paraId="49921036" w14:textId="77777777" w:rsidR="007303EE" w:rsidRPr="00797379" w:rsidRDefault="007303EE" w:rsidP="00F5225F">
            <w:pPr>
              <w:pStyle w:val="TableTextCentered"/>
              <w:spacing w:before="0" w:after="0"/>
            </w:pPr>
            <w:r w:rsidRPr="00797379">
              <w:t>49</w:t>
            </w:r>
          </w:p>
        </w:tc>
        <w:tc>
          <w:tcPr>
            <w:tcW w:w="290" w:type="pct"/>
            <w:vAlign w:val="center"/>
          </w:tcPr>
          <w:p w14:paraId="0384D385" w14:textId="77777777" w:rsidR="007303EE" w:rsidRPr="00797379" w:rsidRDefault="007303EE" w:rsidP="00F5225F">
            <w:pPr>
              <w:pStyle w:val="TableTextCentered"/>
              <w:spacing w:before="0" w:after="0"/>
            </w:pPr>
            <w:r w:rsidRPr="00797379">
              <w:t>41</w:t>
            </w:r>
          </w:p>
        </w:tc>
        <w:tc>
          <w:tcPr>
            <w:tcW w:w="289" w:type="pct"/>
            <w:vAlign w:val="center"/>
          </w:tcPr>
          <w:p w14:paraId="19B33803" w14:textId="77777777" w:rsidR="007303EE" w:rsidRPr="00797379" w:rsidRDefault="007303EE" w:rsidP="00F5225F">
            <w:pPr>
              <w:pStyle w:val="TableTextCentered"/>
              <w:spacing w:before="0" w:after="0"/>
            </w:pPr>
            <w:r w:rsidRPr="00797379">
              <w:t>20</w:t>
            </w:r>
          </w:p>
        </w:tc>
        <w:tc>
          <w:tcPr>
            <w:tcW w:w="290" w:type="pct"/>
            <w:vAlign w:val="center"/>
          </w:tcPr>
          <w:p w14:paraId="0B788264" w14:textId="77777777" w:rsidR="007303EE" w:rsidRPr="00797379" w:rsidRDefault="007303EE" w:rsidP="00F5225F">
            <w:pPr>
              <w:pStyle w:val="TableTextCentered"/>
              <w:spacing w:before="0" w:after="0"/>
            </w:pPr>
            <w:r w:rsidRPr="00797379">
              <w:t>15</w:t>
            </w:r>
          </w:p>
        </w:tc>
        <w:tc>
          <w:tcPr>
            <w:tcW w:w="289" w:type="pct"/>
            <w:vAlign w:val="center"/>
          </w:tcPr>
          <w:p w14:paraId="292EEBC1" w14:textId="77777777" w:rsidR="007303EE" w:rsidRPr="00797379" w:rsidRDefault="007303EE" w:rsidP="00F5225F">
            <w:pPr>
              <w:pStyle w:val="TableTextCentered"/>
              <w:spacing w:before="0" w:after="0"/>
            </w:pPr>
            <w:r w:rsidRPr="00797379">
              <w:t>16</w:t>
            </w:r>
          </w:p>
        </w:tc>
        <w:tc>
          <w:tcPr>
            <w:tcW w:w="290" w:type="pct"/>
            <w:vAlign w:val="center"/>
          </w:tcPr>
          <w:p w14:paraId="08171226" w14:textId="77777777" w:rsidR="007303EE" w:rsidRPr="00797379" w:rsidRDefault="007303EE" w:rsidP="00F5225F">
            <w:pPr>
              <w:pStyle w:val="TableTextCentered"/>
              <w:spacing w:before="0" w:after="0"/>
            </w:pPr>
            <w:r w:rsidRPr="00797379">
              <w:t>46</w:t>
            </w:r>
          </w:p>
        </w:tc>
      </w:tr>
    </w:tbl>
    <w:p w14:paraId="3CC8F19F" w14:textId="3022FC31" w:rsidR="007303EE" w:rsidRPr="00797379" w:rsidRDefault="007303EE" w:rsidP="00994F18">
      <w:pPr>
        <w:pStyle w:val="TableETitles"/>
        <w:keepLines/>
      </w:pPr>
      <w:bookmarkStart w:id="243" w:name="_Toc220933507"/>
      <w:r w:rsidRPr="00797379">
        <w:t>Table E4. MCAS Mathematics Achievement by Student Group, Grade 10, 2023-2025</w:t>
      </w:r>
      <w:bookmarkEnd w:id="243"/>
    </w:p>
    <w:tbl>
      <w:tblPr>
        <w:tblStyle w:val="MSVTable1"/>
        <w:tblW w:w="5000" w:type="pct"/>
        <w:tblLayout w:type="fixed"/>
        <w:tblLook w:val="0420" w:firstRow="1" w:lastRow="0" w:firstColumn="0" w:lastColumn="0" w:noHBand="0" w:noVBand="1"/>
      </w:tblPr>
      <w:tblGrid>
        <w:gridCol w:w="3056"/>
        <w:gridCol w:w="902"/>
        <w:gridCol w:w="749"/>
        <w:gridCol w:w="749"/>
        <w:gridCol w:w="749"/>
        <w:gridCol w:w="749"/>
        <w:gridCol w:w="749"/>
        <w:gridCol w:w="749"/>
        <w:gridCol w:w="749"/>
        <w:gridCol w:w="748"/>
        <w:gridCol w:w="748"/>
        <w:gridCol w:w="748"/>
        <w:gridCol w:w="748"/>
        <w:gridCol w:w="751"/>
      </w:tblGrid>
      <w:tr w:rsidR="007303EE" w:rsidRPr="00797379" w14:paraId="278E99B1" w14:textId="77777777" w:rsidTr="00132A03">
        <w:trPr>
          <w:cnfStyle w:val="100000000000" w:firstRow="1" w:lastRow="0" w:firstColumn="0" w:lastColumn="0" w:oddVBand="0" w:evenVBand="0" w:oddHBand="0" w:evenHBand="0" w:firstRowFirstColumn="0" w:firstRowLastColumn="0" w:lastRowFirstColumn="0" w:lastRowLastColumn="0"/>
          <w:tblHeader/>
        </w:trPr>
        <w:tc>
          <w:tcPr>
            <w:tcW w:w="1179" w:type="pct"/>
            <w:tcMar>
              <w:left w:w="29" w:type="dxa"/>
              <w:right w:w="29" w:type="dxa"/>
            </w:tcMar>
            <w:vAlign w:val="center"/>
          </w:tcPr>
          <w:p w14:paraId="03EA3C1A" w14:textId="77777777" w:rsidR="007303EE" w:rsidRPr="00797379" w:rsidRDefault="007303EE" w:rsidP="00994F18">
            <w:pPr>
              <w:pStyle w:val="TableColHeadingCenter"/>
              <w:keepNext/>
              <w:keepLines/>
            </w:pPr>
            <w:r w:rsidRPr="00797379">
              <w:t>Group</w:t>
            </w:r>
          </w:p>
        </w:tc>
        <w:tc>
          <w:tcPr>
            <w:tcW w:w="348" w:type="pct"/>
            <w:tcMar>
              <w:left w:w="29" w:type="dxa"/>
              <w:right w:w="29" w:type="dxa"/>
            </w:tcMar>
            <w:vAlign w:val="center"/>
          </w:tcPr>
          <w:p w14:paraId="4C107508" w14:textId="77777777" w:rsidR="007303EE" w:rsidRPr="00797379" w:rsidRDefault="007303EE" w:rsidP="00994F18">
            <w:pPr>
              <w:pStyle w:val="TableColHeadingCenter"/>
              <w:keepNext/>
              <w:keepLines/>
            </w:pPr>
            <w:r w:rsidRPr="00797379">
              <w:t># Included (2025)</w:t>
            </w:r>
          </w:p>
        </w:tc>
        <w:tc>
          <w:tcPr>
            <w:tcW w:w="289" w:type="pct"/>
            <w:tcMar>
              <w:left w:w="29" w:type="dxa"/>
              <w:right w:w="29" w:type="dxa"/>
            </w:tcMar>
            <w:vAlign w:val="center"/>
          </w:tcPr>
          <w:p w14:paraId="2E66879A" w14:textId="77777777" w:rsidR="007303EE" w:rsidRPr="00797379" w:rsidRDefault="007303EE" w:rsidP="00994F18">
            <w:pPr>
              <w:pStyle w:val="TableColHeadingCenter"/>
              <w:keepNext/>
              <w:keepLines/>
            </w:pPr>
            <w:r w:rsidRPr="00797379">
              <w:t>% M/E 2023</w:t>
            </w:r>
          </w:p>
        </w:tc>
        <w:tc>
          <w:tcPr>
            <w:tcW w:w="289" w:type="pct"/>
            <w:tcMar>
              <w:left w:w="29" w:type="dxa"/>
              <w:right w:w="29" w:type="dxa"/>
            </w:tcMar>
            <w:vAlign w:val="center"/>
          </w:tcPr>
          <w:p w14:paraId="2E6CF4AA" w14:textId="77777777" w:rsidR="007303EE" w:rsidRPr="00797379" w:rsidRDefault="007303EE" w:rsidP="00994F18">
            <w:pPr>
              <w:pStyle w:val="TableColHeadingCenter"/>
              <w:keepNext/>
              <w:keepLines/>
            </w:pPr>
            <w:r w:rsidRPr="00797379">
              <w:t>% M/E 2024</w:t>
            </w:r>
          </w:p>
        </w:tc>
        <w:tc>
          <w:tcPr>
            <w:tcW w:w="289" w:type="pct"/>
            <w:tcMar>
              <w:left w:w="29" w:type="dxa"/>
              <w:right w:w="29" w:type="dxa"/>
            </w:tcMar>
            <w:vAlign w:val="center"/>
          </w:tcPr>
          <w:p w14:paraId="24F2EFCE" w14:textId="77777777" w:rsidR="007303EE" w:rsidRPr="00797379" w:rsidRDefault="007303EE" w:rsidP="00994F18">
            <w:pPr>
              <w:pStyle w:val="TableColHeadingCenter"/>
              <w:keepNext/>
              <w:keepLines/>
            </w:pPr>
            <w:r w:rsidRPr="00797379">
              <w:t>% M/E 2025</w:t>
            </w:r>
          </w:p>
        </w:tc>
        <w:tc>
          <w:tcPr>
            <w:tcW w:w="289" w:type="pct"/>
            <w:tcMar>
              <w:left w:w="29" w:type="dxa"/>
              <w:right w:w="29" w:type="dxa"/>
            </w:tcMar>
            <w:vAlign w:val="center"/>
          </w:tcPr>
          <w:p w14:paraId="16E687B5" w14:textId="77777777" w:rsidR="007303EE" w:rsidRPr="00797379" w:rsidRDefault="007303EE" w:rsidP="00994F18">
            <w:pPr>
              <w:pStyle w:val="TableColHeadingCenter"/>
              <w:keepNext/>
              <w:keepLines/>
            </w:pPr>
            <w:r w:rsidRPr="00797379">
              <w:t>% M/E 2025 State</w:t>
            </w:r>
          </w:p>
        </w:tc>
        <w:tc>
          <w:tcPr>
            <w:tcW w:w="289" w:type="pct"/>
            <w:tcMar>
              <w:left w:w="29" w:type="dxa"/>
              <w:right w:w="29" w:type="dxa"/>
            </w:tcMar>
            <w:vAlign w:val="center"/>
          </w:tcPr>
          <w:p w14:paraId="24F0E460" w14:textId="77777777" w:rsidR="007303EE" w:rsidRPr="00797379" w:rsidRDefault="007303EE" w:rsidP="00994F18">
            <w:pPr>
              <w:pStyle w:val="TableColHeadingCenter"/>
              <w:keepNext/>
              <w:keepLines/>
            </w:pPr>
            <w:r w:rsidRPr="00797379">
              <w:t>% PME 2023</w:t>
            </w:r>
          </w:p>
        </w:tc>
        <w:tc>
          <w:tcPr>
            <w:tcW w:w="289" w:type="pct"/>
            <w:tcMar>
              <w:left w:w="29" w:type="dxa"/>
              <w:right w:w="29" w:type="dxa"/>
            </w:tcMar>
            <w:vAlign w:val="center"/>
          </w:tcPr>
          <w:p w14:paraId="48760480" w14:textId="77777777" w:rsidR="007303EE" w:rsidRPr="00797379" w:rsidRDefault="007303EE" w:rsidP="00994F18">
            <w:pPr>
              <w:pStyle w:val="TableColHeadingCenter"/>
              <w:keepNext/>
              <w:keepLines/>
            </w:pPr>
            <w:r w:rsidRPr="00797379">
              <w:t>% PME 2024</w:t>
            </w:r>
          </w:p>
        </w:tc>
        <w:tc>
          <w:tcPr>
            <w:tcW w:w="289" w:type="pct"/>
            <w:tcMar>
              <w:left w:w="29" w:type="dxa"/>
              <w:right w:w="29" w:type="dxa"/>
            </w:tcMar>
            <w:vAlign w:val="center"/>
          </w:tcPr>
          <w:p w14:paraId="7297833B" w14:textId="77777777" w:rsidR="007303EE" w:rsidRPr="00797379" w:rsidRDefault="007303EE" w:rsidP="00994F18">
            <w:pPr>
              <w:pStyle w:val="TableColHeadingCenter"/>
              <w:keepNext/>
              <w:keepLines/>
            </w:pPr>
            <w:r w:rsidRPr="00797379">
              <w:t>% PME 2025</w:t>
            </w:r>
          </w:p>
        </w:tc>
        <w:tc>
          <w:tcPr>
            <w:tcW w:w="289" w:type="pct"/>
            <w:tcMar>
              <w:left w:w="29" w:type="dxa"/>
              <w:right w:w="29" w:type="dxa"/>
            </w:tcMar>
            <w:vAlign w:val="center"/>
          </w:tcPr>
          <w:p w14:paraId="39925B61" w14:textId="77777777" w:rsidR="007303EE" w:rsidRPr="00797379" w:rsidRDefault="007303EE" w:rsidP="00994F18">
            <w:pPr>
              <w:pStyle w:val="TableColHeadingCenter"/>
              <w:keepNext/>
              <w:keepLines/>
            </w:pPr>
            <w:r w:rsidRPr="00797379">
              <w:t>% PME 2025 State</w:t>
            </w:r>
          </w:p>
        </w:tc>
        <w:tc>
          <w:tcPr>
            <w:tcW w:w="289" w:type="pct"/>
            <w:tcMar>
              <w:left w:w="29" w:type="dxa"/>
              <w:right w:w="29" w:type="dxa"/>
            </w:tcMar>
            <w:vAlign w:val="center"/>
          </w:tcPr>
          <w:p w14:paraId="3EC87646" w14:textId="77777777" w:rsidR="007303EE" w:rsidRPr="00797379" w:rsidRDefault="007303EE" w:rsidP="00994F18">
            <w:pPr>
              <w:pStyle w:val="TableColHeadingCenter"/>
              <w:keepNext/>
              <w:keepLines/>
            </w:pPr>
            <w:r w:rsidRPr="00797379">
              <w:t>% NM 2023</w:t>
            </w:r>
          </w:p>
        </w:tc>
        <w:tc>
          <w:tcPr>
            <w:tcW w:w="289" w:type="pct"/>
            <w:tcMar>
              <w:left w:w="29" w:type="dxa"/>
              <w:right w:w="29" w:type="dxa"/>
            </w:tcMar>
            <w:vAlign w:val="center"/>
          </w:tcPr>
          <w:p w14:paraId="2B6E33B2" w14:textId="77777777" w:rsidR="007303EE" w:rsidRPr="00797379" w:rsidRDefault="007303EE" w:rsidP="00994F18">
            <w:pPr>
              <w:pStyle w:val="TableColHeadingCenter"/>
              <w:keepNext/>
              <w:keepLines/>
            </w:pPr>
            <w:r w:rsidRPr="00797379">
              <w:t>% NM 2024</w:t>
            </w:r>
          </w:p>
        </w:tc>
        <w:tc>
          <w:tcPr>
            <w:tcW w:w="289" w:type="pct"/>
            <w:tcMar>
              <w:left w:w="29" w:type="dxa"/>
              <w:right w:w="29" w:type="dxa"/>
            </w:tcMar>
            <w:vAlign w:val="center"/>
          </w:tcPr>
          <w:p w14:paraId="3DC20C74" w14:textId="77777777" w:rsidR="007303EE" w:rsidRPr="00797379" w:rsidRDefault="007303EE" w:rsidP="00994F18">
            <w:pPr>
              <w:pStyle w:val="TableColHeadingCenter"/>
              <w:keepNext/>
              <w:keepLines/>
            </w:pPr>
            <w:r w:rsidRPr="00797379">
              <w:t>% NM 2025</w:t>
            </w:r>
          </w:p>
        </w:tc>
        <w:tc>
          <w:tcPr>
            <w:tcW w:w="290" w:type="pct"/>
            <w:tcMar>
              <w:left w:w="29" w:type="dxa"/>
              <w:right w:w="29" w:type="dxa"/>
            </w:tcMar>
            <w:vAlign w:val="center"/>
          </w:tcPr>
          <w:p w14:paraId="5864A158" w14:textId="77777777" w:rsidR="007303EE" w:rsidRPr="00797379" w:rsidRDefault="007303EE" w:rsidP="00994F18">
            <w:pPr>
              <w:pStyle w:val="TableColHeadingCenter"/>
              <w:keepNext/>
              <w:keepLines/>
            </w:pPr>
            <w:r w:rsidRPr="00797379">
              <w:t>% NM 2025 State</w:t>
            </w:r>
          </w:p>
        </w:tc>
      </w:tr>
      <w:tr w:rsidR="007303EE" w:rsidRPr="00797379" w14:paraId="1D9EC51C" w14:textId="77777777" w:rsidTr="000B5510">
        <w:trPr>
          <w:cnfStyle w:val="000000100000" w:firstRow="0" w:lastRow="0" w:firstColumn="0" w:lastColumn="0" w:oddVBand="0" w:evenVBand="0" w:oddHBand="1" w:evenHBand="0" w:firstRowFirstColumn="0" w:firstRowLastColumn="0" w:lastRowFirstColumn="0" w:lastRowLastColumn="0"/>
        </w:trPr>
        <w:tc>
          <w:tcPr>
            <w:tcW w:w="1179" w:type="pct"/>
          </w:tcPr>
          <w:p w14:paraId="24AAE448" w14:textId="77777777" w:rsidR="007303EE" w:rsidRPr="00F5225F" w:rsidRDefault="007303EE" w:rsidP="00F5225F">
            <w:pPr>
              <w:pStyle w:val="TableSubheading"/>
              <w:keepNext/>
              <w:keepLines/>
              <w:spacing w:before="0" w:after="0"/>
              <w:rPr>
                <w:rFonts w:asciiTheme="minorHAnsi" w:hAnsiTheme="minorHAnsi"/>
              </w:rPr>
            </w:pPr>
            <w:r w:rsidRPr="00F5225F">
              <w:rPr>
                <w:rFonts w:asciiTheme="minorHAnsi" w:hAnsiTheme="minorHAnsi"/>
              </w:rPr>
              <w:t>All Students</w:t>
            </w:r>
          </w:p>
        </w:tc>
        <w:tc>
          <w:tcPr>
            <w:tcW w:w="348" w:type="pct"/>
            <w:vAlign w:val="center"/>
          </w:tcPr>
          <w:p w14:paraId="4B0474D9" w14:textId="77777777" w:rsidR="007303EE" w:rsidRPr="00797379" w:rsidRDefault="007303EE" w:rsidP="00F5225F">
            <w:pPr>
              <w:pStyle w:val="TableTextCentered"/>
              <w:spacing w:before="0" w:after="0"/>
            </w:pPr>
            <w:r w:rsidRPr="00797379">
              <w:t>345</w:t>
            </w:r>
          </w:p>
        </w:tc>
        <w:tc>
          <w:tcPr>
            <w:tcW w:w="289" w:type="pct"/>
            <w:vAlign w:val="center"/>
          </w:tcPr>
          <w:p w14:paraId="050388BF" w14:textId="77777777" w:rsidR="007303EE" w:rsidRPr="00797379" w:rsidRDefault="007303EE" w:rsidP="00F5225F">
            <w:pPr>
              <w:pStyle w:val="TableTextCentered"/>
              <w:spacing w:before="0" w:after="0"/>
            </w:pPr>
            <w:r w:rsidRPr="00797379">
              <w:t>87</w:t>
            </w:r>
          </w:p>
        </w:tc>
        <w:tc>
          <w:tcPr>
            <w:tcW w:w="289" w:type="pct"/>
            <w:vAlign w:val="center"/>
          </w:tcPr>
          <w:p w14:paraId="73A1A7AE" w14:textId="77777777" w:rsidR="007303EE" w:rsidRPr="00797379" w:rsidRDefault="007303EE" w:rsidP="00F5225F">
            <w:pPr>
              <w:pStyle w:val="TableTextCentered"/>
              <w:spacing w:before="0" w:after="0"/>
            </w:pPr>
            <w:r w:rsidRPr="00797379">
              <w:t>85</w:t>
            </w:r>
          </w:p>
        </w:tc>
        <w:tc>
          <w:tcPr>
            <w:tcW w:w="289" w:type="pct"/>
            <w:vAlign w:val="center"/>
          </w:tcPr>
          <w:p w14:paraId="1BAAA311" w14:textId="77777777" w:rsidR="007303EE" w:rsidRPr="00797379" w:rsidRDefault="007303EE" w:rsidP="00F5225F">
            <w:pPr>
              <w:pStyle w:val="TableTextCentered"/>
              <w:spacing w:before="0" w:after="0"/>
            </w:pPr>
            <w:r w:rsidRPr="00797379">
              <w:t>77</w:t>
            </w:r>
          </w:p>
        </w:tc>
        <w:tc>
          <w:tcPr>
            <w:tcW w:w="289" w:type="pct"/>
            <w:vAlign w:val="center"/>
          </w:tcPr>
          <w:p w14:paraId="7C3E8988" w14:textId="77777777" w:rsidR="007303EE" w:rsidRPr="00797379" w:rsidRDefault="007303EE" w:rsidP="00F5225F">
            <w:pPr>
              <w:pStyle w:val="TableTextCentered"/>
              <w:spacing w:before="0" w:after="0"/>
            </w:pPr>
            <w:r w:rsidRPr="00797379">
              <w:t>45</w:t>
            </w:r>
          </w:p>
        </w:tc>
        <w:tc>
          <w:tcPr>
            <w:tcW w:w="289" w:type="pct"/>
            <w:vAlign w:val="center"/>
          </w:tcPr>
          <w:p w14:paraId="062F15C1" w14:textId="77777777" w:rsidR="007303EE" w:rsidRPr="00797379" w:rsidRDefault="007303EE" w:rsidP="00F5225F">
            <w:pPr>
              <w:pStyle w:val="TableTextCentered"/>
              <w:spacing w:before="0" w:after="0"/>
            </w:pPr>
            <w:r w:rsidRPr="00797379">
              <w:t>11</w:t>
            </w:r>
          </w:p>
        </w:tc>
        <w:tc>
          <w:tcPr>
            <w:tcW w:w="289" w:type="pct"/>
            <w:vAlign w:val="center"/>
          </w:tcPr>
          <w:p w14:paraId="57623D97" w14:textId="77777777" w:rsidR="007303EE" w:rsidRPr="00797379" w:rsidRDefault="007303EE" w:rsidP="00F5225F">
            <w:pPr>
              <w:pStyle w:val="TableTextCentered"/>
              <w:spacing w:before="0" w:after="0"/>
            </w:pPr>
            <w:r w:rsidRPr="00797379">
              <w:t>11</w:t>
            </w:r>
          </w:p>
        </w:tc>
        <w:tc>
          <w:tcPr>
            <w:tcW w:w="289" w:type="pct"/>
            <w:vAlign w:val="center"/>
          </w:tcPr>
          <w:p w14:paraId="6EE1B7B3" w14:textId="77777777" w:rsidR="007303EE" w:rsidRPr="00797379" w:rsidRDefault="007303EE" w:rsidP="00F5225F">
            <w:pPr>
              <w:pStyle w:val="TableTextCentered"/>
              <w:spacing w:before="0" w:after="0"/>
            </w:pPr>
            <w:r w:rsidRPr="00797379">
              <w:t>18</w:t>
            </w:r>
          </w:p>
        </w:tc>
        <w:tc>
          <w:tcPr>
            <w:tcW w:w="289" w:type="pct"/>
            <w:vAlign w:val="center"/>
          </w:tcPr>
          <w:p w14:paraId="645132CE" w14:textId="77777777" w:rsidR="007303EE" w:rsidRPr="00797379" w:rsidRDefault="007303EE" w:rsidP="00F5225F">
            <w:pPr>
              <w:pStyle w:val="TableTextCentered"/>
              <w:spacing w:before="0" w:after="0"/>
            </w:pPr>
            <w:r w:rsidRPr="00797379">
              <w:t>39</w:t>
            </w:r>
          </w:p>
        </w:tc>
        <w:tc>
          <w:tcPr>
            <w:tcW w:w="289" w:type="pct"/>
            <w:vAlign w:val="center"/>
          </w:tcPr>
          <w:p w14:paraId="1A16EE84" w14:textId="77777777" w:rsidR="007303EE" w:rsidRPr="00797379" w:rsidRDefault="007303EE" w:rsidP="00F5225F">
            <w:pPr>
              <w:pStyle w:val="TableTextCentered"/>
              <w:spacing w:before="0" w:after="0"/>
            </w:pPr>
            <w:r w:rsidRPr="00797379">
              <w:t>2</w:t>
            </w:r>
          </w:p>
        </w:tc>
        <w:tc>
          <w:tcPr>
            <w:tcW w:w="289" w:type="pct"/>
            <w:vAlign w:val="center"/>
          </w:tcPr>
          <w:p w14:paraId="7CC90415" w14:textId="77777777" w:rsidR="007303EE" w:rsidRPr="00797379" w:rsidRDefault="007303EE" w:rsidP="00F5225F">
            <w:pPr>
              <w:pStyle w:val="TableTextCentered"/>
              <w:spacing w:before="0" w:after="0"/>
            </w:pPr>
            <w:r w:rsidRPr="00797379">
              <w:t>4</w:t>
            </w:r>
          </w:p>
        </w:tc>
        <w:tc>
          <w:tcPr>
            <w:tcW w:w="289" w:type="pct"/>
            <w:vAlign w:val="center"/>
          </w:tcPr>
          <w:p w14:paraId="46AE9A6E" w14:textId="77777777" w:rsidR="007303EE" w:rsidRPr="00797379" w:rsidRDefault="007303EE" w:rsidP="00F5225F">
            <w:pPr>
              <w:pStyle w:val="TableTextCentered"/>
              <w:spacing w:before="0" w:after="0"/>
            </w:pPr>
            <w:r w:rsidRPr="00797379">
              <w:t>5</w:t>
            </w:r>
          </w:p>
        </w:tc>
        <w:tc>
          <w:tcPr>
            <w:tcW w:w="290" w:type="pct"/>
            <w:vAlign w:val="center"/>
          </w:tcPr>
          <w:p w14:paraId="33675118" w14:textId="77777777" w:rsidR="007303EE" w:rsidRPr="00797379" w:rsidRDefault="007303EE" w:rsidP="00F5225F">
            <w:pPr>
              <w:pStyle w:val="TableTextCentered"/>
              <w:spacing w:before="0" w:after="0"/>
            </w:pPr>
            <w:r w:rsidRPr="00797379">
              <w:t>16</w:t>
            </w:r>
          </w:p>
        </w:tc>
      </w:tr>
      <w:tr w:rsidR="007303EE" w:rsidRPr="00797379" w14:paraId="76E596DE" w14:textId="77777777" w:rsidTr="000B5510">
        <w:tc>
          <w:tcPr>
            <w:tcW w:w="1179" w:type="pct"/>
          </w:tcPr>
          <w:p w14:paraId="6EFC9045" w14:textId="77777777" w:rsidR="007303EE" w:rsidRPr="00F5225F" w:rsidRDefault="007303EE" w:rsidP="00F5225F">
            <w:pPr>
              <w:pStyle w:val="TableSubheading"/>
              <w:keepNext/>
              <w:keepLines/>
              <w:spacing w:before="0" w:after="0"/>
              <w:rPr>
                <w:rFonts w:asciiTheme="minorHAnsi" w:hAnsiTheme="minorHAnsi"/>
              </w:rPr>
            </w:pPr>
            <w:r w:rsidRPr="00F5225F">
              <w:rPr>
                <w:rFonts w:asciiTheme="minorHAnsi" w:hAnsiTheme="minorHAnsi"/>
              </w:rPr>
              <w:t>American Indian or Alaskan Native</w:t>
            </w:r>
          </w:p>
        </w:tc>
        <w:tc>
          <w:tcPr>
            <w:tcW w:w="348" w:type="pct"/>
            <w:vAlign w:val="center"/>
          </w:tcPr>
          <w:p w14:paraId="6A37A3BF" w14:textId="217A5145" w:rsidR="007303EE" w:rsidRPr="00797379" w:rsidRDefault="000B5510" w:rsidP="00F5225F">
            <w:pPr>
              <w:pStyle w:val="TableTextCentered"/>
              <w:spacing w:before="0" w:after="0"/>
            </w:pPr>
            <w:r>
              <w:t>N/A</w:t>
            </w:r>
          </w:p>
        </w:tc>
        <w:tc>
          <w:tcPr>
            <w:tcW w:w="289" w:type="pct"/>
            <w:vAlign w:val="center"/>
          </w:tcPr>
          <w:p w14:paraId="7391B9D0" w14:textId="6617870B" w:rsidR="007303EE" w:rsidRPr="00797379" w:rsidRDefault="000B5510" w:rsidP="00F5225F">
            <w:pPr>
              <w:pStyle w:val="TableTextCentered"/>
              <w:spacing w:before="0" w:after="0"/>
            </w:pPr>
            <w:r>
              <w:t>N/A</w:t>
            </w:r>
          </w:p>
        </w:tc>
        <w:tc>
          <w:tcPr>
            <w:tcW w:w="289" w:type="pct"/>
            <w:vAlign w:val="center"/>
          </w:tcPr>
          <w:p w14:paraId="38926230" w14:textId="58187246" w:rsidR="007303EE" w:rsidRPr="00797379" w:rsidRDefault="000B5510" w:rsidP="00F5225F">
            <w:pPr>
              <w:pStyle w:val="TableTextCentered"/>
              <w:spacing w:before="0" w:after="0"/>
            </w:pPr>
            <w:r>
              <w:t>N/A</w:t>
            </w:r>
          </w:p>
        </w:tc>
        <w:tc>
          <w:tcPr>
            <w:tcW w:w="289" w:type="pct"/>
            <w:vAlign w:val="center"/>
          </w:tcPr>
          <w:p w14:paraId="62CDAE91" w14:textId="2F5B7FCA" w:rsidR="007303EE" w:rsidRPr="00797379" w:rsidRDefault="000B5510" w:rsidP="00F5225F">
            <w:pPr>
              <w:pStyle w:val="TableTextCentered"/>
              <w:spacing w:before="0" w:after="0"/>
            </w:pPr>
            <w:r>
              <w:t>N/A</w:t>
            </w:r>
          </w:p>
        </w:tc>
        <w:tc>
          <w:tcPr>
            <w:tcW w:w="289" w:type="pct"/>
            <w:vAlign w:val="center"/>
          </w:tcPr>
          <w:p w14:paraId="07AED66F" w14:textId="77777777" w:rsidR="007303EE" w:rsidRPr="00797379" w:rsidRDefault="007303EE" w:rsidP="00F5225F">
            <w:pPr>
              <w:pStyle w:val="TableTextCentered"/>
              <w:spacing w:before="0" w:after="0"/>
            </w:pPr>
            <w:r w:rsidRPr="00797379">
              <w:t>38</w:t>
            </w:r>
          </w:p>
        </w:tc>
        <w:tc>
          <w:tcPr>
            <w:tcW w:w="289" w:type="pct"/>
            <w:vAlign w:val="center"/>
          </w:tcPr>
          <w:p w14:paraId="59650710" w14:textId="5D385346" w:rsidR="007303EE" w:rsidRPr="00797379" w:rsidRDefault="000B5510" w:rsidP="00F5225F">
            <w:pPr>
              <w:pStyle w:val="TableTextCentered"/>
              <w:spacing w:before="0" w:after="0"/>
            </w:pPr>
            <w:r>
              <w:t>N/A</w:t>
            </w:r>
          </w:p>
        </w:tc>
        <w:tc>
          <w:tcPr>
            <w:tcW w:w="289" w:type="pct"/>
            <w:vAlign w:val="center"/>
          </w:tcPr>
          <w:p w14:paraId="13CCC722" w14:textId="1F579395" w:rsidR="007303EE" w:rsidRPr="00797379" w:rsidRDefault="000B5510" w:rsidP="00F5225F">
            <w:pPr>
              <w:pStyle w:val="TableTextCentered"/>
              <w:spacing w:before="0" w:after="0"/>
            </w:pPr>
            <w:r>
              <w:t>N/A</w:t>
            </w:r>
          </w:p>
        </w:tc>
        <w:tc>
          <w:tcPr>
            <w:tcW w:w="289" w:type="pct"/>
            <w:vAlign w:val="center"/>
          </w:tcPr>
          <w:p w14:paraId="3200206B" w14:textId="1CA96588" w:rsidR="007303EE" w:rsidRPr="00797379" w:rsidRDefault="000B5510" w:rsidP="00F5225F">
            <w:pPr>
              <w:pStyle w:val="TableTextCentered"/>
              <w:spacing w:before="0" w:after="0"/>
            </w:pPr>
            <w:r>
              <w:t>N/A</w:t>
            </w:r>
          </w:p>
        </w:tc>
        <w:tc>
          <w:tcPr>
            <w:tcW w:w="289" w:type="pct"/>
            <w:vAlign w:val="center"/>
          </w:tcPr>
          <w:p w14:paraId="49E88422" w14:textId="77777777" w:rsidR="007303EE" w:rsidRPr="00797379" w:rsidRDefault="007303EE" w:rsidP="00F5225F">
            <w:pPr>
              <w:pStyle w:val="TableTextCentered"/>
              <w:spacing w:before="0" w:after="0"/>
            </w:pPr>
            <w:r w:rsidRPr="00797379">
              <w:t>43</w:t>
            </w:r>
          </w:p>
        </w:tc>
        <w:tc>
          <w:tcPr>
            <w:tcW w:w="289" w:type="pct"/>
            <w:vAlign w:val="center"/>
          </w:tcPr>
          <w:p w14:paraId="7821EF54" w14:textId="4CCD28FA" w:rsidR="007303EE" w:rsidRPr="00797379" w:rsidRDefault="000B5510" w:rsidP="00F5225F">
            <w:pPr>
              <w:pStyle w:val="TableTextCentered"/>
              <w:spacing w:before="0" w:after="0"/>
            </w:pPr>
            <w:r>
              <w:t>N/A</w:t>
            </w:r>
          </w:p>
        </w:tc>
        <w:tc>
          <w:tcPr>
            <w:tcW w:w="289" w:type="pct"/>
            <w:vAlign w:val="center"/>
          </w:tcPr>
          <w:p w14:paraId="48E767B2" w14:textId="11314E54" w:rsidR="007303EE" w:rsidRPr="00797379" w:rsidRDefault="000B5510" w:rsidP="00F5225F">
            <w:pPr>
              <w:pStyle w:val="TableTextCentered"/>
              <w:spacing w:before="0" w:after="0"/>
            </w:pPr>
            <w:r>
              <w:t>N/A</w:t>
            </w:r>
          </w:p>
        </w:tc>
        <w:tc>
          <w:tcPr>
            <w:tcW w:w="289" w:type="pct"/>
            <w:vAlign w:val="center"/>
          </w:tcPr>
          <w:p w14:paraId="7081ED01" w14:textId="4B093604" w:rsidR="007303EE" w:rsidRPr="00797379" w:rsidRDefault="000B5510" w:rsidP="00F5225F">
            <w:pPr>
              <w:pStyle w:val="TableTextCentered"/>
              <w:spacing w:before="0" w:after="0"/>
            </w:pPr>
            <w:r>
              <w:t>N/A</w:t>
            </w:r>
          </w:p>
        </w:tc>
        <w:tc>
          <w:tcPr>
            <w:tcW w:w="290" w:type="pct"/>
            <w:vAlign w:val="center"/>
          </w:tcPr>
          <w:p w14:paraId="436E3B4B" w14:textId="77777777" w:rsidR="007303EE" w:rsidRPr="00797379" w:rsidRDefault="007303EE" w:rsidP="00F5225F">
            <w:pPr>
              <w:pStyle w:val="TableTextCentered"/>
              <w:spacing w:before="0" w:after="0"/>
            </w:pPr>
            <w:r w:rsidRPr="00797379">
              <w:t>19</w:t>
            </w:r>
          </w:p>
        </w:tc>
      </w:tr>
      <w:tr w:rsidR="007303EE" w:rsidRPr="00797379" w14:paraId="3118F194" w14:textId="77777777" w:rsidTr="000B5510">
        <w:trPr>
          <w:cnfStyle w:val="000000100000" w:firstRow="0" w:lastRow="0" w:firstColumn="0" w:lastColumn="0" w:oddVBand="0" w:evenVBand="0" w:oddHBand="1" w:evenHBand="0" w:firstRowFirstColumn="0" w:firstRowLastColumn="0" w:lastRowFirstColumn="0" w:lastRowLastColumn="0"/>
        </w:trPr>
        <w:tc>
          <w:tcPr>
            <w:tcW w:w="1179" w:type="pct"/>
          </w:tcPr>
          <w:p w14:paraId="60D9AEB2" w14:textId="77777777" w:rsidR="007303EE" w:rsidRPr="00F5225F" w:rsidRDefault="007303EE" w:rsidP="00F5225F">
            <w:pPr>
              <w:pStyle w:val="TableSubheading"/>
              <w:spacing w:before="0" w:after="0"/>
              <w:rPr>
                <w:rFonts w:asciiTheme="minorHAnsi" w:hAnsiTheme="minorHAnsi"/>
              </w:rPr>
            </w:pPr>
            <w:r w:rsidRPr="00F5225F">
              <w:rPr>
                <w:rFonts w:asciiTheme="minorHAnsi" w:hAnsiTheme="minorHAnsi"/>
              </w:rPr>
              <w:t>Asian</w:t>
            </w:r>
          </w:p>
        </w:tc>
        <w:tc>
          <w:tcPr>
            <w:tcW w:w="348" w:type="pct"/>
            <w:vAlign w:val="center"/>
          </w:tcPr>
          <w:p w14:paraId="1A0FB9CF" w14:textId="77777777" w:rsidR="007303EE" w:rsidRPr="00797379" w:rsidRDefault="007303EE" w:rsidP="00F5225F">
            <w:pPr>
              <w:pStyle w:val="TableTextCentered"/>
              <w:spacing w:before="0" w:after="0"/>
            </w:pPr>
            <w:r w:rsidRPr="00797379">
              <w:t>65</w:t>
            </w:r>
          </w:p>
        </w:tc>
        <w:tc>
          <w:tcPr>
            <w:tcW w:w="289" w:type="pct"/>
            <w:vAlign w:val="center"/>
          </w:tcPr>
          <w:p w14:paraId="6857F730" w14:textId="77777777" w:rsidR="007303EE" w:rsidRPr="00797379" w:rsidRDefault="007303EE" w:rsidP="00F5225F">
            <w:pPr>
              <w:pStyle w:val="TableTextCentered"/>
              <w:spacing w:before="0" w:after="0"/>
            </w:pPr>
            <w:r w:rsidRPr="00797379">
              <w:t>97</w:t>
            </w:r>
          </w:p>
        </w:tc>
        <w:tc>
          <w:tcPr>
            <w:tcW w:w="289" w:type="pct"/>
            <w:vAlign w:val="center"/>
          </w:tcPr>
          <w:p w14:paraId="11B2E719" w14:textId="77777777" w:rsidR="007303EE" w:rsidRPr="00797379" w:rsidRDefault="007303EE" w:rsidP="00F5225F">
            <w:pPr>
              <w:pStyle w:val="TableTextCentered"/>
              <w:spacing w:before="0" w:after="0"/>
            </w:pPr>
            <w:r w:rsidRPr="00797379">
              <w:t>99</w:t>
            </w:r>
          </w:p>
        </w:tc>
        <w:tc>
          <w:tcPr>
            <w:tcW w:w="289" w:type="pct"/>
            <w:vAlign w:val="center"/>
          </w:tcPr>
          <w:p w14:paraId="17586AD3" w14:textId="77777777" w:rsidR="007303EE" w:rsidRPr="00797379" w:rsidRDefault="007303EE" w:rsidP="00F5225F">
            <w:pPr>
              <w:pStyle w:val="TableTextCentered"/>
              <w:spacing w:before="0" w:after="0"/>
            </w:pPr>
            <w:r w:rsidRPr="00797379">
              <w:t>91</w:t>
            </w:r>
          </w:p>
        </w:tc>
        <w:tc>
          <w:tcPr>
            <w:tcW w:w="289" w:type="pct"/>
            <w:vAlign w:val="center"/>
          </w:tcPr>
          <w:p w14:paraId="3606D1BB" w14:textId="77777777" w:rsidR="007303EE" w:rsidRPr="00797379" w:rsidRDefault="007303EE" w:rsidP="00F5225F">
            <w:pPr>
              <w:pStyle w:val="TableTextCentered"/>
              <w:spacing w:before="0" w:after="0"/>
            </w:pPr>
            <w:r w:rsidRPr="00797379">
              <w:t>78</w:t>
            </w:r>
          </w:p>
        </w:tc>
        <w:tc>
          <w:tcPr>
            <w:tcW w:w="289" w:type="pct"/>
            <w:vAlign w:val="center"/>
          </w:tcPr>
          <w:p w14:paraId="3EA8CBCD" w14:textId="77777777" w:rsidR="007303EE" w:rsidRPr="00797379" w:rsidRDefault="007303EE" w:rsidP="00F5225F">
            <w:pPr>
              <w:pStyle w:val="TableTextCentered"/>
              <w:spacing w:before="0" w:after="0"/>
            </w:pPr>
            <w:r w:rsidRPr="00797379">
              <w:t>3</w:t>
            </w:r>
          </w:p>
        </w:tc>
        <w:tc>
          <w:tcPr>
            <w:tcW w:w="289" w:type="pct"/>
            <w:vAlign w:val="center"/>
          </w:tcPr>
          <w:p w14:paraId="6C9F3B48" w14:textId="77777777" w:rsidR="007303EE" w:rsidRPr="00797379" w:rsidRDefault="007303EE" w:rsidP="00F5225F">
            <w:pPr>
              <w:pStyle w:val="TableTextCentered"/>
              <w:spacing w:before="0" w:after="0"/>
            </w:pPr>
            <w:r w:rsidRPr="00797379">
              <w:t>0</w:t>
            </w:r>
          </w:p>
        </w:tc>
        <w:tc>
          <w:tcPr>
            <w:tcW w:w="289" w:type="pct"/>
            <w:vAlign w:val="center"/>
          </w:tcPr>
          <w:p w14:paraId="33B221C2" w14:textId="77777777" w:rsidR="007303EE" w:rsidRPr="00797379" w:rsidRDefault="007303EE" w:rsidP="00F5225F">
            <w:pPr>
              <w:pStyle w:val="TableTextCentered"/>
              <w:spacing w:before="0" w:after="0"/>
            </w:pPr>
            <w:r w:rsidRPr="00797379">
              <w:t>8</w:t>
            </w:r>
          </w:p>
        </w:tc>
        <w:tc>
          <w:tcPr>
            <w:tcW w:w="289" w:type="pct"/>
            <w:vAlign w:val="center"/>
          </w:tcPr>
          <w:p w14:paraId="53C5D8D5" w14:textId="77777777" w:rsidR="007303EE" w:rsidRPr="00797379" w:rsidRDefault="007303EE" w:rsidP="00F5225F">
            <w:pPr>
              <w:pStyle w:val="TableTextCentered"/>
              <w:spacing w:before="0" w:after="0"/>
            </w:pPr>
            <w:r w:rsidRPr="00797379">
              <w:t>18</w:t>
            </w:r>
          </w:p>
        </w:tc>
        <w:tc>
          <w:tcPr>
            <w:tcW w:w="289" w:type="pct"/>
            <w:vAlign w:val="center"/>
          </w:tcPr>
          <w:p w14:paraId="681C368C" w14:textId="77777777" w:rsidR="007303EE" w:rsidRPr="00797379" w:rsidRDefault="007303EE" w:rsidP="00F5225F">
            <w:pPr>
              <w:pStyle w:val="TableTextCentered"/>
              <w:spacing w:before="0" w:after="0"/>
            </w:pPr>
            <w:r w:rsidRPr="00797379">
              <w:t>0</w:t>
            </w:r>
          </w:p>
        </w:tc>
        <w:tc>
          <w:tcPr>
            <w:tcW w:w="289" w:type="pct"/>
            <w:vAlign w:val="center"/>
          </w:tcPr>
          <w:p w14:paraId="1D658A87" w14:textId="77777777" w:rsidR="007303EE" w:rsidRPr="00797379" w:rsidRDefault="007303EE" w:rsidP="00F5225F">
            <w:pPr>
              <w:pStyle w:val="TableTextCentered"/>
              <w:spacing w:before="0" w:after="0"/>
            </w:pPr>
            <w:r w:rsidRPr="00797379">
              <w:t>1</w:t>
            </w:r>
          </w:p>
        </w:tc>
        <w:tc>
          <w:tcPr>
            <w:tcW w:w="289" w:type="pct"/>
            <w:vAlign w:val="center"/>
          </w:tcPr>
          <w:p w14:paraId="5B802592" w14:textId="77777777" w:rsidR="007303EE" w:rsidRPr="00797379" w:rsidRDefault="007303EE" w:rsidP="00F5225F">
            <w:pPr>
              <w:pStyle w:val="TableTextCentered"/>
              <w:spacing w:before="0" w:after="0"/>
            </w:pPr>
            <w:r w:rsidRPr="00797379">
              <w:t>2</w:t>
            </w:r>
          </w:p>
        </w:tc>
        <w:tc>
          <w:tcPr>
            <w:tcW w:w="290" w:type="pct"/>
            <w:vAlign w:val="center"/>
          </w:tcPr>
          <w:p w14:paraId="5E2E4BA5" w14:textId="77777777" w:rsidR="007303EE" w:rsidRPr="00797379" w:rsidRDefault="007303EE" w:rsidP="00F5225F">
            <w:pPr>
              <w:pStyle w:val="TableTextCentered"/>
              <w:spacing w:before="0" w:after="0"/>
            </w:pPr>
            <w:r w:rsidRPr="00797379">
              <w:t>4</w:t>
            </w:r>
          </w:p>
        </w:tc>
      </w:tr>
      <w:tr w:rsidR="007303EE" w:rsidRPr="00797379" w14:paraId="2BE5835D" w14:textId="77777777" w:rsidTr="000B5510">
        <w:tc>
          <w:tcPr>
            <w:tcW w:w="1179" w:type="pct"/>
          </w:tcPr>
          <w:p w14:paraId="24F87F2D" w14:textId="77777777" w:rsidR="007303EE" w:rsidRPr="00F5225F" w:rsidRDefault="007303EE" w:rsidP="00F5225F">
            <w:pPr>
              <w:pStyle w:val="TableSubheading"/>
              <w:spacing w:before="0" w:after="0"/>
              <w:rPr>
                <w:rFonts w:asciiTheme="minorHAnsi" w:hAnsiTheme="minorHAnsi"/>
              </w:rPr>
            </w:pPr>
            <w:r w:rsidRPr="00F5225F">
              <w:rPr>
                <w:rFonts w:asciiTheme="minorHAnsi" w:hAnsiTheme="minorHAnsi"/>
              </w:rPr>
              <w:t>Black or African American</w:t>
            </w:r>
          </w:p>
        </w:tc>
        <w:tc>
          <w:tcPr>
            <w:tcW w:w="348" w:type="pct"/>
            <w:vAlign w:val="center"/>
          </w:tcPr>
          <w:p w14:paraId="6C33B4F7" w14:textId="77777777" w:rsidR="007303EE" w:rsidRPr="00797379" w:rsidRDefault="007303EE" w:rsidP="00F5225F">
            <w:pPr>
              <w:pStyle w:val="TableTextCentered"/>
              <w:spacing w:before="0" w:after="0"/>
            </w:pPr>
            <w:r w:rsidRPr="00797379">
              <w:t>7</w:t>
            </w:r>
          </w:p>
        </w:tc>
        <w:tc>
          <w:tcPr>
            <w:tcW w:w="289" w:type="pct"/>
            <w:vAlign w:val="center"/>
          </w:tcPr>
          <w:p w14:paraId="16B25CD9" w14:textId="701D70CB" w:rsidR="007303EE" w:rsidRPr="00797379" w:rsidRDefault="000B5510" w:rsidP="00F5225F">
            <w:pPr>
              <w:pStyle w:val="TableTextCentered"/>
              <w:spacing w:before="0" w:after="0"/>
            </w:pPr>
            <w:r>
              <w:t>N/A</w:t>
            </w:r>
          </w:p>
        </w:tc>
        <w:tc>
          <w:tcPr>
            <w:tcW w:w="289" w:type="pct"/>
            <w:vAlign w:val="center"/>
          </w:tcPr>
          <w:p w14:paraId="53A0A0B6" w14:textId="3D361B94" w:rsidR="007303EE" w:rsidRPr="00797379" w:rsidRDefault="000B5510" w:rsidP="00F5225F">
            <w:pPr>
              <w:pStyle w:val="TableTextCentered"/>
              <w:spacing w:before="0" w:after="0"/>
            </w:pPr>
            <w:r>
              <w:t>N/A</w:t>
            </w:r>
          </w:p>
        </w:tc>
        <w:tc>
          <w:tcPr>
            <w:tcW w:w="289" w:type="pct"/>
            <w:vAlign w:val="center"/>
          </w:tcPr>
          <w:p w14:paraId="54424294" w14:textId="4FDBEF48" w:rsidR="007303EE" w:rsidRPr="00797379" w:rsidRDefault="000B5510" w:rsidP="00F5225F">
            <w:pPr>
              <w:pStyle w:val="TableTextCentered"/>
              <w:spacing w:before="0" w:after="0"/>
            </w:pPr>
            <w:r>
              <w:t>N/A</w:t>
            </w:r>
          </w:p>
        </w:tc>
        <w:tc>
          <w:tcPr>
            <w:tcW w:w="289" w:type="pct"/>
            <w:vAlign w:val="center"/>
          </w:tcPr>
          <w:p w14:paraId="0D010727" w14:textId="77777777" w:rsidR="007303EE" w:rsidRPr="00797379" w:rsidRDefault="007303EE" w:rsidP="00F5225F">
            <w:pPr>
              <w:pStyle w:val="TableTextCentered"/>
              <w:spacing w:before="0" w:after="0"/>
            </w:pPr>
            <w:r w:rsidRPr="00797379">
              <w:t>26</w:t>
            </w:r>
          </w:p>
        </w:tc>
        <w:tc>
          <w:tcPr>
            <w:tcW w:w="289" w:type="pct"/>
            <w:vAlign w:val="center"/>
          </w:tcPr>
          <w:p w14:paraId="7B7C1F68" w14:textId="5B5EAC50" w:rsidR="007303EE" w:rsidRPr="00797379" w:rsidRDefault="000B5510" w:rsidP="00F5225F">
            <w:pPr>
              <w:pStyle w:val="TableTextCentered"/>
              <w:spacing w:before="0" w:after="0"/>
            </w:pPr>
            <w:r>
              <w:t>N/A</w:t>
            </w:r>
          </w:p>
        </w:tc>
        <w:tc>
          <w:tcPr>
            <w:tcW w:w="289" w:type="pct"/>
            <w:vAlign w:val="center"/>
          </w:tcPr>
          <w:p w14:paraId="63CDDA7B" w14:textId="1B91BF57" w:rsidR="007303EE" w:rsidRPr="00797379" w:rsidRDefault="000B5510" w:rsidP="00F5225F">
            <w:pPr>
              <w:pStyle w:val="TableTextCentered"/>
              <w:spacing w:before="0" w:after="0"/>
            </w:pPr>
            <w:r>
              <w:t>N/A</w:t>
            </w:r>
          </w:p>
        </w:tc>
        <w:tc>
          <w:tcPr>
            <w:tcW w:w="289" w:type="pct"/>
            <w:vAlign w:val="center"/>
          </w:tcPr>
          <w:p w14:paraId="6B438AB4" w14:textId="06F4EB47" w:rsidR="007303EE" w:rsidRPr="00797379" w:rsidRDefault="000B5510" w:rsidP="00F5225F">
            <w:pPr>
              <w:pStyle w:val="TableTextCentered"/>
              <w:spacing w:before="0" w:after="0"/>
            </w:pPr>
            <w:r>
              <w:t>N/A</w:t>
            </w:r>
          </w:p>
        </w:tc>
        <w:tc>
          <w:tcPr>
            <w:tcW w:w="289" w:type="pct"/>
            <w:vAlign w:val="center"/>
          </w:tcPr>
          <w:p w14:paraId="192D1C6B" w14:textId="77777777" w:rsidR="007303EE" w:rsidRPr="00797379" w:rsidRDefault="007303EE" w:rsidP="00F5225F">
            <w:pPr>
              <w:pStyle w:val="TableTextCentered"/>
              <w:spacing w:before="0" w:after="0"/>
            </w:pPr>
            <w:r w:rsidRPr="00797379">
              <w:t>49</w:t>
            </w:r>
          </w:p>
        </w:tc>
        <w:tc>
          <w:tcPr>
            <w:tcW w:w="289" w:type="pct"/>
            <w:vAlign w:val="center"/>
          </w:tcPr>
          <w:p w14:paraId="72A8069D" w14:textId="064466DF" w:rsidR="007303EE" w:rsidRPr="00797379" w:rsidRDefault="000B5510" w:rsidP="00F5225F">
            <w:pPr>
              <w:pStyle w:val="TableTextCentered"/>
              <w:spacing w:before="0" w:after="0"/>
            </w:pPr>
            <w:r>
              <w:t>N/A</w:t>
            </w:r>
          </w:p>
        </w:tc>
        <w:tc>
          <w:tcPr>
            <w:tcW w:w="289" w:type="pct"/>
            <w:vAlign w:val="center"/>
          </w:tcPr>
          <w:p w14:paraId="3312BBC2" w14:textId="58E6429D" w:rsidR="007303EE" w:rsidRPr="00797379" w:rsidRDefault="000B5510" w:rsidP="00F5225F">
            <w:pPr>
              <w:pStyle w:val="TableTextCentered"/>
              <w:spacing w:before="0" w:after="0"/>
            </w:pPr>
            <w:r>
              <w:t>N/A</w:t>
            </w:r>
          </w:p>
        </w:tc>
        <w:tc>
          <w:tcPr>
            <w:tcW w:w="289" w:type="pct"/>
            <w:vAlign w:val="center"/>
          </w:tcPr>
          <w:p w14:paraId="70B9CBBA" w14:textId="6AB56C2D" w:rsidR="007303EE" w:rsidRPr="00797379" w:rsidRDefault="000B5510" w:rsidP="00F5225F">
            <w:pPr>
              <w:pStyle w:val="TableTextCentered"/>
              <w:spacing w:before="0" w:after="0"/>
            </w:pPr>
            <w:r>
              <w:t>N/A</w:t>
            </w:r>
          </w:p>
        </w:tc>
        <w:tc>
          <w:tcPr>
            <w:tcW w:w="290" w:type="pct"/>
            <w:vAlign w:val="center"/>
          </w:tcPr>
          <w:p w14:paraId="22C99F00" w14:textId="77777777" w:rsidR="007303EE" w:rsidRPr="00797379" w:rsidRDefault="007303EE" w:rsidP="00F5225F">
            <w:pPr>
              <w:pStyle w:val="TableTextCentered"/>
              <w:spacing w:before="0" w:after="0"/>
            </w:pPr>
            <w:r w:rsidRPr="00797379">
              <w:t>25</w:t>
            </w:r>
          </w:p>
        </w:tc>
      </w:tr>
      <w:tr w:rsidR="007303EE" w:rsidRPr="00797379" w14:paraId="3BCDE537" w14:textId="77777777" w:rsidTr="000B5510">
        <w:trPr>
          <w:cnfStyle w:val="000000100000" w:firstRow="0" w:lastRow="0" w:firstColumn="0" w:lastColumn="0" w:oddVBand="0" w:evenVBand="0" w:oddHBand="1" w:evenHBand="0" w:firstRowFirstColumn="0" w:firstRowLastColumn="0" w:lastRowFirstColumn="0" w:lastRowLastColumn="0"/>
        </w:trPr>
        <w:tc>
          <w:tcPr>
            <w:tcW w:w="1179" w:type="pct"/>
          </w:tcPr>
          <w:p w14:paraId="1EED61C0" w14:textId="77777777" w:rsidR="007303EE" w:rsidRPr="00F5225F" w:rsidRDefault="007303EE" w:rsidP="00F5225F">
            <w:pPr>
              <w:pStyle w:val="TableSubheading"/>
              <w:spacing w:before="0" w:after="0"/>
              <w:rPr>
                <w:rFonts w:asciiTheme="minorHAnsi" w:hAnsiTheme="minorHAnsi"/>
              </w:rPr>
            </w:pPr>
            <w:r w:rsidRPr="00F5225F">
              <w:rPr>
                <w:rFonts w:asciiTheme="minorHAnsi" w:hAnsiTheme="minorHAnsi"/>
              </w:rPr>
              <w:t>Hispanic or Latino</w:t>
            </w:r>
          </w:p>
        </w:tc>
        <w:tc>
          <w:tcPr>
            <w:tcW w:w="348" w:type="pct"/>
            <w:vAlign w:val="center"/>
          </w:tcPr>
          <w:p w14:paraId="13CBC9DC" w14:textId="77777777" w:rsidR="007303EE" w:rsidRPr="00797379" w:rsidRDefault="007303EE" w:rsidP="00F5225F">
            <w:pPr>
              <w:pStyle w:val="TableTextCentered"/>
              <w:spacing w:before="0" w:after="0"/>
            </w:pPr>
            <w:r w:rsidRPr="00797379">
              <w:t>18</w:t>
            </w:r>
          </w:p>
        </w:tc>
        <w:tc>
          <w:tcPr>
            <w:tcW w:w="289" w:type="pct"/>
            <w:vAlign w:val="center"/>
          </w:tcPr>
          <w:p w14:paraId="0C0BBEDD" w14:textId="77777777" w:rsidR="007303EE" w:rsidRPr="00797379" w:rsidRDefault="007303EE" w:rsidP="00F5225F">
            <w:pPr>
              <w:pStyle w:val="TableTextCentered"/>
              <w:spacing w:before="0" w:after="0"/>
            </w:pPr>
            <w:r w:rsidRPr="00797379">
              <w:t>100</w:t>
            </w:r>
          </w:p>
        </w:tc>
        <w:tc>
          <w:tcPr>
            <w:tcW w:w="289" w:type="pct"/>
            <w:vAlign w:val="center"/>
          </w:tcPr>
          <w:p w14:paraId="39A5D1C4" w14:textId="77777777" w:rsidR="007303EE" w:rsidRPr="00797379" w:rsidRDefault="007303EE" w:rsidP="00F5225F">
            <w:pPr>
              <w:pStyle w:val="TableTextCentered"/>
              <w:spacing w:before="0" w:after="0"/>
            </w:pPr>
            <w:r w:rsidRPr="00797379">
              <w:t>80</w:t>
            </w:r>
          </w:p>
        </w:tc>
        <w:tc>
          <w:tcPr>
            <w:tcW w:w="289" w:type="pct"/>
            <w:vAlign w:val="center"/>
          </w:tcPr>
          <w:p w14:paraId="296D2FDC" w14:textId="77777777" w:rsidR="007303EE" w:rsidRPr="00797379" w:rsidRDefault="007303EE" w:rsidP="00F5225F">
            <w:pPr>
              <w:pStyle w:val="TableTextCentered"/>
              <w:spacing w:before="0" w:after="0"/>
            </w:pPr>
            <w:r w:rsidRPr="00797379">
              <w:t>67</w:t>
            </w:r>
          </w:p>
        </w:tc>
        <w:tc>
          <w:tcPr>
            <w:tcW w:w="289" w:type="pct"/>
            <w:vAlign w:val="center"/>
          </w:tcPr>
          <w:p w14:paraId="5CD1D4BA" w14:textId="77777777" w:rsidR="007303EE" w:rsidRPr="00797379" w:rsidRDefault="007303EE" w:rsidP="00F5225F">
            <w:pPr>
              <w:pStyle w:val="TableTextCentered"/>
              <w:spacing w:before="0" w:after="0"/>
            </w:pPr>
            <w:r w:rsidRPr="00797379">
              <w:t>23</w:t>
            </w:r>
          </w:p>
        </w:tc>
        <w:tc>
          <w:tcPr>
            <w:tcW w:w="289" w:type="pct"/>
            <w:vAlign w:val="center"/>
          </w:tcPr>
          <w:p w14:paraId="78DABA2F" w14:textId="77777777" w:rsidR="007303EE" w:rsidRPr="00797379" w:rsidRDefault="007303EE" w:rsidP="00F5225F">
            <w:pPr>
              <w:pStyle w:val="TableTextCentered"/>
              <w:spacing w:before="0" w:after="0"/>
            </w:pPr>
            <w:r w:rsidRPr="00797379">
              <w:t>0</w:t>
            </w:r>
          </w:p>
        </w:tc>
        <w:tc>
          <w:tcPr>
            <w:tcW w:w="289" w:type="pct"/>
            <w:vAlign w:val="center"/>
          </w:tcPr>
          <w:p w14:paraId="7A259C60" w14:textId="77777777" w:rsidR="007303EE" w:rsidRPr="00797379" w:rsidRDefault="007303EE" w:rsidP="00F5225F">
            <w:pPr>
              <w:pStyle w:val="TableTextCentered"/>
              <w:spacing w:before="0" w:after="0"/>
            </w:pPr>
            <w:r w:rsidRPr="00797379">
              <w:t>13</w:t>
            </w:r>
          </w:p>
        </w:tc>
        <w:tc>
          <w:tcPr>
            <w:tcW w:w="289" w:type="pct"/>
            <w:vAlign w:val="center"/>
          </w:tcPr>
          <w:p w14:paraId="0FED0018" w14:textId="77777777" w:rsidR="007303EE" w:rsidRPr="00797379" w:rsidRDefault="007303EE" w:rsidP="00F5225F">
            <w:pPr>
              <w:pStyle w:val="TableTextCentered"/>
              <w:spacing w:before="0" w:after="0"/>
            </w:pPr>
            <w:r w:rsidRPr="00797379">
              <w:t>22</w:t>
            </w:r>
          </w:p>
        </w:tc>
        <w:tc>
          <w:tcPr>
            <w:tcW w:w="289" w:type="pct"/>
            <w:vAlign w:val="center"/>
          </w:tcPr>
          <w:p w14:paraId="12295DE1" w14:textId="77777777" w:rsidR="007303EE" w:rsidRPr="00797379" w:rsidRDefault="007303EE" w:rsidP="00F5225F">
            <w:pPr>
              <w:pStyle w:val="TableTextCentered"/>
              <w:spacing w:before="0" w:after="0"/>
            </w:pPr>
            <w:r w:rsidRPr="00797379">
              <w:t>47</w:t>
            </w:r>
          </w:p>
        </w:tc>
        <w:tc>
          <w:tcPr>
            <w:tcW w:w="289" w:type="pct"/>
            <w:vAlign w:val="center"/>
          </w:tcPr>
          <w:p w14:paraId="58034D50" w14:textId="77777777" w:rsidR="007303EE" w:rsidRPr="00797379" w:rsidRDefault="007303EE" w:rsidP="00F5225F">
            <w:pPr>
              <w:pStyle w:val="TableTextCentered"/>
              <w:spacing w:before="0" w:after="0"/>
            </w:pPr>
            <w:r w:rsidRPr="00797379">
              <w:t>0</w:t>
            </w:r>
          </w:p>
        </w:tc>
        <w:tc>
          <w:tcPr>
            <w:tcW w:w="289" w:type="pct"/>
            <w:vAlign w:val="center"/>
          </w:tcPr>
          <w:p w14:paraId="11B9E855" w14:textId="77777777" w:rsidR="007303EE" w:rsidRPr="00797379" w:rsidRDefault="007303EE" w:rsidP="00F5225F">
            <w:pPr>
              <w:pStyle w:val="TableTextCentered"/>
              <w:spacing w:before="0" w:after="0"/>
            </w:pPr>
            <w:r w:rsidRPr="00797379">
              <w:t>7</w:t>
            </w:r>
          </w:p>
        </w:tc>
        <w:tc>
          <w:tcPr>
            <w:tcW w:w="289" w:type="pct"/>
            <w:vAlign w:val="center"/>
          </w:tcPr>
          <w:p w14:paraId="2412B86E" w14:textId="77777777" w:rsidR="007303EE" w:rsidRPr="00797379" w:rsidRDefault="007303EE" w:rsidP="00F5225F">
            <w:pPr>
              <w:pStyle w:val="TableTextCentered"/>
              <w:spacing w:before="0" w:after="0"/>
            </w:pPr>
            <w:r w:rsidRPr="00797379">
              <w:t>11</w:t>
            </w:r>
          </w:p>
        </w:tc>
        <w:tc>
          <w:tcPr>
            <w:tcW w:w="290" w:type="pct"/>
            <w:vAlign w:val="center"/>
          </w:tcPr>
          <w:p w14:paraId="7D3A2C99" w14:textId="77777777" w:rsidR="007303EE" w:rsidRPr="00797379" w:rsidRDefault="007303EE" w:rsidP="00F5225F">
            <w:pPr>
              <w:pStyle w:val="TableTextCentered"/>
              <w:spacing w:before="0" w:after="0"/>
            </w:pPr>
            <w:r w:rsidRPr="00797379">
              <w:t>30</w:t>
            </w:r>
          </w:p>
        </w:tc>
      </w:tr>
      <w:tr w:rsidR="007303EE" w:rsidRPr="00797379" w14:paraId="09D56208" w14:textId="77777777" w:rsidTr="000B5510">
        <w:tc>
          <w:tcPr>
            <w:tcW w:w="1179" w:type="pct"/>
          </w:tcPr>
          <w:p w14:paraId="64DF3DBA" w14:textId="77777777" w:rsidR="007303EE" w:rsidRPr="00F5225F" w:rsidRDefault="007303EE" w:rsidP="00F5225F">
            <w:pPr>
              <w:pStyle w:val="TableSubheading"/>
              <w:spacing w:before="0" w:after="0"/>
              <w:rPr>
                <w:rFonts w:asciiTheme="minorHAnsi" w:hAnsiTheme="minorHAnsi"/>
              </w:rPr>
            </w:pPr>
            <w:r w:rsidRPr="00F5225F">
              <w:rPr>
                <w:rFonts w:asciiTheme="minorHAnsi" w:hAnsiTheme="minorHAnsi"/>
              </w:rPr>
              <w:t>Multi-Race, Not Hispanic or Latino</w:t>
            </w:r>
          </w:p>
        </w:tc>
        <w:tc>
          <w:tcPr>
            <w:tcW w:w="348" w:type="pct"/>
            <w:vAlign w:val="center"/>
          </w:tcPr>
          <w:p w14:paraId="63500519" w14:textId="77777777" w:rsidR="007303EE" w:rsidRPr="00797379" w:rsidRDefault="007303EE" w:rsidP="00F5225F">
            <w:pPr>
              <w:pStyle w:val="TableTextCentered"/>
              <w:spacing w:before="0" w:after="0"/>
            </w:pPr>
            <w:r w:rsidRPr="00797379">
              <w:t>16</w:t>
            </w:r>
          </w:p>
        </w:tc>
        <w:tc>
          <w:tcPr>
            <w:tcW w:w="289" w:type="pct"/>
            <w:vAlign w:val="center"/>
          </w:tcPr>
          <w:p w14:paraId="0FE08BF1" w14:textId="77777777" w:rsidR="007303EE" w:rsidRPr="00797379" w:rsidRDefault="007303EE" w:rsidP="00F5225F">
            <w:pPr>
              <w:pStyle w:val="TableTextCentered"/>
              <w:spacing w:before="0" w:after="0"/>
            </w:pPr>
            <w:r w:rsidRPr="00797379">
              <w:t>83</w:t>
            </w:r>
          </w:p>
        </w:tc>
        <w:tc>
          <w:tcPr>
            <w:tcW w:w="289" w:type="pct"/>
            <w:vAlign w:val="center"/>
          </w:tcPr>
          <w:p w14:paraId="346559B1" w14:textId="77777777" w:rsidR="007303EE" w:rsidRPr="00797379" w:rsidRDefault="007303EE" w:rsidP="00F5225F">
            <w:pPr>
              <w:pStyle w:val="TableTextCentered"/>
              <w:spacing w:before="0" w:after="0"/>
            </w:pPr>
            <w:r w:rsidRPr="00797379">
              <w:t>90</w:t>
            </w:r>
          </w:p>
        </w:tc>
        <w:tc>
          <w:tcPr>
            <w:tcW w:w="289" w:type="pct"/>
            <w:vAlign w:val="center"/>
          </w:tcPr>
          <w:p w14:paraId="2F2EBD88" w14:textId="77777777" w:rsidR="007303EE" w:rsidRPr="00797379" w:rsidRDefault="007303EE" w:rsidP="00F5225F">
            <w:pPr>
              <w:pStyle w:val="TableTextCentered"/>
              <w:spacing w:before="0" w:after="0"/>
            </w:pPr>
            <w:r w:rsidRPr="00797379">
              <w:t>94</w:t>
            </w:r>
          </w:p>
        </w:tc>
        <w:tc>
          <w:tcPr>
            <w:tcW w:w="289" w:type="pct"/>
            <w:vAlign w:val="center"/>
          </w:tcPr>
          <w:p w14:paraId="2F29E944" w14:textId="77777777" w:rsidR="007303EE" w:rsidRPr="00797379" w:rsidRDefault="007303EE" w:rsidP="00F5225F">
            <w:pPr>
              <w:pStyle w:val="TableTextCentered"/>
              <w:spacing w:before="0" w:after="0"/>
            </w:pPr>
            <w:r w:rsidRPr="00797379">
              <w:t>47</w:t>
            </w:r>
          </w:p>
        </w:tc>
        <w:tc>
          <w:tcPr>
            <w:tcW w:w="289" w:type="pct"/>
            <w:vAlign w:val="center"/>
          </w:tcPr>
          <w:p w14:paraId="75E6ADE4" w14:textId="77777777" w:rsidR="007303EE" w:rsidRPr="00797379" w:rsidRDefault="007303EE" w:rsidP="00F5225F">
            <w:pPr>
              <w:pStyle w:val="TableTextCentered"/>
              <w:spacing w:before="0" w:after="0"/>
            </w:pPr>
            <w:r w:rsidRPr="00797379">
              <w:t>17</w:t>
            </w:r>
          </w:p>
        </w:tc>
        <w:tc>
          <w:tcPr>
            <w:tcW w:w="289" w:type="pct"/>
            <w:vAlign w:val="center"/>
          </w:tcPr>
          <w:p w14:paraId="2DA9FC04" w14:textId="77777777" w:rsidR="007303EE" w:rsidRPr="00797379" w:rsidRDefault="007303EE" w:rsidP="00F5225F">
            <w:pPr>
              <w:pStyle w:val="TableTextCentered"/>
              <w:spacing w:before="0" w:after="0"/>
            </w:pPr>
            <w:r w:rsidRPr="00797379">
              <w:t>10</w:t>
            </w:r>
          </w:p>
        </w:tc>
        <w:tc>
          <w:tcPr>
            <w:tcW w:w="289" w:type="pct"/>
            <w:vAlign w:val="center"/>
          </w:tcPr>
          <w:p w14:paraId="6D35E66A" w14:textId="77777777" w:rsidR="007303EE" w:rsidRPr="00797379" w:rsidRDefault="007303EE" w:rsidP="00F5225F">
            <w:pPr>
              <w:pStyle w:val="TableTextCentered"/>
              <w:spacing w:before="0" w:after="0"/>
            </w:pPr>
            <w:r w:rsidRPr="00797379">
              <w:t>6</w:t>
            </w:r>
          </w:p>
        </w:tc>
        <w:tc>
          <w:tcPr>
            <w:tcW w:w="289" w:type="pct"/>
            <w:vAlign w:val="center"/>
          </w:tcPr>
          <w:p w14:paraId="47D55CDB" w14:textId="77777777" w:rsidR="007303EE" w:rsidRPr="00797379" w:rsidRDefault="007303EE" w:rsidP="00F5225F">
            <w:pPr>
              <w:pStyle w:val="TableTextCentered"/>
              <w:spacing w:before="0" w:after="0"/>
            </w:pPr>
            <w:r w:rsidRPr="00797379">
              <w:t>39</w:t>
            </w:r>
          </w:p>
        </w:tc>
        <w:tc>
          <w:tcPr>
            <w:tcW w:w="289" w:type="pct"/>
            <w:vAlign w:val="center"/>
          </w:tcPr>
          <w:p w14:paraId="5F580A35" w14:textId="77777777" w:rsidR="007303EE" w:rsidRPr="00797379" w:rsidRDefault="007303EE" w:rsidP="00F5225F">
            <w:pPr>
              <w:pStyle w:val="TableTextCentered"/>
              <w:spacing w:before="0" w:after="0"/>
            </w:pPr>
            <w:r w:rsidRPr="00797379">
              <w:t>0</w:t>
            </w:r>
          </w:p>
        </w:tc>
        <w:tc>
          <w:tcPr>
            <w:tcW w:w="289" w:type="pct"/>
            <w:vAlign w:val="center"/>
          </w:tcPr>
          <w:p w14:paraId="4F8C8C7D" w14:textId="77777777" w:rsidR="007303EE" w:rsidRPr="00797379" w:rsidRDefault="007303EE" w:rsidP="00F5225F">
            <w:pPr>
              <w:pStyle w:val="TableTextCentered"/>
              <w:spacing w:before="0" w:after="0"/>
            </w:pPr>
            <w:r w:rsidRPr="00797379">
              <w:t>0</w:t>
            </w:r>
          </w:p>
        </w:tc>
        <w:tc>
          <w:tcPr>
            <w:tcW w:w="289" w:type="pct"/>
            <w:vAlign w:val="center"/>
          </w:tcPr>
          <w:p w14:paraId="5DF66D34" w14:textId="77777777" w:rsidR="007303EE" w:rsidRPr="00797379" w:rsidRDefault="007303EE" w:rsidP="00F5225F">
            <w:pPr>
              <w:pStyle w:val="TableTextCentered"/>
              <w:spacing w:before="0" w:after="0"/>
            </w:pPr>
            <w:r w:rsidRPr="00797379">
              <w:t>0</w:t>
            </w:r>
          </w:p>
        </w:tc>
        <w:tc>
          <w:tcPr>
            <w:tcW w:w="290" w:type="pct"/>
            <w:vAlign w:val="center"/>
          </w:tcPr>
          <w:p w14:paraId="51C83CE8" w14:textId="77777777" w:rsidR="007303EE" w:rsidRPr="00797379" w:rsidRDefault="007303EE" w:rsidP="00F5225F">
            <w:pPr>
              <w:pStyle w:val="TableTextCentered"/>
              <w:spacing w:before="0" w:after="0"/>
            </w:pPr>
            <w:r w:rsidRPr="00797379">
              <w:t>13</w:t>
            </w:r>
          </w:p>
        </w:tc>
      </w:tr>
      <w:tr w:rsidR="007303EE" w:rsidRPr="00797379" w14:paraId="767C5060" w14:textId="77777777" w:rsidTr="000B5510">
        <w:trPr>
          <w:cnfStyle w:val="000000100000" w:firstRow="0" w:lastRow="0" w:firstColumn="0" w:lastColumn="0" w:oddVBand="0" w:evenVBand="0" w:oddHBand="1" w:evenHBand="0" w:firstRowFirstColumn="0" w:firstRowLastColumn="0" w:lastRowFirstColumn="0" w:lastRowLastColumn="0"/>
        </w:trPr>
        <w:tc>
          <w:tcPr>
            <w:tcW w:w="1179" w:type="pct"/>
          </w:tcPr>
          <w:p w14:paraId="5A1E86E6" w14:textId="77777777" w:rsidR="007303EE" w:rsidRPr="00F5225F" w:rsidRDefault="007303EE" w:rsidP="00F5225F">
            <w:pPr>
              <w:pStyle w:val="TableSubheading"/>
              <w:spacing w:before="0" w:after="0"/>
              <w:rPr>
                <w:rFonts w:asciiTheme="minorHAnsi" w:hAnsiTheme="minorHAnsi"/>
                <w:spacing w:val="-4"/>
              </w:rPr>
            </w:pPr>
            <w:r w:rsidRPr="00F5225F">
              <w:rPr>
                <w:rFonts w:asciiTheme="minorHAnsi" w:hAnsiTheme="minorHAnsi"/>
                <w:spacing w:val="-4"/>
              </w:rPr>
              <w:t>Native Hawaiian or Other Pacific Islander</w:t>
            </w:r>
          </w:p>
        </w:tc>
        <w:tc>
          <w:tcPr>
            <w:tcW w:w="348" w:type="pct"/>
            <w:vAlign w:val="center"/>
          </w:tcPr>
          <w:p w14:paraId="602A1605" w14:textId="2CEF020D" w:rsidR="007303EE" w:rsidRPr="00797379" w:rsidRDefault="000B5510" w:rsidP="00F5225F">
            <w:pPr>
              <w:pStyle w:val="TableTextCentered"/>
              <w:spacing w:before="0" w:after="0"/>
            </w:pPr>
            <w:r>
              <w:t>N/A</w:t>
            </w:r>
          </w:p>
        </w:tc>
        <w:tc>
          <w:tcPr>
            <w:tcW w:w="289" w:type="pct"/>
            <w:vAlign w:val="center"/>
          </w:tcPr>
          <w:p w14:paraId="499BB04E" w14:textId="59C52CD0" w:rsidR="007303EE" w:rsidRPr="00797379" w:rsidRDefault="000B5510" w:rsidP="00F5225F">
            <w:pPr>
              <w:pStyle w:val="TableTextCentered"/>
              <w:spacing w:before="0" w:after="0"/>
            </w:pPr>
            <w:r>
              <w:t>N/A</w:t>
            </w:r>
          </w:p>
        </w:tc>
        <w:tc>
          <w:tcPr>
            <w:tcW w:w="289" w:type="pct"/>
            <w:vAlign w:val="center"/>
          </w:tcPr>
          <w:p w14:paraId="74C78F27" w14:textId="67AA357B" w:rsidR="007303EE" w:rsidRPr="00797379" w:rsidRDefault="000B5510" w:rsidP="00F5225F">
            <w:pPr>
              <w:pStyle w:val="TableTextCentered"/>
              <w:spacing w:before="0" w:after="0"/>
            </w:pPr>
            <w:r>
              <w:t>N/A</w:t>
            </w:r>
          </w:p>
        </w:tc>
        <w:tc>
          <w:tcPr>
            <w:tcW w:w="289" w:type="pct"/>
            <w:vAlign w:val="center"/>
          </w:tcPr>
          <w:p w14:paraId="26CBBDCF" w14:textId="346E1A48" w:rsidR="007303EE" w:rsidRPr="00797379" w:rsidRDefault="000B5510" w:rsidP="00F5225F">
            <w:pPr>
              <w:pStyle w:val="TableTextCentered"/>
              <w:spacing w:before="0" w:after="0"/>
            </w:pPr>
            <w:r>
              <w:t>N/A</w:t>
            </w:r>
          </w:p>
        </w:tc>
        <w:tc>
          <w:tcPr>
            <w:tcW w:w="289" w:type="pct"/>
            <w:vAlign w:val="center"/>
          </w:tcPr>
          <w:p w14:paraId="713D84BD" w14:textId="77777777" w:rsidR="007303EE" w:rsidRPr="00797379" w:rsidRDefault="007303EE" w:rsidP="00F5225F">
            <w:pPr>
              <w:pStyle w:val="TableTextCentered"/>
              <w:spacing w:before="0" w:after="0"/>
            </w:pPr>
            <w:r w:rsidRPr="00797379">
              <w:t>38</w:t>
            </w:r>
          </w:p>
        </w:tc>
        <w:tc>
          <w:tcPr>
            <w:tcW w:w="289" w:type="pct"/>
            <w:vAlign w:val="center"/>
          </w:tcPr>
          <w:p w14:paraId="601A3EFE" w14:textId="4D85F5FB" w:rsidR="007303EE" w:rsidRPr="00797379" w:rsidRDefault="000B5510" w:rsidP="00F5225F">
            <w:pPr>
              <w:pStyle w:val="TableTextCentered"/>
              <w:spacing w:before="0" w:after="0"/>
            </w:pPr>
            <w:r>
              <w:t>N/A</w:t>
            </w:r>
          </w:p>
        </w:tc>
        <w:tc>
          <w:tcPr>
            <w:tcW w:w="289" w:type="pct"/>
            <w:vAlign w:val="center"/>
          </w:tcPr>
          <w:p w14:paraId="69EF8BAF" w14:textId="0C122DB7" w:rsidR="007303EE" w:rsidRPr="00797379" w:rsidRDefault="000B5510" w:rsidP="00F5225F">
            <w:pPr>
              <w:pStyle w:val="TableTextCentered"/>
              <w:spacing w:before="0" w:after="0"/>
            </w:pPr>
            <w:r>
              <w:t>N/A</w:t>
            </w:r>
          </w:p>
        </w:tc>
        <w:tc>
          <w:tcPr>
            <w:tcW w:w="289" w:type="pct"/>
            <w:vAlign w:val="center"/>
          </w:tcPr>
          <w:p w14:paraId="25CEAA9E" w14:textId="63BAF93F" w:rsidR="007303EE" w:rsidRPr="00797379" w:rsidRDefault="000B5510" w:rsidP="00F5225F">
            <w:pPr>
              <w:pStyle w:val="TableTextCentered"/>
              <w:spacing w:before="0" w:after="0"/>
            </w:pPr>
            <w:r>
              <w:t>N/A</w:t>
            </w:r>
          </w:p>
        </w:tc>
        <w:tc>
          <w:tcPr>
            <w:tcW w:w="289" w:type="pct"/>
            <w:vAlign w:val="center"/>
          </w:tcPr>
          <w:p w14:paraId="04743469" w14:textId="77777777" w:rsidR="007303EE" w:rsidRPr="00797379" w:rsidRDefault="007303EE" w:rsidP="00F5225F">
            <w:pPr>
              <w:pStyle w:val="TableTextCentered"/>
              <w:spacing w:before="0" w:after="0"/>
            </w:pPr>
            <w:r w:rsidRPr="00797379">
              <w:t>48</w:t>
            </w:r>
          </w:p>
        </w:tc>
        <w:tc>
          <w:tcPr>
            <w:tcW w:w="289" w:type="pct"/>
            <w:vAlign w:val="center"/>
          </w:tcPr>
          <w:p w14:paraId="790B5EC8" w14:textId="622A79DC" w:rsidR="007303EE" w:rsidRPr="00797379" w:rsidRDefault="000B5510" w:rsidP="00F5225F">
            <w:pPr>
              <w:pStyle w:val="TableTextCentered"/>
              <w:spacing w:before="0" w:after="0"/>
            </w:pPr>
            <w:r>
              <w:t>N/A</w:t>
            </w:r>
          </w:p>
        </w:tc>
        <w:tc>
          <w:tcPr>
            <w:tcW w:w="289" w:type="pct"/>
            <w:vAlign w:val="center"/>
          </w:tcPr>
          <w:p w14:paraId="4440192A" w14:textId="7DF03398" w:rsidR="007303EE" w:rsidRPr="00797379" w:rsidRDefault="000B5510" w:rsidP="00F5225F">
            <w:pPr>
              <w:pStyle w:val="TableTextCentered"/>
              <w:spacing w:before="0" w:after="0"/>
            </w:pPr>
            <w:r>
              <w:t>N/A</w:t>
            </w:r>
          </w:p>
        </w:tc>
        <w:tc>
          <w:tcPr>
            <w:tcW w:w="289" w:type="pct"/>
            <w:vAlign w:val="center"/>
          </w:tcPr>
          <w:p w14:paraId="6A12397F" w14:textId="0A5B5D31" w:rsidR="007303EE" w:rsidRPr="00797379" w:rsidRDefault="000B5510" w:rsidP="00F5225F">
            <w:pPr>
              <w:pStyle w:val="TableTextCentered"/>
              <w:spacing w:before="0" w:after="0"/>
            </w:pPr>
            <w:r>
              <w:t>N/A</w:t>
            </w:r>
          </w:p>
        </w:tc>
        <w:tc>
          <w:tcPr>
            <w:tcW w:w="290" w:type="pct"/>
            <w:vAlign w:val="center"/>
          </w:tcPr>
          <w:p w14:paraId="5834A3CA" w14:textId="77777777" w:rsidR="007303EE" w:rsidRPr="00797379" w:rsidRDefault="007303EE" w:rsidP="00F5225F">
            <w:pPr>
              <w:pStyle w:val="TableTextCentered"/>
              <w:spacing w:before="0" w:after="0"/>
            </w:pPr>
            <w:r w:rsidRPr="00797379">
              <w:t>14</w:t>
            </w:r>
          </w:p>
        </w:tc>
      </w:tr>
      <w:tr w:rsidR="007303EE" w:rsidRPr="00797379" w14:paraId="44D3C85A" w14:textId="77777777" w:rsidTr="000B5510">
        <w:tc>
          <w:tcPr>
            <w:tcW w:w="1179" w:type="pct"/>
          </w:tcPr>
          <w:p w14:paraId="1A246478" w14:textId="77777777" w:rsidR="007303EE" w:rsidRPr="00F5225F" w:rsidRDefault="007303EE" w:rsidP="00F5225F">
            <w:pPr>
              <w:pStyle w:val="TableSubheading"/>
              <w:spacing w:before="0" w:after="0"/>
              <w:rPr>
                <w:rFonts w:asciiTheme="minorHAnsi" w:hAnsiTheme="minorHAnsi"/>
              </w:rPr>
            </w:pPr>
            <w:r w:rsidRPr="00F5225F">
              <w:rPr>
                <w:rFonts w:asciiTheme="minorHAnsi" w:hAnsiTheme="minorHAnsi"/>
              </w:rPr>
              <w:t>White</w:t>
            </w:r>
          </w:p>
        </w:tc>
        <w:tc>
          <w:tcPr>
            <w:tcW w:w="348" w:type="pct"/>
            <w:vAlign w:val="center"/>
          </w:tcPr>
          <w:p w14:paraId="012F1129" w14:textId="77777777" w:rsidR="007303EE" w:rsidRPr="00797379" w:rsidRDefault="007303EE" w:rsidP="00F5225F">
            <w:pPr>
              <w:pStyle w:val="TableTextCentered"/>
              <w:spacing w:before="0" w:after="0"/>
            </w:pPr>
            <w:r w:rsidRPr="00797379">
              <w:t>239</w:t>
            </w:r>
          </w:p>
        </w:tc>
        <w:tc>
          <w:tcPr>
            <w:tcW w:w="289" w:type="pct"/>
            <w:vAlign w:val="center"/>
          </w:tcPr>
          <w:p w14:paraId="05B202E7" w14:textId="77777777" w:rsidR="007303EE" w:rsidRPr="00797379" w:rsidRDefault="007303EE" w:rsidP="00F5225F">
            <w:pPr>
              <w:pStyle w:val="TableTextCentered"/>
              <w:spacing w:before="0" w:after="0"/>
            </w:pPr>
            <w:r w:rsidRPr="00797379">
              <w:t>83</w:t>
            </w:r>
          </w:p>
        </w:tc>
        <w:tc>
          <w:tcPr>
            <w:tcW w:w="289" w:type="pct"/>
            <w:vAlign w:val="center"/>
          </w:tcPr>
          <w:p w14:paraId="19260375" w14:textId="77777777" w:rsidR="007303EE" w:rsidRPr="00797379" w:rsidRDefault="007303EE" w:rsidP="00F5225F">
            <w:pPr>
              <w:pStyle w:val="TableTextCentered"/>
              <w:spacing w:before="0" w:after="0"/>
            </w:pPr>
            <w:r w:rsidRPr="00797379">
              <w:t>82</w:t>
            </w:r>
          </w:p>
        </w:tc>
        <w:tc>
          <w:tcPr>
            <w:tcW w:w="289" w:type="pct"/>
            <w:vAlign w:val="center"/>
          </w:tcPr>
          <w:p w14:paraId="625F4C91" w14:textId="77777777" w:rsidR="007303EE" w:rsidRPr="00797379" w:rsidRDefault="007303EE" w:rsidP="00F5225F">
            <w:pPr>
              <w:pStyle w:val="TableTextCentered"/>
              <w:spacing w:before="0" w:after="0"/>
            </w:pPr>
            <w:r w:rsidRPr="00797379">
              <w:t>73</w:t>
            </w:r>
          </w:p>
        </w:tc>
        <w:tc>
          <w:tcPr>
            <w:tcW w:w="289" w:type="pct"/>
            <w:vAlign w:val="center"/>
          </w:tcPr>
          <w:p w14:paraId="7D0945EC" w14:textId="77777777" w:rsidR="007303EE" w:rsidRPr="00797379" w:rsidRDefault="007303EE" w:rsidP="00F5225F">
            <w:pPr>
              <w:pStyle w:val="TableTextCentered"/>
              <w:spacing w:before="0" w:after="0"/>
            </w:pPr>
            <w:r w:rsidRPr="00797379">
              <w:t>53</w:t>
            </w:r>
          </w:p>
        </w:tc>
        <w:tc>
          <w:tcPr>
            <w:tcW w:w="289" w:type="pct"/>
            <w:vAlign w:val="center"/>
          </w:tcPr>
          <w:p w14:paraId="67CC6CB0" w14:textId="77777777" w:rsidR="007303EE" w:rsidRPr="00797379" w:rsidRDefault="007303EE" w:rsidP="00F5225F">
            <w:pPr>
              <w:pStyle w:val="TableTextCentered"/>
              <w:spacing w:before="0" w:after="0"/>
            </w:pPr>
            <w:r w:rsidRPr="00797379">
              <w:t>14</w:t>
            </w:r>
          </w:p>
        </w:tc>
        <w:tc>
          <w:tcPr>
            <w:tcW w:w="289" w:type="pct"/>
            <w:vAlign w:val="center"/>
          </w:tcPr>
          <w:p w14:paraId="287282D1" w14:textId="77777777" w:rsidR="007303EE" w:rsidRPr="00797379" w:rsidRDefault="007303EE" w:rsidP="00F5225F">
            <w:pPr>
              <w:pStyle w:val="TableTextCentered"/>
              <w:spacing w:before="0" w:after="0"/>
            </w:pPr>
            <w:r w:rsidRPr="00797379">
              <w:t>14</w:t>
            </w:r>
          </w:p>
        </w:tc>
        <w:tc>
          <w:tcPr>
            <w:tcW w:w="289" w:type="pct"/>
            <w:vAlign w:val="center"/>
          </w:tcPr>
          <w:p w14:paraId="4C114E76" w14:textId="77777777" w:rsidR="007303EE" w:rsidRPr="00797379" w:rsidRDefault="007303EE" w:rsidP="00F5225F">
            <w:pPr>
              <w:pStyle w:val="TableTextCentered"/>
              <w:spacing w:before="0" w:after="0"/>
            </w:pPr>
            <w:r w:rsidRPr="00797379">
              <w:t>21</w:t>
            </w:r>
          </w:p>
        </w:tc>
        <w:tc>
          <w:tcPr>
            <w:tcW w:w="289" w:type="pct"/>
            <w:vAlign w:val="center"/>
          </w:tcPr>
          <w:p w14:paraId="4EFBEA18" w14:textId="77777777" w:rsidR="007303EE" w:rsidRPr="00797379" w:rsidRDefault="007303EE" w:rsidP="00F5225F">
            <w:pPr>
              <w:pStyle w:val="TableTextCentered"/>
              <w:spacing w:before="0" w:after="0"/>
            </w:pPr>
            <w:r w:rsidRPr="00797379">
              <w:t>37</w:t>
            </w:r>
          </w:p>
        </w:tc>
        <w:tc>
          <w:tcPr>
            <w:tcW w:w="289" w:type="pct"/>
            <w:vAlign w:val="center"/>
          </w:tcPr>
          <w:p w14:paraId="315083C5" w14:textId="77777777" w:rsidR="007303EE" w:rsidRPr="00797379" w:rsidRDefault="007303EE" w:rsidP="00F5225F">
            <w:pPr>
              <w:pStyle w:val="TableTextCentered"/>
              <w:spacing w:before="0" w:after="0"/>
            </w:pPr>
            <w:r w:rsidRPr="00797379">
              <w:t>2</w:t>
            </w:r>
          </w:p>
        </w:tc>
        <w:tc>
          <w:tcPr>
            <w:tcW w:w="289" w:type="pct"/>
            <w:vAlign w:val="center"/>
          </w:tcPr>
          <w:p w14:paraId="78DBE95D" w14:textId="77777777" w:rsidR="007303EE" w:rsidRPr="00797379" w:rsidRDefault="007303EE" w:rsidP="00F5225F">
            <w:pPr>
              <w:pStyle w:val="TableTextCentered"/>
              <w:spacing w:before="0" w:after="0"/>
            </w:pPr>
            <w:r w:rsidRPr="00797379">
              <w:t>5</w:t>
            </w:r>
          </w:p>
        </w:tc>
        <w:tc>
          <w:tcPr>
            <w:tcW w:w="289" w:type="pct"/>
            <w:vAlign w:val="center"/>
          </w:tcPr>
          <w:p w14:paraId="27949BF5" w14:textId="77777777" w:rsidR="007303EE" w:rsidRPr="00797379" w:rsidRDefault="007303EE" w:rsidP="00F5225F">
            <w:pPr>
              <w:pStyle w:val="TableTextCentered"/>
              <w:spacing w:before="0" w:after="0"/>
            </w:pPr>
            <w:r w:rsidRPr="00797379">
              <w:t>6</w:t>
            </w:r>
          </w:p>
        </w:tc>
        <w:tc>
          <w:tcPr>
            <w:tcW w:w="290" w:type="pct"/>
            <w:vAlign w:val="center"/>
          </w:tcPr>
          <w:p w14:paraId="0B2FD38F" w14:textId="77777777" w:rsidR="007303EE" w:rsidRPr="00797379" w:rsidRDefault="007303EE" w:rsidP="00F5225F">
            <w:pPr>
              <w:pStyle w:val="TableTextCentered"/>
              <w:spacing w:before="0" w:after="0"/>
            </w:pPr>
            <w:r w:rsidRPr="00797379">
              <w:t>10</w:t>
            </w:r>
          </w:p>
        </w:tc>
      </w:tr>
      <w:tr w:rsidR="007303EE" w:rsidRPr="00797379" w14:paraId="2811D815" w14:textId="77777777" w:rsidTr="000B5510">
        <w:trPr>
          <w:cnfStyle w:val="000000100000" w:firstRow="0" w:lastRow="0" w:firstColumn="0" w:lastColumn="0" w:oddVBand="0" w:evenVBand="0" w:oddHBand="1" w:evenHBand="0" w:firstRowFirstColumn="0" w:firstRowLastColumn="0" w:lastRowFirstColumn="0" w:lastRowLastColumn="0"/>
        </w:trPr>
        <w:tc>
          <w:tcPr>
            <w:tcW w:w="1179" w:type="pct"/>
          </w:tcPr>
          <w:p w14:paraId="0BB9EF67" w14:textId="77777777" w:rsidR="007303EE" w:rsidRPr="00F5225F" w:rsidRDefault="007303EE" w:rsidP="00F5225F">
            <w:pPr>
              <w:pStyle w:val="TableSubheading"/>
              <w:spacing w:before="0" w:after="0"/>
              <w:rPr>
                <w:rFonts w:asciiTheme="minorHAnsi" w:hAnsiTheme="minorHAnsi"/>
              </w:rPr>
            </w:pPr>
            <w:r w:rsidRPr="00F5225F">
              <w:rPr>
                <w:rFonts w:asciiTheme="minorHAnsi" w:hAnsiTheme="minorHAnsi"/>
              </w:rPr>
              <w:t>High Needs</w:t>
            </w:r>
          </w:p>
        </w:tc>
        <w:tc>
          <w:tcPr>
            <w:tcW w:w="348" w:type="pct"/>
            <w:vAlign w:val="center"/>
          </w:tcPr>
          <w:p w14:paraId="7721F990" w14:textId="77777777" w:rsidR="007303EE" w:rsidRPr="00797379" w:rsidRDefault="007303EE" w:rsidP="00F5225F">
            <w:pPr>
              <w:pStyle w:val="TableTextCentered"/>
              <w:spacing w:before="0" w:after="0"/>
            </w:pPr>
            <w:r w:rsidRPr="00797379">
              <w:t>78</w:t>
            </w:r>
          </w:p>
        </w:tc>
        <w:tc>
          <w:tcPr>
            <w:tcW w:w="289" w:type="pct"/>
            <w:vAlign w:val="center"/>
          </w:tcPr>
          <w:p w14:paraId="6D6FFD86" w14:textId="77777777" w:rsidR="007303EE" w:rsidRPr="00797379" w:rsidRDefault="007303EE" w:rsidP="00F5225F">
            <w:pPr>
              <w:pStyle w:val="TableTextCentered"/>
              <w:spacing w:before="0" w:after="0"/>
            </w:pPr>
            <w:r w:rsidRPr="00797379">
              <w:t>58</w:t>
            </w:r>
          </w:p>
        </w:tc>
        <w:tc>
          <w:tcPr>
            <w:tcW w:w="289" w:type="pct"/>
            <w:vAlign w:val="center"/>
          </w:tcPr>
          <w:p w14:paraId="7C5DF364" w14:textId="77777777" w:rsidR="007303EE" w:rsidRPr="00797379" w:rsidRDefault="007303EE" w:rsidP="00F5225F">
            <w:pPr>
              <w:pStyle w:val="TableTextCentered"/>
              <w:spacing w:before="0" w:after="0"/>
            </w:pPr>
            <w:r w:rsidRPr="00797379">
              <w:t>49</w:t>
            </w:r>
          </w:p>
        </w:tc>
        <w:tc>
          <w:tcPr>
            <w:tcW w:w="289" w:type="pct"/>
            <w:vAlign w:val="center"/>
          </w:tcPr>
          <w:p w14:paraId="3B4F2AF4" w14:textId="77777777" w:rsidR="007303EE" w:rsidRPr="00797379" w:rsidRDefault="007303EE" w:rsidP="00F5225F">
            <w:pPr>
              <w:pStyle w:val="TableTextCentered"/>
              <w:spacing w:before="0" w:after="0"/>
            </w:pPr>
            <w:r w:rsidRPr="00797379">
              <w:t>32</w:t>
            </w:r>
          </w:p>
        </w:tc>
        <w:tc>
          <w:tcPr>
            <w:tcW w:w="289" w:type="pct"/>
            <w:vAlign w:val="center"/>
          </w:tcPr>
          <w:p w14:paraId="672FB492" w14:textId="77777777" w:rsidR="007303EE" w:rsidRPr="00797379" w:rsidRDefault="007303EE" w:rsidP="00F5225F">
            <w:pPr>
              <w:pStyle w:val="TableTextCentered"/>
              <w:spacing w:before="0" w:after="0"/>
            </w:pPr>
            <w:r w:rsidRPr="00797379">
              <w:t>24</w:t>
            </w:r>
          </w:p>
        </w:tc>
        <w:tc>
          <w:tcPr>
            <w:tcW w:w="289" w:type="pct"/>
            <w:vAlign w:val="center"/>
          </w:tcPr>
          <w:p w14:paraId="2C2F2E64" w14:textId="77777777" w:rsidR="007303EE" w:rsidRPr="00797379" w:rsidRDefault="007303EE" w:rsidP="00F5225F">
            <w:pPr>
              <w:pStyle w:val="TableTextCentered"/>
              <w:spacing w:before="0" w:after="0"/>
            </w:pPr>
            <w:r w:rsidRPr="00797379">
              <w:t>35</w:t>
            </w:r>
          </w:p>
        </w:tc>
        <w:tc>
          <w:tcPr>
            <w:tcW w:w="289" w:type="pct"/>
            <w:vAlign w:val="center"/>
          </w:tcPr>
          <w:p w14:paraId="291374A4" w14:textId="77777777" w:rsidR="007303EE" w:rsidRPr="00797379" w:rsidRDefault="007303EE" w:rsidP="00F5225F">
            <w:pPr>
              <w:pStyle w:val="TableTextCentered"/>
              <w:spacing w:before="0" w:after="0"/>
            </w:pPr>
            <w:r w:rsidRPr="00797379">
              <w:t>34</w:t>
            </w:r>
          </w:p>
        </w:tc>
        <w:tc>
          <w:tcPr>
            <w:tcW w:w="289" w:type="pct"/>
            <w:vAlign w:val="center"/>
          </w:tcPr>
          <w:p w14:paraId="6A6E87E6" w14:textId="77777777" w:rsidR="007303EE" w:rsidRPr="00797379" w:rsidRDefault="007303EE" w:rsidP="00F5225F">
            <w:pPr>
              <w:pStyle w:val="TableTextCentered"/>
              <w:spacing w:before="0" w:after="0"/>
            </w:pPr>
            <w:r w:rsidRPr="00797379">
              <w:t>46</w:t>
            </w:r>
          </w:p>
        </w:tc>
        <w:tc>
          <w:tcPr>
            <w:tcW w:w="289" w:type="pct"/>
            <w:vAlign w:val="center"/>
          </w:tcPr>
          <w:p w14:paraId="2D6077F8" w14:textId="77777777" w:rsidR="007303EE" w:rsidRPr="00797379" w:rsidRDefault="007303EE" w:rsidP="00F5225F">
            <w:pPr>
              <w:pStyle w:val="TableTextCentered"/>
              <w:spacing w:before="0" w:after="0"/>
            </w:pPr>
            <w:r w:rsidRPr="00797379">
              <w:t>49</w:t>
            </w:r>
          </w:p>
        </w:tc>
        <w:tc>
          <w:tcPr>
            <w:tcW w:w="289" w:type="pct"/>
            <w:vAlign w:val="center"/>
          </w:tcPr>
          <w:p w14:paraId="68E730C5" w14:textId="77777777" w:rsidR="007303EE" w:rsidRPr="00797379" w:rsidRDefault="007303EE" w:rsidP="00F5225F">
            <w:pPr>
              <w:pStyle w:val="TableTextCentered"/>
              <w:spacing w:before="0" w:after="0"/>
            </w:pPr>
            <w:r w:rsidRPr="00797379">
              <w:t>7</w:t>
            </w:r>
          </w:p>
        </w:tc>
        <w:tc>
          <w:tcPr>
            <w:tcW w:w="289" w:type="pct"/>
            <w:vAlign w:val="center"/>
          </w:tcPr>
          <w:p w14:paraId="0846E0F1" w14:textId="77777777" w:rsidR="007303EE" w:rsidRPr="00797379" w:rsidRDefault="007303EE" w:rsidP="00F5225F">
            <w:pPr>
              <w:pStyle w:val="TableTextCentered"/>
              <w:spacing w:before="0" w:after="0"/>
            </w:pPr>
            <w:r w:rsidRPr="00797379">
              <w:t>18</w:t>
            </w:r>
          </w:p>
        </w:tc>
        <w:tc>
          <w:tcPr>
            <w:tcW w:w="289" w:type="pct"/>
            <w:vAlign w:val="center"/>
          </w:tcPr>
          <w:p w14:paraId="22303C31" w14:textId="77777777" w:rsidR="007303EE" w:rsidRPr="00797379" w:rsidRDefault="007303EE" w:rsidP="00F5225F">
            <w:pPr>
              <w:pStyle w:val="TableTextCentered"/>
              <w:spacing w:before="0" w:after="0"/>
            </w:pPr>
            <w:r w:rsidRPr="00797379">
              <w:t>22</w:t>
            </w:r>
          </w:p>
        </w:tc>
        <w:tc>
          <w:tcPr>
            <w:tcW w:w="290" w:type="pct"/>
            <w:vAlign w:val="center"/>
          </w:tcPr>
          <w:p w14:paraId="2F81F7F2" w14:textId="77777777" w:rsidR="007303EE" w:rsidRPr="00797379" w:rsidRDefault="007303EE" w:rsidP="00F5225F">
            <w:pPr>
              <w:pStyle w:val="TableTextCentered"/>
              <w:spacing w:before="0" w:after="0"/>
            </w:pPr>
            <w:r w:rsidRPr="00797379">
              <w:t>28</w:t>
            </w:r>
          </w:p>
        </w:tc>
      </w:tr>
      <w:tr w:rsidR="007303EE" w:rsidRPr="00797379" w14:paraId="5E6F8A56" w14:textId="77777777" w:rsidTr="000B5510">
        <w:tc>
          <w:tcPr>
            <w:tcW w:w="1179" w:type="pct"/>
          </w:tcPr>
          <w:p w14:paraId="4F9B56F3" w14:textId="77777777" w:rsidR="007303EE" w:rsidRPr="00F5225F" w:rsidRDefault="007303EE" w:rsidP="00F5225F">
            <w:pPr>
              <w:pStyle w:val="TableSubheading"/>
              <w:spacing w:before="0" w:after="0"/>
              <w:rPr>
                <w:rFonts w:asciiTheme="minorHAnsi" w:hAnsiTheme="minorHAnsi"/>
              </w:rPr>
            </w:pPr>
            <w:r w:rsidRPr="00F5225F">
              <w:rPr>
                <w:rFonts w:asciiTheme="minorHAnsi" w:hAnsiTheme="minorHAnsi"/>
              </w:rPr>
              <w:t>English Learners</w:t>
            </w:r>
          </w:p>
        </w:tc>
        <w:tc>
          <w:tcPr>
            <w:tcW w:w="348" w:type="pct"/>
            <w:vAlign w:val="center"/>
          </w:tcPr>
          <w:p w14:paraId="15638065" w14:textId="77777777" w:rsidR="007303EE" w:rsidRPr="00797379" w:rsidRDefault="007303EE" w:rsidP="00F5225F">
            <w:pPr>
              <w:pStyle w:val="TableTextCentered"/>
              <w:spacing w:before="0" w:after="0"/>
            </w:pPr>
            <w:r w:rsidRPr="00797379">
              <w:t>5</w:t>
            </w:r>
          </w:p>
        </w:tc>
        <w:tc>
          <w:tcPr>
            <w:tcW w:w="289" w:type="pct"/>
            <w:vAlign w:val="center"/>
          </w:tcPr>
          <w:p w14:paraId="25416D8C" w14:textId="65469ADC" w:rsidR="007303EE" w:rsidRPr="00797379" w:rsidRDefault="000B5510" w:rsidP="00F5225F">
            <w:pPr>
              <w:pStyle w:val="TableTextCentered"/>
              <w:spacing w:before="0" w:after="0"/>
            </w:pPr>
            <w:r>
              <w:t>N/A</w:t>
            </w:r>
          </w:p>
        </w:tc>
        <w:tc>
          <w:tcPr>
            <w:tcW w:w="289" w:type="pct"/>
            <w:vAlign w:val="center"/>
          </w:tcPr>
          <w:p w14:paraId="5A1458F1" w14:textId="77777777" w:rsidR="007303EE" w:rsidRPr="00797379" w:rsidRDefault="007303EE" w:rsidP="00F5225F">
            <w:pPr>
              <w:pStyle w:val="TableTextCentered"/>
              <w:spacing w:before="0" w:after="0"/>
            </w:pPr>
            <w:r w:rsidRPr="00797379">
              <w:t>62</w:t>
            </w:r>
          </w:p>
        </w:tc>
        <w:tc>
          <w:tcPr>
            <w:tcW w:w="289" w:type="pct"/>
            <w:vAlign w:val="center"/>
          </w:tcPr>
          <w:p w14:paraId="59A50185" w14:textId="545D05D6" w:rsidR="007303EE" w:rsidRPr="00797379" w:rsidRDefault="000B5510" w:rsidP="00F5225F">
            <w:pPr>
              <w:pStyle w:val="TableTextCentered"/>
              <w:spacing w:before="0" w:after="0"/>
            </w:pPr>
            <w:r>
              <w:t>N/A</w:t>
            </w:r>
          </w:p>
        </w:tc>
        <w:tc>
          <w:tcPr>
            <w:tcW w:w="289" w:type="pct"/>
            <w:vAlign w:val="center"/>
          </w:tcPr>
          <w:p w14:paraId="2A3841B4" w14:textId="77777777" w:rsidR="007303EE" w:rsidRPr="00797379" w:rsidRDefault="007303EE" w:rsidP="00F5225F">
            <w:pPr>
              <w:pStyle w:val="TableTextCentered"/>
              <w:spacing w:before="0" w:after="0"/>
            </w:pPr>
            <w:r w:rsidRPr="00797379">
              <w:t>13</w:t>
            </w:r>
          </w:p>
        </w:tc>
        <w:tc>
          <w:tcPr>
            <w:tcW w:w="289" w:type="pct"/>
            <w:vAlign w:val="center"/>
          </w:tcPr>
          <w:p w14:paraId="4B3D6FEE" w14:textId="4A1071CD" w:rsidR="007303EE" w:rsidRPr="00797379" w:rsidRDefault="000B5510" w:rsidP="00F5225F">
            <w:pPr>
              <w:pStyle w:val="TableTextCentered"/>
              <w:spacing w:before="0" w:after="0"/>
            </w:pPr>
            <w:r>
              <w:t>N/A</w:t>
            </w:r>
          </w:p>
        </w:tc>
        <w:tc>
          <w:tcPr>
            <w:tcW w:w="289" w:type="pct"/>
            <w:vAlign w:val="center"/>
          </w:tcPr>
          <w:p w14:paraId="0EFBD9A0" w14:textId="77777777" w:rsidR="007303EE" w:rsidRPr="00797379" w:rsidRDefault="007303EE" w:rsidP="00F5225F">
            <w:pPr>
              <w:pStyle w:val="TableTextCentered"/>
              <w:spacing w:before="0" w:after="0"/>
            </w:pPr>
            <w:r w:rsidRPr="00797379">
              <w:t>23</w:t>
            </w:r>
          </w:p>
        </w:tc>
        <w:tc>
          <w:tcPr>
            <w:tcW w:w="289" w:type="pct"/>
            <w:vAlign w:val="center"/>
          </w:tcPr>
          <w:p w14:paraId="6ED892A2" w14:textId="0ADD5284" w:rsidR="007303EE" w:rsidRPr="00797379" w:rsidRDefault="000B5510" w:rsidP="00F5225F">
            <w:pPr>
              <w:pStyle w:val="TableTextCentered"/>
              <w:spacing w:before="0" w:after="0"/>
            </w:pPr>
            <w:r>
              <w:t>N/A</w:t>
            </w:r>
          </w:p>
        </w:tc>
        <w:tc>
          <w:tcPr>
            <w:tcW w:w="289" w:type="pct"/>
            <w:vAlign w:val="center"/>
          </w:tcPr>
          <w:p w14:paraId="057E43F2" w14:textId="77777777" w:rsidR="007303EE" w:rsidRPr="00797379" w:rsidRDefault="007303EE" w:rsidP="00F5225F">
            <w:pPr>
              <w:pStyle w:val="TableTextCentered"/>
              <w:spacing w:before="0" w:after="0"/>
            </w:pPr>
            <w:r w:rsidRPr="00797379">
              <w:t>43</w:t>
            </w:r>
          </w:p>
        </w:tc>
        <w:tc>
          <w:tcPr>
            <w:tcW w:w="289" w:type="pct"/>
            <w:vAlign w:val="center"/>
          </w:tcPr>
          <w:p w14:paraId="58014E63" w14:textId="615EF6F2" w:rsidR="007303EE" w:rsidRPr="00797379" w:rsidRDefault="000B5510" w:rsidP="00F5225F">
            <w:pPr>
              <w:pStyle w:val="TableTextCentered"/>
              <w:spacing w:before="0" w:after="0"/>
            </w:pPr>
            <w:r>
              <w:t>N/A</w:t>
            </w:r>
          </w:p>
        </w:tc>
        <w:tc>
          <w:tcPr>
            <w:tcW w:w="289" w:type="pct"/>
            <w:vAlign w:val="center"/>
          </w:tcPr>
          <w:p w14:paraId="45292400" w14:textId="77777777" w:rsidR="007303EE" w:rsidRPr="00797379" w:rsidRDefault="007303EE" w:rsidP="00F5225F">
            <w:pPr>
              <w:pStyle w:val="TableTextCentered"/>
              <w:spacing w:before="0" w:after="0"/>
            </w:pPr>
            <w:r w:rsidRPr="00797379">
              <w:t>15</w:t>
            </w:r>
          </w:p>
        </w:tc>
        <w:tc>
          <w:tcPr>
            <w:tcW w:w="289" w:type="pct"/>
            <w:vAlign w:val="center"/>
          </w:tcPr>
          <w:p w14:paraId="5656ED63" w14:textId="608AA0A0" w:rsidR="007303EE" w:rsidRPr="00797379" w:rsidRDefault="000B5510" w:rsidP="00F5225F">
            <w:pPr>
              <w:pStyle w:val="TableTextCentered"/>
              <w:spacing w:before="0" w:after="0"/>
            </w:pPr>
            <w:r>
              <w:t>N/A</w:t>
            </w:r>
          </w:p>
        </w:tc>
        <w:tc>
          <w:tcPr>
            <w:tcW w:w="290" w:type="pct"/>
            <w:vAlign w:val="center"/>
          </w:tcPr>
          <w:p w14:paraId="5FDDE38D" w14:textId="77777777" w:rsidR="007303EE" w:rsidRPr="00797379" w:rsidRDefault="007303EE" w:rsidP="00F5225F">
            <w:pPr>
              <w:pStyle w:val="TableTextCentered"/>
              <w:spacing w:before="0" w:after="0"/>
            </w:pPr>
            <w:r w:rsidRPr="00797379">
              <w:t>44</w:t>
            </w:r>
          </w:p>
        </w:tc>
      </w:tr>
      <w:tr w:rsidR="007303EE" w:rsidRPr="00797379" w14:paraId="775FB79C" w14:textId="77777777" w:rsidTr="000B5510">
        <w:trPr>
          <w:cnfStyle w:val="000000100000" w:firstRow="0" w:lastRow="0" w:firstColumn="0" w:lastColumn="0" w:oddVBand="0" w:evenVBand="0" w:oddHBand="1" w:evenHBand="0" w:firstRowFirstColumn="0" w:firstRowLastColumn="0" w:lastRowFirstColumn="0" w:lastRowLastColumn="0"/>
        </w:trPr>
        <w:tc>
          <w:tcPr>
            <w:tcW w:w="1179" w:type="pct"/>
          </w:tcPr>
          <w:p w14:paraId="781AF794" w14:textId="77777777" w:rsidR="007303EE" w:rsidRPr="00F5225F" w:rsidRDefault="007303EE" w:rsidP="00F5225F">
            <w:pPr>
              <w:pStyle w:val="TableSubheading"/>
              <w:spacing w:before="0" w:after="0"/>
              <w:rPr>
                <w:rFonts w:asciiTheme="minorHAnsi" w:hAnsiTheme="minorHAnsi"/>
                <w:spacing w:val="-4"/>
              </w:rPr>
            </w:pPr>
            <w:r w:rsidRPr="00F5225F">
              <w:rPr>
                <w:rFonts w:asciiTheme="minorHAnsi" w:hAnsiTheme="minorHAnsi"/>
                <w:spacing w:val="-4"/>
              </w:rPr>
              <w:t>Low Income</w:t>
            </w:r>
          </w:p>
        </w:tc>
        <w:tc>
          <w:tcPr>
            <w:tcW w:w="348" w:type="pct"/>
            <w:vAlign w:val="center"/>
          </w:tcPr>
          <w:p w14:paraId="3D98F003" w14:textId="77777777" w:rsidR="007303EE" w:rsidRPr="00797379" w:rsidRDefault="007303EE" w:rsidP="00F5225F">
            <w:pPr>
              <w:pStyle w:val="TableTextCentered"/>
              <w:spacing w:before="0" w:after="0"/>
            </w:pPr>
            <w:r w:rsidRPr="00797379">
              <w:t>30</w:t>
            </w:r>
          </w:p>
        </w:tc>
        <w:tc>
          <w:tcPr>
            <w:tcW w:w="289" w:type="pct"/>
            <w:vAlign w:val="center"/>
          </w:tcPr>
          <w:p w14:paraId="2F3C77AF" w14:textId="77777777" w:rsidR="007303EE" w:rsidRPr="00797379" w:rsidRDefault="007303EE" w:rsidP="00F5225F">
            <w:pPr>
              <w:pStyle w:val="TableTextCentered"/>
              <w:spacing w:before="0" w:after="0"/>
            </w:pPr>
            <w:r w:rsidRPr="00797379">
              <w:t>57</w:t>
            </w:r>
          </w:p>
        </w:tc>
        <w:tc>
          <w:tcPr>
            <w:tcW w:w="289" w:type="pct"/>
            <w:vAlign w:val="center"/>
          </w:tcPr>
          <w:p w14:paraId="3DC85130" w14:textId="77777777" w:rsidR="007303EE" w:rsidRPr="00797379" w:rsidRDefault="007303EE" w:rsidP="00F5225F">
            <w:pPr>
              <w:pStyle w:val="TableTextCentered"/>
              <w:spacing w:before="0" w:after="0"/>
            </w:pPr>
            <w:r w:rsidRPr="00797379">
              <w:t>64</w:t>
            </w:r>
          </w:p>
        </w:tc>
        <w:tc>
          <w:tcPr>
            <w:tcW w:w="289" w:type="pct"/>
            <w:vAlign w:val="center"/>
          </w:tcPr>
          <w:p w14:paraId="48DF6565" w14:textId="77777777" w:rsidR="007303EE" w:rsidRPr="00797379" w:rsidRDefault="007303EE" w:rsidP="00F5225F">
            <w:pPr>
              <w:pStyle w:val="TableTextCentered"/>
              <w:spacing w:before="0" w:after="0"/>
            </w:pPr>
            <w:r w:rsidRPr="00797379">
              <w:t>60</w:t>
            </w:r>
          </w:p>
        </w:tc>
        <w:tc>
          <w:tcPr>
            <w:tcW w:w="289" w:type="pct"/>
            <w:vAlign w:val="center"/>
          </w:tcPr>
          <w:p w14:paraId="3D41AE0E" w14:textId="77777777" w:rsidR="007303EE" w:rsidRPr="00797379" w:rsidRDefault="007303EE" w:rsidP="00F5225F">
            <w:pPr>
              <w:pStyle w:val="TableTextCentered"/>
              <w:spacing w:before="0" w:after="0"/>
            </w:pPr>
            <w:r w:rsidRPr="00797379">
              <w:t>24</w:t>
            </w:r>
          </w:p>
        </w:tc>
        <w:tc>
          <w:tcPr>
            <w:tcW w:w="289" w:type="pct"/>
            <w:vAlign w:val="center"/>
          </w:tcPr>
          <w:p w14:paraId="1BBF2B2D" w14:textId="77777777" w:rsidR="007303EE" w:rsidRPr="00797379" w:rsidRDefault="007303EE" w:rsidP="00F5225F">
            <w:pPr>
              <w:pStyle w:val="TableTextCentered"/>
              <w:spacing w:before="0" w:after="0"/>
            </w:pPr>
            <w:r w:rsidRPr="00797379">
              <w:t>39</w:t>
            </w:r>
          </w:p>
        </w:tc>
        <w:tc>
          <w:tcPr>
            <w:tcW w:w="289" w:type="pct"/>
            <w:vAlign w:val="center"/>
          </w:tcPr>
          <w:p w14:paraId="0FE819E5" w14:textId="77777777" w:rsidR="007303EE" w:rsidRPr="00797379" w:rsidRDefault="007303EE" w:rsidP="00F5225F">
            <w:pPr>
              <w:pStyle w:val="TableTextCentered"/>
              <w:spacing w:before="0" w:after="0"/>
            </w:pPr>
            <w:r w:rsidRPr="00797379">
              <w:t>21</w:t>
            </w:r>
          </w:p>
        </w:tc>
        <w:tc>
          <w:tcPr>
            <w:tcW w:w="289" w:type="pct"/>
            <w:vAlign w:val="center"/>
          </w:tcPr>
          <w:p w14:paraId="563610AD" w14:textId="77777777" w:rsidR="007303EE" w:rsidRPr="00797379" w:rsidRDefault="007303EE" w:rsidP="00F5225F">
            <w:pPr>
              <w:pStyle w:val="TableTextCentered"/>
              <w:spacing w:before="0" w:after="0"/>
            </w:pPr>
            <w:r w:rsidRPr="00797379">
              <w:t>30</w:t>
            </w:r>
          </w:p>
        </w:tc>
        <w:tc>
          <w:tcPr>
            <w:tcW w:w="289" w:type="pct"/>
            <w:vAlign w:val="center"/>
          </w:tcPr>
          <w:p w14:paraId="732A964F" w14:textId="77777777" w:rsidR="007303EE" w:rsidRPr="00797379" w:rsidRDefault="007303EE" w:rsidP="00F5225F">
            <w:pPr>
              <w:pStyle w:val="TableTextCentered"/>
              <w:spacing w:before="0" w:after="0"/>
            </w:pPr>
            <w:r w:rsidRPr="00797379">
              <w:t>48</w:t>
            </w:r>
          </w:p>
        </w:tc>
        <w:tc>
          <w:tcPr>
            <w:tcW w:w="289" w:type="pct"/>
            <w:vAlign w:val="center"/>
          </w:tcPr>
          <w:p w14:paraId="43D55042" w14:textId="77777777" w:rsidR="007303EE" w:rsidRPr="00797379" w:rsidRDefault="007303EE" w:rsidP="00F5225F">
            <w:pPr>
              <w:pStyle w:val="TableTextCentered"/>
              <w:spacing w:before="0" w:after="0"/>
            </w:pPr>
            <w:r w:rsidRPr="00797379">
              <w:t>4</w:t>
            </w:r>
          </w:p>
        </w:tc>
        <w:tc>
          <w:tcPr>
            <w:tcW w:w="289" w:type="pct"/>
            <w:vAlign w:val="center"/>
          </w:tcPr>
          <w:p w14:paraId="6974BBAE" w14:textId="77777777" w:rsidR="007303EE" w:rsidRPr="00797379" w:rsidRDefault="007303EE" w:rsidP="00F5225F">
            <w:pPr>
              <w:pStyle w:val="TableTextCentered"/>
              <w:spacing w:before="0" w:after="0"/>
            </w:pPr>
            <w:r w:rsidRPr="00797379">
              <w:t>14</w:t>
            </w:r>
          </w:p>
        </w:tc>
        <w:tc>
          <w:tcPr>
            <w:tcW w:w="289" w:type="pct"/>
            <w:vAlign w:val="center"/>
          </w:tcPr>
          <w:p w14:paraId="3E50FBE5" w14:textId="77777777" w:rsidR="007303EE" w:rsidRPr="00797379" w:rsidRDefault="007303EE" w:rsidP="00F5225F">
            <w:pPr>
              <w:pStyle w:val="TableTextCentered"/>
              <w:spacing w:before="0" w:after="0"/>
            </w:pPr>
            <w:r w:rsidRPr="00797379">
              <w:t>10</w:t>
            </w:r>
          </w:p>
        </w:tc>
        <w:tc>
          <w:tcPr>
            <w:tcW w:w="290" w:type="pct"/>
            <w:vAlign w:val="center"/>
          </w:tcPr>
          <w:p w14:paraId="43DC596E" w14:textId="77777777" w:rsidR="007303EE" w:rsidRPr="00797379" w:rsidRDefault="007303EE" w:rsidP="00F5225F">
            <w:pPr>
              <w:pStyle w:val="TableTextCentered"/>
              <w:spacing w:before="0" w:after="0"/>
            </w:pPr>
            <w:r w:rsidRPr="00797379">
              <w:t>28</w:t>
            </w:r>
          </w:p>
        </w:tc>
      </w:tr>
      <w:tr w:rsidR="007303EE" w:rsidRPr="00797379" w14:paraId="2479C249" w14:textId="77777777" w:rsidTr="000B5510">
        <w:tc>
          <w:tcPr>
            <w:tcW w:w="1179" w:type="pct"/>
          </w:tcPr>
          <w:p w14:paraId="2E13D608" w14:textId="77777777" w:rsidR="007303EE" w:rsidRPr="00F5225F" w:rsidRDefault="007303EE" w:rsidP="00F5225F">
            <w:pPr>
              <w:pStyle w:val="TableSubheading"/>
              <w:spacing w:before="0" w:after="0"/>
              <w:rPr>
                <w:rFonts w:asciiTheme="minorHAnsi" w:hAnsiTheme="minorHAnsi"/>
              </w:rPr>
            </w:pPr>
            <w:r w:rsidRPr="00F5225F">
              <w:rPr>
                <w:rFonts w:asciiTheme="minorHAnsi" w:hAnsiTheme="minorHAnsi"/>
              </w:rPr>
              <w:t>Students with Disabilities</w:t>
            </w:r>
          </w:p>
        </w:tc>
        <w:tc>
          <w:tcPr>
            <w:tcW w:w="348" w:type="pct"/>
            <w:vAlign w:val="center"/>
          </w:tcPr>
          <w:p w14:paraId="4A06BC35" w14:textId="77777777" w:rsidR="007303EE" w:rsidRPr="00797379" w:rsidRDefault="007303EE" w:rsidP="00F5225F">
            <w:pPr>
              <w:pStyle w:val="TableTextCentered"/>
              <w:spacing w:before="0" w:after="0"/>
            </w:pPr>
            <w:r w:rsidRPr="00797379">
              <w:t>55</w:t>
            </w:r>
          </w:p>
        </w:tc>
        <w:tc>
          <w:tcPr>
            <w:tcW w:w="289" w:type="pct"/>
            <w:vAlign w:val="center"/>
          </w:tcPr>
          <w:p w14:paraId="7F6F2C25" w14:textId="77777777" w:rsidR="007303EE" w:rsidRPr="00797379" w:rsidRDefault="007303EE" w:rsidP="00F5225F">
            <w:pPr>
              <w:pStyle w:val="TableTextCentered"/>
              <w:spacing w:before="0" w:after="0"/>
            </w:pPr>
            <w:r w:rsidRPr="00797379">
              <w:t>54</w:t>
            </w:r>
          </w:p>
        </w:tc>
        <w:tc>
          <w:tcPr>
            <w:tcW w:w="289" w:type="pct"/>
            <w:vAlign w:val="center"/>
          </w:tcPr>
          <w:p w14:paraId="66FD810C" w14:textId="77777777" w:rsidR="007303EE" w:rsidRPr="00797379" w:rsidRDefault="007303EE" w:rsidP="00F5225F">
            <w:pPr>
              <w:pStyle w:val="TableTextCentered"/>
              <w:spacing w:before="0" w:after="0"/>
            </w:pPr>
            <w:r w:rsidRPr="00797379">
              <w:t>30</w:t>
            </w:r>
          </w:p>
        </w:tc>
        <w:tc>
          <w:tcPr>
            <w:tcW w:w="289" w:type="pct"/>
            <w:vAlign w:val="center"/>
          </w:tcPr>
          <w:p w14:paraId="264CA212" w14:textId="77777777" w:rsidR="007303EE" w:rsidRPr="00797379" w:rsidRDefault="007303EE" w:rsidP="00F5225F">
            <w:pPr>
              <w:pStyle w:val="TableTextCentered"/>
              <w:spacing w:before="0" w:after="0"/>
            </w:pPr>
            <w:r w:rsidRPr="00797379">
              <w:t>15</w:t>
            </w:r>
          </w:p>
        </w:tc>
        <w:tc>
          <w:tcPr>
            <w:tcW w:w="289" w:type="pct"/>
            <w:vAlign w:val="center"/>
          </w:tcPr>
          <w:p w14:paraId="64F257EA" w14:textId="77777777" w:rsidR="007303EE" w:rsidRPr="00797379" w:rsidRDefault="007303EE" w:rsidP="00F5225F">
            <w:pPr>
              <w:pStyle w:val="TableTextCentered"/>
              <w:spacing w:before="0" w:after="0"/>
            </w:pPr>
            <w:r w:rsidRPr="00797379">
              <w:t>12</w:t>
            </w:r>
          </w:p>
        </w:tc>
        <w:tc>
          <w:tcPr>
            <w:tcW w:w="289" w:type="pct"/>
            <w:vAlign w:val="center"/>
          </w:tcPr>
          <w:p w14:paraId="4023A1DF" w14:textId="77777777" w:rsidR="007303EE" w:rsidRPr="00797379" w:rsidRDefault="007303EE" w:rsidP="00F5225F">
            <w:pPr>
              <w:pStyle w:val="TableTextCentered"/>
              <w:spacing w:before="0" w:after="0"/>
            </w:pPr>
            <w:r w:rsidRPr="00797379">
              <w:t>37</w:t>
            </w:r>
          </w:p>
        </w:tc>
        <w:tc>
          <w:tcPr>
            <w:tcW w:w="289" w:type="pct"/>
            <w:vAlign w:val="center"/>
          </w:tcPr>
          <w:p w14:paraId="3205B723" w14:textId="77777777" w:rsidR="007303EE" w:rsidRPr="00797379" w:rsidRDefault="007303EE" w:rsidP="00F5225F">
            <w:pPr>
              <w:pStyle w:val="TableTextCentered"/>
              <w:spacing w:before="0" w:after="0"/>
            </w:pPr>
            <w:r w:rsidRPr="00797379">
              <w:t>46</w:t>
            </w:r>
          </w:p>
        </w:tc>
        <w:tc>
          <w:tcPr>
            <w:tcW w:w="289" w:type="pct"/>
            <w:vAlign w:val="center"/>
          </w:tcPr>
          <w:p w14:paraId="204F8C5D" w14:textId="77777777" w:rsidR="007303EE" w:rsidRPr="00797379" w:rsidRDefault="007303EE" w:rsidP="00F5225F">
            <w:pPr>
              <w:pStyle w:val="TableTextCentered"/>
              <w:spacing w:before="0" w:after="0"/>
            </w:pPr>
            <w:r w:rsidRPr="00797379">
              <w:t>55</w:t>
            </w:r>
          </w:p>
        </w:tc>
        <w:tc>
          <w:tcPr>
            <w:tcW w:w="289" w:type="pct"/>
            <w:vAlign w:val="center"/>
          </w:tcPr>
          <w:p w14:paraId="26C88CAD" w14:textId="77777777" w:rsidR="007303EE" w:rsidRPr="00797379" w:rsidRDefault="007303EE" w:rsidP="00F5225F">
            <w:pPr>
              <w:pStyle w:val="TableTextCentered"/>
              <w:spacing w:before="0" w:after="0"/>
            </w:pPr>
            <w:r w:rsidRPr="00797379">
              <w:t>46</w:t>
            </w:r>
          </w:p>
        </w:tc>
        <w:tc>
          <w:tcPr>
            <w:tcW w:w="289" w:type="pct"/>
            <w:vAlign w:val="center"/>
          </w:tcPr>
          <w:p w14:paraId="76C987DC" w14:textId="77777777" w:rsidR="007303EE" w:rsidRPr="00797379" w:rsidRDefault="007303EE" w:rsidP="00F5225F">
            <w:pPr>
              <w:pStyle w:val="TableTextCentered"/>
              <w:spacing w:before="0" w:after="0"/>
            </w:pPr>
            <w:r w:rsidRPr="00797379">
              <w:t>9</w:t>
            </w:r>
          </w:p>
        </w:tc>
        <w:tc>
          <w:tcPr>
            <w:tcW w:w="289" w:type="pct"/>
            <w:vAlign w:val="center"/>
          </w:tcPr>
          <w:p w14:paraId="2C6DF9E9" w14:textId="77777777" w:rsidR="007303EE" w:rsidRPr="00797379" w:rsidRDefault="007303EE" w:rsidP="00F5225F">
            <w:pPr>
              <w:pStyle w:val="TableTextCentered"/>
              <w:spacing w:before="0" w:after="0"/>
            </w:pPr>
            <w:r w:rsidRPr="00797379">
              <w:t>24</w:t>
            </w:r>
          </w:p>
        </w:tc>
        <w:tc>
          <w:tcPr>
            <w:tcW w:w="289" w:type="pct"/>
            <w:vAlign w:val="center"/>
          </w:tcPr>
          <w:p w14:paraId="12192435" w14:textId="77777777" w:rsidR="007303EE" w:rsidRPr="00797379" w:rsidRDefault="007303EE" w:rsidP="00F5225F">
            <w:pPr>
              <w:pStyle w:val="TableTextCentered"/>
              <w:spacing w:before="0" w:after="0"/>
            </w:pPr>
            <w:r w:rsidRPr="00797379">
              <w:t>31</w:t>
            </w:r>
          </w:p>
        </w:tc>
        <w:tc>
          <w:tcPr>
            <w:tcW w:w="290" w:type="pct"/>
            <w:vAlign w:val="center"/>
          </w:tcPr>
          <w:p w14:paraId="698EC072" w14:textId="77777777" w:rsidR="007303EE" w:rsidRPr="00797379" w:rsidRDefault="007303EE" w:rsidP="00F5225F">
            <w:pPr>
              <w:pStyle w:val="TableTextCentered"/>
              <w:spacing w:before="0" w:after="0"/>
            </w:pPr>
            <w:r w:rsidRPr="00797379">
              <w:t>42</w:t>
            </w:r>
          </w:p>
        </w:tc>
      </w:tr>
    </w:tbl>
    <w:p w14:paraId="6E1F416F" w14:textId="533B872A" w:rsidR="007303EE" w:rsidRPr="00797379" w:rsidRDefault="007303EE" w:rsidP="006C2038">
      <w:pPr>
        <w:pStyle w:val="TableETitles"/>
      </w:pPr>
      <w:bookmarkStart w:id="244" w:name="_Toc220933508"/>
      <w:r w:rsidRPr="00797379">
        <w:t>Table E5. MCAS Science Achievement by Student Group, Grades 5 and 8, 2023-2025</w:t>
      </w:r>
      <w:bookmarkEnd w:id="244"/>
    </w:p>
    <w:tbl>
      <w:tblPr>
        <w:tblStyle w:val="MSVTable1"/>
        <w:tblW w:w="5000" w:type="pct"/>
        <w:tblLayout w:type="fixed"/>
        <w:tblLook w:val="0420" w:firstRow="1" w:lastRow="0" w:firstColumn="0" w:lastColumn="0" w:noHBand="0" w:noVBand="1"/>
      </w:tblPr>
      <w:tblGrid>
        <w:gridCol w:w="3056"/>
        <w:gridCol w:w="902"/>
        <w:gridCol w:w="749"/>
        <w:gridCol w:w="749"/>
        <w:gridCol w:w="749"/>
        <w:gridCol w:w="749"/>
        <w:gridCol w:w="749"/>
        <w:gridCol w:w="749"/>
        <w:gridCol w:w="749"/>
        <w:gridCol w:w="748"/>
        <w:gridCol w:w="748"/>
        <w:gridCol w:w="748"/>
        <w:gridCol w:w="748"/>
        <w:gridCol w:w="751"/>
      </w:tblGrid>
      <w:tr w:rsidR="007303EE" w:rsidRPr="00797379" w14:paraId="6CBBA8E7" w14:textId="77777777" w:rsidTr="00132A03">
        <w:trPr>
          <w:cnfStyle w:val="100000000000" w:firstRow="1" w:lastRow="0" w:firstColumn="0" w:lastColumn="0" w:oddVBand="0" w:evenVBand="0" w:oddHBand="0" w:evenHBand="0" w:firstRowFirstColumn="0" w:firstRowLastColumn="0" w:lastRowFirstColumn="0" w:lastRowLastColumn="0"/>
          <w:tblHeader/>
        </w:trPr>
        <w:tc>
          <w:tcPr>
            <w:tcW w:w="1179" w:type="pct"/>
            <w:tcMar>
              <w:left w:w="29" w:type="dxa"/>
              <w:right w:w="29" w:type="dxa"/>
            </w:tcMar>
            <w:vAlign w:val="center"/>
          </w:tcPr>
          <w:p w14:paraId="401E3423" w14:textId="77777777" w:rsidR="007303EE" w:rsidRPr="00797379" w:rsidRDefault="007303EE" w:rsidP="00994F18">
            <w:pPr>
              <w:pStyle w:val="TableColHeadingCenter"/>
            </w:pPr>
            <w:r w:rsidRPr="00797379">
              <w:t>Group</w:t>
            </w:r>
          </w:p>
        </w:tc>
        <w:tc>
          <w:tcPr>
            <w:tcW w:w="348" w:type="pct"/>
            <w:tcMar>
              <w:left w:w="29" w:type="dxa"/>
              <w:right w:w="29" w:type="dxa"/>
            </w:tcMar>
            <w:vAlign w:val="center"/>
          </w:tcPr>
          <w:p w14:paraId="61C30372" w14:textId="77777777" w:rsidR="007303EE" w:rsidRPr="00797379" w:rsidRDefault="007303EE" w:rsidP="00994F18">
            <w:pPr>
              <w:pStyle w:val="TableColHeadingCenter"/>
            </w:pPr>
            <w:r w:rsidRPr="00797379">
              <w:t># Included (2025)</w:t>
            </w:r>
          </w:p>
        </w:tc>
        <w:tc>
          <w:tcPr>
            <w:tcW w:w="289" w:type="pct"/>
            <w:tcMar>
              <w:left w:w="29" w:type="dxa"/>
              <w:right w:w="29" w:type="dxa"/>
            </w:tcMar>
            <w:vAlign w:val="center"/>
          </w:tcPr>
          <w:p w14:paraId="1168195D" w14:textId="77777777" w:rsidR="007303EE" w:rsidRPr="00797379" w:rsidRDefault="007303EE" w:rsidP="00994F18">
            <w:pPr>
              <w:pStyle w:val="TableColHeadingCenter"/>
            </w:pPr>
            <w:r w:rsidRPr="00797379">
              <w:t>% M/E 2023</w:t>
            </w:r>
          </w:p>
        </w:tc>
        <w:tc>
          <w:tcPr>
            <w:tcW w:w="289" w:type="pct"/>
            <w:tcMar>
              <w:left w:w="29" w:type="dxa"/>
              <w:right w:w="29" w:type="dxa"/>
            </w:tcMar>
            <w:vAlign w:val="center"/>
          </w:tcPr>
          <w:p w14:paraId="61A1BC4E" w14:textId="77777777" w:rsidR="007303EE" w:rsidRPr="00797379" w:rsidRDefault="007303EE" w:rsidP="00994F18">
            <w:pPr>
              <w:pStyle w:val="TableColHeadingCenter"/>
            </w:pPr>
            <w:r w:rsidRPr="00797379">
              <w:t>% M/E 2024</w:t>
            </w:r>
          </w:p>
        </w:tc>
        <w:tc>
          <w:tcPr>
            <w:tcW w:w="289" w:type="pct"/>
            <w:tcMar>
              <w:left w:w="29" w:type="dxa"/>
              <w:right w:w="29" w:type="dxa"/>
            </w:tcMar>
            <w:vAlign w:val="center"/>
          </w:tcPr>
          <w:p w14:paraId="14C1ED08" w14:textId="77777777" w:rsidR="007303EE" w:rsidRPr="00797379" w:rsidRDefault="007303EE" w:rsidP="00994F18">
            <w:pPr>
              <w:pStyle w:val="TableColHeadingCenter"/>
            </w:pPr>
            <w:r w:rsidRPr="00797379">
              <w:t>% M/E 2025</w:t>
            </w:r>
          </w:p>
        </w:tc>
        <w:tc>
          <w:tcPr>
            <w:tcW w:w="289" w:type="pct"/>
            <w:tcMar>
              <w:left w:w="29" w:type="dxa"/>
              <w:right w:w="29" w:type="dxa"/>
            </w:tcMar>
            <w:vAlign w:val="center"/>
          </w:tcPr>
          <w:p w14:paraId="6EAF0693" w14:textId="77777777" w:rsidR="007303EE" w:rsidRPr="00797379" w:rsidRDefault="007303EE" w:rsidP="00994F18">
            <w:pPr>
              <w:pStyle w:val="TableColHeadingCenter"/>
            </w:pPr>
            <w:r w:rsidRPr="00797379">
              <w:t>% M/E 2025 State</w:t>
            </w:r>
          </w:p>
        </w:tc>
        <w:tc>
          <w:tcPr>
            <w:tcW w:w="289" w:type="pct"/>
            <w:tcMar>
              <w:left w:w="29" w:type="dxa"/>
              <w:right w:w="29" w:type="dxa"/>
            </w:tcMar>
            <w:vAlign w:val="center"/>
          </w:tcPr>
          <w:p w14:paraId="4B9C17DC" w14:textId="77777777" w:rsidR="007303EE" w:rsidRPr="00797379" w:rsidRDefault="007303EE" w:rsidP="00994F18">
            <w:pPr>
              <w:pStyle w:val="TableColHeadingCenter"/>
            </w:pPr>
            <w:r w:rsidRPr="00797379">
              <w:t>% PME 2023</w:t>
            </w:r>
          </w:p>
        </w:tc>
        <w:tc>
          <w:tcPr>
            <w:tcW w:w="289" w:type="pct"/>
            <w:tcMar>
              <w:left w:w="29" w:type="dxa"/>
              <w:right w:w="29" w:type="dxa"/>
            </w:tcMar>
            <w:vAlign w:val="center"/>
          </w:tcPr>
          <w:p w14:paraId="3E4C2079" w14:textId="77777777" w:rsidR="007303EE" w:rsidRPr="00797379" w:rsidRDefault="007303EE" w:rsidP="00994F18">
            <w:pPr>
              <w:pStyle w:val="TableColHeadingCenter"/>
            </w:pPr>
            <w:r w:rsidRPr="00797379">
              <w:t>% PME 2024</w:t>
            </w:r>
          </w:p>
        </w:tc>
        <w:tc>
          <w:tcPr>
            <w:tcW w:w="289" w:type="pct"/>
            <w:tcMar>
              <w:left w:w="29" w:type="dxa"/>
              <w:right w:w="29" w:type="dxa"/>
            </w:tcMar>
            <w:vAlign w:val="center"/>
          </w:tcPr>
          <w:p w14:paraId="09869BBA" w14:textId="77777777" w:rsidR="007303EE" w:rsidRPr="00797379" w:rsidRDefault="007303EE" w:rsidP="00994F18">
            <w:pPr>
              <w:pStyle w:val="TableColHeadingCenter"/>
            </w:pPr>
            <w:r w:rsidRPr="00797379">
              <w:t>% PME 2025</w:t>
            </w:r>
          </w:p>
        </w:tc>
        <w:tc>
          <w:tcPr>
            <w:tcW w:w="289" w:type="pct"/>
            <w:tcMar>
              <w:left w:w="29" w:type="dxa"/>
              <w:right w:w="29" w:type="dxa"/>
            </w:tcMar>
            <w:vAlign w:val="center"/>
          </w:tcPr>
          <w:p w14:paraId="0C10D2EA" w14:textId="77777777" w:rsidR="007303EE" w:rsidRPr="00797379" w:rsidRDefault="007303EE" w:rsidP="00994F18">
            <w:pPr>
              <w:pStyle w:val="TableColHeadingCenter"/>
            </w:pPr>
            <w:r w:rsidRPr="00797379">
              <w:t>% PME 2025 State</w:t>
            </w:r>
          </w:p>
        </w:tc>
        <w:tc>
          <w:tcPr>
            <w:tcW w:w="289" w:type="pct"/>
            <w:tcMar>
              <w:left w:w="29" w:type="dxa"/>
              <w:right w:w="29" w:type="dxa"/>
            </w:tcMar>
            <w:vAlign w:val="center"/>
          </w:tcPr>
          <w:p w14:paraId="7C781227" w14:textId="77777777" w:rsidR="007303EE" w:rsidRPr="00797379" w:rsidRDefault="007303EE" w:rsidP="00994F18">
            <w:pPr>
              <w:pStyle w:val="TableColHeadingCenter"/>
            </w:pPr>
            <w:r w:rsidRPr="00797379">
              <w:t>% NM 2023</w:t>
            </w:r>
          </w:p>
        </w:tc>
        <w:tc>
          <w:tcPr>
            <w:tcW w:w="289" w:type="pct"/>
            <w:tcMar>
              <w:left w:w="29" w:type="dxa"/>
              <w:right w:w="29" w:type="dxa"/>
            </w:tcMar>
            <w:vAlign w:val="center"/>
          </w:tcPr>
          <w:p w14:paraId="255D5662" w14:textId="77777777" w:rsidR="007303EE" w:rsidRPr="00797379" w:rsidRDefault="007303EE" w:rsidP="00994F18">
            <w:pPr>
              <w:pStyle w:val="TableColHeadingCenter"/>
            </w:pPr>
            <w:r w:rsidRPr="00797379">
              <w:t>% NM 2024</w:t>
            </w:r>
          </w:p>
        </w:tc>
        <w:tc>
          <w:tcPr>
            <w:tcW w:w="289" w:type="pct"/>
            <w:tcMar>
              <w:left w:w="29" w:type="dxa"/>
              <w:right w:w="29" w:type="dxa"/>
            </w:tcMar>
            <w:vAlign w:val="center"/>
          </w:tcPr>
          <w:p w14:paraId="08C7BCF4" w14:textId="77777777" w:rsidR="007303EE" w:rsidRPr="00797379" w:rsidRDefault="007303EE" w:rsidP="00994F18">
            <w:pPr>
              <w:pStyle w:val="TableColHeadingCenter"/>
            </w:pPr>
            <w:r w:rsidRPr="00797379">
              <w:t>% NM 2025</w:t>
            </w:r>
          </w:p>
        </w:tc>
        <w:tc>
          <w:tcPr>
            <w:tcW w:w="290" w:type="pct"/>
            <w:tcMar>
              <w:left w:w="29" w:type="dxa"/>
              <w:right w:w="29" w:type="dxa"/>
            </w:tcMar>
            <w:vAlign w:val="center"/>
          </w:tcPr>
          <w:p w14:paraId="71A89DD3" w14:textId="77777777" w:rsidR="007303EE" w:rsidRPr="00797379" w:rsidRDefault="007303EE" w:rsidP="00994F18">
            <w:pPr>
              <w:pStyle w:val="TableColHeadingCenter"/>
            </w:pPr>
            <w:r w:rsidRPr="00797379">
              <w:t>% NM 2025 State</w:t>
            </w:r>
          </w:p>
        </w:tc>
      </w:tr>
      <w:tr w:rsidR="007303EE" w:rsidRPr="00797379" w14:paraId="53303294" w14:textId="77777777" w:rsidTr="000B5510">
        <w:trPr>
          <w:cnfStyle w:val="000000100000" w:firstRow="0" w:lastRow="0" w:firstColumn="0" w:lastColumn="0" w:oddVBand="0" w:evenVBand="0" w:oddHBand="1" w:evenHBand="0" w:firstRowFirstColumn="0" w:firstRowLastColumn="0" w:lastRowFirstColumn="0" w:lastRowLastColumn="0"/>
        </w:trPr>
        <w:tc>
          <w:tcPr>
            <w:tcW w:w="1179" w:type="pct"/>
          </w:tcPr>
          <w:p w14:paraId="764B8C7E" w14:textId="77777777" w:rsidR="007303EE" w:rsidRPr="00F5225F" w:rsidRDefault="007303EE" w:rsidP="00F5225F">
            <w:pPr>
              <w:pStyle w:val="TableSubheading"/>
              <w:spacing w:before="0" w:after="0"/>
              <w:rPr>
                <w:rFonts w:asciiTheme="minorHAnsi" w:hAnsiTheme="minorHAnsi"/>
              </w:rPr>
            </w:pPr>
            <w:r w:rsidRPr="00F5225F">
              <w:rPr>
                <w:rFonts w:asciiTheme="minorHAnsi" w:hAnsiTheme="minorHAnsi"/>
              </w:rPr>
              <w:t>All Students</w:t>
            </w:r>
          </w:p>
        </w:tc>
        <w:tc>
          <w:tcPr>
            <w:tcW w:w="348" w:type="pct"/>
            <w:vAlign w:val="center"/>
          </w:tcPr>
          <w:p w14:paraId="4B59B13D" w14:textId="77777777" w:rsidR="007303EE" w:rsidRPr="00797379" w:rsidRDefault="007303EE" w:rsidP="00F5225F">
            <w:pPr>
              <w:pStyle w:val="TableTextCentered"/>
              <w:spacing w:before="0" w:after="0"/>
            </w:pPr>
            <w:r w:rsidRPr="00797379">
              <w:t>727</w:t>
            </w:r>
          </w:p>
        </w:tc>
        <w:tc>
          <w:tcPr>
            <w:tcW w:w="289" w:type="pct"/>
            <w:vAlign w:val="center"/>
          </w:tcPr>
          <w:p w14:paraId="4AF1478D" w14:textId="77777777" w:rsidR="007303EE" w:rsidRPr="00797379" w:rsidRDefault="007303EE" w:rsidP="00F5225F">
            <w:pPr>
              <w:pStyle w:val="TableTextCentered"/>
              <w:spacing w:before="0" w:after="0"/>
            </w:pPr>
            <w:r w:rsidRPr="00797379">
              <w:t>75</w:t>
            </w:r>
          </w:p>
        </w:tc>
        <w:tc>
          <w:tcPr>
            <w:tcW w:w="289" w:type="pct"/>
            <w:vAlign w:val="center"/>
          </w:tcPr>
          <w:p w14:paraId="2552D69F" w14:textId="77777777" w:rsidR="007303EE" w:rsidRPr="00797379" w:rsidRDefault="007303EE" w:rsidP="00F5225F">
            <w:pPr>
              <w:pStyle w:val="TableTextCentered"/>
              <w:spacing w:before="0" w:after="0"/>
            </w:pPr>
            <w:r w:rsidRPr="00797379">
              <w:t>80</w:t>
            </w:r>
          </w:p>
        </w:tc>
        <w:tc>
          <w:tcPr>
            <w:tcW w:w="289" w:type="pct"/>
            <w:vAlign w:val="center"/>
          </w:tcPr>
          <w:p w14:paraId="760068E6" w14:textId="77777777" w:rsidR="007303EE" w:rsidRPr="00797379" w:rsidRDefault="007303EE" w:rsidP="00F5225F">
            <w:pPr>
              <w:pStyle w:val="TableTextCentered"/>
              <w:spacing w:before="0" w:after="0"/>
            </w:pPr>
            <w:r w:rsidRPr="00797379">
              <w:t>77</w:t>
            </w:r>
          </w:p>
        </w:tc>
        <w:tc>
          <w:tcPr>
            <w:tcW w:w="289" w:type="pct"/>
            <w:vAlign w:val="center"/>
          </w:tcPr>
          <w:p w14:paraId="08C54947" w14:textId="77777777" w:rsidR="007303EE" w:rsidRPr="00797379" w:rsidRDefault="007303EE" w:rsidP="00F5225F">
            <w:pPr>
              <w:pStyle w:val="TableTextCentered"/>
              <w:spacing w:before="0" w:after="0"/>
            </w:pPr>
            <w:r w:rsidRPr="00797379">
              <w:t>42</w:t>
            </w:r>
          </w:p>
        </w:tc>
        <w:tc>
          <w:tcPr>
            <w:tcW w:w="289" w:type="pct"/>
            <w:vAlign w:val="center"/>
          </w:tcPr>
          <w:p w14:paraId="1398D6E0" w14:textId="77777777" w:rsidR="007303EE" w:rsidRPr="00797379" w:rsidRDefault="007303EE" w:rsidP="00F5225F">
            <w:pPr>
              <w:pStyle w:val="TableTextCentered"/>
              <w:spacing w:before="0" w:after="0"/>
            </w:pPr>
            <w:r w:rsidRPr="00797379">
              <w:t>20</w:t>
            </w:r>
          </w:p>
        </w:tc>
        <w:tc>
          <w:tcPr>
            <w:tcW w:w="289" w:type="pct"/>
            <w:vAlign w:val="center"/>
          </w:tcPr>
          <w:p w14:paraId="69781E0C" w14:textId="77777777" w:rsidR="007303EE" w:rsidRPr="00797379" w:rsidRDefault="007303EE" w:rsidP="00F5225F">
            <w:pPr>
              <w:pStyle w:val="TableTextCentered"/>
              <w:spacing w:before="0" w:after="0"/>
            </w:pPr>
            <w:r w:rsidRPr="00797379">
              <w:t>17</w:t>
            </w:r>
          </w:p>
        </w:tc>
        <w:tc>
          <w:tcPr>
            <w:tcW w:w="289" w:type="pct"/>
            <w:vAlign w:val="center"/>
          </w:tcPr>
          <w:p w14:paraId="4025A7EC" w14:textId="77777777" w:rsidR="007303EE" w:rsidRPr="00797379" w:rsidRDefault="007303EE" w:rsidP="00F5225F">
            <w:pPr>
              <w:pStyle w:val="TableTextCentered"/>
              <w:spacing w:before="0" w:after="0"/>
            </w:pPr>
            <w:r w:rsidRPr="00797379">
              <w:t>20</w:t>
            </w:r>
          </w:p>
        </w:tc>
        <w:tc>
          <w:tcPr>
            <w:tcW w:w="289" w:type="pct"/>
            <w:vAlign w:val="center"/>
          </w:tcPr>
          <w:p w14:paraId="7FA7E258" w14:textId="77777777" w:rsidR="007303EE" w:rsidRPr="00797379" w:rsidRDefault="007303EE" w:rsidP="00F5225F">
            <w:pPr>
              <w:pStyle w:val="TableTextCentered"/>
              <w:spacing w:before="0" w:after="0"/>
            </w:pPr>
            <w:r w:rsidRPr="00797379">
              <w:t>39</w:t>
            </w:r>
          </w:p>
        </w:tc>
        <w:tc>
          <w:tcPr>
            <w:tcW w:w="289" w:type="pct"/>
            <w:vAlign w:val="center"/>
          </w:tcPr>
          <w:p w14:paraId="66A35376" w14:textId="77777777" w:rsidR="007303EE" w:rsidRPr="00797379" w:rsidRDefault="007303EE" w:rsidP="00F5225F">
            <w:pPr>
              <w:pStyle w:val="TableTextCentered"/>
              <w:spacing w:before="0" w:after="0"/>
            </w:pPr>
            <w:r w:rsidRPr="00797379">
              <w:t>5</w:t>
            </w:r>
          </w:p>
        </w:tc>
        <w:tc>
          <w:tcPr>
            <w:tcW w:w="289" w:type="pct"/>
            <w:vAlign w:val="center"/>
          </w:tcPr>
          <w:p w14:paraId="22C5BBB2" w14:textId="77777777" w:rsidR="007303EE" w:rsidRPr="00797379" w:rsidRDefault="007303EE" w:rsidP="00F5225F">
            <w:pPr>
              <w:pStyle w:val="TableTextCentered"/>
              <w:spacing w:before="0" w:after="0"/>
            </w:pPr>
            <w:r w:rsidRPr="00797379">
              <w:t>3</w:t>
            </w:r>
          </w:p>
        </w:tc>
        <w:tc>
          <w:tcPr>
            <w:tcW w:w="289" w:type="pct"/>
            <w:vAlign w:val="center"/>
          </w:tcPr>
          <w:p w14:paraId="16BE6FBD" w14:textId="77777777" w:rsidR="007303EE" w:rsidRPr="00797379" w:rsidRDefault="007303EE" w:rsidP="00F5225F">
            <w:pPr>
              <w:pStyle w:val="TableTextCentered"/>
              <w:spacing w:before="0" w:after="0"/>
            </w:pPr>
            <w:r w:rsidRPr="00797379">
              <w:t>3</w:t>
            </w:r>
          </w:p>
        </w:tc>
        <w:tc>
          <w:tcPr>
            <w:tcW w:w="290" w:type="pct"/>
            <w:vAlign w:val="center"/>
          </w:tcPr>
          <w:p w14:paraId="22D1517F" w14:textId="77777777" w:rsidR="007303EE" w:rsidRPr="00797379" w:rsidRDefault="007303EE" w:rsidP="00F5225F">
            <w:pPr>
              <w:pStyle w:val="TableTextCentered"/>
              <w:spacing w:before="0" w:after="0"/>
            </w:pPr>
            <w:r w:rsidRPr="00797379">
              <w:t>19</w:t>
            </w:r>
          </w:p>
        </w:tc>
      </w:tr>
      <w:tr w:rsidR="007303EE" w:rsidRPr="00797379" w14:paraId="22A6950B" w14:textId="77777777" w:rsidTr="000B5510">
        <w:tc>
          <w:tcPr>
            <w:tcW w:w="1179" w:type="pct"/>
          </w:tcPr>
          <w:p w14:paraId="7B112F81" w14:textId="77777777" w:rsidR="007303EE" w:rsidRPr="00F5225F" w:rsidRDefault="007303EE" w:rsidP="00F5225F">
            <w:pPr>
              <w:pStyle w:val="TableSubheading"/>
              <w:spacing w:before="0" w:after="0"/>
              <w:rPr>
                <w:rFonts w:asciiTheme="minorHAnsi" w:hAnsiTheme="minorHAnsi"/>
              </w:rPr>
            </w:pPr>
            <w:r w:rsidRPr="00F5225F">
              <w:rPr>
                <w:rFonts w:asciiTheme="minorHAnsi" w:hAnsiTheme="minorHAnsi"/>
              </w:rPr>
              <w:t>American Indian or Alaskan Native</w:t>
            </w:r>
          </w:p>
        </w:tc>
        <w:tc>
          <w:tcPr>
            <w:tcW w:w="348" w:type="pct"/>
            <w:vAlign w:val="center"/>
          </w:tcPr>
          <w:p w14:paraId="5D585C9A" w14:textId="77777777" w:rsidR="007303EE" w:rsidRPr="00797379" w:rsidRDefault="007303EE" w:rsidP="00F5225F">
            <w:pPr>
              <w:pStyle w:val="TableTextCentered"/>
              <w:spacing w:before="0" w:after="0"/>
            </w:pPr>
            <w:r w:rsidRPr="00797379">
              <w:t>1</w:t>
            </w:r>
          </w:p>
        </w:tc>
        <w:tc>
          <w:tcPr>
            <w:tcW w:w="289" w:type="pct"/>
            <w:vAlign w:val="center"/>
          </w:tcPr>
          <w:p w14:paraId="21E559C9" w14:textId="78FAE16D" w:rsidR="007303EE" w:rsidRPr="00797379" w:rsidRDefault="000B5510" w:rsidP="00F5225F">
            <w:pPr>
              <w:pStyle w:val="TableTextCentered"/>
              <w:spacing w:before="0" w:after="0"/>
            </w:pPr>
            <w:r>
              <w:t>N/A</w:t>
            </w:r>
          </w:p>
        </w:tc>
        <w:tc>
          <w:tcPr>
            <w:tcW w:w="289" w:type="pct"/>
            <w:vAlign w:val="center"/>
          </w:tcPr>
          <w:p w14:paraId="76B245B0" w14:textId="638ED3F5" w:rsidR="007303EE" w:rsidRPr="00797379" w:rsidRDefault="000B5510" w:rsidP="00F5225F">
            <w:pPr>
              <w:pStyle w:val="TableTextCentered"/>
              <w:spacing w:before="0" w:after="0"/>
            </w:pPr>
            <w:r>
              <w:t>N/A</w:t>
            </w:r>
          </w:p>
        </w:tc>
        <w:tc>
          <w:tcPr>
            <w:tcW w:w="289" w:type="pct"/>
            <w:vAlign w:val="center"/>
          </w:tcPr>
          <w:p w14:paraId="302870B1" w14:textId="66F6CBE6" w:rsidR="007303EE" w:rsidRPr="00797379" w:rsidRDefault="000B5510" w:rsidP="00F5225F">
            <w:pPr>
              <w:pStyle w:val="TableTextCentered"/>
              <w:spacing w:before="0" w:after="0"/>
            </w:pPr>
            <w:r>
              <w:t>N/A</w:t>
            </w:r>
          </w:p>
        </w:tc>
        <w:tc>
          <w:tcPr>
            <w:tcW w:w="289" w:type="pct"/>
            <w:vAlign w:val="center"/>
          </w:tcPr>
          <w:p w14:paraId="1A78049A" w14:textId="77777777" w:rsidR="007303EE" w:rsidRPr="00797379" w:rsidRDefault="007303EE" w:rsidP="00F5225F">
            <w:pPr>
              <w:pStyle w:val="TableTextCentered"/>
              <w:spacing w:before="0" w:after="0"/>
            </w:pPr>
            <w:r w:rsidRPr="00797379">
              <w:t>26</w:t>
            </w:r>
          </w:p>
        </w:tc>
        <w:tc>
          <w:tcPr>
            <w:tcW w:w="289" w:type="pct"/>
            <w:vAlign w:val="center"/>
          </w:tcPr>
          <w:p w14:paraId="09555AAB" w14:textId="049D25D9" w:rsidR="007303EE" w:rsidRPr="00797379" w:rsidRDefault="000B5510" w:rsidP="00F5225F">
            <w:pPr>
              <w:pStyle w:val="TableTextCentered"/>
              <w:spacing w:before="0" w:after="0"/>
            </w:pPr>
            <w:r>
              <w:t>N/A</w:t>
            </w:r>
          </w:p>
        </w:tc>
        <w:tc>
          <w:tcPr>
            <w:tcW w:w="289" w:type="pct"/>
            <w:vAlign w:val="center"/>
          </w:tcPr>
          <w:p w14:paraId="2A8419FB" w14:textId="6D72656C" w:rsidR="007303EE" w:rsidRPr="00797379" w:rsidRDefault="000B5510" w:rsidP="00F5225F">
            <w:pPr>
              <w:pStyle w:val="TableTextCentered"/>
              <w:spacing w:before="0" w:after="0"/>
            </w:pPr>
            <w:r>
              <w:t>N/A</w:t>
            </w:r>
          </w:p>
        </w:tc>
        <w:tc>
          <w:tcPr>
            <w:tcW w:w="289" w:type="pct"/>
            <w:vAlign w:val="center"/>
          </w:tcPr>
          <w:p w14:paraId="28E56D14" w14:textId="07E5FC82" w:rsidR="007303EE" w:rsidRPr="00797379" w:rsidRDefault="000B5510" w:rsidP="00F5225F">
            <w:pPr>
              <w:pStyle w:val="TableTextCentered"/>
              <w:spacing w:before="0" w:after="0"/>
            </w:pPr>
            <w:r>
              <w:t>N/A</w:t>
            </w:r>
          </w:p>
        </w:tc>
        <w:tc>
          <w:tcPr>
            <w:tcW w:w="289" w:type="pct"/>
            <w:vAlign w:val="center"/>
          </w:tcPr>
          <w:p w14:paraId="04966944" w14:textId="77777777" w:rsidR="007303EE" w:rsidRPr="00797379" w:rsidRDefault="007303EE" w:rsidP="00F5225F">
            <w:pPr>
              <w:pStyle w:val="TableTextCentered"/>
              <w:spacing w:before="0" w:after="0"/>
            </w:pPr>
            <w:r w:rsidRPr="00797379">
              <w:t>45</w:t>
            </w:r>
          </w:p>
        </w:tc>
        <w:tc>
          <w:tcPr>
            <w:tcW w:w="289" w:type="pct"/>
            <w:vAlign w:val="center"/>
          </w:tcPr>
          <w:p w14:paraId="195116BE" w14:textId="3EA7846F" w:rsidR="007303EE" w:rsidRPr="00797379" w:rsidRDefault="000B5510" w:rsidP="00F5225F">
            <w:pPr>
              <w:pStyle w:val="TableTextCentered"/>
              <w:spacing w:before="0" w:after="0"/>
            </w:pPr>
            <w:r>
              <w:t>N/A</w:t>
            </w:r>
          </w:p>
        </w:tc>
        <w:tc>
          <w:tcPr>
            <w:tcW w:w="289" w:type="pct"/>
            <w:vAlign w:val="center"/>
          </w:tcPr>
          <w:p w14:paraId="56E243F9" w14:textId="2FCFA58F" w:rsidR="007303EE" w:rsidRPr="00797379" w:rsidRDefault="000B5510" w:rsidP="00F5225F">
            <w:pPr>
              <w:pStyle w:val="TableTextCentered"/>
              <w:spacing w:before="0" w:after="0"/>
            </w:pPr>
            <w:r>
              <w:t>N/A</w:t>
            </w:r>
          </w:p>
        </w:tc>
        <w:tc>
          <w:tcPr>
            <w:tcW w:w="289" w:type="pct"/>
            <w:vAlign w:val="center"/>
          </w:tcPr>
          <w:p w14:paraId="41569634" w14:textId="7E3C17FA" w:rsidR="007303EE" w:rsidRPr="00797379" w:rsidRDefault="000B5510" w:rsidP="00F5225F">
            <w:pPr>
              <w:pStyle w:val="TableTextCentered"/>
              <w:spacing w:before="0" w:after="0"/>
            </w:pPr>
            <w:r>
              <w:t>N/A</w:t>
            </w:r>
          </w:p>
        </w:tc>
        <w:tc>
          <w:tcPr>
            <w:tcW w:w="290" w:type="pct"/>
            <w:vAlign w:val="center"/>
          </w:tcPr>
          <w:p w14:paraId="31CD0E33" w14:textId="77777777" w:rsidR="007303EE" w:rsidRPr="00797379" w:rsidRDefault="007303EE" w:rsidP="00F5225F">
            <w:pPr>
              <w:pStyle w:val="TableTextCentered"/>
              <w:spacing w:before="0" w:after="0"/>
            </w:pPr>
            <w:r w:rsidRPr="00797379">
              <w:t>30</w:t>
            </w:r>
          </w:p>
        </w:tc>
      </w:tr>
      <w:tr w:rsidR="007303EE" w:rsidRPr="00797379" w14:paraId="384574B3" w14:textId="77777777" w:rsidTr="000B5510">
        <w:trPr>
          <w:cnfStyle w:val="000000100000" w:firstRow="0" w:lastRow="0" w:firstColumn="0" w:lastColumn="0" w:oddVBand="0" w:evenVBand="0" w:oddHBand="1" w:evenHBand="0" w:firstRowFirstColumn="0" w:firstRowLastColumn="0" w:lastRowFirstColumn="0" w:lastRowLastColumn="0"/>
        </w:trPr>
        <w:tc>
          <w:tcPr>
            <w:tcW w:w="1179" w:type="pct"/>
          </w:tcPr>
          <w:p w14:paraId="6BB08AA7" w14:textId="77777777" w:rsidR="007303EE" w:rsidRPr="00F5225F" w:rsidRDefault="007303EE" w:rsidP="00F5225F">
            <w:pPr>
              <w:pStyle w:val="TableSubheading"/>
              <w:spacing w:before="0" w:after="0"/>
              <w:rPr>
                <w:rFonts w:asciiTheme="minorHAnsi" w:hAnsiTheme="minorHAnsi"/>
              </w:rPr>
            </w:pPr>
            <w:r w:rsidRPr="00F5225F">
              <w:rPr>
                <w:rFonts w:asciiTheme="minorHAnsi" w:hAnsiTheme="minorHAnsi"/>
              </w:rPr>
              <w:t>Asian</w:t>
            </w:r>
          </w:p>
        </w:tc>
        <w:tc>
          <w:tcPr>
            <w:tcW w:w="348" w:type="pct"/>
            <w:vAlign w:val="center"/>
          </w:tcPr>
          <w:p w14:paraId="6EC429B1" w14:textId="77777777" w:rsidR="007303EE" w:rsidRPr="00797379" w:rsidRDefault="007303EE" w:rsidP="00F5225F">
            <w:pPr>
              <w:pStyle w:val="TableTextCentered"/>
              <w:spacing w:before="0" w:after="0"/>
            </w:pPr>
            <w:r w:rsidRPr="00797379">
              <w:t>144</w:t>
            </w:r>
          </w:p>
        </w:tc>
        <w:tc>
          <w:tcPr>
            <w:tcW w:w="289" w:type="pct"/>
            <w:vAlign w:val="center"/>
          </w:tcPr>
          <w:p w14:paraId="76806368" w14:textId="77777777" w:rsidR="007303EE" w:rsidRPr="00797379" w:rsidRDefault="007303EE" w:rsidP="00F5225F">
            <w:pPr>
              <w:pStyle w:val="TableTextCentered"/>
              <w:spacing w:before="0" w:after="0"/>
            </w:pPr>
            <w:r w:rsidRPr="00797379">
              <w:t>80</w:t>
            </w:r>
          </w:p>
        </w:tc>
        <w:tc>
          <w:tcPr>
            <w:tcW w:w="289" w:type="pct"/>
            <w:vAlign w:val="center"/>
          </w:tcPr>
          <w:p w14:paraId="36729394" w14:textId="77777777" w:rsidR="007303EE" w:rsidRPr="00797379" w:rsidRDefault="007303EE" w:rsidP="00F5225F">
            <w:pPr>
              <w:pStyle w:val="TableTextCentered"/>
              <w:spacing w:before="0" w:after="0"/>
            </w:pPr>
            <w:r w:rsidRPr="00797379">
              <w:t>91</w:t>
            </w:r>
          </w:p>
        </w:tc>
        <w:tc>
          <w:tcPr>
            <w:tcW w:w="289" w:type="pct"/>
            <w:vAlign w:val="center"/>
          </w:tcPr>
          <w:p w14:paraId="649465E9" w14:textId="77777777" w:rsidR="007303EE" w:rsidRPr="00797379" w:rsidRDefault="007303EE" w:rsidP="00F5225F">
            <w:pPr>
              <w:pStyle w:val="TableTextCentered"/>
              <w:spacing w:before="0" w:after="0"/>
            </w:pPr>
            <w:r w:rsidRPr="00797379">
              <w:t>85</w:t>
            </w:r>
          </w:p>
        </w:tc>
        <w:tc>
          <w:tcPr>
            <w:tcW w:w="289" w:type="pct"/>
            <w:vAlign w:val="center"/>
          </w:tcPr>
          <w:p w14:paraId="2C1690FC" w14:textId="77777777" w:rsidR="007303EE" w:rsidRPr="00797379" w:rsidRDefault="007303EE" w:rsidP="00F5225F">
            <w:pPr>
              <w:pStyle w:val="TableTextCentered"/>
              <w:spacing w:before="0" w:after="0"/>
            </w:pPr>
            <w:r w:rsidRPr="00797379">
              <w:t>65</w:t>
            </w:r>
          </w:p>
        </w:tc>
        <w:tc>
          <w:tcPr>
            <w:tcW w:w="289" w:type="pct"/>
            <w:vAlign w:val="center"/>
          </w:tcPr>
          <w:p w14:paraId="78C4D841" w14:textId="77777777" w:rsidR="007303EE" w:rsidRPr="00797379" w:rsidRDefault="007303EE" w:rsidP="00F5225F">
            <w:pPr>
              <w:pStyle w:val="TableTextCentered"/>
              <w:spacing w:before="0" w:after="0"/>
            </w:pPr>
            <w:r w:rsidRPr="00797379">
              <w:t>17</w:t>
            </w:r>
          </w:p>
        </w:tc>
        <w:tc>
          <w:tcPr>
            <w:tcW w:w="289" w:type="pct"/>
            <w:vAlign w:val="center"/>
          </w:tcPr>
          <w:p w14:paraId="32A9251C" w14:textId="77777777" w:rsidR="007303EE" w:rsidRPr="00797379" w:rsidRDefault="007303EE" w:rsidP="00F5225F">
            <w:pPr>
              <w:pStyle w:val="TableTextCentered"/>
              <w:spacing w:before="0" w:after="0"/>
            </w:pPr>
            <w:r w:rsidRPr="00797379">
              <w:t>8</w:t>
            </w:r>
          </w:p>
        </w:tc>
        <w:tc>
          <w:tcPr>
            <w:tcW w:w="289" w:type="pct"/>
            <w:vAlign w:val="center"/>
          </w:tcPr>
          <w:p w14:paraId="1E016171" w14:textId="77777777" w:rsidR="007303EE" w:rsidRPr="00797379" w:rsidRDefault="007303EE" w:rsidP="00F5225F">
            <w:pPr>
              <w:pStyle w:val="TableTextCentered"/>
              <w:spacing w:before="0" w:after="0"/>
            </w:pPr>
            <w:r w:rsidRPr="00797379">
              <w:t>12</w:t>
            </w:r>
          </w:p>
        </w:tc>
        <w:tc>
          <w:tcPr>
            <w:tcW w:w="289" w:type="pct"/>
            <w:vAlign w:val="center"/>
          </w:tcPr>
          <w:p w14:paraId="3603DD5B" w14:textId="77777777" w:rsidR="007303EE" w:rsidRPr="00797379" w:rsidRDefault="007303EE" w:rsidP="00F5225F">
            <w:pPr>
              <w:pStyle w:val="TableTextCentered"/>
              <w:spacing w:before="0" w:after="0"/>
            </w:pPr>
            <w:r w:rsidRPr="00797379">
              <w:t>27</w:t>
            </w:r>
          </w:p>
        </w:tc>
        <w:tc>
          <w:tcPr>
            <w:tcW w:w="289" w:type="pct"/>
            <w:vAlign w:val="center"/>
          </w:tcPr>
          <w:p w14:paraId="4D4FB377" w14:textId="77777777" w:rsidR="007303EE" w:rsidRPr="00797379" w:rsidRDefault="007303EE" w:rsidP="00F5225F">
            <w:pPr>
              <w:pStyle w:val="TableTextCentered"/>
              <w:spacing w:before="0" w:after="0"/>
            </w:pPr>
            <w:r w:rsidRPr="00797379">
              <w:t>3</w:t>
            </w:r>
          </w:p>
        </w:tc>
        <w:tc>
          <w:tcPr>
            <w:tcW w:w="289" w:type="pct"/>
            <w:vAlign w:val="center"/>
          </w:tcPr>
          <w:p w14:paraId="05A4BA0B" w14:textId="77777777" w:rsidR="007303EE" w:rsidRPr="00797379" w:rsidRDefault="007303EE" w:rsidP="00F5225F">
            <w:pPr>
              <w:pStyle w:val="TableTextCentered"/>
              <w:spacing w:before="0" w:after="0"/>
            </w:pPr>
            <w:r w:rsidRPr="00797379">
              <w:t>1</w:t>
            </w:r>
          </w:p>
        </w:tc>
        <w:tc>
          <w:tcPr>
            <w:tcW w:w="289" w:type="pct"/>
            <w:vAlign w:val="center"/>
          </w:tcPr>
          <w:p w14:paraId="1B81FB5C" w14:textId="77777777" w:rsidR="007303EE" w:rsidRPr="00797379" w:rsidRDefault="007303EE" w:rsidP="00F5225F">
            <w:pPr>
              <w:pStyle w:val="TableTextCentered"/>
              <w:spacing w:before="0" w:after="0"/>
            </w:pPr>
            <w:r w:rsidRPr="00797379">
              <w:t>3</w:t>
            </w:r>
          </w:p>
        </w:tc>
        <w:tc>
          <w:tcPr>
            <w:tcW w:w="290" w:type="pct"/>
            <w:vAlign w:val="center"/>
          </w:tcPr>
          <w:p w14:paraId="6494B736" w14:textId="77777777" w:rsidR="007303EE" w:rsidRPr="00797379" w:rsidRDefault="007303EE" w:rsidP="00F5225F">
            <w:pPr>
              <w:pStyle w:val="TableTextCentered"/>
              <w:spacing w:before="0" w:after="0"/>
            </w:pPr>
            <w:r w:rsidRPr="00797379">
              <w:t>8</w:t>
            </w:r>
          </w:p>
        </w:tc>
      </w:tr>
      <w:tr w:rsidR="007303EE" w:rsidRPr="00797379" w14:paraId="423B33C1" w14:textId="77777777" w:rsidTr="000B5510">
        <w:tc>
          <w:tcPr>
            <w:tcW w:w="1179" w:type="pct"/>
          </w:tcPr>
          <w:p w14:paraId="5B9AC7F3" w14:textId="77777777" w:rsidR="007303EE" w:rsidRPr="00F5225F" w:rsidRDefault="007303EE" w:rsidP="00F5225F">
            <w:pPr>
              <w:pStyle w:val="TableSubheading"/>
              <w:spacing w:before="0" w:after="0"/>
              <w:rPr>
                <w:rFonts w:asciiTheme="minorHAnsi" w:hAnsiTheme="minorHAnsi"/>
              </w:rPr>
            </w:pPr>
            <w:r w:rsidRPr="00F5225F">
              <w:rPr>
                <w:rFonts w:asciiTheme="minorHAnsi" w:hAnsiTheme="minorHAnsi"/>
              </w:rPr>
              <w:t>Black or African American</w:t>
            </w:r>
          </w:p>
        </w:tc>
        <w:tc>
          <w:tcPr>
            <w:tcW w:w="348" w:type="pct"/>
            <w:vAlign w:val="center"/>
          </w:tcPr>
          <w:p w14:paraId="5BF595B5" w14:textId="77777777" w:rsidR="007303EE" w:rsidRPr="00797379" w:rsidRDefault="007303EE" w:rsidP="00F5225F">
            <w:pPr>
              <w:pStyle w:val="TableTextCentered"/>
              <w:spacing w:before="0" w:after="0"/>
            </w:pPr>
            <w:r w:rsidRPr="00797379">
              <w:t>11</w:t>
            </w:r>
          </w:p>
        </w:tc>
        <w:tc>
          <w:tcPr>
            <w:tcW w:w="289" w:type="pct"/>
            <w:vAlign w:val="center"/>
          </w:tcPr>
          <w:p w14:paraId="777D3830" w14:textId="19C3898F" w:rsidR="007303EE" w:rsidRPr="00797379" w:rsidRDefault="000B5510" w:rsidP="00F5225F">
            <w:pPr>
              <w:pStyle w:val="TableTextCentered"/>
              <w:spacing w:before="0" w:after="0"/>
            </w:pPr>
            <w:r>
              <w:t>N/A</w:t>
            </w:r>
          </w:p>
        </w:tc>
        <w:tc>
          <w:tcPr>
            <w:tcW w:w="289" w:type="pct"/>
            <w:vAlign w:val="center"/>
          </w:tcPr>
          <w:p w14:paraId="19E177CF" w14:textId="77777777" w:rsidR="007303EE" w:rsidRPr="00797379" w:rsidRDefault="007303EE" w:rsidP="00F5225F">
            <w:pPr>
              <w:pStyle w:val="TableTextCentered"/>
              <w:spacing w:before="0" w:after="0"/>
            </w:pPr>
            <w:r w:rsidRPr="00797379">
              <w:t>27</w:t>
            </w:r>
          </w:p>
        </w:tc>
        <w:tc>
          <w:tcPr>
            <w:tcW w:w="289" w:type="pct"/>
            <w:vAlign w:val="center"/>
          </w:tcPr>
          <w:p w14:paraId="79BE091A" w14:textId="77777777" w:rsidR="007303EE" w:rsidRPr="00797379" w:rsidRDefault="007303EE" w:rsidP="00F5225F">
            <w:pPr>
              <w:pStyle w:val="TableTextCentered"/>
              <w:spacing w:before="0" w:after="0"/>
            </w:pPr>
            <w:r w:rsidRPr="00797379">
              <w:t>73</w:t>
            </w:r>
          </w:p>
        </w:tc>
        <w:tc>
          <w:tcPr>
            <w:tcW w:w="289" w:type="pct"/>
            <w:vAlign w:val="center"/>
          </w:tcPr>
          <w:p w14:paraId="0A702089" w14:textId="77777777" w:rsidR="007303EE" w:rsidRPr="00797379" w:rsidRDefault="007303EE" w:rsidP="00F5225F">
            <w:pPr>
              <w:pStyle w:val="TableTextCentered"/>
              <w:spacing w:before="0" w:after="0"/>
            </w:pPr>
            <w:r w:rsidRPr="00797379">
              <w:t>21</w:t>
            </w:r>
          </w:p>
        </w:tc>
        <w:tc>
          <w:tcPr>
            <w:tcW w:w="289" w:type="pct"/>
            <w:vAlign w:val="center"/>
          </w:tcPr>
          <w:p w14:paraId="0A9CE570" w14:textId="54E3D778" w:rsidR="007303EE" w:rsidRPr="00797379" w:rsidRDefault="000B5510" w:rsidP="00F5225F">
            <w:pPr>
              <w:pStyle w:val="TableTextCentered"/>
              <w:spacing w:before="0" w:after="0"/>
            </w:pPr>
            <w:r>
              <w:t>N/A</w:t>
            </w:r>
          </w:p>
        </w:tc>
        <w:tc>
          <w:tcPr>
            <w:tcW w:w="289" w:type="pct"/>
            <w:vAlign w:val="center"/>
          </w:tcPr>
          <w:p w14:paraId="401ABFF8" w14:textId="77777777" w:rsidR="007303EE" w:rsidRPr="00797379" w:rsidRDefault="007303EE" w:rsidP="00F5225F">
            <w:pPr>
              <w:pStyle w:val="TableTextCentered"/>
              <w:spacing w:before="0" w:after="0"/>
            </w:pPr>
            <w:r w:rsidRPr="00797379">
              <w:t>45</w:t>
            </w:r>
          </w:p>
        </w:tc>
        <w:tc>
          <w:tcPr>
            <w:tcW w:w="289" w:type="pct"/>
            <w:vAlign w:val="center"/>
          </w:tcPr>
          <w:p w14:paraId="5D437578" w14:textId="77777777" w:rsidR="007303EE" w:rsidRPr="00797379" w:rsidRDefault="007303EE" w:rsidP="00F5225F">
            <w:pPr>
              <w:pStyle w:val="TableTextCentered"/>
              <w:spacing w:before="0" w:after="0"/>
            </w:pPr>
            <w:r w:rsidRPr="00797379">
              <w:t>27</w:t>
            </w:r>
          </w:p>
        </w:tc>
        <w:tc>
          <w:tcPr>
            <w:tcW w:w="289" w:type="pct"/>
            <w:vAlign w:val="center"/>
          </w:tcPr>
          <w:p w14:paraId="7FFE5767" w14:textId="77777777" w:rsidR="007303EE" w:rsidRPr="00797379" w:rsidRDefault="007303EE" w:rsidP="00F5225F">
            <w:pPr>
              <w:pStyle w:val="TableTextCentered"/>
              <w:spacing w:before="0" w:after="0"/>
            </w:pPr>
            <w:r w:rsidRPr="00797379">
              <w:t>46</w:t>
            </w:r>
          </w:p>
        </w:tc>
        <w:tc>
          <w:tcPr>
            <w:tcW w:w="289" w:type="pct"/>
            <w:vAlign w:val="center"/>
          </w:tcPr>
          <w:p w14:paraId="5B6C1050" w14:textId="4D7F7027" w:rsidR="007303EE" w:rsidRPr="00797379" w:rsidRDefault="000B5510" w:rsidP="00F5225F">
            <w:pPr>
              <w:pStyle w:val="TableTextCentered"/>
              <w:spacing w:before="0" w:after="0"/>
            </w:pPr>
            <w:r>
              <w:t>N/A</w:t>
            </w:r>
          </w:p>
        </w:tc>
        <w:tc>
          <w:tcPr>
            <w:tcW w:w="289" w:type="pct"/>
            <w:vAlign w:val="center"/>
          </w:tcPr>
          <w:p w14:paraId="5BBABDAE" w14:textId="77777777" w:rsidR="007303EE" w:rsidRPr="00797379" w:rsidRDefault="007303EE" w:rsidP="00F5225F">
            <w:pPr>
              <w:pStyle w:val="TableTextCentered"/>
              <w:spacing w:before="0" w:after="0"/>
            </w:pPr>
            <w:r w:rsidRPr="00797379">
              <w:t>27</w:t>
            </w:r>
          </w:p>
        </w:tc>
        <w:tc>
          <w:tcPr>
            <w:tcW w:w="289" w:type="pct"/>
            <w:vAlign w:val="center"/>
          </w:tcPr>
          <w:p w14:paraId="260B9647" w14:textId="77777777" w:rsidR="007303EE" w:rsidRPr="00797379" w:rsidRDefault="007303EE" w:rsidP="00F5225F">
            <w:pPr>
              <w:pStyle w:val="TableTextCentered"/>
              <w:spacing w:before="0" w:after="0"/>
            </w:pPr>
            <w:r w:rsidRPr="00797379">
              <w:t>0</w:t>
            </w:r>
          </w:p>
        </w:tc>
        <w:tc>
          <w:tcPr>
            <w:tcW w:w="290" w:type="pct"/>
            <w:vAlign w:val="center"/>
          </w:tcPr>
          <w:p w14:paraId="2590E202" w14:textId="77777777" w:rsidR="007303EE" w:rsidRPr="00797379" w:rsidRDefault="007303EE" w:rsidP="00F5225F">
            <w:pPr>
              <w:pStyle w:val="TableTextCentered"/>
              <w:spacing w:before="0" w:after="0"/>
            </w:pPr>
            <w:r w:rsidRPr="00797379">
              <w:t>33</w:t>
            </w:r>
          </w:p>
        </w:tc>
      </w:tr>
      <w:tr w:rsidR="007303EE" w:rsidRPr="00797379" w14:paraId="73E2A82E" w14:textId="77777777" w:rsidTr="000B5510">
        <w:trPr>
          <w:cnfStyle w:val="000000100000" w:firstRow="0" w:lastRow="0" w:firstColumn="0" w:lastColumn="0" w:oddVBand="0" w:evenVBand="0" w:oddHBand="1" w:evenHBand="0" w:firstRowFirstColumn="0" w:firstRowLastColumn="0" w:lastRowFirstColumn="0" w:lastRowLastColumn="0"/>
        </w:trPr>
        <w:tc>
          <w:tcPr>
            <w:tcW w:w="1179" w:type="pct"/>
          </w:tcPr>
          <w:p w14:paraId="743D4276" w14:textId="77777777" w:rsidR="007303EE" w:rsidRPr="00F5225F" w:rsidRDefault="007303EE" w:rsidP="00F5225F">
            <w:pPr>
              <w:pStyle w:val="TableSubheading"/>
              <w:spacing w:before="0" w:after="0"/>
              <w:rPr>
                <w:rFonts w:asciiTheme="minorHAnsi" w:hAnsiTheme="minorHAnsi"/>
              </w:rPr>
            </w:pPr>
            <w:r w:rsidRPr="00F5225F">
              <w:rPr>
                <w:rFonts w:asciiTheme="minorHAnsi" w:hAnsiTheme="minorHAnsi"/>
              </w:rPr>
              <w:t>Hispanic or Latino</w:t>
            </w:r>
          </w:p>
        </w:tc>
        <w:tc>
          <w:tcPr>
            <w:tcW w:w="348" w:type="pct"/>
            <w:vAlign w:val="center"/>
          </w:tcPr>
          <w:p w14:paraId="6D2B906A" w14:textId="77777777" w:rsidR="007303EE" w:rsidRPr="00797379" w:rsidRDefault="007303EE" w:rsidP="00F5225F">
            <w:pPr>
              <w:pStyle w:val="TableTextCentered"/>
              <w:spacing w:before="0" w:after="0"/>
            </w:pPr>
            <w:r w:rsidRPr="00797379">
              <w:t>26</w:t>
            </w:r>
          </w:p>
        </w:tc>
        <w:tc>
          <w:tcPr>
            <w:tcW w:w="289" w:type="pct"/>
            <w:vAlign w:val="center"/>
          </w:tcPr>
          <w:p w14:paraId="3B5033E9" w14:textId="77777777" w:rsidR="007303EE" w:rsidRPr="00797379" w:rsidRDefault="007303EE" w:rsidP="00F5225F">
            <w:pPr>
              <w:pStyle w:val="TableTextCentered"/>
              <w:spacing w:before="0" w:after="0"/>
            </w:pPr>
            <w:r w:rsidRPr="00797379">
              <w:t>67</w:t>
            </w:r>
          </w:p>
        </w:tc>
        <w:tc>
          <w:tcPr>
            <w:tcW w:w="289" w:type="pct"/>
            <w:vAlign w:val="center"/>
          </w:tcPr>
          <w:p w14:paraId="0EE43FCC" w14:textId="77777777" w:rsidR="007303EE" w:rsidRPr="00797379" w:rsidRDefault="007303EE" w:rsidP="00F5225F">
            <w:pPr>
              <w:pStyle w:val="TableTextCentered"/>
              <w:spacing w:before="0" w:after="0"/>
            </w:pPr>
            <w:r w:rsidRPr="00797379">
              <w:t>75</w:t>
            </w:r>
          </w:p>
        </w:tc>
        <w:tc>
          <w:tcPr>
            <w:tcW w:w="289" w:type="pct"/>
            <w:vAlign w:val="center"/>
          </w:tcPr>
          <w:p w14:paraId="657039E4" w14:textId="77777777" w:rsidR="007303EE" w:rsidRPr="00797379" w:rsidRDefault="007303EE" w:rsidP="00F5225F">
            <w:pPr>
              <w:pStyle w:val="TableTextCentered"/>
              <w:spacing w:before="0" w:after="0"/>
            </w:pPr>
            <w:r w:rsidRPr="00797379">
              <w:t>62</w:t>
            </w:r>
          </w:p>
        </w:tc>
        <w:tc>
          <w:tcPr>
            <w:tcW w:w="289" w:type="pct"/>
            <w:vAlign w:val="center"/>
          </w:tcPr>
          <w:p w14:paraId="1D69D64B" w14:textId="77777777" w:rsidR="007303EE" w:rsidRPr="00797379" w:rsidRDefault="007303EE" w:rsidP="00F5225F">
            <w:pPr>
              <w:pStyle w:val="TableTextCentered"/>
              <w:spacing w:before="0" w:after="0"/>
            </w:pPr>
            <w:r w:rsidRPr="00797379">
              <w:t>20</w:t>
            </w:r>
          </w:p>
        </w:tc>
        <w:tc>
          <w:tcPr>
            <w:tcW w:w="289" w:type="pct"/>
            <w:vAlign w:val="center"/>
          </w:tcPr>
          <w:p w14:paraId="004EB565" w14:textId="77777777" w:rsidR="007303EE" w:rsidRPr="00797379" w:rsidRDefault="007303EE" w:rsidP="00F5225F">
            <w:pPr>
              <w:pStyle w:val="TableTextCentered"/>
              <w:spacing w:before="0" w:after="0"/>
            </w:pPr>
            <w:r w:rsidRPr="00797379">
              <w:t>27</w:t>
            </w:r>
          </w:p>
        </w:tc>
        <w:tc>
          <w:tcPr>
            <w:tcW w:w="289" w:type="pct"/>
            <w:vAlign w:val="center"/>
          </w:tcPr>
          <w:p w14:paraId="6691955E" w14:textId="77777777" w:rsidR="007303EE" w:rsidRPr="00797379" w:rsidRDefault="007303EE" w:rsidP="00F5225F">
            <w:pPr>
              <w:pStyle w:val="TableTextCentered"/>
              <w:spacing w:before="0" w:after="0"/>
            </w:pPr>
            <w:r w:rsidRPr="00797379">
              <w:t>21</w:t>
            </w:r>
          </w:p>
        </w:tc>
        <w:tc>
          <w:tcPr>
            <w:tcW w:w="289" w:type="pct"/>
            <w:vAlign w:val="center"/>
          </w:tcPr>
          <w:p w14:paraId="7A1C2165" w14:textId="77777777" w:rsidR="007303EE" w:rsidRPr="00797379" w:rsidRDefault="007303EE" w:rsidP="00F5225F">
            <w:pPr>
              <w:pStyle w:val="TableTextCentered"/>
              <w:spacing w:before="0" w:after="0"/>
            </w:pPr>
            <w:r w:rsidRPr="00797379">
              <w:t>27</w:t>
            </w:r>
          </w:p>
        </w:tc>
        <w:tc>
          <w:tcPr>
            <w:tcW w:w="289" w:type="pct"/>
            <w:vAlign w:val="center"/>
          </w:tcPr>
          <w:p w14:paraId="243A1DA6" w14:textId="77777777" w:rsidR="007303EE" w:rsidRPr="00797379" w:rsidRDefault="007303EE" w:rsidP="00F5225F">
            <w:pPr>
              <w:pStyle w:val="TableTextCentered"/>
              <w:spacing w:before="0" w:after="0"/>
            </w:pPr>
            <w:r w:rsidRPr="00797379">
              <w:t>45</w:t>
            </w:r>
          </w:p>
        </w:tc>
        <w:tc>
          <w:tcPr>
            <w:tcW w:w="289" w:type="pct"/>
            <w:vAlign w:val="center"/>
          </w:tcPr>
          <w:p w14:paraId="649029D1" w14:textId="77777777" w:rsidR="007303EE" w:rsidRPr="00797379" w:rsidRDefault="007303EE" w:rsidP="00F5225F">
            <w:pPr>
              <w:pStyle w:val="TableTextCentered"/>
              <w:spacing w:before="0" w:after="0"/>
            </w:pPr>
            <w:r w:rsidRPr="00797379">
              <w:t>7</w:t>
            </w:r>
          </w:p>
        </w:tc>
        <w:tc>
          <w:tcPr>
            <w:tcW w:w="289" w:type="pct"/>
            <w:vAlign w:val="center"/>
          </w:tcPr>
          <w:p w14:paraId="09A11FD4" w14:textId="77777777" w:rsidR="007303EE" w:rsidRPr="00797379" w:rsidRDefault="007303EE" w:rsidP="00F5225F">
            <w:pPr>
              <w:pStyle w:val="TableTextCentered"/>
              <w:spacing w:before="0" w:after="0"/>
            </w:pPr>
            <w:r w:rsidRPr="00797379">
              <w:t>4</w:t>
            </w:r>
          </w:p>
        </w:tc>
        <w:tc>
          <w:tcPr>
            <w:tcW w:w="289" w:type="pct"/>
            <w:vAlign w:val="center"/>
          </w:tcPr>
          <w:p w14:paraId="054EC6E2" w14:textId="77777777" w:rsidR="007303EE" w:rsidRPr="00797379" w:rsidRDefault="007303EE" w:rsidP="00F5225F">
            <w:pPr>
              <w:pStyle w:val="TableTextCentered"/>
              <w:spacing w:before="0" w:after="0"/>
            </w:pPr>
            <w:r w:rsidRPr="00797379">
              <w:t>12</w:t>
            </w:r>
          </w:p>
        </w:tc>
        <w:tc>
          <w:tcPr>
            <w:tcW w:w="290" w:type="pct"/>
            <w:vAlign w:val="center"/>
          </w:tcPr>
          <w:p w14:paraId="3A308ECA" w14:textId="77777777" w:rsidR="007303EE" w:rsidRPr="00797379" w:rsidRDefault="007303EE" w:rsidP="00F5225F">
            <w:pPr>
              <w:pStyle w:val="TableTextCentered"/>
              <w:spacing w:before="0" w:after="0"/>
            </w:pPr>
            <w:r w:rsidRPr="00797379">
              <w:t>35</w:t>
            </w:r>
          </w:p>
        </w:tc>
      </w:tr>
      <w:tr w:rsidR="007303EE" w:rsidRPr="00797379" w14:paraId="4C6FF949" w14:textId="77777777" w:rsidTr="000B5510">
        <w:tc>
          <w:tcPr>
            <w:tcW w:w="1179" w:type="pct"/>
          </w:tcPr>
          <w:p w14:paraId="595AF3E1" w14:textId="77777777" w:rsidR="007303EE" w:rsidRPr="00F5225F" w:rsidRDefault="007303EE" w:rsidP="00F5225F">
            <w:pPr>
              <w:pStyle w:val="TableSubheading"/>
              <w:spacing w:before="0" w:after="0"/>
              <w:rPr>
                <w:rFonts w:asciiTheme="minorHAnsi" w:hAnsiTheme="minorHAnsi"/>
              </w:rPr>
            </w:pPr>
            <w:r w:rsidRPr="00F5225F">
              <w:rPr>
                <w:rFonts w:asciiTheme="minorHAnsi" w:hAnsiTheme="minorHAnsi"/>
              </w:rPr>
              <w:t>Multi-Race, Not Hispanic or Latino</w:t>
            </w:r>
          </w:p>
        </w:tc>
        <w:tc>
          <w:tcPr>
            <w:tcW w:w="348" w:type="pct"/>
            <w:vAlign w:val="center"/>
          </w:tcPr>
          <w:p w14:paraId="114AF2A8" w14:textId="77777777" w:rsidR="007303EE" w:rsidRPr="00797379" w:rsidRDefault="007303EE" w:rsidP="00F5225F">
            <w:pPr>
              <w:pStyle w:val="TableTextCentered"/>
              <w:spacing w:before="0" w:after="0"/>
            </w:pPr>
            <w:r w:rsidRPr="00797379">
              <w:t>53</w:t>
            </w:r>
          </w:p>
        </w:tc>
        <w:tc>
          <w:tcPr>
            <w:tcW w:w="289" w:type="pct"/>
            <w:vAlign w:val="center"/>
          </w:tcPr>
          <w:p w14:paraId="034BCA70" w14:textId="77777777" w:rsidR="007303EE" w:rsidRPr="00797379" w:rsidRDefault="007303EE" w:rsidP="00F5225F">
            <w:pPr>
              <w:pStyle w:val="TableTextCentered"/>
              <w:spacing w:before="0" w:after="0"/>
            </w:pPr>
            <w:r w:rsidRPr="00797379">
              <w:t>91</w:t>
            </w:r>
          </w:p>
        </w:tc>
        <w:tc>
          <w:tcPr>
            <w:tcW w:w="289" w:type="pct"/>
            <w:vAlign w:val="center"/>
          </w:tcPr>
          <w:p w14:paraId="0DA1CF08" w14:textId="77777777" w:rsidR="007303EE" w:rsidRPr="00797379" w:rsidRDefault="007303EE" w:rsidP="00F5225F">
            <w:pPr>
              <w:pStyle w:val="TableTextCentered"/>
              <w:spacing w:before="0" w:after="0"/>
            </w:pPr>
            <w:r w:rsidRPr="00797379">
              <w:t>85</w:t>
            </w:r>
          </w:p>
        </w:tc>
        <w:tc>
          <w:tcPr>
            <w:tcW w:w="289" w:type="pct"/>
            <w:vAlign w:val="center"/>
          </w:tcPr>
          <w:p w14:paraId="13901D0F" w14:textId="77777777" w:rsidR="007303EE" w:rsidRPr="00797379" w:rsidRDefault="007303EE" w:rsidP="00F5225F">
            <w:pPr>
              <w:pStyle w:val="TableTextCentered"/>
              <w:spacing w:before="0" w:after="0"/>
            </w:pPr>
            <w:r w:rsidRPr="00797379">
              <w:t>79</w:t>
            </w:r>
          </w:p>
        </w:tc>
        <w:tc>
          <w:tcPr>
            <w:tcW w:w="289" w:type="pct"/>
            <w:vAlign w:val="center"/>
          </w:tcPr>
          <w:p w14:paraId="1AB786F1" w14:textId="77777777" w:rsidR="007303EE" w:rsidRPr="00797379" w:rsidRDefault="007303EE" w:rsidP="00F5225F">
            <w:pPr>
              <w:pStyle w:val="TableTextCentered"/>
              <w:spacing w:before="0" w:after="0"/>
            </w:pPr>
            <w:r w:rsidRPr="00797379">
              <w:t>50</w:t>
            </w:r>
          </w:p>
        </w:tc>
        <w:tc>
          <w:tcPr>
            <w:tcW w:w="289" w:type="pct"/>
            <w:vAlign w:val="center"/>
          </w:tcPr>
          <w:p w14:paraId="0DC091C3" w14:textId="77777777" w:rsidR="007303EE" w:rsidRPr="00797379" w:rsidRDefault="007303EE" w:rsidP="00F5225F">
            <w:pPr>
              <w:pStyle w:val="TableTextCentered"/>
              <w:spacing w:before="0" w:after="0"/>
            </w:pPr>
            <w:r w:rsidRPr="00797379">
              <w:t>7</w:t>
            </w:r>
          </w:p>
        </w:tc>
        <w:tc>
          <w:tcPr>
            <w:tcW w:w="289" w:type="pct"/>
            <w:vAlign w:val="center"/>
          </w:tcPr>
          <w:p w14:paraId="2FA4A0E2" w14:textId="77777777" w:rsidR="007303EE" w:rsidRPr="00797379" w:rsidRDefault="007303EE" w:rsidP="00F5225F">
            <w:pPr>
              <w:pStyle w:val="TableTextCentered"/>
              <w:spacing w:before="0" w:after="0"/>
            </w:pPr>
            <w:r w:rsidRPr="00797379">
              <w:t>13</w:t>
            </w:r>
          </w:p>
        </w:tc>
        <w:tc>
          <w:tcPr>
            <w:tcW w:w="289" w:type="pct"/>
            <w:vAlign w:val="center"/>
          </w:tcPr>
          <w:p w14:paraId="59BCDD09" w14:textId="77777777" w:rsidR="007303EE" w:rsidRPr="00797379" w:rsidRDefault="007303EE" w:rsidP="00F5225F">
            <w:pPr>
              <w:pStyle w:val="TableTextCentered"/>
              <w:spacing w:before="0" w:after="0"/>
            </w:pPr>
            <w:r w:rsidRPr="00797379">
              <w:t>13</w:t>
            </w:r>
          </w:p>
        </w:tc>
        <w:tc>
          <w:tcPr>
            <w:tcW w:w="289" w:type="pct"/>
            <w:vAlign w:val="center"/>
          </w:tcPr>
          <w:p w14:paraId="3D78816E" w14:textId="77777777" w:rsidR="007303EE" w:rsidRPr="00797379" w:rsidRDefault="007303EE" w:rsidP="00F5225F">
            <w:pPr>
              <w:pStyle w:val="TableTextCentered"/>
              <w:spacing w:before="0" w:after="0"/>
            </w:pPr>
            <w:r w:rsidRPr="00797379">
              <w:t>35</w:t>
            </w:r>
          </w:p>
        </w:tc>
        <w:tc>
          <w:tcPr>
            <w:tcW w:w="289" w:type="pct"/>
            <w:vAlign w:val="center"/>
          </w:tcPr>
          <w:p w14:paraId="530A26A9" w14:textId="77777777" w:rsidR="007303EE" w:rsidRPr="00797379" w:rsidRDefault="007303EE" w:rsidP="00F5225F">
            <w:pPr>
              <w:pStyle w:val="TableTextCentered"/>
              <w:spacing w:before="0" w:after="0"/>
            </w:pPr>
            <w:r w:rsidRPr="00797379">
              <w:t>2</w:t>
            </w:r>
          </w:p>
        </w:tc>
        <w:tc>
          <w:tcPr>
            <w:tcW w:w="289" w:type="pct"/>
            <w:vAlign w:val="center"/>
          </w:tcPr>
          <w:p w14:paraId="477A0918" w14:textId="77777777" w:rsidR="007303EE" w:rsidRPr="00797379" w:rsidRDefault="007303EE" w:rsidP="00F5225F">
            <w:pPr>
              <w:pStyle w:val="TableTextCentered"/>
              <w:spacing w:before="0" w:after="0"/>
            </w:pPr>
            <w:r w:rsidRPr="00797379">
              <w:t>2</w:t>
            </w:r>
          </w:p>
        </w:tc>
        <w:tc>
          <w:tcPr>
            <w:tcW w:w="289" w:type="pct"/>
            <w:vAlign w:val="center"/>
          </w:tcPr>
          <w:p w14:paraId="2FBBC68B" w14:textId="77777777" w:rsidR="007303EE" w:rsidRPr="00797379" w:rsidRDefault="007303EE" w:rsidP="00F5225F">
            <w:pPr>
              <w:pStyle w:val="TableTextCentered"/>
              <w:spacing w:before="0" w:after="0"/>
            </w:pPr>
            <w:r w:rsidRPr="00797379">
              <w:t>8</w:t>
            </w:r>
          </w:p>
        </w:tc>
        <w:tc>
          <w:tcPr>
            <w:tcW w:w="290" w:type="pct"/>
            <w:vAlign w:val="center"/>
          </w:tcPr>
          <w:p w14:paraId="51BCA0C1" w14:textId="77777777" w:rsidR="007303EE" w:rsidRPr="00797379" w:rsidRDefault="007303EE" w:rsidP="00F5225F">
            <w:pPr>
              <w:pStyle w:val="TableTextCentered"/>
              <w:spacing w:before="0" w:after="0"/>
            </w:pPr>
            <w:r w:rsidRPr="00797379">
              <w:t>15</w:t>
            </w:r>
          </w:p>
        </w:tc>
      </w:tr>
      <w:tr w:rsidR="007303EE" w:rsidRPr="00797379" w14:paraId="3C090010" w14:textId="77777777" w:rsidTr="000B5510">
        <w:trPr>
          <w:cnfStyle w:val="000000100000" w:firstRow="0" w:lastRow="0" w:firstColumn="0" w:lastColumn="0" w:oddVBand="0" w:evenVBand="0" w:oddHBand="1" w:evenHBand="0" w:firstRowFirstColumn="0" w:firstRowLastColumn="0" w:lastRowFirstColumn="0" w:lastRowLastColumn="0"/>
        </w:trPr>
        <w:tc>
          <w:tcPr>
            <w:tcW w:w="1179" w:type="pct"/>
          </w:tcPr>
          <w:p w14:paraId="7EBB31F1" w14:textId="77777777" w:rsidR="007303EE" w:rsidRPr="00F5225F" w:rsidRDefault="007303EE" w:rsidP="00F5225F">
            <w:pPr>
              <w:pStyle w:val="TableSubheading"/>
              <w:spacing w:before="0" w:after="0"/>
              <w:rPr>
                <w:rFonts w:asciiTheme="minorHAnsi" w:hAnsiTheme="minorHAnsi"/>
                <w:spacing w:val="-4"/>
              </w:rPr>
            </w:pPr>
            <w:r w:rsidRPr="00F5225F">
              <w:rPr>
                <w:rFonts w:asciiTheme="minorHAnsi" w:hAnsiTheme="minorHAnsi"/>
                <w:spacing w:val="-4"/>
              </w:rPr>
              <w:t>Native Hawaiian or Other Pacific Islander</w:t>
            </w:r>
          </w:p>
        </w:tc>
        <w:tc>
          <w:tcPr>
            <w:tcW w:w="348" w:type="pct"/>
            <w:vAlign w:val="center"/>
          </w:tcPr>
          <w:p w14:paraId="6E77F53E" w14:textId="368132B5" w:rsidR="007303EE" w:rsidRPr="00797379" w:rsidRDefault="000B5510" w:rsidP="00F5225F">
            <w:pPr>
              <w:pStyle w:val="TableTextCentered"/>
              <w:spacing w:before="0" w:after="0"/>
            </w:pPr>
            <w:r>
              <w:t>N/A</w:t>
            </w:r>
          </w:p>
        </w:tc>
        <w:tc>
          <w:tcPr>
            <w:tcW w:w="289" w:type="pct"/>
            <w:vAlign w:val="center"/>
          </w:tcPr>
          <w:p w14:paraId="0B082DC2" w14:textId="647A7E8F" w:rsidR="007303EE" w:rsidRPr="00797379" w:rsidRDefault="000B5510" w:rsidP="00F5225F">
            <w:pPr>
              <w:pStyle w:val="TableTextCentered"/>
              <w:spacing w:before="0" w:after="0"/>
            </w:pPr>
            <w:r>
              <w:t>N/A</w:t>
            </w:r>
          </w:p>
        </w:tc>
        <w:tc>
          <w:tcPr>
            <w:tcW w:w="289" w:type="pct"/>
            <w:vAlign w:val="center"/>
          </w:tcPr>
          <w:p w14:paraId="53D0240C" w14:textId="65C5A8BD" w:rsidR="007303EE" w:rsidRPr="00797379" w:rsidRDefault="000B5510" w:rsidP="00F5225F">
            <w:pPr>
              <w:pStyle w:val="TableTextCentered"/>
              <w:spacing w:before="0" w:after="0"/>
            </w:pPr>
            <w:r>
              <w:t>N/A</w:t>
            </w:r>
          </w:p>
        </w:tc>
        <w:tc>
          <w:tcPr>
            <w:tcW w:w="289" w:type="pct"/>
            <w:vAlign w:val="center"/>
          </w:tcPr>
          <w:p w14:paraId="7303BF84" w14:textId="44BE8E30" w:rsidR="007303EE" w:rsidRPr="00797379" w:rsidRDefault="000B5510" w:rsidP="00F5225F">
            <w:pPr>
              <w:pStyle w:val="TableTextCentered"/>
              <w:spacing w:before="0" w:after="0"/>
            </w:pPr>
            <w:r>
              <w:t>N/A</w:t>
            </w:r>
          </w:p>
        </w:tc>
        <w:tc>
          <w:tcPr>
            <w:tcW w:w="289" w:type="pct"/>
            <w:vAlign w:val="center"/>
          </w:tcPr>
          <w:p w14:paraId="71D71F04" w14:textId="77777777" w:rsidR="007303EE" w:rsidRPr="00797379" w:rsidRDefault="007303EE" w:rsidP="00F5225F">
            <w:pPr>
              <w:pStyle w:val="TableTextCentered"/>
              <w:spacing w:before="0" w:after="0"/>
            </w:pPr>
            <w:r w:rsidRPr="00797379">
              <w:t>42</w:t>
            </w:r>
          </w:p>
        </w:tc>
        <w:tc>
          <w:tcPr>
            <w:tcW w:w="289" w:type="pct"/>
            <w:vAlign w:val="center"/>
          </w:tcPr>
          <w:p w14:paraId="64CDC43A" w14:textId="03E28493" w:rsidR="007303EE" w:rsidRPr="00797379" w:rsidRDefault="000B5510" w:rsidP="00F5225F">
            <w:pPr>
              <w:pStyle w:val="TableTextCentered"/>
              <w:spacing w:before="0" w:after="0"/>
            </w:pPr>
            <w:r>
              <w:t>N/A</w:t>
            </w:r>
          </w:p>
        </w:tc>
        <w:tc>
          <w:tcPr>
            <w:tcW w:w="289" w:type="pct"/>
            <w:vAlign w:val="center"/>
          </w:tcPr>
          <w:p w14:paraId="44EDD4F0" w14:textId="62DDFD99" w:rsidR="007303EE" w:rsidRPr="00797379" w:rsidRDefault="000B5510" w:rsidP="00F5225F">
            <w:pPr>
              <w:pStyle w:val="TableTextCentered"/>
              <w:spacing w:before="0" w:after="0"/>
            </w:pPr>
            <w:r>
              <w:t>N/A</w:t>
            </w:r>
          </w:p>
        </w:tc>
        <w:tc>
          <w:tcPr>
            <w:tcW w:w="289" w:type="pct"/>
            <w:vAlign w:val="center"/>
          </w:tcPr>
          <w:p w14:paraId="730EDC4B" w14:textId="1083D0D6" w:rsidR="007303EE" w:rsidRPr="00797379" w:rsidRDefault="000B5510" w:rsidP="00F5225F">
            <w:pPr>
              <w:pStyle w:val="TableTextCentered"/>
              <w:spacing w:before="0" w:after="0"/>
            </w:pPr>
            <w:r>
              <w:t>N/A</w:t>
            </w:r>
          </w:p>
        </w:tc>
        <w:tc>
          <w:tcPr>
            <w:tcW w:w="289" w:type="pct"/>
            <w:vAlign w:val="center"/>
          </w:tcPr>
          <w:p w14:paraId="1C2612AC" w14:textId="77777777" w:rsidR="007303EE" w:rsidRPr="00797379" w:rsidRDefault="007303EE" w:rsidP="00F5225F">
            <w:pPr>
              <w:pStyle w:val="TableTextCentered"/>
              <w:spacing w:before="0" w:after="0"/>
            </w:pPr>
            <w:r w:rsidRPr="00797379">
              <w:t>39</w:t>
            </w:r>
          </w:p>
        </w:tc>
        <w:tc>
          <w:tcPr>
            <w:tcW w:w="289" w:type="pct"/>
            <w:vAlign w:val="center"/>
          </w:tcPr>
          <w:p w14:paraId="7BA719D6" w14:textId="19AA7FBD" w:rsidR="007303EE" w:rsidRPr="00797379" w:rsidRDefault="000B5510" w:rsidP="00F5225F">
            <w:pPr>
              <w:pStyle w:val="TableTextCentered"/>
              <w:spacing w:before="0" w:after="0"/>
            </w:pPr>
            <w:r>
              <w:t>N/A</w:t>
            </w:r>
          </w:p>
        </w:tc>
        <w:tc>
          <w:tcPr>
            <w:tcW w:w="289" w:type="pct"/>
            <w:vAlign w:val="center"/>
          </w:tcPr>
          <w:p w14:paraId="54972046" w14:textId="5B3E0A31" w:rsidR="007303EE" w:rsidRPr="00797379" w:rsidRDefault="000B5510" w:rsidP="00F5225F">
            <w:pPr>
              <w:pStyle w:val="TableTextCentered"/>
              <w:spacing w:before="0" w:after="0"/>
            </w:pPr>
            <w:r>
              <w:t>N/A</w:t>
            </w:r>
          </w:p>
        </w:tc>
        <w:tc>
          <w:tcPr>
            <w:tcW w:w="289" w:type="pct"/>
            <w:vAlign w:val="center"/>
          </w:tcPr>
          <w:p w14:paraId="44BE0F3F" w14:textId="587A0502" w:rsidR="007303EE" w:rsidRPr="00797379" w:rsidRDefault="000B5510" w:rsidP="00F5225F">
            <w:pPr>
              <w:pStyle w:val="TableTextCentered"/>
              <w:spacing w:before="0" w:after="0"/>
            </w:pPr>
            <w:r>
              <w:t>N/A</w:t>
            </w:r>
          </w:p>
        </w:tc>
        <w:tc>
          <w:tcPr>
            <w:tcW w:w="290" w:type="pct"/>
            <w:vAlign w:val="center"/>
          </w:tcPr>
          <w:p w14:paraId="4A5BBA5B" w14:textId="77777777" w:rsidR="007303EE" w:rsidRPr="00797379" w:rsidRDefault="007303EE" w:rsidP="00F5225F">
            <w:pPr>
              <w:pStyle w:val="TableTextCentered"/>
              <w:spacing w:before="0" w:after="0"/>
            </w:pPr>
            <w:r w:rsidRPr="00797379">
              <w:t>19</w:t>
            </w:r>
          </w:p>
        </w:tc>
      </w:tr>
      <w:tr w:rsidR="007303EE" w:rsidRPr="00797379" w14:paraId="0380C1CB" w14:textId="77777777" w:rsidTr="000B5510">
        <w:tc>
          <w:tcPr>
            <w:tcW w:w="1179" w:type="pct"/>
          </w:tcPr>
          <w:p w14:paraId="405438D5" w14:textId="77777777" w:rsidR="007303EE" w:rsidRPr="00F5225F" w:rsidRDefault="007303EE" w:rsidP="00F5225F">
            <w:pPr>
              <w:pStyle w:val="TableSubheading"/>
              <w:spacing w:before="0" w:after="0"/>
              <w:rPr>
                <w:rFonts w:asciiTheme="minorHAnsi" w:hAnsiTheme="minorHAnsi"/>
              </w:rPr>
            </w:pPr>
            <w:r w:rsidRPr="00F5225F">
              <w:rPr>
                <w:rFonts w:asciiTheme="minorHAnsi" w:hAnsiTheme="minorHAnsi"/>
              </w:rPr>
              <w:t>White</w:t>
            </w:r>
          </w:p>
        </w:tc>
        <w:tc>
          <w:tcPr>
            <w:tcW w:w="348" w:type="pct"/>
            <w:vAlign w:val="center"/>
          </w:tcPr>
          <w:p w14:paraId="7A15271B" w14:textId="77777777" w:rsidR="007303EE" w:rsidRPr="00797379" w:rsidRDefault="007303EE" w:rsidP="00F5225F">
            <w:pPr>
              <w:pStyle w:val="TableTextCentered"/>
              <w:spacing w:before="0" w:after="0"/>
            </w:pPr>
            <w:r w:rsidRPr="00797379">
              <w:t>491</w:t>
            </w:r>
          </w:p>
        </w:tc>
        <w:tc>
          <w:tcPr>
            <w:tcW w:w="289" w:type="pct"/>
            <w:vAlign w:val="center"/>
          </w:tcPr>
          <w:p w14:paraId="188A2DF3" w14:textId="77777777" w:rsidR="007303EE" w:rsidRPr="00797379" w:rsidRDefault="007303EE" w:rsidP="00F5225F">
            <w:pPr>
              <w:pStyle w:val="TableTextCentered"/>
              <w:spacing w:before="0" w:after="0"/>
            </w:pPr>
            <w:r w:rsidRPr="00797379">
              <w:t>73</w:t>
            </w:r>
          </w:p>
        </w:tc>
        <w:tc>
          <w:tcPr>
            <w:tcW w:w="289" w:type="pct"/>
            <w:vAlign w:val="center"/>
          </w:tcPr>
          <w:p w14:paraId="08116F90" w14:textId="77777777" w:rsidR="007303EE" w:rsidRPr="00797379" w:rsidRDefault="007303EE" w:rsidP="00F5225F">
            <w:pPr>
              <w:pStyle w:val="TableTextCentered"/>
              <w:spacing w:before="0" w:after="0"/>
            </w:pPr>
            <w:r w:rsidRPr="00797379">
              <w:t>77</w:t>
            </w:r>
          </w:p>
        </w:tc>
        <w:tc>
          <w:tcPr>
            <w:tcW w:w="289" w:type="pct"/>
            <w:vAlign w:val="center"/>
          </w:tcPr>
          <w:p w14:paraId="1FF1A834" w14:textId="77777777" w:rsidR="007303EE" w:rsidRPr="00797379" w:rsidRDefault="007303EE" w:rsidP="00F5225F">
            <w:pPr>
              <w:pStyle w:val="TableTextCentered"/>
              <w:spacing w:before="0" w:after="0"/>
            </w:pPr>
            <w:r w:rsidRPr="00797379">
              <w:t>75</w:t>
            </w:r>
          </w:p>
        </w:tc>
        <w:tc>
          <w:tcPr>
            <w:tcW w:w="289" w:type="pct"/>
            <w:vAlign w:val="center"/>
          </w:tcPr>
          <w:p w14:paraId="14CE91E9" w14:textId="77777777" w:rsidR="007303EE" w:rsidRPr="00797379" w:rsidRDefault="007303EE" w:rsidP="00F5225F">
            <w:pPr>
              <w:pStyle w:val="TableTextCentered"/>
              <w:spacing w:before="0" w:after="0"/>
            </w:pPr>
            <w:r w:rsidRPr="00797379">
              <w:t>51</w:t>
            </w:r>
          </w:p>
        </w:tc>
        <w:tc>
          <w:tcPr>
            <w:tcW w:w="289" w:type="pct"/>
            <w:vAlign w:val="center"/>
          </w:tcPr>
          <w:p w14:paraId="53C041E7" w14:textId="77777777" w:rsidR="007303EE" w:rsidRPr="00797379" w:rsidRDefault="007303EE" w:rsidP="00F5225F">
            <w:pPr>
              <w:pStyle w:val="TableTextCentered"/>
              <w:spacing w:before="0" w:after="0"/>
            </w:pPr>
            <w:r w:rsidRPr="00797379">
              <w:t>22</w:t>
            </w:r>
          </w:p>
        </w:tc>
        <w:tc>
          <w:tcPr>
            <w:tcW w:w="289" w:type="pct"/>
            <w:vAlign w:val="center"/>
          </w:tcPr>
          <w:p w14:paraId="11AD25D8" w14:textId="77777777" w:rsidR="007303EE" w:rsidRPr="00797379" w:rsidRDefault="007303EE" w:rsidP="00F5225F">
            <w:pPr>
              <w:pStyle w:val="TableTextCentered"/>
              <w:spacing w:before="0" w:after="0"/>
            </w:pPr>
            <w:r w:rsidRPr="00797379">
              <w:t>20</w:t>
            </w:r>
          </w:p>
        </w:tc>
        <w:tc>
          <w:tcPr>
            <w:tcW w:w="289" w:type="pct"/>
            <w:vAlign w:val="center"/>
          </w:tcPr>
          <w:p w14:paraId="3A918AAA" w14:textId="77777777" w:rsidR="007303EE" w:rsidRPr="00797379" w:rsidRDefault="007303EE" w:rsidP="00F5225F">
            <w:pPr>
              <w:pStyle w:val="TableTextCentered"/>
              <w:spacing w:before="0" w:after="0"/>
            </w:pPr>
            <w:r w:rsidRPr="00797379">
              <w:t>22</w:t>
            </w:r>
          </w:p>
        </w:tc>
        <w:tc>
          <w:tcPr>
            <w:tcW w:w="289" w:type="pct"/>
            <w:vAlign w:val="center"/>
          </w:tcPr>
          <w:p w14:paraId="7C816243" w14:textId="77777777" w:rsidR="007303EE" w:rsidRPr="00797379" w:rsidRDefault="007303EE" w:rsidP="00F5225F">
            <w:pPr>
              <w:pStyle w:val="TableTextCentered"/>
              <w:spacing w:before="0" w:after="0"/>
            </w:pPr>
            <w:r w:rsidRPr="00797379">
              <w:t>37</w:t>
            </w:r>
          </w:p>
        </w:tc>
        <w:tc>
          <w:tcPr>
            <w:tcW w:w="289" w:type="pct"/>
            <w:vAlign w:val="center"/>
          </w:tcPr>
          <w:p w14:paraId="0AA3A1A0" w14:textId="77777777" w:rsidR="007303EE" w:rsidRPr="00797379" w:rsidRDefault="007303EE" w:rsidP="00F5225F">
            <w:pPr>
              <w:pStyle w:val="TableTextCentered"/>
              <w:spacing w:before="0" w:after="0"/>
            </w:pPr>
            <w:r w:rsidRPr="00797379">
              <w:t>5</w:t>
            </w:r>
          </w:p>
        </w:tc>
        <w:tc>
          <w:tcPr>
            <w:tcW w:w="289" w:type="pct"/>
            <w:vAlign w:val="center"/>
          </w:tcPr>
          <w:p w14:paraId="427C1F36" w14:textId="77777777" w:rsidR="007303EE" w:rsidRPr="00797379" w:rsidRDefault="007303EE" w:rsidP="00F5225F">
            <w:pPr>
              <w:pStyle w:val="TableTextCentered"/>
              <w:spacing w:before="0" w:after="0"/>
            </w:pPr>
            <w:r w:rsidRPr="00797379">
              <w:t>3</w:t>
            </w:r>
          </w:p>
        </w:tc>
        <w:tc>
          <w:tcPr>
            <w:tcW w:w="289" w:type="pct"/>
            <w:vAlign w:val="center"/>
          </w:tcPr>
          <w:p w14:paraId="2EC63B47" w14:textId="77777777" w:rsidR="007303EE" w:rsidRPr="00797379" w:rsidRDefault="007303EE" w:rsidP="00F5225F">
            <w:pPr>
              <w:pStyle w:val="TableTextCentered"/>
              <w:spacing w:before="0" w:after="0"/>
            </w:pPr>
            <w:r w:rsidRPr="00797379">
              <w:t>3</w:t>
            </w:r>
          </w:p>
        </w:tc>
        <w:tc>
          <w:tcPr>
            <w:tcW w:w="290" w:type="pct"/>
            <w:vAlign w:val="center"/>
          </w:tcPr>
          <w:p w14:paraId="05DCD269" w14:textId="77777777" w:rsidR="007303EE" w:rsidRPr="00797379" w:rsidRDefault="007303EE" w:rsidP="00F5225F">
            <w:pPr>
              <w:pStyle w:val="TableTextCentered"/>
              <w:spacing w:before="0" w:after="0"/>
            </w:pPr>
            <w:r w:rsidRPr="00797379">
              <w:t>12</w:t>
            </w:r>
          </w:p>
        </w:tc>
      </w:tr>
      <w:tr w:rsidR="007303EE" w:rsidRPr="00797379" w14:paraId="4504DFE4" w14:textId="77777777" w:rsidTr="000B5510">
        <w:trPr>
          <w:cnfStyle w:val="000000100000" w:firstRow="0" w:lastRow="0" w:firstColumn="0" w:lastColumn="0" w:oddVBand="0" w:evenVBand="0" w:oddHBand="1" w:evenHBand="0" w:firstRowFirstColumn="0" w:firstRowLastColumn="0" w:lastRowFirstColumn="0" w:lastRowLastColumn="0"/>
        </w:trPr>
        <w:tc>
          <w:tcPr>
            <w:tcW w:w="1179" w:type="pct"/>
          </w:tcPr>
          <w:p w14:paraId="7D972C55" w14:textId="77777777" w:rsidR="007303EE" w:rsidRPr="00F5225F" w:rsidRDefault="007303EE" w:rsidP="00F5225F">
            <w:pPr>
              <w:pStyle w:val="TableSubheading"/>
              <w:spacing w:before="0" w:after="0"/>
              <w:rPr>
                <w:rFonts w:asciiTheme="minorHAnsi" w:hAnsiTheme="minorHAnsi"/>
              </w:rPr>
            </w:pPr>
            <w:r w:rsidRPr="00F5225F">
              <w:rPr>
                <w:rFonts w:asciiTheme="minorHAnsi" w:hAnsiTheme="minorHAnsi"/>
              </w:rPr>
              <w:t>High Needs</w:t>
            </w:r>
          </w:p>
        </w:tc>
        <w:tc>
          <w:tcPr>
            <w:tcW w:w="348" w:type="pct"/>
            <w:vAlign w:val="center"/>
          </w:tcPr>
          <w:p w14:paraId="2B8CC3CC" w14:textId="77777777" w:rsidR="007303EE" w:rsidRPr="00797379" w:rsidRDefault="007303EE" w:rsidP="00F5225F">
            <w:pPr>
              <w:pStyle w:val="TableTextCentered"/>
              <w:spacing w:before="0" w:after="0"/>
            </w:pPr>
            <w:r w:rsidRPr="00797379">
              <w:t>207</w:t>
            </w:r>
          </w:p>
        </w:tc>
        <w:tc>
          <w:tcPr>
            <w:tcW w:w="289" w:type="pct"/>
            <w:vAlign w:val="center"/>
          </w:tcPr>
          <w:p w14:paraId="524039F5" w14:textId="77777777" w:rsidR="007303EE" w:rsidRPr="00797379" w:rsidRDefault="007303EE" w:rsidP="00F5225F">
            <w:pPr>
              <w:pStyle w:val="TableTextCentered"/>
              <w:spacing w:before="0" w:after="0"/>
            </w:pPr>
            <w:r w:rsidRPr="00797379">
              <w:t>52</w:t>
            </w:r>
          </w:p>
        </w:tc>
        <w:tc>
          <w:tcPr>
            <w:tcW w:w="289" w:type="pct"/>
            <w:vAlign w:val="center"/>
          </w:tcPr>
          <w:p w14:paraId="04FC4579" w14:textId="77777777" w:rsidR="007303EE" w:rsidRPr="00797379" w:rsidRDefault="007303EE" w:rsidP="00F5225F">
            <w:pPr>
              <w:pStyle w:val="TableTextCentered"/>
              <w:spacing w:before="0" w:after="0"/>
            </w:pPr>
            <w:r w:rsidRPr="00797379">
              <w:t>58</w:t>
            </w:r>
          </w:p>
        </w:tc>
        <w:tc>
          <w:tcPr>
            <w:tcW w:w="289" w:type="pct"/>
            <w:vAlign w:val="center"/>
          </w:tcPr>
          <w:p w14:paraId="5D01E1C9" w14:textId="77777777" w:rsidR="007303EE" w:rsidRPr="00797379" w:rsidRDefault="007303EE" w:rsidP="00F5225F">
            <w:pPr>
              <w:pStyle w:val="TableTextCentered"/>
              <w:spacing w:before="0" w:after="0"/>
            </w:pPr>
            <w:r w:rsidRPr="00797379">
              <w:t>51</w:t>
            </w:r>
          </w:p>
        </w:tc>
        <w:tc>
          <w:tcPr>
            <w:tcW w:w="289" w:type="pct"/>
            <w:vAlign w:val="center"/>
          </w:tcPr>
          <w:p w14:paraId="2C3FCA04" w14:textId="77777777" w:rsidR="007303EE" w:rsidRPr="00797379" w:rsidRDefault="007303EE" w:rsidP="00F5225F">
            <w:pPr>
              <w:pStyle w:val="TableTextCentered"/>
              <w:spacing w:before="0" w:after="0"/>
            </w:pPr>
            <w:r w:rsidRPr="00797379">
              <w:t>23</w:t>
            </w:r>
          </w:p>
        </w:tc>
        <w:tc>
          <w:tcPr>
            <w:tcW w:w="289" w:type="pct"/>
            <w:vAlign w:val="center"/>
          </w:tcPr>
          <w:p w14:paraId="2635C7CF" w14:textId="77777777" w:rsidR="007303EE" w:rsidRPr="00797379" w:rsidRDefault="007303EE" w:rsidP="00F5225F">
            <w:pPr>
              <w:pStyle w:val="TableTextCentered"/>
              <w:spacing w:before="0" w:after="0"/>
            </w:pPr>
            <w:r w:rsidRPr="00797379">
              <w:t>33</w:t>
            </w:r>
          </w:p>
        </w:tc>
        <w:tc>
          <w:tcPr>
            <w:tcW w:w="289" w:type="pct"/>
            <w:vAlign w:val="center"/>
          </w:tcPr>
          <w:p w14:paraId="783F0732" w14:textId="77777777" w:rsidR="007303EE" w:rsidRPr="00797379" w:rsidRDefault="007303EE" w:rsidP="00F5225F">
            <w:pPr>
              <w:pStyle w:val="TableTextCentered"/>
              <w:spacing w:before="0" w:after="0"/>
            </w:pPr>
            <w:r w:rsidRPr="00797379">
              <w:t>33</w:t>
            </w:r>
          </w:p>
        </w:tc>
        <w:tc>
          <w:tcPr>
            <w:tcW w:w="289" w:type="pct"/>
            <w:vAlign w:val="center"/>
          </w:tcPr>
          <w:p w14:paraId="2503EF71" w14:textId="77777777" w:rsidR="007303EE" w:rsidRPr="00797379" w:rsidRDefault="007303EE" w:rsidP="00F5225F">
            <w:pPr>
              <w:pStyle w:val="TableTextCentered"/>
              <w:spacing w:before="0" w:after="0"/>
            </w:pPr>
            <w:r w:rsidRPr="00797379">
              <w:t>39</w:t>
            </w:r>
          </w:p>
        </w:tc>
        <w:tc>
          <w:tcPr>
            <w:tcW w:w="289" w:type="pct"/>
            <w:vAlign w:val="center"/>
          </w:tcPr>
          <w:p w14:paraId="230599A5" w14:textId="77777777" w:rsidR="007303EE" w:rsidRPr="00797379" w:rsidRDefault="007303EE" w:rsidP="00F5225F">
            <w:pPr>
              <w:pStyle w:val="TableTextCentered"/>
              <w:spacing w:before="0" w:after="0"/>
            </w:pPr>
            <w:r w:rsidRPr="00797379">
              <w:t>45</w:t>
            </w:r>
          </w:p>
        </w:tc>
        <w:tc>
          <w:tcPr>
            <w:tcW w:w="289" w:type="pct"/>
            <w:vAlign w:val="center"/>
          </w:tcPr>
          <w:p w14:paraId="28E40F62" w14:textId="77777777" w:rsidR="007303EE" w:rsidRPr="00797379" w:rsidRDefault="007303EE" w:rsidP="00F5225F">
            <w:pPr>
              <w:pStyle w:val="TableTextCentered"/>
              <w:spacing w:before="0" w:after="0"/>
            </w:pPr>
            <w:r w:rsidRPr="00797379">
              <w:t>15</w:t>
            </w:r>
          </w:p>
        </w:tc>
        <w:tc>
          <w:tcPr>
            <w:tcW w:w="289" w:type="pct"/>
            <w:vAlign w:val="center"/>
          </w:tcPr>
          <w:p w14:paraId="502EDE2B" w14:textId="77777777" w:rsidR="007303EE" w:rsidRPr="00797379" w:rsidRDefault="007303EE" w:rsidP="00F5225F">
            <w:pPr>
              <w:pStyle w:val="TableTextCentered"/>
              <w:spacing w:before="0" w:after="0"/>
            </w:pPr>
            <w:r w:rsidRPr="00797379">
              <w:t>9</w:t>
            </w:r>
          </w:p>
        </w:tc>
        <w:tc>
          <w:tcPr>
            <w:tcW w:w="289" w:type="pct"/>
            <w:vAlign w:val="center"/>
          </w:tcPr>
          <w:p w14:paraId="310E00F9" w14:textId="77777777" w:rsidR="007303EE" w:rsidRPr="00797379" w:rsidRDefault="007303EE" w:rsidP="00F5225F">
            <w:pPr>
              <w:pStyle w:val="TableTextCentered"/>
              <w:spacing w:before="0" w:after="0"/>
            </w:pPr>
            <w:r w:rsidRPr="00797379">
              <w:t>10</w:t>
            </w:r>
          </w:p>
        </w:tc>
        <w:tc>
          <w:tcPr>
            <w:tcW w:w="290" w:type="pct"/>
            <w:vAlign w:val="center"/>
          </w:tcPr>
          <w:p w14:paraId="014812C6" w14:textId="77777777" w:rsidR="007303EE" w:rsidRPr="00797379" w:rsidRDefault="007303EE" w:rsidP="00F5225F">
            <w:pPr>
              <w:pStyle w:val="TableTextCentered"/>
              <w:spacing w:before="0" w:after="0"/>
            </w:pPr>
            <w:r w:rsidRPr="00797379">
              <w:t>32</w:t>
            </w:r>
          </w:p>
        </w:tc>
      </w:tr>
      <w:tr w:rsidR="007303EE" w:rsidRPr="00797379" w14:paraId="35D91D6B" w14:textId="77777777" w:rsidTr="000B5510">
        <w:tc>
          <w:tcPr>
            <w:tcW w:w="1179" w:type="pct"/>
          </w:tcPr>
          <w:p w14:paraId="670DFCE0" w14:textId="77777777" w:rsidR="007303EE" w:rsidRPr="00F5225F" w:rsidRDefault="007303EE" w:rsidP="00F5225F">
            <w:pPr>
              <w:pStyle w:val="TableSubheading"/>
              <w:spacing w:before="0" w:after="0"/>
              <w:rPr>
                <w:rFonts w:asciiTheme="minorHAnsi" w:hAnsiTheme="minorHAnsi"/>
              </w:rPr>
            </w:pPr>
            <w:r w:rsidRPr="00F5225F">
              <w:rPr>
                <w:rFonts w:asciiTheme="minorHAnsi" w:hAnsiTheme="minorHAnsi"/>
              </w:rPr>
              <w:t>English Learners</w:t>
            </w:r>
          </w:p>
        </w:tc>
        <w:tc>
          <w:tcPr>
            <w:tcW w:w="348" w:type="pct"/>
            <w:vAlign w:val="center"/>
          </w:tcPr>
          <w:p w14:paraId="1EAB1AE2" w14:textId="77777777" w:rsidR="007303EE" w:rsidRPr="00797379" w:rsidRDefault="007303EE" w:rsidP="00F5225F">
            <w:pPr>
              <w:pStyle w:val="TableTextCentered"/>
              <w:spacing w:before="0" w:after="0"/>
            </w:pPr>
            <w:r w:rsidRPr="00797379">
              <w:t>47</w:t>
            </w:r>
          </w:p>
        </w:tc>
        <w:tc>
          <w:tcPr>
            <w:tcW w:w="289" w:type="pct"/>
            <w:vAlign w:val="center"/>
          </w:tcPr>
          <w:p w14:paraId="25330D18" w14:textId="77777777" w:rsidR="007303EE" w:rsidRPr="00797379" w:rsidRDefault="007303EE" w:rsidP="00F5225F">
            <w:pPr>
              <w:pStyle w:val="TableTextCentered"/>
              <w:spacing w:before="0" w:after="0"/>
            </w:pPr>
            <w:r w:rsidRPr="00797379">
              <w:t>59</w:t>
            </w:r>
          </w:p>
        </w:tc>
        <w:tc>
          <w:tcPr>
            <w:tcW w:w="289" w:type="pct"/>
            <w:vAlign w:val="center"/>
          </w:tcPr>
          <w:p w14:paraId="328A2604" w14:textId="77777777" w:rsidR="007303EE" w:rsidRPr="00797379" w:rsidRDefault="007303EE" w:rsidP="00F5225F">
            <w:pPr>
              <w:pStyle w:val="TableTextCentered"/>
              <w:spacing w:before="0" w:after="0"/>
            </w:pPr>
            <w:r w:rsidRPr="00797379">
              <w:t>66</w:t>
            </w:r>
          </w:p>
        </w:tc>
        <w:tc>
          <w:tcPr>
            <w:tcW w:w="289" w:type="pct"/>
            <w:vAlign w:val="center"/>
          </w:tcPr>
          <w:p w14:paraId="78E12830" w14:textId="77777777" w:rsidR="007303EE" w:rsidRPr="00797379" w:rsidRDefault="007303EE" w:rsidP="00F5225F">
            <w:pPr>
              <w:pStyle w:val="TableTextCentered"/>
              <w:spacing w:before="0" w:after="0"/>
            </w:pPr>
            <w:r w:rsidRPr="00797379">
              <w:t>51</w:t>
            </w:r>
          </w:p>
        </w:tc>
        <w:tc>
          <w:tcPr>
            <w:tcW w:w="289" w:type="pct"/>
            <w:vAlign w:val="center"/>
          </w:tcPr>
          <w:p w14:paraId="70CFB73D" w14:textId="77777777" w:rsidR="007303EE" w:rsidRPr="00797379" w:rsidRDefault="007303EE" w:rsidP="00F5225F">
            <w:pPr>
              <w:pStyle w:val="TableTextCentered"/>
              <w:spacing w:before="0" w:after="0"/>
            </w:pPr>
            <w:r w:rsidRPr="00797379">
              <w:t>17</w:t>
            </w:r>
          </w:p>
        </w:tc>
        <w:tc>
          <w:tcPr>
            <w:tcW w:w="289" w:type="pct"/>
            <w:vAlign w:val="center"/>
          </w:tcPr>
          <w:p w14:paraId="6BB59E76" w14:textId="77777777" w:rsidR="007303EE" w:rsidRPr="00797379" w:rsidRDefault="007303EE" w:rsidP="00F5225F">
            <w:pPr>
              <w:pStyle w:val="TableTextCentered"/>
              <w:spacing w:before="0" w:after="0"/>
            </w:pPr>
            <w:r w:rsidRPr="00797379">
              <w:t>26</w:t>
            </w:r>
          </w:p>
        </w:tc>
        <w:tc>
          <w:tcPr>
            <w:tcW w:w="289" w:type="pct"/>
            <w:vAlign w:val="center"/>
          </w:tcPr>
          <w:p w14:paraId="318D0616" w14:textId="77777777" w:rsidR="007303EE" w:rsidRPr="00797379" w:rsidRDefault="007303EE" w:rsidP="00F5225F">
            <w:pPr>
              <w:pStyle w:val="TableTextCentered"/>
              <w:spacing w:before="0" w:after="0"/>
            </w:pPr>
            <w:r w:rsidRPr="00797379">
              <w:t>29</w:t>
            </w:r>
          </w:p>
        </w:tc>
        <w:tc>
          <w:tcPr>
            <w:tcW w:w="289" w:type="pct"/>
            <w:vAlign w:val="center"/>
          </w:tcPr>
          <w:p w14:paraId="0A2F3F28" w14:textId="77777777" w:rsidR="007303EE" w:rsidRPr="00797379" w:rsidRDefault="007303EE" w:rsidP="00F5225F">
            <w:pPr>
              <w:pStyle w:val="TableTextCentered"/>
              <w:spacing w:before="0" w:after="0"/>
            </w:pPr>
            <w:r w:rsidRPr="00797379">
              <w:t>34</w:t>
            </w:r>
          </w:p>
        </w:tc>
        <w:tc>
          <w:tcPr>
            <w:tcW w:w="289" w:type="pct"/>
            <w:vAlign w:val="center"/>
          </w:tcPr>
          <w:p w14:paraId="519687BE" w14:textId="77777777" w:rsidR="007303EE" w:rsidRPr="00797379" w:rsidRDefault="007303EE" w:rsidP="00F5225F">
            <w:pPr>
              <w:pStyle w:val="TableTextCentered"/>
              <w:spacing w:before="0" w:after="0"/>
            </w:pPr>
            <w:r w:rsidRPr="00797379">
              <w:t>43</w:t>
            </w:r>
          </w:p>
        </w:tc>
        <w:tc>
          <w:tcPr>
            <w:tcW w:w="289" w:type="pct"/>
            <w:vAlign w:val="center"/>
          </w:tcPr>
          <w:p w14:paraId="16E2764B" w14:textId="77777777" w:rsidR="007303EE" w:rsidRPr="00797379" w:rsidRDefault="007303EE" w:rsidP="00F5225F">
            <w:pPr>
              <w:pStyle w:val="TableTextCentered"/>
              <w:spacing w:before="0" w:after="0"/>
            </w:pPr>
            <w:r w:rsidRPr="00797379">
              <w:t>15</w:t>
            </w:r>
          </w:p>
        </w:tc>
        <w:tc>
          <w:tcPr>
            <w:tcW w:w="289" w:type="pct"/>
            <w:vAlign w:val="center"/>
          </w:tcPr>
          <w:p w14:paraId="08E0CECD" w14:textId="77777777" w:rsidR="007303EE" w:rsidRPr="00797379" w:rsidRDefault="007303EE" w:rsidP="00F5225F">
            <w:pPr>
              <w:pStyle w:val="TableTextCentered"/>
              <w:spacing w:before="0" w:after="0"/>
            </w:pPr>
            <w:r w:rsidRPr="00797379">
              <w:t>5</w:t>
            </w:r>
          </w:p>
        </w:tc>
        <w:tc>
          <w:tcPr>
            <w:tcW w:w="289" w:type="pct"/>
            <w:vAlign w:val="center"/>
          </w:tcPr>
          <w:p w14:paraId="336A40C0" w14:textId="77777777" w:rsidR="007303EE" w:rsidRPr="00797379" w:rsidRDefault="007303EE" w:rsidP="00F5225F">
            <w:pPr>
              <w:pStyle w:val="TableTextCentered"/>
              <w:spacing w:before="0" w:after="0"/>
            </w:pPr>
            <w:r w:rsidRPr="00797379">
              <w:t>15</w:t>
            </w:r>
          </w:p>
        </w:tc>
        <w:tc>
          <w:tcPr>
            <w:tcW w:w="290" w:type="pct"/>
            <w:vAlign w:val="center"/>
          </w:tcPr>
          <w:p w14:paraId="0E42DB06" w14:textId="77777777" w:rsidR="007303EE" w:rsidRPr="00797379" w:rsidRDefault="007303EE" w:rsidP="00F5225F">
            <w:pPr>
              <w:pStyle w:val="TableTextCentered"/>
              <w:spacing w:before="0" w:after="0"/>
            </w:pPr>
            <w:r w:rsidRPr="00797379">
              <w:t>40</w:t>
            </w:r>
          </w:p>
        </w:tc>
      </w:tr>
      <w:tr w:rsidR="007303EE" w:rsidRPr="00797379" w14:paraId="4BE389F3" w14:textId="77777777" w:rsidTr="000B5510">
        <w:trPr>
          <w:cnfStyle w:val="000000100000" w:firstRow="0" w:lastRow="0" w:firstColumn="0" w:lastColumn="0" w:oddVBand="0" w:evenVBand="0" w:oddHBand="1" w:evenHBand="0" w:firstRowFirstColumn="0" w:firstRowLastColumn="0" w:lastRowFirstColumn="0" w:lastRowLastColumn="0"/>
        </w:trPr>
        <w:tc>
          <w:tcPr>
            <w:tcW w:w="1179" w:type="pct"/>
          </w:tcPr>
          <w:p w14:paraId="654A5A1A" w14:textId="77777777" w:rsidR="007303EE" w:rsidRPr="00F5225F" w:rsidRDefault="007303EE" w:rsidP="00F5225F">
            <w:pPr>
              <w:pStyle w:val="TableSubheading"/>
              <w:spacing w:before="0" w:after="0"/>
              <w:rPr>
                <w:rFonts w:asciiTheme="minorHAnsi" w:hAnsiTheme="minorHAnsi"/>
                <w:spacing w:val="-4"/>
              </w:rPr>
            </w:pPr>
            <w:r w:rsidRPr="00F5225F">
              <w:rPr>
                <w:rFonts w:asciiTheme="minorHAnsi" w:hAnsiTheme="minorHAnsi"/>
                <w:spacing w:val="-4"/>
              </w:rPr>
              <w:t>Low Income</w:t>
            </w:r>
          </w:p>
        </w:tc>
        <w:tc>
          <w:tcPr>
            <w:tcW w:w="348" w:type="pct"/>
            <w:vAlign w:val="center"/>
          </w:tcPr>
          <w:p w14:paraId="706F752E" w14:textId="77777777" w:rsidR="007303EE" w:rsidRPr="00797379" w:rsidRDefault="007303EE" w:rsidP="00F5225F">
            <w:pPr>
              <w:pStyle w:val="TableTextCentered"/>
              <w:spacing w:before="0" w:after="0"/>
            </w:pPr>
            <w:r w:rsidRPr="00797379">
              <w:t>63</w:t>
            </w:r>
          </w:p>
        </w:tc>
        <w:tc>
          <w:tcPr>
            <w:tcW w:w="289" w:type="pct"/>
            <w:vAlign w:val="center"/>
          </w:tcPr>
          <w:p w14:paraId="7EEF4877" w14:textId="77777777" w:rsidR="007303EE" w:rsidRPr="00797379" w:rsidRDefault="007303EE" w:rsidP="00F5225F">
            <w:pPr>
              <w:pStyle w:val="TableTextCentered"/>
              <w:spacing w:before="0" w:after="0"/>
            </w:pPr>
            <w:r w:rsidRPr="00797379">
              <w:t>51</w:t>
            </w:r>
          </w:p>
        </w:tc>
        <w:tc>
          <w:tcPr>
            <w:tcW w:w="289" w:type="pct"/>
            <w:vAlign w:val="center"/>
          </w:tcPr>
          <w:p w14:paraId="3CBBE6A8" w14:textId="77777777" w:rsidR="007303EE" w:rsidRPr="00797379" w:rsidRDefault="007303EE" w:rsidP="00F5225F">
            <w:pPr>
              <w:pStyle w:val="TableTextCentered"/>
              <w:spacing w:before="0" w:after="0"/>
            </w:pPr>
            <w:r w:rsidRPr="00797379">
              <w:t>56</w:t>
            </w:r>
          </w:p>
        </w:tc>
        <w:tc>
          <w:tcPr>
            <w:tcW w:w="289" w:type="pct"/>
            <w:vAlign w:val="center"/>
          </w:tcPr>
          <w:p w14:paraId="0F8C8464" w14:textId="77777777" w:rsidR="007303EE" w:rsidRPr="00797379" w:rsidRDefault="007303EE" w:rsidP="00F5225F">
            <w:pPr>
              <w:pStyle w:val="TableTextCentered"/>
              <w:spacing w:before="0" w:after="0"/>
            </w:pPr>
            <w:r w:rsidRPr="00797379">
              <w:t>48</w:t>
            </w:r>
          </w:p>
        </w:tc>
        <w:tc>
          <w:tcPr>
            <w:tcW w:w="289" w:type="pct"/>
            <w:vAlign w:val="center"/>
          </w:tcPr>
          <w:p w14:paraId="1CBF9D23" w14:textId="77777777" w:rsidR="007303EE" w:rsidRPr="00797379" w:rsidRDefault="007303EE" w:rsidP="00F5225F">
            <w:pPr>
              <w:pStyle w:val="TableTextCentered"/>
              <w:spacing w:before="0" w:after="0"/>
            </w:pPr>
            <w:r w:rsidRPr="00797379">
              <w:t>21</w:t>
            </w:r>
          </w:p>
        </w:tc>
        <w:tc>
          <w:tcPr>
            <w:tcW w:w="289" w:type="pct"/>
            <w:vAlign w:val="center"/>
          </w:tcPr>
          <w:p w14:paraId="7DFC1304" w14:textId="77777777" w:rsidR="007303EE" w:rsidRPr="00797379" w:rsidRDefault="007303EE" w:rsidP="00F5225F">
            <w:pPr>
              <w:pStyle w:val="TableTextCentered"/>
              <w:spacing w:before="0" w:after="0"/>
            </w:pPr>
            <w:r w:rsidRPr="00797379">
              <w:t>35</w:t>
            </w:r>
          </w:p>
        </w:tc>
        <w:tc>
          <w:tcPr>
            <w:tcW w:w="289" w:type="pct"/>
            <w:vAlign w:val="center"/>
          </w:tcPr>
          <w:p w14:paraId="4A726F59" w14:textId="77777777" w:rsidR="007303EE" w:rsidRPr="00797379" w:rsidRDefault="007303EE" w:rsidP="00F5225F">
            <w:pPr>
              <w:pStyle w:val="TableTextCentered"/>
              <w:spacing w:before="0" w:after="0"/>
            </w:pPr>
            <w:r w:rsidRPr="00797379">
              <w:t>36</w:t>
            </w:r>
          </w:p>
        </w:tc>
        <w:tc>
          <w:tcPr>
            <w:tcW w:w="289" w:type="pct"/>
            <w:vAlign w:val="center"/>
          </w:tcPr>
          <w:p w14:paraId="23267C94" w14:textId="77777777" w:rsidR="007303EE" w:rsidRPr="00797379" w:rsidRDefault="007303EE" w:rsidP="00F5225F">
            <w:pPr>
              <w:pStyle w:val="TableTextCentered"/>
              <w:spacing w:before="0" w:after="0"/>
            </w:pPr>
            <w:r w:rsidRPr="00797379">
              <w:t>38</w:t>
            </w:r>
          </w:p>
        </w:tc>
        <w:tc>
          <w:tcPr>
            <w:tcW w:w="289" w:type="pct"/>
            <w:vAlign w:val="center"/>
          </w:tcPr>
          <w:p w14:paraId="16860C0A" w14:textId="77777777" w:rsidR="007303EE" w:rsidRPr="00797379" w:rsidRDefault="007303EE" w:rsidP="00F5225F">
            <w:pPr>
              <w:pStyle w:val="TableTextCentered"/>
              <w:spacing w:before="0" w:after="0"/>
            </w:pPr>
            <w:r w:rsidRPr="00797379">
              <w:t>46</w:t>
            </w:r>
          </w:p>
        </w:tc>
        <w:tc>
          <w:tcPr>
            <w:tcW w:w="289" w:type="pct"/>
            <w:vAlign w:val="center"/>
          </w:tcPr>
          <w:p w14:paraId="2F88A00B" w14:textId="77777777" w:rsidR="007303EE" w:rsidRPr="00797379" w:rsidRDefault="007303EE" w:rsidP="00F5225F">
            <w:pPr>
              <w:pStyle w:val="TableTextCentered"/>
              <w:spacing w:before="0" w:after="0"/>
            </w:pPr>
            <w:r w:rsidRPr="00797379">
              <w:t>14</w:t>
            </w:r>
          </w:p>
        </w:tc>
        <w:tc>
          <w:tcPr>
            <w:tcW w:w="289" w:type="pct"/>
            <w:vAlign w:val="center"/>
          </w:tcPr>
          <w:p w14:paraId="2770999E" w14:textId="77777777" w:rsidR="007303EE" w:rsidRPr="00797379" w:rsidRDefault="007303EE" w:rsidP="00F5225F">
            <w:pPr>
              <w:pStyle w:val="TableTextCentered"/>
              <w:spacing w:before="0" w:after="0"/>
            </w:pPr>
            <w:r w:rsidRPr="00797379">
              <w:t>8</w:t>
            </w:r>
          </w:p>
        </w:tc>
        <w:tc>
          <w:tcPr>
            <w:tcW w:w="289" w:type="pct"/>
            <w:vAlign w:val="center"/>
          </w:tcPr>
          <w:p w14:paraId="25C21126" w14:textId="77777777" w:rsidR="007303EE" w:rsidRPr="00797379" w:rsidRDefault="007303EE" w:rsidP="00F5225F">
            <w:pPr>
              <w:pStyle w:val="TableTextCentered"/>
              <w:spacing w:before="0" w:after="0"/>
            </w:pPr>
            <w:r w:rsidRPr="00797379">
              <w:t>14</w:t>
            </w:r>
          </w:p>
        </w:tc>
        <w:tc>
          <w:tcPr>
            <w:tcW w:w="290" w:type="pct"/>
            <w:vAlign w:val="center"/>
          </w:tcPr>
          <w:p w14:paraId="2118B4F9" w14:textId="77777777" w:rsidR="007303EE" w:rsidRPr="00797379" w:rsidRDefault="007303EE" w:rsidP="00F5225F">
            <w:pPr>
              <w:pStyle w:val="TableTextCentered"/>
              <w:spacing w:before="0" w:after="0"/>
            </w:pPr>
            <w:r w:rsidRPr="00797379">
              <w:t>33</w:t>
            </w:r>
          </w:p>
        </w:tc>
      </w:tr>
      <w:tr w:rsidR="007303EE" w:rsidRPr="00797379" w14:paraId="5C6F01D8" w14:textId="77777777" w:rsidTr="000B5510">
        <w:tc>
          <w:tcPr>
            <w:tcW w:w="1179" w:type="pct"/>
          </w:tcPr>
          <w:p w14:paraId="733012C8" w14:textId="77777777" w:rsidR="007303EE" w:rsidRPr="00F5225F" w:rsidRDefault="007303EE" w:rsidP="00F5225F">
            <w:pPr>
              <w:pStyle w:val="TableSubheading"/>
              <w:spacing w:before="0" w:after="0"/>
              <w:rPr>
                <w:rFonts w:asciiTheme="minorHAnsi" w:hAnsiTheme="minorHAnsi"/>
              </w:rPr>
            </w:pPr>
            <w:r w:rsidRPr="00F5225F">
              <w:rPr>
                <w:rFonts w:asciiTheme="minorHAnsi" w:hAnsiTheme="minorHAnsi"/>
              </w:rPr>
              <w:t>Students with Disabilities</w:t>
            </w:r>
          </w:p>
        </w:tc>
        <w:tc>
          <w:tcPr>
            <w:tcW w:w="348" w:type="pct"/>
            <w:vAlign w:val="center"/>
          </w:tcPr>
          <w:p w14:paraId="164D64E4" w14:textId="77777777" w:rsidR="007303EE" w:rsidRPr="00797379" w:rsidRDefault="007303EE" w:rsidP="00F5225F">
            <w:pPr>
              <w:pStyle w:val="TableTextCentered"/>
              <w:spacing w:before="0" w:after="0"/>
            </w:pPr>
            <w:r w:rsidRPr="00797379">
              <w:t>145</w:t>
            </w:r>
          </w:p>
        </w:tc>
        <w:tc>
          <w:tcPr>
            <w:tcW w:w="289" w:type="pct"/>
            <w:vAlign w:val="center"/>
          </w:tcPr>
          <w:p w14:paraId="32243766" w14:textId="77777777" w:rsidR="007303EE" w:rsidRPr="00797379" w:rsidRDefault="007303EE" w:rsidP="00F5225F">
            <w:pPr>
              <w:pStyle w:val="TableTextCentered"/>
              <w:spacing w:before="0" w:after="0"/>
            </w:pPr>
            <w:r w:rsidRPr="00797379">
              <w:t>45</w:t>
            </w:r>
          </w:p>
        </w:tc>
        <w:tc>
          <w:tcPr>
            <w:tcW w:w="289" w:type="pct"/>
            <w:vAlign w:val="center"/>
          </w:tcPr>
          <w:p w14:paraId="326E2337" w14:textId="77777777" w:rsidR="007303EE" w:rsidRPr="00797379" w:rsidRDefault="007303EE" w:rsidP="00F5225F">
            <w:pPr>
              <w:pStyle w:val="TableTextCentered"/>
              <w:spacing w:before="0" w:after="0"/>
            </w:pPr>
            <w:r w:rsidRPr="00797379">
              <w:t>52</w:t>
            </w:r>
          </w:p>
        </w:tc>
        <w:tc>
          <w:tcPr>
            <w:tcW w:w="289" w:type="pct"/>
            <w:vAlign w:val="center"/>
          </w:tcPr>
          <w:p w14:paraId="4649C2AE" w14:textId="77777777" w:rsidR="007303EE" w:rsidRPr="00797379" w:rsidRDefault="007303EE" w:rsidP="00F5225F">
            <w:pPr>
              <w:pStyle w:val="TableTextCentered"/>
              <w:spacing w:before="0" w:after="0"/>
            </w:pPr>
            <w:r w:rsidRPr="00797379">
              <w:t>42</w:t>
            </w:r>
          </w:p>
        </w:tc>
        <w:tc>
          <w:tcPr>
            <w:tcW w:w="289" w:type="pct"/>
            <w:vAlign w:val="center"/>
          </w:tcPr>
          <w:p w14:paraId="16BE74EA" w14:textId="77777777" w:rsidR="007303EE" w:rsidRPr="00797379" w:rsidRDefault="007303EE" w:rsidP="00F5225F">
            <w:pPr>
              <w:pStyle w:val="TableTextCentered"/>
              <w:spacing w:before="0" w:after="0"/>
            </w:pPr>
            <w:r w:rsidRPr="00797379">
              <w:t>15</w:t>
            </w:r>
          </w:p>
        </w:tc>
        <w:tc>
          <w:tcPr>
            <w:tcW w:w="289" w:type="pct"/>
            <w:vAlign w:val="center"/>
          </w:tcPr>
          <w:p w14:paraId="2397F779" w14:textId="77777777" w:rsidR="007303EE" w:rsidRPr="00797379" w:rsidRDefault="007303EE" w:rsidP="00F5225F">
            <w:pPr>
              <w:pStyle w:val="TableTextCentered"/>
              <w:spacing w:before="0" w:after="0"/>
            </w:pPr>
            <w:r w:rsidRPr="00797379">
              <w:t>35</w:t>
            </w:r>
          </w:p>
        </w:tc>
        <w:tc>
          <w:tcPr>
            <w:tcW w:w="289" w:type="pct"/>
            <w:vAlign w:val="center"/>
          </w:tcPr>
          <w:p w14:paraId="17FD94DB" w14:textId="77777777" w:rsidR="007303EE" w:rsidRPr="00797379" w:rsidRDefault="007303EE" w:rsidP="00F5225F">
            <w:pPr>
              <w:pStyle w:val="TableTextCentered"/>
              <w:spacing w:before="0" w:after="0"/>
            </w:pPr>
            <w:r w:rsidRPr="00797379">
              <w:t>36</w:t>
            </w:r>
          </w:p>
        </w:tc>
        <w:tc>
          <w:tcPr>
            <w:tcW w:w="289" w:type="pct"/>
            <w:vAlign w:val="center"/>
          </w:tcPr>
          <w:p w14:paraId="76445C5D" w14:textId="77777777" w:rsidR="007303EE" w:rsidRPr="00797379" w:rsidRDefault="007303EE" w:rsidP="00F5225F">
            <w:pPr>
              <w:pStyle w:val="TableTextCentered"/>
              <w:spacing w:before="0" w:after="0"/>
            </w:pPr>
            <w:r w:rsidRPr="00797379">
              <w:t>45</w:t>
            </w:r>
          </w:p>
        </w:tc>
        <w:tc>
          <w:tcPr>
            <w:tcW w:w="289" w:type="pct"/>
            <w:vAlign w:val="center"/>
          </w:tcPr>
          <w:p w14:paraId="37984E93" w14:textId="77777777" w:rsidR="007303EE" w:rsidRPr="00797379" w:rsidRDefault="007303EE" w:rsidP="00F5225F">
            <w:pPr>
              <w:pStyle w:val="TableTextCentered"/>
              <w:spacing w:before="0" w:after="0"/>
            </w:pPr>
            <w:r w:rsidRPr="00797379">
              <w:t>39</w:t>
            </w:r>
          </w:p>
        </w:tc>
        <w:tc>
          <w:tcPr>
            <w:tcW w:w="289" w:type="pct"/>
            <w:vAlign w:val="center"/>
          </w:tcPr>
          <w:p w14:paraId="690B41BB" w14:textId="77777777" w:rsidR="007303EE" w:rsidRPr="00797379" w:rsidRDefault="007303EE" w:rsidP="00F5225F">
            <w:pPr>
              <w:pStyle w:val="TableTextCentered"/>
              <w:spacing w:before="0" w:after="0"/>
            </w:pPr>
            <w:r w:rsidRPr="00797379">
              <w:t>20</w:t>
            </w:r>
          </w:p>
        </w:tc>
        <w:tc>
          <w:tcPr>
            <w:tcW w:w="289" w:type="pct"/>
            <w:vAlign w:val="center"/>
          </w:tcPr>
          <w:p w14:paraId="6FE58516" w14:textId="77777777" w:rsidR="007303EE" w:rsidRPr="00797379" w:rsidRDefault="007303EE" w:rsidP="00F5225F">
            <w:pPr>
              <w:pStyle w:val="TableTextCentered"/>
              <w:spacing w:before="0" w:after="0"/>
            </w:pPr>
            <w:r w:rsidRPr="00797379">
              <w:t>11</w:t>
            </w:r>
          </w:p>
        </w:tc>
        <w:tc>
          <w:tcPr>
            <w:tcW w:w="289" w:type="pct"/>
            <w:vAlign w:val="center"/>
          </w:tcPr>
          <w:p w14:paraId="532F9B3F" w14:textId="77777777" w:rsidR="007303EE" w:rsidRPr="00797379" w:rsidRDefault="007303EE" w:rsidP="00F5225F">
            <w:pPr>
              <w:pStyle w:val="TableTextCentered"/>
              <w:spacing w:before="0" w:after="0"/>
            </w:pPr>
            <w:r w:rsidRPr="00797379">
              <w:t>13</w:t>
            </w:r>
          </w:p>
        </w:tc>
        <w:tc>
          <w:tcPr>
            <w:tcW w:w="290" w:type="pct"/>
            <w:vAlign w:val="center"/>
          </w:tcPr>
          <w:p w14:paraId="64639C45" w14:textId="77777777" w:rsidR="007303EE" w:rsidRPr="00797379" w:rsidRDefault="007303EE" w:rsidP="00F5225F">
            <w:pPr>
              <w:pStyle w:val="TableTextCentered"/>
              <w:spacing w:before="0" w:after="0"/>
            </w:pPr>
            <w:r w:rsidRPr="00797379">
              <w:t>46</w:t>
            </w:r>
          </w:p>
        </w:tc>
      </w:tr>
    </w:tbl>
    <w:p w14:paraId="78A93320" w14:textId="2FB19D38" w:rsidR="007303EE" w:rsidRPr="00797379" w:rsidRDefault="007303EE" w:rsidP="006C2038">
      <w:pPr>
        <w:pStyle w:val="TableETitles"/>
      </w:pPr>
      <w:bookmarkStart w:id="245" w:name="_Toc220933509"/>
      <w:r w:rsidRPr="00797379">
        <w:t>Table E6. MCAS Science Achievement by Student Group, Grade 10, 2023-2025</w:t>
      </w:r>
      <w:bookmarkEnd w:id="245"/>
    </w:p>
    <w:tbl>
      <w:tblPr>
        <w:tblStyle w:val="MSVTable1"/>
        <w:tblW w:w="5000" w:type="pct"/>
        <w:tblLayout w:type="fixed"/>
        <w:tblLook w:val="0420" w:firstRow="1" w:lastRow="0" w:firstColumn="0" w:lastColumn="0" w:noHBand="0" w:noVBand="1"/>
      </w:tblPr>
      <w:tblGrid>
        <w:gridCol w:w="3056"/>
        <w:gridCol w:w="902"/>
        <w:gridCol w:w="749"/>
        <w:gridCol w:w="749"/>
        <w:gridCol w:w="749"/>
        <w:gridCol w:w="749"/>
        <w:gridCol w:w="749"/>
        <w:gridCol w:w="749"/>
        <w:gridCol w:w="749"/>
        <w:gridCol w:w="748"/>
        <w:gridCol w:w="748"/>
        <w:gridCol w:w="748"/>
        <w:gridCol w:w="748"/>
        <w:gridCol w:w="751"/>
      </w:tblGrid>
      <w:tr w:rsidR="007303EE" w:rsidRPr="00797379" w14:paraId="20F55A62" w14:textId="77777777" w:rsidTr="00132A03">
        <w:trPr>
          <w:cnfStyle w:val="100000000000" w:firstRow="1" w:lastRow="0" w:firstColumn="0" w:lastColumn="0" w:oddVBand="0" w:evenVBand="0" w:oddHBand="0" w:evenHBand="0" w:firstRowFirstColumn="0" w:firstRowLastColumn="0" w:lastRowFirstColumn="0" w:lastRowLastColumn="0"/>
          <w:tblHeader/>
        </w:trPr>
        <w:tc>
          <w:tcPr>
            <w:tcW w:w="1179" w:type="pct"/>
            <w:tcMar>
              <w:left w:w="29" w:type="dxa"/>
              <w:right w:w="29" w:type="dxa"/>
            </w:tcMar>
            <w:vAlign w:val="center"/>
          </w:tcPr>
          <w:p w14:paraId="0E1B4019" w14:textId="77777777" w:rsidR="007303EE" w:rsidRPr="00797379" w:rsidRDefault="007303EE" w:rsidP="00E352F4">
            <w:pPr>
              <w:pStyle w:val="TableColHeadingCenter"/>
            </w:pPr>
            <w:r w:rsidRPr="00797379">
              <w:t>Group</w:t>
            </w:r>
          </w:p>
        </w:tc>
        <w:tc>
          <w:tcPr>
            <w:tcW w:w="348" w:type="pct"/>
            <w:tcMar>
              <w:left w:w="29" w:type="dxa"/>
              <w:right w:w="29" w:type="dxa"/>
            </w:tcMar>
            <w:vAlign w:val="center"/>
          </w:tcPr>
          <w:p w14:paraId="4676C118" w14:textId="77777777" w:rsidR="007303EE" w:rsidRPr="00797379" w:rsidRDefault="007303EE" w:rsidP="00E352F4">
            <w:pPr>
              <w:pStyle w:val="TableColHeadingCenter"/>
            </w:pPr>
            <w:r w:rsidRPr="00797379">
              <w:t># Included (2025)</w:t>
            </w:r>
          </w:p>
        </w:tc>
        <w:tc>
          <w:tcPr>
            <w:tcW w:w="289" w:type="pct"/>
            <w:tcMar>
              <w:left w:w="29" w:type="dxa"/>
              <w:right w:w="29" w:type="dxa"/>
            </w:tcMar>
            <w:vAlign w:val="center"/>
          </w:tcPr>
          <w:p w14:paraId="54DA9088" w14:textId="77777777" w:rsidR="007303EE" w:rsidRPr="00797379" w:rsidRDefault="007303EE" w:rsidP="00E352F4">
            <w:pPr>
              <w:pStyle w:val="TableColHeadingCenter"/>
            </w:pPr>
            <w:r w:rsidRPr="00797379">
              <w:t>% M/E 2023</w:t>
            </w:r>
          </w:p>
        </w:tc>
        <w:tc>
          <w:tcPr>
            <w:tcW w:w="289" w:type="pct"/>
            <w:tcMar>
              <w:left w:w="29" w:type="dxa"/>
              <w:right w:w="29" w:type="dxa"/>
            </w:tcMar>
            <w:vAlign w:val="center"/>
          </w:tcPr>
          <w:p w14:paraId="5FE790F0" w14:textId="77777777" w:rsidR="007303EE" w:rsidRPr="00797379" w:rsidRDefault="007303EE" w:rsidP="00E352F4">
            <w:pPr>
              <w:pStyle w:val="TableColHeadingCenter"/>
            </w:pPr>
            <w:r w:rsidRPr="00797379">
              <w:t>% M/E 2024</w:t>
            </w:r>
          </w:p>
        </w:tc>
        <w:tc>
          <w:tcPr>
            <w:tcW w:w="289" w:type="pct"/>
            <w:tcMar>
              <w:left w:w="29" w:type="dxa"/>
              <w:right w:w="29" w:type="dxa"/>
            </w:tcMar>
            <w:vAlign w:val="center"/>
          </w:tcPr>
          <w:p w14:paraId="51B037BB" w14:textId="77777777" w:rsidR="007303EE" w:rsidRPr="00797379" w:rsidRDefault="007303EE" w:rsidP="00E352F4">
            <w:pPr>
              <w:pStyle w:val="TableColHeadingCenter"/>
            </w:pPr>
            <w:r w:rsidRPr="00797379">
              <w:t>% M/E 2025</w:t>
            </w:r>
          </w:p>
        </w:tc>
        <w:tc>
          <w:tcPr>
            <w:tcW w:w="289" w:type="pct"/>
            <w:tcMar>
              <w:left w:w="29" w:type="dxa"/>
              <w:right w:w="29" w:type="dxa"/>
            </w:tcMar>
            <w:vAlign w:val="center"/>
          </w:tcPr>
          <w:p w14:paraId="7056D407" w14:textId="77777777" w:rsidR="007303EE" w:rsidRPr="00797379" w:rsidRDefault="007303EE" w:rsidP="00E352F4">
            <w:pPr>
              <w:pStyle w:val="TableColHeadingCenter"/>
            </w:pPr>
            <w:r w:rsidRPr="00797379">
              <w:t>% M/E 2025 State</w:t>
            </w:r>
          </w:p>
        </w:tc>
        <w:tc>
          <w:tcPr>
            <w:tcW w:w="289" w:type="pct"/>
            <w:tcMar>
              <w:left w:w="29" w:type="dxa"/>
              <w:right w:w="29" w:type="dxa"/>
            </w:tcMar>
            <w:vAlign w:val="center"/>
          </w:tcPr>
          <w:p w14:paraId="4E10FB3E" w14:textId="77777777" w:rsidR="007303EE" w:rsidRPr="00797379" w:rsidRDefault="007303EE" w:rsidP="00E352F4">
            <w:pPr>
              <w:pStyle w:val="TableColHeadingCenter"/>
            </w:pPr>
            <w:r w:rsidRPr="00797379">
              <w:t>% PME 2023</w:t>
            </w:r>
          </w:p>
        </w:tc>
        <w:tc>
          <w:tcPr>
            <w:tcW w:w="289" w:type="pct"/>
            <w:tcMar>
              <w:left w:w="29" w:type="dxa"/>
              <w:right w:w="29" w:type="dxa"/>
            </w:tcMar>
            <w:vAlign w:val="center"/>
          </w:tcPr>
          <w:p w14:paraId="7C83462C" w14:textId="77777777" w:rsidR="007303EE" w:rsidRPr="00797379" w:rsidRDefault="007303EE" w:rsidP="00E352F4">
            <w:pPr>
              <w:pStyle w:val="TableColHeadingCenter"/>
            </w:pPr>
            <w:r w:rsidRPr="00797379">
              <w:t>% PME 2024</w:t>
            </w:r>
          </w:p>
        </w:tc>
        <w:tc>
          <w:tcPr>
            <w:tcW w:w="289" w:type="pct"/>
            <w:tcMar>
              <w:left w:w="29" w:type="dxa"/>
              <w:right w:w="29" w:type="dxa"/>
            </w:tcMar>
            <w:vAlign w:val="center"/>
          </w:tcPr>
          <w:p w14:paraId="5327FF38" w14:textId="77777777" w:rsidR="007303EE" w:rsidRPr="00797379" w:rsidRDefault="007303EE" w:rsidP="00E352F4">
            <w:pPr>
              <w:pStyle w:val="TableColHeadingCenter"/>
            </w:pPr>
            <w:r w:rsidRPr="00797379">
              <w:t>% PME 2025</w:t>
            </w:r>
          </w:p>
        </w:tc>
        <w:tc>
          <w:tcPr>
            <w:tcW w:w="289" w:type="pct"/>
            <w:tcMar>
              <w:left w:w="29" w:type="dxa"/>
              <w:right w:w="29" w:type="dxa"/>
            </w:tcMar>
            <w:vAlign w:val="center"/>
          </w:tcPr>
          <w:p w14:paraId="4076DD49" w14:textId="77777777" w:rsidR="007303EE" w:rsidRPr="00797379" w:rsidRDefault="007303EE" w:rsidP="00E352F4">
            <w:pPr>
              <w:pStyle w:val="TableColHeadingCenter"/>
            </w:pPr>
            <w:r w:rsidRPr="00797379">
              <w:t>% PME 2025 State</w:t>
            </w:r>
          </w:p>
        </w:tc>
        <w:tc>
          <w:tcPr>
            <w:tcW w:w="289" w:type="pct"/>
            <w:tcMar>
              <w:left w:w="29" w:type="dxa"/>
              <w:right w:w="29" w:type="dxa"/>
            </w:tcMar>
            <w:vAlign w:val="center"/>
          </w:tcPr>
          <w:p w14:paraId="2B142079" w14:textId="77777777" w:rsidR="007303EE" w:rsidRPr="00797379" w:rsidRDefault="007303EE" w:rsidP="00E352F4">
            <w:pPr>
              <w:pStyle w:val="TableColHeadingCenter"/>
            </w:pPr>
            <w:r w:rsidRPr="00797379">
              <w:t>% NM 2023</w:t>
            </w:r>
          </w:p>
        </w:tc>
        <w:tc>
          <w:tcPr>
            <w:tcW w:w="289" w:type="pct"/>
            <w:tcMar>
              <w:left w:w="29" w:type="dxa"/>
              <w:right w:w="29" w:type="dxa"/>
            </w:tcMar>
            <w:vAlign w:val="center"/>
          </w:tcPr>
          <w:p w14:paraId="3E2E8B76" w14:textId="77777777" w:rsidR="007303EE" w:rsidRPr="00797379" w:rsidRDefault="007303EE" w:rsidP="00E352F4">
            <w:pPr>
              <w:pStyle w:val="TableColHeadingCenter"/>
            </w:pPr>
            <w:r w:rsidRPr="00797379">
              <w:t>% NM 2024</w:t>
            </w:r>
          </w:p>
        </w:tc>
        <w:tc>
          <w:tcPr>
            <w:tcW w:w="289" w:type="pct"/>
            <w:tcMar>
              <w:left w:w="29" w:type="dxa"/>
              <w:right w:w="29" w:type="dxa"/>
            </w:tcMar>
            <w:vAlign w:val="center"/>
          </w:tcPr>
          <w:p w14:paraId="1AA90EFA" w14:textId="77777777" w:rsidR="007303EE" w:rsidRPr="00797379" w:rsidRDefault="007303EE" w:rsidP="00E352F4">
            <w:pPr>
              <w:pStyle w:val="TableColHeadingCenter"/>
            </w:pPr>
            <w:r w:rsidRPr="00797379">
              <w:t>% NM 2025</w:t>
            </w:r>
          </w:p>
        </w:tc>
        <w:tc>
          <w:tcPr>
            <w:tcW w:w="290" w:type="pct"/>
            <w:tcMar>
              <w:left w:w="29" w:type="dxa"/>
              <w:right w:w="29" w:type="dxa"/>
            </w:tcMar>
            <w:vAlign w:val="center"/>
          </w:tcPr>
          <w:p w14:paraId="62B04FE1" w14:textId="77777777" w:rsidR="007303EE" w:rsidRPr="00797379" w:rsidRDefault="007303EE" w:rsidP="00E352F4">
            <w:pPr>
              <w:pStyle w:val="TableColHeadingCenter"/>
            </w:pPr>
            <w:r w:rsidRPr="00797379">
              <w:t>% NM 2025 State</w:t>
            </w:r>
          </w:p>
        </w:tc>
      </w:tr>
      <w:tr w:rsidR="007303EE" w:rsidRPr="00797379" w14:paraId="203CFE07" w14:textId="77777777" w:rsidTr="00220288">
        <w:trPr>
          <w:cnfStyle w:val="000000100000" w:firstRow="0" w:lastRow="0" w:firstColumn="0" w:lastColumn="0" w:oddVBand="0" w:evenVBand="0" w:oddHBand="1" w:evenHBand="0" w:firstRowFirstColumn="0" w:firstRowLastColumn="0" w:lastRowFirstColumn="0" w:lastRowLastColumn="0"/>
        </w:trPr>
        <w:tc>
          <w:tcPr>
            <w:tcW w:w="1179" w:type="pct"/>
          </w:tcPr>
          <w:p w14:paraId="7F992DCD" w14:textId="77777777" w:rsidR="007303EE" w:rsidRPr="00F5225F" w:rsidRDefault="007303EE" w:rsidP="00F5225F">
            <w:pPr>
              <w:pStyle w:val="TableSubheading"/>
              <w:spacing w:before="0" w:after="0"/>
              <w:rPr>
                <w:rFonts w:asciiTheme="minorHAnsi" w:hAnsiTheme="minorHAnsi"/>
              </w:rPr>
            </w:pPr>
            <w:r w:rsidRPr="00F5225F">
              <w:rPr>
                <w:rFonts w:asciiTheme="minorHAnsi" w:hAnsiTheme="minorHAnsi"/>
              </w:rPr>
              <w:t>All Students</w:t>
            </w:r>
          </w:p>
        </w:tc>
        <w:tc>
          <w:tcPr>
            <w:tcW w:w="348" w:type="pct"/>
            <w:vAlign w:val="center"/>
          </w:tcPr>
          <w:p w14:paraId="327F0743" w14:textId="77777777" w:rsidR="007303EE" w:rsidRPr="00797379" w:rsidRDefault="007303EE" w:rsidP="00F5225F">
            <w:pPr>
              <w:pStyle w:val="TableTextCentered"/>
              <w:spacing w:before="0" w:after="0"/>
              <w:rPr>
                <w:rFonts w:ascii="Franklin Gothic Book" w:hAnsi="Franklin Gothic Book"/>
              </w:rPr>
            </w:pPr>
            <w:r w:rsidRPr="00797379">
              <w:rPr>
                <w:rFonts w:ascii="Franklin Gothic Book" w:hAnsi="Franklin Gothic Book"/>
              </w:rPr>
              <w:t>328</w:t>
            </w:r>
          </w:p>
        </w:tc>
        <w:tc>
          <w:tcPr>
            <w:tcW w:w="289" w:type="pct"/>
            <w:vAlign w:val="center"/>
          </w:tcPr>
          <w:p w14:paraId="4E465D7F" w14:textId="77777777" w:rsidR="007303EE" w:rsidRPr="00797379" w:rsidRDefault="007303EE" w:rsidP="00F5225F">
            <w:pPr>
              <w:pStyle w:val="TableTextCentered"/>
              <w:spacing w:before="0" w:after="0"/>
            </w:pPr>
            <w:r w:rsidRPr="00797379">
              <w:t>82</w:t>
            </w:r>
          </w:p>
        </w:tc>
        <w:tc>
          <w:tcPr>
            <w:tcW w:w="289" w:type="pct"/>
            <w:vAlign w:val="center"/>
          </w:tcPr>
          <w:p w14:paraId="7C7DA7E6" w14:textId="77777777" w:rsidR="007303EE" w:rsidRPr="00797379" w:rsidRDefault="007303EE" w:rsidP="00F5225F">
            <w:pPr>
              <w:pStyle w:val="TableTextCentered"/>
              <w:spacing w:before="0" w:after="0"/>
            </w:pPr>
            <w:r w:rsidRPr="00797379">
              <w:t>81</w:t>
            </w:r>
          </w:p>
        </w:tc>
        <w:tc>
          <w:tcPr>
            <w:tcW w:w="289" w:type="pct"/>
            <w:vAlign w:val="center"/>
          </w:tcPr>
          <w:p w14:paraId="7B9F2FCB" w14:textId="77777777" w:rsidR="007303EE" w:rsidRPr="00797379" w:rsidRDefault="007303EE" w:rsidP="00F5225F">
            <w:pPr>
              <w:pStyle w:val="TableTextCentered"/>
              <w:spacing w:before="0" w:after="0"/>
            </w:pPr>
            <w:r w:rsidRPr="00797379">
              <w:t>84</w:t>
            </w:r>
          </w:p>
        </w:tc>
        <w:tc>
          <w:tcPr>
            <w:tcW w:w="289" w:type="pct"/>
            <w:vAlign w:val="center"/>
          </w:tcPr>
          <w:p w14:paraId="24F967B9" w14:textId="77777777" w:rsidR="007303EE" w:rsidRPr="00797379" w:rsidRDefault="007303EE" w:rsidP="00F5225F">
            <w:pPr>
              <w:pStyle w:val="TableTextCentered"/>
              <w:spacing w:before="0" w:after="0"/>
            </w:pPr>
            <w:r w:rsidRPr="00797379">
              <w:t>46</w:t>
            </w:r>
          </w:p>
        </w:tc>
        <w:tc>
          <w:tcPr>
            <w:tcW w:w="289" w:type="pct"/>
            <w:vAlign w:val="center"/>
          </w:tcPr>
          <w:p w14:paraId="0F0CEA1E" w14:textId="77777777" w:rsidR="007303EE" w:rsidRPr="00797379" w:rsidRDefault="007303EE" w:rsidP="00F5225F">
            <w:pPr>
              <w:pStyle w:val="TableTextCentered"/>
              <w:spacing w:before="0" w:after="0"/>
            </w:pPr>
            <w:r w:rsidRPr="00797379">
              <w:t>16</w:t>
            </w:r>
          </w:p>
        </w:tc>
        <w:tc>
          <w:tcPr>
            <w:tcW w:w="289" w:type="pct"/>
            <w:vAlign w:val="center"/>
          </w:tcPr>
          <w:p w14:paraId="7D7E466E" w14:textId="77777777" w:rsidR="007303EE" w:rsidRPr="00797379" w:rsidRDefault="007303EE" w:rsidP="00F5225F">
            <w:pPr>
              <w:pStyle w:val="TableTextCentered"/>
              <w:spacing w:before="0" w:after="0"/>
            </w:pPr>
            <w:r w:rsidRPr="00797379">
              <w:t>17</w:t>
            </w:r>
          </w:p>
        </w:tc>
        <w:tc>
          <w:tcPr>
            <w:tcW w:w="289" w:type="pct"/>
            <w:vAlign w:val="center"/>
          </w:tcPr>
          <w:p w14:paraId="7060D960" w14:textId="77777777" w:rsidR="007303EE" w:rsidRPr="00797379" w:rsidRDefault="007303EE" w:rsidP="00F5225F">
            <w:pPr>
              <w:pStyle w:val="TableTextCentered"/>
              <w:spacing w:before="0" w:after="0"/>
            </w:pPr>
            <w:r w:rsidRPr="00797379">
              <w:t>13</w:t>
            </w:r>
          </w:p>
        </w:tc>
        <w:tc>
          <w:tcPr>
            <w:tcW w:w="289" w:type="pct"/>
            <w:vAlign w:val="center"/>
          </w:tcPr>
          <w:p w14:paraId="4E803BF9" w14:textId="77777777" w:rsidR="007303EE" w:rsidRPr="00797379" w:rsidRDefault="007303EE" w:rsidP="00F5225F">
            <w:pPr>
              <w:pStyle w:val="TableTextCentered"/>
              <w:spacing w:before="0" w:after="0"/>
            </w:pPr>
            <w:r w:rsidRPr="00797379">
              <w:t>38</w:t>
            </w:r>
          </w:p>
        </w:tc>
        <w:tc>
          <w:tcPr>
            <w:tcW w:w="289" w:type="pct"/>
            <w:vAlign w:val="center"/>
          </w:tcPr>
          <w:p w14:paraId="2889A24A" w14:textId="77777777" w:rsidR="007303EE" w:rsidRPr="00797379" w:rsidRDefault="007303EE" w:rsidP="00F5225F">
            <w:pPr>
              <w:pStyle w:val="TableTextCentered"/>
              <w:spacing w:before="0" w:after="0"/>
            </w:pPr>
            <w:r w:rsidRPr="00797379">
              <w:t>2</w:t>
            </w:r>
          </w:p>
        </w:tc>
        <w:tc>
          <w:tcPr>
            <w:tcW w:w="289" w:type="pct"/>
            <w:vAlign w:val="center"/>
          </w:tcPr>
          <w:p w14:paraId="4323BAC3" w14:textId="77777777" w:rsidR="007303EE" w:rsidRPr="00797379" w:rsidRDefault="007303EE" w:rsidP="00F5225F">
            <w:pPr>
              <w:pStyle w:val="TableTextCentered"/>
              <w:spacing w:before="0" w:after="0"/>
            </w:pPr>
            <w:r w:rsidRPr="00797379">
              <w:t>2</w:t>
            </w:r>
          </w:p>
        </w:tc>
        <w:tc>
          <w:tcPr>
            <w:tcW w:w="289" w:type="pct"/>
            <w:vAlign w:val="center"/>
          </w:tcPr>
          <w:p w14:paraId="4CC0A86D" w14:textId="77777777" w:rsidR="007303EE" w:rsidRPr="00797379" w:rsidRDefault="007303EE" w:rsidP="00F5225F">
            <w:pPr>
              <w:pStyle w:val="TableTextCentered"/>
              <w:spacing w:before="0" w:after="0"/>
            </w:pPr>
            <w:r w:rsidRPr="00797379">
              <w:t>3</w:t>
            </w:r>
          </w:p>
        </w:tc>
        <w:tc>
          <w:tcPr>
            <w:tcW w:w="290" w:type="pct"/>
            <w:vAlign w:val="center"/>
          </w:tcPr>
          <w:p w14:paraId="160A326B" w14:textId="77777777" w:rsidR="007303EE" w:rsidRPr="00797379" w:rsidRDefault="007303EE" w:rsidP="00F5225F">
            <w:pPr>
              <w:pStyle w:val="TableTextCentered"/>
              <w:spacing w:before="0" w:after="0"/>
            </w:pPr>
            <w:r w:rsidRPr="00797379">
              <w:t>16</w:t>
            </w:r>
          </w:p>
        </w:tc>
      </w:tr>
      <w:tr w:rsidR="007303EE" w:rsidRPr="00797379" w14:paraId="20752C0D" w14:textId="77777777" w:rsidTr="00220288">
        <w:tc>
          <w:tcPr>
            <w:tcW w:w="1179" w:type="pct"/>
          </w:tcPr>
          <w:p w14:paraId="5EEA0D23" w14:textId="77777777" w:rsidR="007303EE" w:rsidRPr="00F5225F" w:rsidRDefault="007303EE" w:rsidP="00F5225F">
            <w:pPr>
              <w:pStyle w:val="TableSubheading"/>
              <w:spacing w:before="0" w:after="0"/>
              <w:rPr>
                <w:rFonts w:asciiTheme="minorHAnsi" w:hAnsiTheme="minorHAnsi"/>
              </w:rPr>
            </w:pPr>
            <w:r w:rsidRPr="00F5225F">
              <w:rPr>
                <w:rFonts w:asciiTheme="minorHAnsi" w:hAnsiTheme="minorHAnsi"/>
              </w:rPr>
              <w:t>American Indian or Alaskan Native</w:t>
            </w:r>
          </w:p>
        </w:tc>
        <w:tc>
          <w:tcPr>
            <w:tcW w:w="348" w:type="pct"/>
            <w:vAlign w:val="center"/>
          </w:tcPr>
          <w:p w14:paraId="5406D334" w14:textId="1D073C8E" w:rsidR="007303EE" w:rsidRPr="00797379" w:rsidRDefault="00220288" w:rsidP="00F5225F">
            <w:pPr>
              <w:pStyle w:val="TableTextCentered"/>
              <w:spacing w:before="0" w:after="0"/>
              <w:rPr>
                <w:rFonts w:ascii="Franklin Gothic Book" w:hAnsi="Franklin Gothic Book"/>
              </w:rPr>
            </w:pPr>
            <w:r>
              <w:rPr>
                <w:rFonts w:ascii="Franklin Gothic Book" w:hAnsi="Franklin Gothic Book"/>
              </w:rPr>
              <w:t>N/A</w:t>
            </w:r>
          </w:p>
        </w:tc>
        <w:tc>
          <w:tcPr>
            <w:tcW w:w="289" w:type="pct"/>
            <w:vAlign w:val="center"/>
          </w:tcPr>
          <w:p w14:paraId="24E1436A" w14:textId="691651CD" w:rsidR="007303EE" w:rsidRPr="00797379" w:rsidRDefault="00220288" w:rsidP="00F5225F">
            <w:pPr>
              <w:pStyle w:val="TableTextCentered"/>
              <w:spacing w:before="0" w:after="0"/>
            </w:pPr>
            <w:r>
              <w:t>N/A</w:t>
            </w:r>
          </w:p>
        </w:tc>
        <w:tc>
          <w:tcPr>
            <w:tcW w:w="289" w:type="pct"/>
            <w:vAlign w:val="center"/>
          </w:tcPr>
          <w:p w14:paraId="70E404F5" w14:textId="5DAC0911" w:rsidR="007303EE" w:rsidRPr="00797379" w:rsidRDefault="00220288" w:rsidP="00F5225F">
            <w:pPr>
              <w:pStyle w:val="TableTextCentered"/>
              <w:spacing w:before="0" w:after="0"/>
            </w:pPr>
            <w:r>
              <w:t>N/A</w:t>
            </w:r>
          </w:p>
        </w:tc>
        <w:tc>
          <w:tcPr>
            <w:tcW w:w="289" w:type="pct"/>
            <w:vAlign w:val="center"/>
          </w:tcPr>
          <w:p w14:paraId="769F27D5" w14:textId="030DB5C1" w:rsidR="007303EE" w:rsidRPr="00797379" w:rsidRDefault="00220288" w:rsidP="00F5225F">
            <w:pPr>
              <w:pStyle w:val="TableTextCentered"/>
              <w:spacing w:before="0" w:after="0"/>
            </w:pPr>
            <w:r>
              <w:t>N/A</w:t>
            </w:r>
          </w:p>
        </w:tc>
        <w:tc>
          <w:tcPr>
            <w:tcW w:w="289" w:type="pct"/>
            <w:vAlign w:val="center"/>
          </w:tcPr>
          <w:p w14:paraId="52C807E5" w14:textId="77777777" w:rsidR="007303EE" w:rsidRPr="00797379" w:rsidRDefault="007303EE" w:rsidP="00F5225F">
            <w:pPr>
              <w:pStyle w:val="TableTextCentered"/>
              <w:spacing w:before="0" w:after="0"/>
            </w:pPr>
            <w:r w:rsidRPr="00797379">
              <w:t>37</w:t>
            </w:r>
          </w:p>
        </w:tc>
        <w:tc>
          <w:tcPr>
            <w:tcW w:w="289" w:type="pct"/>
            <w:vAlign w:val="center"/>
          </w:tcPr>
          <w:p w14:paraId="5EE3BD39" w14:textId="334694CD" w:rsidR="007303EE" w:rsidRPr="00797379" w:rsidRDefault="00220288" w:rsidP="00F5225F">
            <w:pPr>
              <w:pStyle w:val="TableTextCentered"/>
              <w:spacing w:before="0" w:after="0"/>
            </w:pPr>
            <w:r>
              <w:t>N/A</w:t>
            </w:r>
          </w:p>
        </w:tc>
        <w:tc>
          <w:tcPr>
            <w:tcW w:w="289" w:type="pct"/>
            <w:vAlign w:val="center"/>
          </w:tcPr>
          <w:p w14:paraId="61DF1629" w14:textId="3B97891D" w:rsidR="007303EE" w:rsidRPr="00797379" w:rsidRDefault="00220288" w:rsidP="00F5225F">
            <w:pPr>
              <w:pStyle w:val="TableTextCentered"/>
              <w:spacing w:before="0" w:after="0"/>
            </w:pPr>
            <w:r>
              <w:t>N/A</w:t>
            </w:r>
          </w:p>
        </w:tc>
        <w:tc>
          <w:tcPr>
            <w:tcW w:w="289" w:type="pct"/>
            <w:vAlign w:val="center"/>
          </w:tcPr>
          <w:p w14:paraId="466216A9" w14:textId="5EC930D7" w:rsidR="007303EE" w:rsidRPr="00797379" w:rsidRDefault="00220288" w:rsidP="00F5225F">
            <w:pPr>
              <w:pStyle w:val="TableTextCentered"/>
              <w:spacing w:before="0" w:after="0"/>
            </w:pPr>
            <w:r>
              <w:t>N/A</w:t>
            </w:r>
          </w:p>
        </w:tc>
        <w:tc>
          <w:tcPr>
            <w:tcW w:w="289" w:type="pct"/>
            <w:vAlign w:val="center"/>
          </w:tcPr>
          <w:p w14:paraId="3C0C1D39" w14:textId="77777777" w:rsidR="007303EE" w:rsidRPr="00797379" w:rsidRDefault="007303EE" w:rsidP="00F5225F">
            <w:pPr>
              <w:pStyle w:val="TableTextCentered"/>
              <w:spacing w:before="0" w:after="0"/>
            </w:pPr>
            <w:r w:rsidRPr="00797379">
              <w:t>40</w:t>
            </w:r>
          </w:p>
        </w:tc>
        <w:tc>
          <w:tcPr>
            <w:tcW w:w="289" w:type="pct"/>
            <w:vAlign w:val="center"/>
          </w:tcPr>
          <w:p w14:paraId="37C9E6A7" w14:textId="6FD8EE72" w:rsidR="007303EE" w:rsidRPr="00797379" w:rsidRDefault="00220288" w:rsidP="00F5225F">
            <w:pPr>
              <w:pStyle w:val="TableTextCentered"/>
              <w:spacing w:before="0" w:after="0"/>
            </w:pPr>
            <w:r>
              <w:t>N/A</w:t>
            </w:r>
          </w:p>
        </w:tc>
        <w:tc>
          <w:tcPr>
            <w:tcW w:w="289" w:type="pct"/>
            <w:vAlign w:val="center"/>
          </w:tcPr>
          <w:p w14:paraId="57A2716E" w14:textId="74A3DBE3" w:rsidR="007303EE" w:rsidRPr="00797379" w:rsidRDefault="00220288" w:rsidP="00F5225F">
            <w:pPr>
              <w:pStyle w:val="TableTextCentered"/>
              <w:spacing w:before="0" w:after="0"/>
            </w:pPr>
            <w:r>
              <w:t>N/A</w:t>
            </w:r>
          </w:p>
        </w:tc>
        <w:tc>
          <w:tcPr>
            <w:tcW w:w="289" w:type="pct"/>
            <w:vAlign w:val="center"/>
          </w:tcPr>
          <w:p w14:paraId="0DE65DDC" w14:textId="6776A0E2" w:rsidR="007303EE" w:rsidRPr="00797379" w:rsidRDefault="00220288" w:rsidP="00F5225F">
            <w:pPr>
              <w:pStyle w:val="TableTextCentered"/>
              <w:spacing w:before="0" w:after="0"/>
            </w:pPr>
            <w:r>
              <w:t>N/A</w:t>
            </w:r>
          </w:p>
        </w:tc>
        <w:tc>
          <w:tcPr>
            <w:tcW w:w="290" w:type="pct"/>
            <w:vAlign w:val="center"/>
          </w:tcPr>
          <w:p w14:paraId="59AB6CAE" w14:textId="77777777" w:rsidR="007303EE" w:rsidRPr="00797379" w:rsidRDefault="007303EE" w:rsidP="00F5225F">
            <w:pPr>
              <w:pStyle w:val="TableTextCentered"/>
              <w:spacing w:before="0" w:after="0"/>
            </w:pPr>
            <w:r w:rsidRPr="00797379">
              <w:t>23</w:t>
            </w:r>
          </w:p>
        </w:tc>
      </w:tr>
      <w:tr w:rsidR="007303EE" w:rsidRPr="00797379" w14:paraId="01BEDEAA" w14:textId="77777777" w:rsidTr="00220288">
        <w:trPr>
          <w:cnfStyle w:val="000000100000" w:firstRow="0" w:lastRow="0" w:firstColumn="0" w:lastColumn="0" w:oddVBand="0" w:evenVBand="0" w:oddHBand="1" w:evenHBand="0" w:firstRowFirstColumn="0" w:firstRowLastColumn="0" w:lastRowFirstColumn="0" w:lastRowLastColumn="0"/>
        </w:trPr>
        <w:tc>
          <w:tcPr>
            <w:tcW w:w="1179" w:type="pct"/>
          </w:tcPr>
          <w:p w14:paraId="4A27A439" w14:textId="77777777" w:rsidR="007303EE" w:rsidRPr="00F5225F" w:rsidRDefault="007303EE" w:rsidP="00F5225F">
            <w:pPr>
              <w:pStyle w:val="TableSubheading"/>
              <w:spacing w:before="0" w:after="0"/>
              <w:rPr>
                <w:rFonts w:asciiTheme="minorHAnsi" w:hAnsiTheme="minorHAnsi"/>
              </w:rPr>
            </w:pPr>
            <w:r w:rsidRPr="00F5225F">
              <w:rPr>
                <w:rFonts w:asciiTheme="minorHAnsi" w:hAnsiTheme="minorHAnsi"/>
              </w:rPr>
              <w:t>Asian</w:t>
            </w:r>
          </w:p>
        </w:tc>
        <w:tc>
          <w:tcPr>
            <w:tcW w:w="348" w:type="pct"/>
            <w:vAlign w:val="center"/>
          </w:tcPr>
          <w:p w14:paraId="6DD3ECB4" w14:textId="77777777" w:rsidR="007303EE" w:rsidRPr="00797379" w:rsidRDefault="007303EE" w:rsidP="00F5225F">
            <w:pPr>
              <w:pStyle w:val="TableTextCentered"/>
              <w:spacing w:before="0" w:after="0"/>
              <w:rPr>
                <w:rFonts w:ascii="Franklin Gothic Book" w:hAnsi="Franklin Gothic Book"/>
              </w:rPr>
            </w:pPr>
            <w:r w:rsidRPr="00797379">
              <w:rPr>
                <w:rFonts w:ascii="Franklin Gothic Book" w:hAnsi="Franklin Gothic Book"/>
              </w:rPr>
              <w:t>64</w:t>
            </w:r>
          </w:p>
        </w:tc>
        <w:tc>
          <w:tcPr>
            <w:tcW w:w="289" w:type="pct"/>
            <w:vAlign w:val="center"/>
          </w:tcPr>
          <w:p w14:paraId="762CB8F6" w14:textId="77777777" w:rsidR="007303EE" w:rsidRPr="00797379" w:rsidRDefault="007303EE" w:rsidP="00F5225F">
            <w:pPr>
              <w:pStyle w:val="TableTextCentered"/>
              <w:spacing w:before="0" w:after="0"/>
            </w:pPr>
            <w:r w:rsidRPr="00797379">
              <w:t>94</w:t>
            </w:r>
          </w:p>
        </w:tc>
        <w:tc>
          <w:tcPr>
            <w:tcW w:w="289" w:type="pct"/>
            <w:vAlign w:val="center"/>
          </w:tcPr>
          <w:p w14:paraId="2CC0B413" w14:textId="77777777" w:rsidR="007303EE" w:rsidRPr="00797379" w:rsidRDefault="007303EE" w:rsidP="00F5225F">
            <w:pPr>
              <w:pStyle w:val="TableTextCentered"/>
              <w:spacing w:before="0" w:after="0"/>
            </w:pPr>
            <w:r w:rsidRPr="00797379">
              <w:t>94</w:t>
            </w:r>
          </w:p>
        </w:tc>
        <w:tc>
          <w:tcPr>
            <w:tcW w:w="289" w:type="pct"/>
            <w:vAlign w:val="center"/>
          </w:tcPr>
          <w:p w14:paraId="77C8F65F" w14:textId="77777777" w:rsidR="007303EE" w:rsidRPr="00797379" w:rsidRDefault="007303EE" w:rsidP="00F5225F">
            <w:pPr>
              <w:pStyle w:val="TableTextCentered"/>
              <w:spacing w:before="0" w:after="0"/>
            </w:pPr>
            <w:r w:rsidRPr="00797379">
              <w:t>91</w:t>
            </w:r>
          </w:p>
        </w:tc>
        <w:tc>
          <w:tcPr>
            <w:tcW w:w="289" w:type="pct"/>
            <w:vAlign w:val="center"/>
          </w:tcPr>
          <w:p w14:paraId="73A08090" w14:textId="77777777" w:rsidR="007303EE" w:rsidRPr="00797379" w:rsidRDefault="007303EE" w:rsidP="00F5225F">
            <w:pPr>
              <w:pStyle w:val="TableTextCentered"/>
              <w:spacing w:before="0" w:after="0"/>
            </w:pPr>
            <w:r w:rsidRPr="00797379">
              <w:t>74</w:t>
            </w:r>
          </w:p>
        </w:tc>
        <w:tc>
          <w:tcPr>
            <w:tcW w:w="289" w:type="pct"/>
            <w:vAlign w:val="center"/>
          </w:tcPr>
          <w:p w14:paraId="6F70FD6F" w14:textId="77777777" w:rsidR="007303EE" w:rsidRPr="00797379" w:rsidRDefault="007303EE" w:rsidP="00F5225F">
            <w:pPr>
              <w:pStyle w:val="TableTextCentered"/>
              <w:spacing w:before="0" w:after="0"/>
            </w:pPr>
            <w:r w:rsidRPr="00797379">
              <w:t>6</w:t>
            </w:r>
          </w:p>
        </w:tc>
        <w:tc>
          <w:tcPr>
            <w:tcW w:w="289" w:type="pct"/>
            <w:vAlign w:val="center"/>
          </w:tcPr>
          <w:p w14:paraId="5CB78588" w14:textId="77777777" w:rsidR="007303EE" w:rsidRPr="00797379" w:rsidRDefault="007303EE" w:rsidP="00F5225F">
            <w:pPr>
              <w:pStyle w:val="TableTextCentered"/>
              <w:spacing w:before="0" w:after="0"/>
            </w:pPr>
            <w:r w:rsidRPr="00797379">
              <w:t>4</w:t>
            </w:r>
          </w:p>
        </w:tc>
        <w:tc>
          <w:tcPr>
            <w:tcW w:w="289" w:type="pct"/>
            <w:vAlign w:val="center"/>
          </w:tcPr>
          <w:p w14:paraId="078A9624" w14:textId="77777777" w:rsidR="007303EE" w:rsidRPr="00797379" w:rsidRDefault="007303EE" w:rsidP="00F5225F">
            <w:pPr>
              <w:pStyle w:val="TableTextCentered"/>
              <w:spacing w:before="0" w:after="0"/>
            </w:pPr>
            <w:r w:rsidRPr="00797379">
              <w:t>8</w:t>
            </w:r>
          </w:p>
        </w:tc>
        <w:tc>
          <w:tcPr>
            <w:tcW w:w="289" w:type="pct"/>
            <w:vAlign w:val="center"/>
          </w:tcPr>
          <w:p w14:paraId="6AAE8D7C" w14:textId="77777777" w:rsidR="007303EE" w:rsidRPr="00797379" w:rsidRDefault="007303EE" w:rsidP="00F5225F">
            <w:pPr>
              <w:pStyle w:val="TableTextCentered"/>
              <w:spacing w:before="0" w:after="0"/>
            </w:pPr>
            <w:r w:rsidRPr="00797379">
              <w:t>20</w:t>
            </w:r>
          </w:p>
        </w:tc>
        <w:tc>
          <w:tcPr>
            <w:tcW w:w="289" w:type="pct"/>
            <w:vAlign w:val="center"/>
          </w:tcPr>
          <w:p w14:paraId="4576C6E8" w14:textId="77777777" w:rsidR="007303EE" w:rsidRPr="00797379" w:rsidRDefault="007303EE" w:rsidP="00F5225F">
            <w:pPr>
              <w:pStyle w:val="TableTextCentered"/>
              <w:spacing w:before="0" w:after="0"/>
            </w:pPr>
            <w:r w:rsidRPr="00797379">
              <w:t>0</w:t>
            </w:r>
          </w:p>
        </w:tc>
        <w:tc>
          <w:tcPr>
            <w:tcW w:w="289" w:type="pct"/>
            <w:vAlign w:val="center"/>
          </w:tcPr>
          <w:p w14:paraId="78B98B98" w14:textId="77777777" w:rsidR="007303EE" w:rsidRPr="00797379" w:rsidRDefault="007303EE" w:rsidP="00F5225F">
            <w:pPr>
              <w:pStyle w:val="TableTextCentered"/>
              <w:spacing w:before="0" w:after="0"/>
            </w:pPr>
            <w:r w:rsidRPr="00797379">
              <w:t>1</w:t>
            </w:r>
          </w:p>
        </w:tc>
        <w:tc>
          <w:tcPr>
            <w:tcW w:w="289" w:type="pct"/>
            <w:vAlign w:val="center"/>
          </w:tcPr>
          <w:p w14:paraId="012D33D8" w14:textId="77777777" w:rsidR="007303EE" w:rsidRPr="00797379" w:rsidRDefault="007303EE" w:rsidP="00F5225F">
            <w:pPr>
              <w:pStyle w:val="TableTextCentered"/>
              <w:spacing w:before="0" w:after="0"/>
            </w:pPr>
            <w:r w:rsidRPr="00797379">
              <w:t>2</w:t>
            </w:r>
          </w:p>
        </w:tc>
        <w:tc>
          <w:tcPr>
            <w:tcW w:w="290" w:type="pct"/>
            <w:vAlign w:val="center"/>
          </w:tcPr>
          <w:p w14:paraId="3E2A8F0E" w14:textId="77777777" w:rsidR="007303EE" w:rsidRPr="00797379" w:rsidRDefault="007303EE" w:rsidP="00F5225F">
            <w:pPr>
              <w:pStyle w:val="TableTextCentered"/>
              <w:spacing w:before="0" w:after="0"/>
            </w:pPr>
            <w:r w:rsidRPr="00797379">
              <w:t>6</w:t>
            </w:r>
          </w:p>
        </w:tc>
      </w:tr>
      <w:tr w:rsidR="007303EE" w:rsidRPr="00797379" w14:paraId="001A9194" w14:textId="77777777" w:rsidTr="00220288">
        <w:tc>
          <w:tcPr>
            <w:tcW w:w="1179" w:type="pct"/>
          </w:tcPr>
          <w:p w14:paraId="1270BEC8" w14:textId="77777777" w:rsidR="007303EE" w:rsidRPr="00F5225F" w:rsidRDefault="007303EE" w:rsidP="00F5225F">
            <w:pPr>
              <w:pStyle w:val="TableSubheading"/>
              <w:spacing w:before="0" w:after="0"/>
              <w:rPr>
                <w:rFonts w:asciiTheme="minorHAnsi" w:hAnsiTheme="minorHAnsi"/>
              </w:rPr>
            </w:pPr>
            <w:r w:rsidRPr="00F5225F">
              <w:rPr>
                <w:rFonts w:asciiTheme="minorHAnsi" w:hAnsiTheme="minorHAnsi"/>
              </w:rPr>
              <w:t>Black or African American</w:t>
            </w:r>
          </w:p>
        </w:tc>
        <w:tc>
          <w:tcPr>
            <w:tcW w:w="348" w:type="pct"/>
            <w:vAlign w:val="center"/>
          </w:tcPr>
          <w:p w14:paraId="0A53B9C8" w14:textId="77777777" w:rsidR="007303EE" w:rsidRPr="00797379" w:rsidRDefault="007303EE" w:rsidP="00F5225F">
            <w:pPr>
              <w:pStyle w:val="TableTextCentered"/>
              <w:spacing w:before="0" w:after="0"/>
              <w:rPr>
                <w:rFonts w:ascii="Franklin Gothic Book" w:hAnsi="Franklin Gothic Book"/>
              </w:rPr>
            </w:pPr>
            <w:r w:rsidRPr="00797379">
              <w:rPr>
                <w:rFonts w:ascii="Franklin Gothic Book" w:hAnsi="Franklin Gothic Book"/>
              </w:rPr>
              <w:t>6</w:t>
            </w:r>
          </w:p>
        </w:tc>
        <w:tc>
          <w:tcPr>
            <w:tcW w:w="289" w:type="pct"/>
            <w:vAlign w:val="center"/>
          </w:tcPr>
          <w:p w14:paraId="490ADDD6" w14:textId="1F5CB343" w:rsidR="007303EE" w:rsidRPr="00797379" w:rsidRDefault="00220288" w:rsidP="00F5225F">
            <w:pPr>
              <w:pStyle w:val="TableTextCentered"/>
              <w:spacing w:before="0" w:after="0"/>
            </w:pPr>
            <w:r>
              <w:t>N/A</w:t>
            </w:r>
          </w:p>
        </w:tc>
        <w:tc>
          <w:tcPr>
            <w:tcW w:w="289" w:type="pct"/>
            <w:vAlign w:val="center"/>
          </w:tcPr>
          <w:p w14:paraId="40ED2CB7" w14:textId="7157E17B" w:rsidR="007303EE" w:rsidRPr="00797379" w:rsidRDefault="00220288" w:rsidP="00F5225F">
            <w:pPr>
              <w:pStyle w:val="TableTextCentered"/>
              <w:spacing w:before="0" w:after="0"/>
            </w:pPr>
            <w:r>
              <w:t>N/A</w:t>
            </w:r>
          </w:p>
        </w:tc>
        <w:tc>
          <w:tcPr>
            <w:tcW w:w="289" w:type="pct"/>
            <w:vAlign w:val="center"/>
          </w:tcPr>
          <w:p w14:paraId="65D93761" w14:textId="5BD9EE5B" w:rsidR="007303EE" w:rsidRPr="00797379" w:rsidRDefault="00220288" w:rsidP="00F5225F">
            <w:pPr>
              <w:pStyle w:val="TableTextCentered"/>
              <w:spacing w:before="0" w:after="0"/>
            </w:pPr>
            <w:r>
              <w:t>N/A</w:t>
            </w:r>
          </w:p>
        </w:tc>
        <w:tc>
          <w:tcPr>
            <w:tcW w:w="289" w:type="pct"/>
            <w:vAlign w:val="center"/>
          </w:tcPr>
          <w:p w14:paraId="592E6857" w14:textId="77777777" w:rsidR="007303EE" w:rsidRPr="00797379" w:rsidRDefault="007303EE" w:rsidP="00F5225F">
            <w:pPr>
              <w:pStyle w:val="TableTextCentered"/>
              <w:spacing w:before="0" w:after="0"/>
            </w:pPr>
            <w:r w:rsidRPr="00797379">
              <w:t>26</w:t>
            </w:r>
          </w:p>
        </w:tc>
        <w:tc>
          <w:tcPr>
            <w:tcW w:w="289" w:type="pct"/>
            <w:vAlign w:val="center"/>
          </w:tcPr>
          <w:p w14:paraId="6465C538" w14:textId="76A9577E" w:rsidR="007303EE" w:rsidRPr="00797379" w:rsidRDefault="00220288" w:rsidP="00F5225F">
            <w:pPr>
              <w:pStyle w:val="TableTextCentered"/>
              <w:spacing w:before="0" w:after="0"/>
            </w:pPr>
            <w:r>
              <w:t>N/A</w:t>
            </w:r>
          </w:p>
        </w:tc>
        <w:tc>
          <w:tcPr>
            <w:tcW w:w="289" w:type="pct"/>
            <w:vAlign w:val="center"/>
          </w:tcPr>
          <w:p w14:paraId="2F4BD999" w14:textId="47AE5367" w:rsidR="007303EE" w:rsidRPr="00797379" w:rsidRDefault="00220288" w:rsidP="00F5225F">
            <w:pPr>
              <w:pStyle w:val="TableTextCentered"/>
              <w:spacing w:before="0" w:after="0"/>
            </w:pPr>
            <w:r>
              <w:t>N/A</w:t>
            </w:r>
          </w:p>
        </w:tc>
        <w:tc>
          <w:tcPr>
            <w:tcW w:w="289" w:type="pct"/>
            <w:vAlign w:val="center"/>
          </w:tcPr>
          <w:p w14:paraId="0BE79DC6" w14:textId="0D681C06" w:rsidR="007303EE" w:rsidRPr="00797379" w:rsidRDefault="00220288" w:rsidP="00F5225F">
            <w:pPr>
              <w:pStyle w:val="TableTextCentered"/>
              <w:spacing w:before="0" w:after="0"/>
            </w:pPr>
            <w:r>
              <w:t>N/A</w:t>
            </w:r>
          </w:p>
        </w:tc>
        <w:tc>
          <w:tcPr>
            <w:tcW w:w="289" w:type="pct"/>
            <w:vAlign w:val="center"/>
          </w:tcPr>
          <w:p w14:paraId="4F9C6A94" w14:textId="77777777" w:rsidR="007303EE" w:rsidRPr="00797379" w:rsidRDefault="007303EE" w:rsidP="00F5225F">
            <w:pPr>
              <w:pStyle w:val="TableTextCentered"/>
              <w:spacing w:before="0" w:after="0"/>
            </w:pPr>
            <w:r w:rsidRPr="00797379">
              <w:t>46</w:t>
            </w:r>
          </w:p>
        </w:tc>
        <w:tc>
          <w:tcPr>
            <w:tcW w:w="289" w:type="pct"/>
            <w:vAlign w:val="center"/>
          </w:tcPr>
          <w:p w14:paraId="3EB18BB4" w14:textId="3E80C9D0" w:rsidR="007303EE" w:rsidRPr="00797379" w:rsidRDefault="00220288" w:rsidP="00F5225F">
            <w:pPr>
              <w:pStyle w:val="TableTextCentered"/>
              <w:spacing w:before="0" w:after="0"/>
            </w:pPr>
            <w:r>
              <w:t>N/A</w:t>
            </w:r>
          </w:p>
        </w:tc>
        <w:tc>
          <w:tcPr>
            <w:tcW w:w="289" w:type="pct"/>
            <w:vAlign w:val="center"/>
          </w:tcPr>
          <w:p w14:paraId="3C494D5C" w14:textId="1E92032A" w:rsidR="007303EE" w:rsidRPr="00797379" w:rsidRDefault="00220288" w:rsidP="00F5225F">
            <w:pPr>
              <w:pStyle w:val="TableTextCentered"/>
              <w:spacing w:before="0" w:after="0"/>
            </w:pPr>
            <w:r>
              <w:t>N/A</w:t>
            </w:r>
          </w:p>
        </w:tc>
        <w:tc>
          <w:tcPr>
            <w:tcW w:w="289" w:type="pct"/>
            <w:vAlign w:val="center"/>
          </w:tcPr>
          <w:p w14:paraId="63299B83" w14:textId="5041F511" w:rsidR="007303EE" w:rsidRPr="00797379" w:rsidRDefault="00220288" w:rsidP="00F5225F">
            <w:pPr>
              <w:pStyle w:val="TableTextCentered"/>
              <w:spacing w:before="0" w:after="0"/>
            </w:pPr>
            <w:r>
              <w:t>N/A</w:t>
            </w:r>
          </w:p>
        </w:tc>
        <w:tc>
          <w:tcPr>
            <w:tcW w:w="290" w:type="pct"/>
            <w:vAlign w:val="center"/>
          </w:tcPr>
          <w:p w14:paraId="4E3FC94E" w14:textId="77777777" w:rsidR="007303EE" w:rsidRPr="00797379" w:rsidRDefault="007303EE" w:rsidP="00F5225F">
            <w:pPr>
              <w:pStyle w:val="TableTextCentered"/>
              <w:spacing w:before="0" w:after="0"/>
            </w:pPr>
            <w:r w:rsidRPr="00797379">
              <w:t>27</w:t>
            </w:r>
          </w:p>
        </w:tc>
      </w:tr>
      <w:tr w:rsidR="007303EE" w:rsidRPr="00797379" w14:paraId="6F4957EA" w14:textId="77777777" w:rsidTr="00220288">
        <w:trPr>
          <w:cnfStyle w:val="000000100000" w:firstRow="0" w:lastRow="0" w:firstColumn="0" w:lastColumn="0" w:oddVBand="0" w:evenVBand="0" w:oddHBand="1" w:evenHBand="0" w:firstRowFirstColumn="0" w:firstRowLastColumn="0" w:lastRowFirstColumn="0" w:lastRowLastColumn="0"/>
        </w:trPr>
        <w:tc>
          <w:tcPr>
            <w:tcW w:w="1179" w:type="pct"/>
          </w:tcPr>
          <w:p w14:paraId="164F7EE2" w14:textId="77777777" w:rsidR="007303EE" w:rsidRPr="00F5225F" w:rsidRDefault="007303EE" w:rsidP="00F5225F">
            <w:pPr>
              <w:pStyle w:val="TableSubheading"/>
              <w:spacing w:before="0" w:after="0"/>
              <w:rPr>
                <w:rFonts w:asciiTheme="minorHAnsi" w:hAnsiTheme="minorHAnsi"/>
              </w:rPr>
            </w:pPr>
            <w:r w:rsidRPr="00F5225F">
              <w:rPr>
                <w:rFonts w:asciiTheme="minorHAnsi" w:hAnsiTheme="minorHAnsi"/>
              </w:rPr>
              <w:t>Hispanic or Latino</w:t>
            </w:r>
          </w:p>
        </w:tc>
        <w:tc>
          <w:tcPr>
            <w:tcW w:w="348" w:type="pct"/>
            <w:vAlign w:val="center"/>
          </w:tcPr>
          <w:p w14:paraId="02C36CB6" w14:textId="77777777" w:rsidR="007303EE" w:rsidRPr="00797379" w:rsidRDefault="007303EE" w:rsidP="00F5225F">
            <w:pPr>
              <w:pStyle w:val="TableTextCentered"/>
              <w:spacing w:before="0" w:after="0"/>
              <w:rPr>
                <w:rFonts w:ascii="Franklin Gothic Book" w:hAnsi="Franklin Gothic Book"/>
              </w:rPr>
            </w:pPr>
            <w:r w:rsidRPr="00797379">
              <w:rPr>
                <w:rFonts w:ascii="Franklin Gothic Book" w:hAnsi="Franklin Gothic Book"/>
              </w:rPr>
              <w:t>16</w:t>
            </w:r>
          </w:p>
        </w:tc>
        <w:tc>
          <w:tcPr>
            <w:tcW w:w="289" w:type="pct"/>
            <w:vAlign w:val="center"/>
          </w:tcPr>
          <w:p w14:paraId="1E2E4456" w14:textId="77777777" w:rsidR="007303EE" w:rsidRPr="00797379" w:rsidRDefault="007303EE" w:rsidP="00F5225F">
            <w:pPr>
              <w:pStyle w:val="TableTextCentered"/>
              <w:spacing w:before="0" w:after="0"/>
            </w:pPr>
            <w:r w:rsidRPr="00797379">
              <w:t>75</w:t>
            </w:r>
          </w:p>
        </w:tc>
        <w:tc>
          <w:tcPr>
            <w:tcW w:w="289" w:type="pct"/>
            <w:vAlign w:val="center"/>
          </w:tcPr>
          <w:p w14:paraId="70006872" w14:textId="77777777" w:rsidR="007303EE" w:rsidRPr="00797379" w:rsidRDefault="007303EE" w:rsidP="00F5225F">
            <w:pPr>
              <w:pStyle w:val="TableTextCentered"/>
              <w:spacing w:before="0" w:after="0"/>
            </w:pPr>
            <w:r w:rsidRPr="00797379">
              <w:t>91</w:t>
            </w:r>
          </w:p>
        </w:tc>
        <w:tc>
          <w:tcPr>
            <w:tcW w:w="289" w:type="pct"/>
            <w:vAlign w:val="center"/>
          </w:tcPr>
          <w:p w14:paraId="5AB3D230" w14:textId="77777777" w:rsidR="007303EE" w:rsidRPr="00797379" w:rsidRDefault="007303EE" w:rsidP="00F5225F">
            <w:pPr>
              <w:pStyle w:val="TableTextCentered"/>
              <w:spacing w:before="0" w:after="0"/>
            </w:pPr>
            <w:r w:rsidRPr="00797379">
              <w:t>81</w:t>
            </w:r>
          </w:p>
        </w:tc>
        <w:tc>
          <w:tcPr>
            <w:tcW w:w="289" w:type="pct"/>
            <w:vAlign w:val="center"/>
          </w:tcPr>
          <w:p w14:paraId="3F936BE8" w14:textId="77777777" w:rsidR="007303EE" w:rsidRPr="00797379" w:rsidRDefault="007303EE" w:rsidP="00F5225F">
            <w:pPr>
              <w:pStyle w:val="TableTextCentered"/>
              <w:spacing w:before="0" w:after="0"/>
            </w:pPr>
            <w:r w:rsidRPr="00797379">
              <w:t>24</w:t>
            </w:r>
          </w:p>
        </w:tc>
        <w:tc>
          <w:tcPr>
            <w:tcW w:w="289" w:type="pct"/>
            <w:vAlign w:val="center"/>
          </w:tcPr>
          <w:p w14:paraId="159F6F69" w14:textId="77777777" w:rsidR="007303EE" w:rsidRPr="00797379" w:rsidRDefault="007303EE" w:rsidP="00F5225F">
            <w:pPr>
              <w:pStyle w:val="TableTextCentered"/>
              <w:spacing w:before="0" w:after="0"/>
            </w:pPr>
            <w:r w:rsidRPr="00797379">
              <w:t>25</w:t>
            </w:r>
          </w:p>
        </w:tc>
        <w:tc>
          <w:tcPr>
            <w:tcW w:w="289" w:type="pct"/>
            <w:vAlign w:val="center"/>
          </w:tcPr>
          <w:p w14:paraId="2081D79A" w14:textId="77777777" w:rsidR="007303EE" w:rsidRPr="00797379" w:rsidRDefault="007303EE" w:rsidP="00F5225F">
            <w:pPr>
              <w:pStyle w:val="TableTextCentered"/>
              <w:spacing w:before="0" w:after="0"/>
            </w:pPr>
            <w:r w:rsidRPr="00797379">
              <w:t>9</w:t>
            </w:r>
          </w:p>
        </w:tc>
        <w:tc>
          <w:tcPr>
            <w:tcW w:w="289" w:type="pct"/>
            <w:vAlign w:val="center"/>
          </w:tcPr>
          <w:p w14:paraId="3038FB39" w14:textId="77777777" w:rsidR="007303EE" w:rsidRPr="00797379" w:rsidRDefault="007303EE" w:rsidP="00F5225F">
            <w:pPr>
              <w:pStyle w:val="TableTextCentered"/>
              <w:spacing w:before="0" w:after="0"/>
            </w:pPr>
            <w:r w:rsidRPr="00797379">
              <w:t>6</w:t>
            </w:r>
          </w:p>
        </w:tc>
        <w:tc>
          <w:tcPr>
            <w:tcW w:w="289" w:type="pct"/>
            <w:vAlign w:val="center"/>
          </w:tcPr>
          <w:p w14:paraId="150A901A" w14:textId="77777777" w:rsidR="007303EE" w:rsidRPr="00797379" w:rsidRDefault="007303EE" w:rsidP="00F5225F">
            <w:pPr>
              <w:pStyle w:val="TableTextCentered"/>
              <w:spacing w:before="0" w:after="0"/>
            </w:pPr>
            <w:r w:rsidRPr="00797379">
              <w:t>45</w:t>
            </w:r>
          </w:p>
        </w:tc>
        <w:tc>
          <w:tcPr>
            <w:tcW w:w="289" w:type="pct"/>
            <w:vAlign w:val="center"/>
          </w:tcPr>
          <w:p w14:paraId="5146F97B" w14:textId="77777777" w:rsidR="007303EE" w:rsidRPr="00797379" w:rsidRDefault="007303EE" w:rsidP="00F5225F">
            <w:pPr>
              <w:pStyle w:val="TableTextCentered"/>
              <w:spacing w:before="0" w:after="0"/>
            </w:pPr>
            <w:r w:rsidRPr="00797379">
              <w:t>0</w:t>
            </w:r>
          </w:p>
        </w:tc>
        <w:tc>
          <w:tcPr>
            <w:tcW w:w="289" w:type="pct"/>
            <w:vAlign w:val="center"/>
          </w:tcPr>
          <w:p w14:paraId="2ADDBAD4" w14:textId="77777777" w:rsidR="007303EE" w:rsidRPr="00797379" w:rsidRDefault="007303EE" w:rsidP="00F5225F">
            <w:pPr>
              <w:pStyle w:val="TableTextCentered"/>
              <w:spacing w:before="0" w:after="0"/>
            </w:pPr>
            <w:r w:rsidRPr="00797379">
              <w:t>0</w:t>
            </w:r>
          </w:p>
        </w:tc>
        <w:tc>
          <w:tcPr>
            <w:tcW w:w="289" w:type="pct"/>
            <w:vAlign w:val="center"/>
          </w:tcPr>
          <w:p w14:paraId="17551403" w14:textId="77777777" w:rsidR="007303EE" w:rsidRPr="00797379" w:rsidRDefault="007303EE" w:rsidP="00F5225F">
            <w:pPr>
              <w:pStyle w:val="TableTextCentered"/>
              <w:spacing w:before="0" w:after="0"/>
            </w:pPr>
            <w:r w:rsidRPr="00797379">
              <w:t>13</w:t>
            </w:r>
          </w:p>
        </w:tc>
        <w:tc>
          <w:tcPr>
            <w:tcW w:w="290" w:type="pct"/>
            <w:vAlign w:val="center"/>
          </w:tcPr>
          <w:p w14:paraId="35ED6506" w14:textId="77777777" w:rsidR="007303EE" w:rsidRPr="00797379" w:rsidRDefault="007303EE" w:rsidP="00F5225F">
            <w:pPr>
              <w:pStyle w:val="TableTextCentered"/>
              <w:spacing w:before="0" w:after="0"/>
            </w:pPr>
            <w:r w:rsidRPr="00797379">
              <w:t>31</w:t>
            </w:r>
          </w:p>
        </w:tc>
      </w:tr>
      <w:tr w:rsidR="007303EE" w:rsidRPr="00797379" w14:paraId="69F20EC5" w14:textId="77777777" w:rsidTr="00220288">
        <w:tc>
          <w:tcPr>
            <w:tcW w:w="1179" w:type="pct"/>
          </w:tcPr>
          <w:p w14:paraId="6BBEA9CF" w14:textId="77777777" w:rsidR="007303EE" w:rsidRPr="00F5225F" w:rsidRDefault="007303EE" w:rsidP="00F5225F">
            <w:pPr>
              <w:pStyle w:val="TableSubheading"/>
              <w:spacing w:before="0" w:after="0"/>
              <w:rPr>
                <w:rFonts w:asciiTheme="minorHAnsi" w:hAnsiTheme="minorHAnsi"/>
              </w:rPr>
            </w:pPr>
            <w:r w:rsidRPr="00F5225F">
              <w:rPr>
                <w:rFonts w:asciiTheme="minorHAnsi" w:hAnsiTheme="minorHAnsi"/>
              </w:rPr>
              <w:t>Multi-Race, Not Hispanic or Latino</w:t>
            </w:r>
          </w:p>
        </w:tc>
        <w:tc>
          <w:tcPr>
            <w:tcW w:w="348" w:type="pct"/>
            <w:vAlign w:val="center"/>
          </w:tcPr>
          <w:p w14:paraId="0C856981" w14:textId="77777777" w:rsidR="007303EE" w:rsidRPr="00797379" w:rsidRDefault="007303EE" w:rsidP="00F5225F">
            <w:pPr>
              <w:pStyle w:val="TableTextCentered"/>
              <w:spacing w:before="0" w:after="0"/>
              <w:rPr>
                <w:rFonts w:ascii="Franklin Gothic Book" w:hAnsi="Franklin Gothic Book"/>
              </w:rPr>
            </w:pPr>
            <w:r w:rsidRPr="00797379">
              <w:rPr>
                <w:rFonts w:ascii="Franklin Gothic Book" w:hAnsi="Franklin Gothic Book"/>
              </w:rPr>
              <w:t>16</w:t>
            </w:r>
          </w:p>
        </w:tc>
        <w:tc>
          <w:tcPr>
            <w:tcW w:w="289" w:type="pct"/>
            <w:vAlign w:val="center"/>
          </w:tcPr>
          <w:p w14:paraId="752D44B7" w14:textId="77777777" w:rsidR="007303EE" w:rsidRPr="00797379" w:rsidRDefault="007303EE" w:rsidP="00F5225F">
            <w:pPr>
              <w:pStyle w:val="TableTextCentered"/>
              <w:spacing w:before="0" w:after="0"/>
            </w:pPr>
            <w:r w:rsidRPr="00797379">
              <w:t>83</w:t>
            </w:r>
          </w:p>
        </w:tc>
        <w:tc>
          <w:tcPr>
            <w:tcW w:w="289" w:type="pct"/>
            <w:vAlign w:val="center"/>
          </w:tcPr>
          <w:p w14:paraId="64B20BED" w14:textId="77777777" w:rsidR="007303EE" w:rsidRPr="00797379" w:rsidRDefault="007303EE" w:rsidP="00F5225F">
            <w:pPr>
              <w:pStyle w:val="TableTextCentered"/>
              <w:spacing w:before="0" w:after="0"/>
            </w:pPr>
            <w:r w:rsidRPr="00797379">
              <w:t>86</w:t>
            </w:r>
          </w:p>
        </w:tc>
        <w:tc>
          <w:tcPr>
            <w:tcW w:w="289" w:type="pct"/>
            <w:vAlign w:val="center"/>
          </w:tcPr>
          <w:p w14:paraId="1D806F39" w14:textId="77777777" w:rsidR="007303EE" w:rsidRPr="00797379" w:rsidRDefault="007303EE" w:rsidP="00F5225F">
            <w:pPr>
              <w:pStyle w:val="TableTextCentered"/>
              <w:spacing w:before="0" w:after="0"/>
            </w:pPr>
            <w:r w:rsidRPr="00797379">
              <w:t>94</w:t>
            </w:r>
          </w:p>
        </w:tc>
        <w:tc>
          <w:tcPr>
            <w:tcW w:w="289" w:type="pct"/>
            <w:vAlign w:val="center"/>
          </w:tcPr>
          <w:p w14:paraId="6337954D" w14:textId="77777777" w:rsidR="007303EE" w:rsidRPr="00797379" w:rsidRDefault="007303EE" w:rsidP="00F5225F">
            <w:pPr>
              <w:pStyle w:val="TableTextCentered"/>
              <w:spacing w:before="0" w:after="0"/>
            </w:pPr>
            <w:r w:rsidRPr="00797379">
              <w:t>49</w:t>
            </w:r>
          </w:p>
        </w:tc>
        <w:tc>
          <w:tcPr>
            <w:tcW w:w="289" w:type="pct"/>
            <w:vAlign w:val="center"/>
          </w:tcPr>
          <w:p w14:paraId="6667A2A2" w14:textId="77777777" w:rsidR="007303EE" w:rsidRPr="00797379" w:rsidRDefault="007303EE" w:rsidP="00F5225F">
            <w:pPr>
              <w:pStyle w:val="TableTextCentered"/>
              <w:spacing w:before="0" w:after="0"/>
            </w:pPr>
            <w:r w:rsidRPr="00797379">
              <w:t>17</w:t>
            </w:r>
          </w:p>
        </w:tc>
        <w:tc>
          <w:tcPr>
            <w:tcW w:w="289" w:type="pct"/>
            <w:vAlign w:val="center"/>
          </w:tcPr>
          <w:p w14:paraId="30D6FDC4" w14:textId="77777777" w:rsidR="007303EE" w:rsidRPr="00797379" w:rsidRDefault="007303EE" w:rsidP="00F5225F">
            <w:pPr>
              <w:pStyle w:val="TableTextCentered"/>
              <w:spacing w:before="0" w:after="0"/>
            </w:pPr>
            <w:r w:rsidRPr="00797379">
              <w:t>14</w:t>
            </w:r>
          </w:p>
        </w:tc>
        <w:tc>
          <w:tcPr>
            <w:tcW w:w="289" w:type="pct"/>
            <w:vAlign w:val="center"/>
          </w:tcPr>
          <w:p w14:paraId="42D204AC" w14:textId="77777777" w:rsidR="007303EE" w:rsidRPr="00797379" w:rsidRDefault="007303EE" w:rsidP="00F5225F">
            <w:pPr>
              <w:pStyle w:val="TableTextCentered"/>
              <w:spacing w:before="0" w:after="0"/>
            </w:pPr>
            <w:r w:rsidRPr="00797379">
              <w:t>6</w:t>
            </w:r>
          </w:p>
        </w:tc>
        <w:tc>
          <w:tcPr>
            <w:tcW w:w="289" w:type="pct"/>
            <w:vAlign w:val="center"/>
          </w:tcPr>
          <w:p w14:paraId="0E0A045E" w14:textId="77777777" w:rsidR="007303EE" w:rsidRPr="00797379" w:rsidRDefault="007303EE" w:rsidP="00F5225F">
            <w:pPr>
              <w:pStyle w:val="TableTextCentered"/>
              <w:spacing w:before="0" w:after="0"/>
            </w:pPr>
            <w:r w:rsidRPr="00797379">
              <w:t>38</w:t>
            </w:r>
          </w:p>
        </w:tc>
        <w:tc>
          <w:tcPr>
            <w:tcW w:w="289" w:type="pct"/>
            <w:vAlign w:val="center"/>
          </w:tcPr>
          <w:p w14:paraId="3156415F" w14:textId="77777777" w:rsidR="007303EE" w:rsidRPr="00797379" w:rsidRDefault="007303EE" w:rsidP="00F5225F">
            <w:pPr>
              <w:pStyle w:val="TableTextCentered"/>
              <w:spacing w:before="0" w:after="0"/>
            </w:pPr>
            <w:r w:rsidRPr="00797379">
              <w:t>0</w:t>
            </w:r>
          </w:p>
        </w:tc>
        <w:tc>
          <w:tcPr>
            <w:tcW w:w="289" w:type="pct"/>
            <w:vAlign w:val="center"/>
          </w:tcPr>
          <w:p w14:paraId="5516AE54" w14:textId="77777777" w:rsidR="007303EE" w:rsidRPr="00797379" w:rsidRDefault="007303EE" w:rsidP="00F5225F">
            <w:pPr>
              <w:pStyle w:val="TableTextCentered"/>
              <w:spacing w:before="0" w:after="0"/>
            </w:pPr>
            <w:r w:rsidRPr="00797379">
              <w:t>0</w:t>
            </w:r>
          </w:p>
        </w:tc>
        <w:tc>
          <w:tcPr>
            <w:tcW w:w="289" w:type="pct"/>
            <w:vAlign w:val="center"/>
          </w:tcPr>
          <w:p w14:paraId="622ABE08" w14:textId="77777777" w:rsidR="007303EE" w:rsidRPr="00797379" w:rsidRDefault="007303EE" w:rsidP="00F5225F">
            <w:pPr>
              <w:pStyle w:val="TableTextCentered"/>
              <w:spacing w:before="0" w:after="0"/>
            </w:pPr>
            <w:r w:rsidRPr="00797379">
              <w:t>0</w:t>
            </w:r>
          </w:p>
        </w:tc>
        <w:tc>
          <w:tcPr>
            <w:tcW w:w="290" w:type="pct"/>
            <w:vAlign w:val="center"/>
          </w:tcPr>
          <w:p w14:paraId="1CC919DE" w14:textId="77777777" w:rsidR="007303EE" w:rsidRPr="00797379" w:rsidRDefault="007303EE" w:rsidP="00F5225F">
            <w:pPr>
              <w:pStyle w:val="TableTextCentered"/>
              <w:spacing w:before="0" w:after="0"/>
            </w:pPr>
            <w:r w:rsidRPr="00797379">
              <w:t>13</w:t>
            </w:r>
          </w:p>
        </w:tc>
      </w:tr>
      <w:tr w:rsidR="007303EE" w:rsidRPr="00797379" w14:paraId="30E3D418" w14:textId="77777777" w:rsidTr="00220288">
        <w:trPr>
          <w:cnfStyle w:val="000000100000" w:firstRow="0" w:lastRow="0" w:firstColumn="0" w:lastColumn="0" w:oddVBand="0" w:evenVBand="0" w:oddHBand="1" w:evenHBand="0" w:firstRowFirstColumn="0" w:firstRowLastColumn="0" w:lastRowFirstColumn="0" w:lastRowLastColumn="0"/>
        </w:trPr>
        <w:tc>
          <w:tcPr>
            <w:tcW w:w="1179" w:type="pct"/>
          </w:tcPr>
          <w:p w14:paraId="062D9375" w14:textId="77777777" w:rsidR="007303EE" w:rsidRPr="00F5225F" w:rsidRDefault="007303EE" w:rsidP="00F5225F">
            <w:pPr>
              <w:pStyle w:val="TableSubheading"/>
              <w:spacing w:before="0" w:after="0"/>
              <w:rPr>
                <w:rFonts w:asciiTheme="minorHAnsi" w:hAnsiTheme="minorHAnsi"/>
                <w:spacing w:val="-4"/>
              </w:rPr>
            </w:pPr>
            <w:r w:rsidRPr="00F5225F">
              <w:rPr>
                <w:rFonts w:asciiTheme="minorHAnsi" w:hAnsiTheme="minorHAnsi"/>
                <w:spacing w:val="-4"/>
              </w:rPr>
              <w:t>Native Hawaiian or Other Pacific Islander</w:t>
            </w:r>
          </w:p>
        </w:tc>
        <w:tc>
          <w:tcPr>
            <w:tcW w:w="348" w:type="pct"/>
            <w:vAlign w:val="center"/>
          </w:tcPr>
          <w:p w14:paraId="1D7E9499" w14:textId="3A8209F8" w:rsidR="007303EE" w:rsidRPr="00797379" w:rsidRDefault="00220288" w:rsidP="00F5225F">
            <w:pPr>
              <w:pStyle w:val="TableTextCentered"/>
              <w:spacing w:before="0" w:after="0"/>
              <w:rPr>
                <w:rFonts w:ascii="Franklin Gothic Book" w:hAnsi="Franklin Gothic Book"/>
              </w:rPr>
            </w:pPr>
            <w:r>
              <w:rPr>
                <w:rFonts w:ascii="Franklin Gothic Book" w:hAnsi="Franklin Gothic Book"/>
              </w:rPr>
              <w:t>N/A</w:t>
            </w:r>
          </w:p>
        </w:tc>
        <w:tc>
          <w:tcPr>
            <w:tcW w:w="289" w:type="pct"/>
            <w:vAlign w:val="center"/>
          </w:tcPr>
          <w:p w14:paraId="1C1761B0" w14:textId="0FEAD1BE" w:rsidR="007303EE" w:rsidRPr="00797379" w:rsidRDefault="00220288" w:rsidP="00F5225F">
            <w:pPr>
              <w:pStyle w:val="TableTextCentered"/>
              <w:spacing w:before="0" w:after="0"/>
            </w:pPr>
            <w:r>
              <w:t>N/A</w:t>
            </w:r>
          </w:p>
        </w:tc>
        <w:tc>
          <w:tcPr>
            <w:tcW w:w="289" w:type="pct"/>
            <w:vAlign w:val="center"/>
          </w:tcPr>
          <w:p w14:paraId="480B67F1" w14:textId="604DD4E9" w:rsidR="007303EE" w:rsidRPr="00797379" w:rsidRDefault="00220288" w:rsidP="00F5225F">
            <w:pPr>
              <w:pStyle w:val="TableTextCentered"/>
              <w:spacing w:before="0" w:after="0"/>
            </w:pPr>
            <w:r>
              <w:t>N/A</w:t>
            </w:r>
          </w:p>
        </w:tc>
        <w:tc>
          <w:tcPr>
            <w:tcW w:w="289" w:type="pct"/>
            <w:vAlign w:val="center"/>
          </w:tcPr>
          <w:p w14:paraId="789F5B91" w14:textId="55A35B81" w:rsidR="007303EE" w:rsidRPr="00797379" w:rsidRDefault="00220288" w:rsidP="00F5225F">
            <w:pPr>
              <w:pStyle w:val="TableTextCentered"/>
              <w:spacing w:before="0" w:after="0"/>
            </w:pPr>
            <w:r>
              <w:t>N/A</w:t>
            </w:r>
          </w:p>
        </w:tc>
        <w:tc>
          <w:tcPr>
            <w:tcW w:w="289" w:type="pct"/>
            <w:vAlign w:val="center"/>
          </w:tcPr>
          <w:p w14:paraId="1488D3C6" w14:textId="77777777" w:rsidR="007303EE" w:rsidRPr="00797379" w:rsidRDefault="007303EE" w:rsidP="00F5225F">
            <w:pPr>
              <w:pStyle w:val="TableTextCentered"/>
              <w:spacing w:before="0" w:after="0"/>
            </w:pPr>
            <w:r w:rsidRPr="00797379">
              <w:t>37</w:t>
            </w:r>
          </w:p>
        </w:tc>
        <w:tc>
          <w:tcPr>
            <w:tcW w:w="289" w:type="pct"/>
            <w:vAlign w:val="center"/>
          </w:tcPr>
          <w:p w14:paraId="6030FD6A" w14:textId="7BB31650" w:rsidR="007303EE" w:rsidRPr="00797379" w:rsidRDefault="00220288" w:rsidP="00F5225F">
            <w:pPr>
              <w:pStyle w:val="TableTextCentered"/>
              <w:spacing w:before="0" w:after="0"/>
            </w:pPr>
            <w:r>
              <w:t>N/A</w:t>
            </w:r>
          </w:p>
        </w:tc>
        <w:tc>
          <w:tcPr>
            <w:tcW w:w="289" w:type="pct"/>
            <w:vAlign w:val="center"/>
          </w:tcPr>
          <w:p w14:paraId="5276A4F9" w14:textId="6B311ED3" w:rsidR="007303EE" w:rsidRPr="00797379" w:rsidRDefault="00220288" w:rsidP="00F5225F">
            <w:pPr>
              <w:pStyle w:val="TableTextCentered"/>
              <w:spacing w:before="0" w:after="0"/>
            </w:pPr>
            <w:r>
              <w:t>N/A</w:t>
            </w:r>
          </w:p>
        </w:tc>
        <w:tc>
          <w:tcPr>
            <w:tcW w:w="289" w:type="pct"/>
            <w:vAlign w:val="center"/>
          </w:tcPr>
          <w:p w14:paraId="2CA3B9A7" w14:textId="66D5CB2A" w:rsidR="007303EE" w:rsidRPr="00797379" w:rsidRDefault="00220288" w:rsidP="00F5225F">
            <w:pPr>
              <w:pStyle w:val="TableTextCentered"/>
              <w:spacing w:before="0" w:after="0"/>
            </w:pPr>
            <w:r>
              <w:t>N/A</w:t>
            </w:r>
          </w:p>
        </w:tc>
        <w:tc>
          <w:tcPr>
            <w:tcW w:w="289" w:type="pct"/>
            <w:vAlign w:val="center"/>
          </w:tcPr>
          <w:p w14:paraId="2016034D" w14:textId="77777777" w:rsidR="007303EE" w:rsidRPr="00797379" w:rsidRDefault="007303EE" w:rsidP="00F5225F">
            <w:pPr>
              <w:pStyle w:val="TableTextCentered"/>
              <w:spacing w:before="0" w:after="0"/>
            </w:pPr>
            <w:r w:rsidRPr="00797379">
              <w:t>48</w:t>
            </w:r>
          </w:p>
        </w:tc>
        <w:tc>
          <w:tcPr>
            <w:tcW w:w="289" w:type="pct"/>
            <w:vAlign w:val="center"/>
          </w:tcPr>
          <w:p w14:paraId="07896D54" w14:textId="56C4D0A2" w:rsidR="007303EE" w:rsidRPr="00797379" w:rsidRDefault="00220288" w:rsidP="00F5225F">
            <w:pPr>
              <w:pStyle w:val="TableTextCentered"/>
              <w:spacing w:before="0" w:after="0"/>
            </w:pPr>
            <w:r>
              <w:t>N/A</w:t>
            </w:r>
          </w:p>
        </w:tc>
        <w:tc>
          <w:tcPr>
            <w:tcW w:w="289" w:type="pct"/>
            <w:vAlign w:val="center"/>
          </w:tcPr>
          <w:p w14:paraId="3E33E683" w14:textId="1C7D79CE" w:rsidR="007303EE" w:rsidRPr="00797379" w:rsidRDefault="00220288" w:rsidP="00F5225F">
            <w:pPr>
              <w:pStyle w:val="TableTextCentered"/>
              <w:spacing w:before="0" w:after="0"/>
            </w:pPr>
            <w:r>
              <w:t>N/A</w:t>
            </w:r>
          </w:p>
        </w:tc>
        <w:tc>
          <w:tcPr>
            <w:tcW w:w="289" w:type="pct"/>
            <w:vAlign w:val="center"/>
          </w:tcPr>
          <w:p w14:paraId="681F15DD" w14:textId="3D1DCF72" w:rsidR="007303EE" w:rsidRPr="00797379" w:rsidRDefault="00220288" w:rsidP="00F5225F">
            <w:pPr>
              <w:pStyle w:val="TableTextCentered"/>
              <w:spacing w:before="0" w:after="0"/>
            </w:pPr>
            <w:r>
              <w:t>N/A</w:t>
            </w:r>
          </w:p>
        </w:tc>
        <w:tc>
          <w:tcPr>
            <w:tcW w:w="290" w:type="pct"/>
            <w:vAlign w:val="center"/>
          </w:tcPr>
          <w:p w14:paraId="0B96BD2B" w14:textId="77777777" w:rsidR="007303EE" w:rsidRPr="00797379" w:rsidRDefault="007303EE" w:rsidP="00F5225F">
            <w:pPr>
              <w:pStyle w:val="TableTextCentered"/>
              <w:spacing w:before="0" w:after="0"/>
            </w:pPr>
            <w:r w:rsidRPr="00797379">
              <w:t>15</w:t>
            </w:r>
          </w:p>
        </w:tc>
      </w:tr>
      <w:tr w:rsidR="007303EE" w:rsidRPr="00797379" w14:paraId="5E6A354A" w14:textId="77777777" w:rsidTr="00220288">
        <w:tc>
          <w:tcPr>
            <w:tcW w:w="1179" w:type="pct"/>
          </w:tcPr>
          <w:p w14:paraId="2F4C5C69" w14:textId="77777777" w:rsidR="007303EE" w:rsidRPr="00F5225F" w:rsidRDefault="007303EE" w:rsidP="00F5225F">
            <w:pPr>
              <w:pStyle w:val="TableSubheading"/>
              <w:spacing w:before="0" w:after="0"/>
              <w:rPr>
                <w:rFonts w:asciiTheme="minorHAnsi" w:hAnsiTheme="minorHAnsi"/>
              </w:rPr>
            </w:pPr>
            <w:r w:rsidRPr="00F5225F">
              <w:rPr>
                <w:rFonts w:asciiTheme="minorHAnsi" w:hAnsiTheme="minorHAnsi"/>
              </w:rPr>
              <w:t>White</w:t>
            </w:r>
          </w:p>
        </w:tc>
        <w:tc>
          <w:tcPr>
            <w:tcW w:w="348" w:type="pct"/>
            <w:vAlign w:val="center"/>
          </w:tcPr>
          <w:p w14:paraId="1F81EAC2" w14:textId="77777777" w:rsidR="007303EE" w:rsidRPr="00797379" w:rsidRDefault="007303EE" w:rsidP="00F5225F">
            <w:pPr>
              <w:pStyle w:val="TableTextCentered"/>
              <w:spacing w:before="0" w:after="0"/>
              <w:rPr>
                <w:rFonts w:ascii="Franklin Gothic Book" w:hAnsi="Franklin Gothic Book"/>
              </w:rPr>
            </w:pPr>
            <w:r w:rsidRPr="00797379">
              <w:rPr>
                <w:rFonts w:ascii="Franklin Gothic Book" w:hAnsi="Franklin Gothic Book"/>
              </w:rPr>
              <w:t>226</w:t>
            </w:r>
          </w:p>
        </w:tc>
        <w:tc>
          <w:tcPr>
            <w:tcW w:w="289" w:type="pct"/>
            <w:vAlign w:val="center"/>
          </w:tcPr>
          <w:p w14:paraId="5617DA4F" w14:textId="77777777" w:rsidR="007303EE" w:rsidRPr="00797379" w:rsidRDefault="007303EE" w:rsidP="00F5225F">
            <w:pPr>
              <w:pStyle w:val="TableTextCentered"/>
              <w:spacing w:before="0" w:after="0"/>
            </w:pPr>
            <w:r w:rsidRPr="00797379">
              <w:t>78</w:t>
            </w:r>
          </w:p>
        </w:tc>
        <w:tc>
          <w:tcPr>
            <w:tcW w:w="289" w:type="pct"/>
            <w:vAlign w:val="center"/>
          </w:tcPr>
          <w:p w14:paraId="6C1EEDA0" w14:textId="77777777" w:rsidR="007303EE" w:rsidRPr="00797379" w:rsidRDefault="007303EE" w:rsidP="00F5225F">
            <w:pPr>
              <w:pStyle w:val="TableTextCentered"/>
              <w:spacing w:before="0" w:after="0"/>
            </w:pPr>
            <w:r w:rsidRPr="00797379">
              <w:t>77</w:t>
            </w:r>
          </w:p>
        </w:tc>
        <w:tc>
          <w:tcPr>
            <w:tcW w:w="289" w:type="pct"/>
            <w:vAlign w:val="center"/>
          </w:tcPr>
          <w:p w14:paraId="798F06A9" w14:textId="77777777" w:rsidR="007303EE" w:rsidRPr="00797379" w:rsidRDefault="007303EE" w:rsidP="00F5225F">
            <w:pPr>
              <w:pStyle w:val="TableTextCentered"/>
              <w:spacing w:before="0" w:after="0"/>
            </w:pPr>
            <w:r w:rsidRPr="00797379">
              <w:t>82</w:t>
            </w:r>
          </w:p>
        </w:tc>
        <w:tc>
          <w:tcPr>
            <w:tcW w:w="289" w:type="pct"/>
            <w:vAlign w:val="center"/>
          </w:tcPr>
          <w:p w14:paraId="7EFF8531" w14:textId="77777777" w:rsidR="007303EE" w:rsidRPr="00797379" w:rsidRDefault="007303EE" w:rsidP="00F5225F">
            <w:pPr>
              <w:pStyle w:val="TableTextCentered"/>
              <w:spacing w:before="0" w:after="0"/>
            </w:pPr>
            <w:r w:rsidRPr="00797379">
              <w:t>55</w:t>
            </w:r>
          </w:p>
        </w:tc>
        <w:tc>
          <w:tcPr>
            <w:tcW w:w="289" w:type="pct"/>
            <w:vAlign w:val="center"/>
          </w:tcPr>
          <w:p w14:paraId="2BA5961F" w14:textId="77777777" w:rsidR="007303EE" w:rsidRPr="00797379" w:rsidRDefault="007303EE" w:rsidP="00F5225F">
            <w:pPr>
              <w:pStyle w:val="TableTextCentered"/>
              <w:spacing w:before="0" w:after="0"/>
            </w:pPr>
            <w:r w:rsidRPr="00797379">
              <w:t>18</w:t>
            </w:r>
          </w:p>
        </w:tc>
        <w:tc>
          <w:tcPr>
            <w:tcW w:w="289" w:type="pct"/>
            <w:vAlign w:val="center"/>
          </w:tcPr>
          <w:p w14:paraId="0A7CFDB4" w14:textId="77777777" w:rsidR="007303EE" w:rsidRPr="00797379" w:rsidRDefault="007303EE" w:rsidP="00F5225F">
            <w:pPr>
              <w:pStyle w:val="TableTextCentered"/>
              <w:spacing w:before="0" w:after="0"/>
            </w:pPr>
            <w:r w:rsidRPr="00797379">
              <w:t>20</w:t>
            </w:r>
          </w:p>
        </w:tc>
        <w:tc>
          <w:tcPr>
            <w:tcW w:w="289" w:type="pct"/>
            <w:vAlign w:val="center"/>
          </w:tcPr>
          <w:p w14:paraId="781D9F14" w14:textId="77777777" w:rsidR="007303EE" w:rsidRPr="00797379" w:rsidRDefault="007303EE" w:rsidP="00F5225F">
            <w:pPr>
              <w:pStyle w:val="TableTextCentered"/>
              <w:spacing w:before="0" w:after="0"/>
            </w:pPr>
            <w:r w:rsidRPr="00797379">
              <w:t>15</w:t>
            </w:r>
          </w:p>
        </w:tc>
        <w:tc>
          <w:tcPr>
            <w:tcW w:w="289" w:type="pct"/>
            <w:vAlign w:val="center"/>
          </w:tcPr>
          <w:p w14:paraId="236CC76A" w14:textId="77777777" w:rsidR="007303EE" w:rsidRPr="00797379" w:rsidRDefault="007303EE" w:rsidP="00F5225F">
            <w:pPr>
              <w:pStyle w:val="TableTextCentered"/>
              <w:spacing w:before="0" w:after="0"/>
            </w:pPr>
            <w:r w:rsidRPr="00797379">
              <w:t>36</w:t>
            </w:r>
          </w:p>
        </w:tc>
        <w:tc>
          <w:tcPr>
            <w:tcW w:w="289" w:type="pct"/>
            <w:vAlign w:val="center"/>
          </w:tcPr>
          <w:p w14:paraId="1F2AFECF" w14:textId="77777777" w:rsidR="007303EE" w:rsidRPr="00797379" w:rsidRDefault="007303EE" w:rsidP="00F5225F">
            <w:pPr>
              <w:pStyle w:val="TableTextCentered"/>
              <w:spacing w:before="0" w:after="0"/>
            </w:pPr>
            <w:r w:rsidRPr="00797379">
              <w:t>3</w:t>
            </w:r>
          </w:p>
        </w:tc>
        <w:tc>
          <w:tcPr>
            <w:tcW w:w="289" w:type="pct"/>
            <w:vAlign w:val="center"/>
          </w:tcPr>
          <w:p w14:paraId="4F7E01BF" w14:textId="77777777" w:rsidR="007303EE" w:rsidRPr="00797379" w:rsidRDefault="007303EE" w:rsidP="00F5225F">
            <w:pPr>
              <w:pStyle w:val="TableTextCentered"/>
              <w:spacing w:before="0" w:after="0"/>
            </w:pPr>
            <w:r w:rsidRPr="00797379">
              <w:t>3</w:t>
            </w:r>
          </w:p>
        </w:tc>
        <w:tc>
          <w:tcPr>
            <w:tcW w:w="289" w:type="pct"/>
            <w:vAlign w:val="center"/>
          </w:tcPr>
          <w:p w14:paraId="3015DF38" w14:textId="77777777" w:rsidR="007303EE" w:rsidRPr="00797379" w:rsidRDefault="007303EE" w:rsidP="00F5225F">
            <w:pPr>
              <w:pStyle w:val="TableTextCentered"/>
              <w:spacing w:before="0" w:after="0"/>
            </w:pPr>
            <w:r w:rsidRPr="00797379">
              <w:t>3</w:t>
            </w:r>
          </w:p>
        </w:tc>
        <w:tc>
          <w:tcPr>
            <w:tcW w:w="290" w:type="pct"/>
            <w:vAlign w:val="center"/>
          </w:tcPr>
          <w:p w14:paraId="52213139" w14:textId="77777777" w:rsidR="007303EE" w:rsidRPr="00797379" w:rsidRDefault="007303EE" w:rsidP="00F5225F">
            <w:pPr>
              <w:pStyle w:val="TableTextCentered"/>
              <w:spacing w:before="0" w:after="0"/>
            </w:pPr>
            <w:r w:rsidRPr="00797379">
              <w:t>10</w:t>
            </w:r>
          </w:p>
        </w:tc>
      </w:tr>
      <w:tr w:rsidR="007303EE" w:rsidRPr="00797379" w14:paraId="4E3105E4" w14:textId="77777777" w:rsidTr="00220288">
        <w:trPr>
          <w:cnfStyle w:val="000000100000" w:firstRow="0" w:lastRow="0" w:firstColumn="0" w:lastColumn="0" w:oddVBand="0" w:evenVBand="0" w:oddHBand="1" w:evenHBand="0" w:firstRowFirstColumn="0" w:firstRowLastColumn="0" w:lastRowFirstColumn="0" w:lastRowLastColumn="0"/>
        </w:trPr>
        <w:tc>
          <w:tcPr>
            <w:tcW w:w="1179" w:type="pct"/>
          </w:tcPr>
          <w:p w14:paraId="2B8B5311" w14:textId="77777777" w:rsidR="007303EE" w:rsidRPr="00F5225F" w:rsidRDefault="007303EE" w:rsidP="00F5225F">
            <w:pPr>
              <w:pStyle w:val="TableSubheading"/>
              <w:spacing w:before="0" w:after="0"/>
              <w:rPr>
                <w:rFonts w:asciiTheme="minorHAnsi" w:hAnsiTheme="minorHAnsi"/>
              </w:rPr>
            </w:pPr>
            <w:r w:rsidRPr="00F5225F">
              <w:rPr>
                <w:rFonts w:asciiTheme="minorHAnsi" w:hAnsiTheme="minorHAnsi"/>
              </w:rPr>
              <w:t>High Needs</w:t>
            </w:r>
          </w:p>
        </w:tc>
        <w:tc>
          <w:tcPr>
            <w:tcW w:w="348" w:type="pct"/>
            <w:vAlign w:val="center"/>
          </w:tcPr>
          <w:p w14:paraId="1AFE7E55" w14:textId="77777777" w:rsidR="007303EE" w:rsidRPr="00797379" w:rsidRDefault="007303EE" w:rsidP="00F5225F">
            <w:pPr>
              <w:pStyle w:val="TableTextCentered"/>
              <w:spacing w:before="0" w:after="0"/>
              <w:rPr>
                <w:rFonts w:ascii="Franklin Gothic Book" w:hAnsi="Franklin Gothic Book"/>
              </w:rPr>
            </w:pPr>
            <w:r w:rsidRPr="00797379">
              <w:rPr>
                <w:rFonts w:ascii="Franklin Gothic Book" w:hAnsi="Franklin Gothic Book"/>
              </w:rPr>
              <w:t>69</w:t>
            </w:r>
          </w:p>
        </w:tc>
        <w:tc>
          <w:tcPr>
            <w:tcW w:w="289" w:type="pct"/>
            <w:vAlign w:val="center"/>
          </w:tcPr>
          <w:p w14:paraId="30413D79" w14:textId="77777777" w:rsidR="007303EE" w:rsidRPr="00797379" w:rsidRDefault="007303EE" w:rsidP="00F5225F">
            <w:pPr>
              <w:pStyle w:val="TableTextCentered"/>
              <w:spacing w:before="0" w:after="0"/>
            </w:pPr>
            <w:r w:rsidRPr="00797379">
              <w:t>54</w:t>
            </w:r>
          </w:p>
        </w:tc>
        <w:tc>
          <w:tcPr>
            <w:tcW w:w="289" w:type="pct"/>
            <w:vAlign w:val="center"/>
          </w:tcPr>
          <w:p w14:paraId="51E02672" w14:textId="77777777" w:rsidR="007303EE" w:rsidRPr="00797379" w:rsidRDefault="007303EE" w:rsidP="00F5225F">
            <w:pPr>
              <w:pStyle w:val="TableTextCentered"/>
              <w:spacing w:before="0" w:after="0"/>
            </w:pPr>
            <w:r w:rsidRPr="00797379">
              <w:t>43</w:t>
            </w:r>
          </w:p>
        </w:tc>
        <w:tc>
          <w:tcPr>
            <w:tcW w:w="289" w:type="pct"/>
            <w:vAlign w:val="center"/>
          </w:tcPr>
          <w:p w14:paraId="1F2FB4F0" w14:textId="77777777" w:rsidR="007303EE" w:rsidRPr="00797379" w:rsidRDefault="007303EE" w:rsidP="00F5225F">
            <w:pPr>
              <w:pStyle w:val="TableTextCentered"/>
              <w:spacing w:before="0" w:after="0"/>
            </w:pPr>
            <w:r w:rsidRPr="00797379">
              <w:t>51</w:t>
            </w:r>
          </w:p>
        </w:tc>
        <w:tc>
          <w:tcPr>
            <w:tcW w:w="289" w:type="pct"/>
            <w:vAlign w:val="center"/>
          </w:tcPr>
          <w:p w14:paraId="043D26A5" w14:textId="77777777" w:rsidR="007303EE" w:rsidRPr="00797379" w:rsidRDefault="007303EE" w:rsidP="00F5225F">
            <w:pPr>
              <w:pStyle w:val="TableTextCentered"/>
              <w:spacing w:before="0" w:after="0"/>
            </w:pPr>
            <w:r w:rsidRPr="00797379">
              <w:t>25</w:t>
            </w:r>
          </w:p>
        </w:tc>
        <w:tc>
          <w:tcPr>
            <w:tcW w:w="289" w:type="pct"/>
            <w:vAlign w:val="center"/>
          </w:tcPr>
          <w:p w14:paraId="3900380C" w14:textId="77777777" w:rsidR="007303EE" w:rsidRPr="00797379" w:rsidRDefault="007303EE" w:rsidP="00F5225F">
            <w:pPr>
              <w:pStyle w:val="TableTextCentered"/>
              <w:spacing w:before="0" w:after="0"/>
            </w:pPr>
            <w:r w:rsidRPr="00797379">
              <w:t>38</w:t>
            </w:r>
          </w:p>
        </w:tc>
        <w:tc>
          <w:tcPr>
            <w:tcW w:w="289" w:type="pct"/>
            <w:vAlign w:val="center"/>
          </w:tcPr>
          <w:p w14:paraId="5872EF5D" w14:textId="77777777" w:rsidR="007303EE" w:rsidRPr="00797379" w:rsidRDefault="007303EE" w:rsidP="00F5225F">
            <w:pPr>
              <w:pStyle w:val="TableTextCentered"/>
              <w:spacing w:before="0" w:after="0"/>
            </w:pPr>
            <w:r w:rsidRPr="00797379">
              <w:t>46</w:t>
            </w:r>
          </w:p>
        </w:tc>
        <w:tc>
          <w:tcPr>
            <w:tcW w:w="289" w:type="pct"/>
            <w:vAlign w:val="center"/>
          </w:tcPr>
          <w:p w14:paraId="4C5595CE" w14:textId="77777777" w:rsidR="007303EE" w:rsidRPr="00797379" w:rsidRDefault="007303EE" w:rsidP="00F5225F">
            <w:pPr>
              <w:pStyle w:val="TableTextCentered"/>
              <w:spacing w:before="0" w:after="0"/>
            </w:pPr>
            <w:r w:rsidRPr="00797379">
              <w:t>36</w:t>
            </w:r>
          </w:p>
        </w:tc>
        <w:tc>
          <w:tcPr>
            <w:tcW w:w="289" w:type="pct"/>
            <w:vAlign w:val="center"/>
          </w:tcPr>
          <w:p w14:paraId="0A60E392" w14:textId="77777777" w:rsidR="007303EE" w:rsidRPr="00797379" w:rsidRDefault="007303EE" w:rsidP="00F5225F">
            <w:pPr>
              <w:pStyle w:val="TableTextCentered"/>
              <w:spacing w:before="0" w:after="0"/>
            </w:pPr>
            <w:r w:rsidRPr="00797379">
              <w:t>46</w:t>
            </w:r>
          </w:p>
        </w:tc>
        <w:tc>
          <w:tcPr>
            <w:tcW w:w="289" w:type="pct"/>
            <w:vAlign w:val="center"/>
          </w:tcPr>
          <w:p w14:paraId="42070273" w14:textId="77777777" w:rsidR="007303EE" w:rsidRPr="00797379" w:rsidRDefault="007303EE" w:rsidP="00F5225F">
            <w:pPr>
              <w:pStyle w:val="TableTextCentered"/>
              <w:spacing w:before="0" w:after="0"/>
            </w:pPr>
            <w:r w:rsidRPr="00797379">
              <w:t>8</w:t>
            </w:r>
          </w:p>
        </w:tc>
        <w:tc>
          <w:tcPr>
            <w:tcW w:w="289" w:type="pct"/>
            <w:vAlign w:val="center"/>
          </w:tcPr>
          <w:p w14:paraId="21F5C847" w14:textId="77777777" w:rsidR="007303EE" w:rsidRPr="00797379" w:rsidRDefault="007303EE" w:rsidP="00F5225F">
            <w:pPr>
              <w:pStyle w:val="TableTextCentered"/>
              <w:spacing w:before="0" w:after="0"/>
            </w:pPr>
            <w:r w:rsidRPr="00797379">
              <w:t>11</w:t>
            </w:r>
          </w:p>
        </w:tc>
        <w:tc>
          <w:tcPr>
            <w:tcW w:w="289" w:type="pct"/>
            <w:vAlign w:val="center"/>
          </w:tcPr>
          <w:p w14:paraId="6D10FEBE" w14:textId="77777777" w:rsidR="007303EE" w:rsidRPr="00797379" w:rsidRDefault="007303EE" w:rsidP="00F5225F">
            <w:pPr>
              <w:pStyle w:val="TableTextCentered"/>
              <w:spacing w:before="0" w:after="0"/>
            </w:pPr>
            <w:r w:rsidRPr="00797379">
              <w:t>13</w:t>
            </w:r>
          </w:p>
        </w:tc>
        <w:tc>
          <w:tcPr>
            <w:tcW w:w="290" w:type="pct"/>
            <w:vAlign w:val="center"/>
          </w:tcPr>
          <w:p w14:paraId="4009ACA5" w14:textId="77777777" w:rsidR="007303EE" w:rsidRPr="00797379" w:rsidRDefault="007303EE" w:rsidP="00F5225F">
            <w:pPr>
              <w:pStyle w:val="TableTextCentered"/>
              <w:spacing w:before="0" w:after="0"/>
            </w:pPr>
            <w:r w:rsidRPr="00797379">
              <w:t>29</w:t>
            </w:r>
          </w:p>
        </w:tc>
      </w:tr>
      <w:tr w:rsidR="007303EE" w:rsidRPr="00797379" w14:paraId="34804F38" w14:textId="77777777" w:rsidTr="00220288">
        <w:tc>
          <w:tcPr>
            <w:tcW w:w="1179" w:type="pct"/>
          </w:tcPr>
          <w:p w14:paraId="49BBCE66" w14:textId="77777777" w:rsidR="007303EE" w:rsidRPr="00F5225F" w:rsidRDefault="007303EE" w:rsidP="00F5225F">
            <w:pPr>
              <w:pStyle w:val="TableSubheading"/>
              <w:spacing w:before="0" w:after="0"/>
              <w:rPr>
                <w:rFonts w:asciiTheme="minorHAnsi" w:hAnsiTheme="minorHAnsi"/>
              </w:rPr>
            </w:pPr>
            <w:r w:rsidRPr="00F5225F">
              <w:rPr>
                <w:rFonts w:asciiTheme="minorHAnsi" w:hAnsiTheme="minorHAnsi"/>
              </w:rPr>
              <w:t>English Learners</w:t>
            </w:r>
          </w:p>
        </w:tc>
        <w:tc>
          <w:tcPr>
            <w:tcW w:w="348" w:type="pct"/>
            <w:vAlign w:val="center"/>
          </w:tcPr>
          <w:p w14:paraId="44E9FF56" w14:textId="77777777" w:rsidR="007303EE" w:rsidRPr="00797379" w:rsidRDefault="007303EE" w:rsidP="00F5225F">
            <w:pPr>
              <w:pStyle w:val="TableTextCentered"/>
              <w:spacing w:before="0" w:after="0"/>
              <w:rPr>
                <w:rFonts w:ascii="Franklin Gothic Book" w:hAnsi="Franklin Gothic Book"/>
              </w:rPr>
            </w:pPr>
            <w:r w:rsidRPr="00797379">
              <w:rPr>
                <w:rFonts w:ascii="Franklin Gothic Book" w:hAnsi="Franklin Gothic Book"/>
              </w:rPr>
              <w:t>3</w:t>
            </w:r>
          </w:p>
        </w:tc>
        <w:tc>
          <w:tcPr>
            <w:tcW w:w="289" w:type="pct"/>
            <w:vAlign w:val="center"/>
          </w:tcPr>
          <w:p w14:paraId="5FF56FBD" w14:textId="54DED277" w:rsidR="007303EE" w:rsidRPr="00797379" w:rsidRDefault="00220288" w:rsidP="00F5225F">
            <w:pPr>
              <w:pStyle w:val="TableTextCentered"/>
              <w:spacing w:before="0" w:after="0"/>
            </w:pPr>
            <w:r>
              <w:t>N/A</w:t>
            </w:r>
          </w:p>
        </w:tc>
        <w:tc>
          <w:tcPr>
            <w:tcW w:w="289" w:type="pct"/>
            <w:vAlign w:val="center"/>
          </w:tcPr>
          <w:p w14:paraId="65CC9C45" w14:textId="58B57079" w:rsidR="007303EE" w:rsidRPr="00797379" w:rsidRDefault="00220288" w:rsidP="00F5225F">
            <w:pPr>
              <w:pStyle w:val="TableTextCentered"/>
              <w:spacing w:before="0" w:after="0"/>
            </w:pPr>
            <w:r>
              <w:t>N/A</w:t>
            </w:r>
          </w:p>
        </w:tc>
        <w:tc>
          <w:tcPr>
            <w:tcW w:w="289" w:type="pct"/>
            <w:vAlign w:val="center"/>
          </w:tcPr>
          <w:p w14:paraId="7593F182" w14:textId="39B0EFD4" w:rsidR="007303EE" w:rsidRPr="00797379" w:rsidRDefault="00220288" w:rsidP="00F5225F">
            <w:pPr>
              <w:pStyle w:val="TableTextCentered"/>
              <w:spacing w:before="0" w:after="0"/>
            </w:pPr>
            <w:r>
              <w:t>N/A</w:t>
            </w:r>
          </w:p>
        </w:tc>
        <w:tc>
          <w:tcPr>
            <w:tcW w:w="289" w:type="pct"/>
            <w:vAlign w:val="center"/>
          </w:tcPr>
          <w:p w14:paraId="47A4FE63" w14:textId="77777777" w:rsidR="007303EE" w:rsidRPr="00797379" w:rsidRDefault="007303EE" w:rsidP="00F5225F">
            <w:pPr>
              <w:pStyle w:val="TableTextCentered"/>
              <w:spacing w:before="0" w:after="0"/>
            </w:pPr>
            <w:r w:rsidRPr="00797379">
              <w:t>11</w:t>
            </w:r>
          </w:p>
        </w:tc>
        <w:tc>
          <w:tcPr>
            <w:tcW w:w="289" w:type="pct"/>
            <w:vAlign w:val="center"/>
          </w:tcPr>
          <w:p w14:paraId="1FC0070A" w14:textId="543912A1" w:rsidR="007303EE" w:rsidRPr="00797379" w:rsidRDefault="00220288" w:rsidP="00F5225F">
            <w:pPr>
              <w:pStyle w:val="TableTextCentered"/>
              <w:spacing w:before="0" w:after="0"/>
            </w:pPr>
            <w:r>
              <w:t>N/A</w:t>
            </w:r>
          </w:p>
        </w:tc>
        <w:tc>
          <w:tcPr>
            <w:tcW w:w="289" w:type="pct"/>
            <w:vAlign w:val="center"/>
          </w:tcPr>
          <w:p w14:paraId="24DAD3C4" w14:textId="28F936F1" w:rsidR="007303EE" w:rsidRPr="00797379" w:rsidRDefault="00220288" w:rsidP="00F5225F">
            <w:pPr>
              <w:pStyle w:val="TableTextCentered"/>
              <w:spacing w:before="0" w:after="0"/>
            </w:pPr>
            <w:r>
              <w:t>N/A</w:t>
            </w:r>
          </w:p>
        </w:tc>
        <w:tc>
          <w:tcPr>
            <w:tcW w:w="289" w:type="pct"/>
            <w:vAlign w:val="center"/>
          </w:tcPr>
          <w:p w14:paraId="79FAC477" w14:textId="3363ABA3" w:rsidR="007303EE" w:rsidRPr="00797379" w:rsidRDefault="00220288" w:rsidP="00F5225F">
            <w:pPr>
              <w:pStyle w:val="TableTextCentered"/>
              <w:spacing w:before="0" w:after="0"/>
            </w:pPr>
            <w:r>
              <w:t>N/A</w:t>
            </w:r>
          </w:p>
        </w:tc>
        <w:tc>
          <w:tcPr>
            <w:tcW w:w="289" w:type="pct"/>
            <w:vAlign w:val="center"/>
          </w:tcPr>
          <w:p w14:paraId="24500743" w14:textId="77777777" w:rsidR="007303EE" w:rsidRPr="00797379" w:rsidRDefault="007303EE" w:rsidP="00F5225F">
            <w:pPr>
              <w:pStyle w:val="TableTextCentered"/>
              <w:spacing w:before="0" w:after="0"/>
            </w:pPr>
            <w:r w:rsidRPr="00797379">
              <w:t>39</w:t>
            </w:r>
          </w:p>
        </w:tc>
        <w:tc>
          <w:tcPr>
            <w:tcW w:w="289" w:type="pct"/>
            <w:vAlign w:val="center"/>
          </w:tcPr>
          <w:p w14:paraId="2D335CE6" w14:textId="04C36BD4" w:rsidR="007303EE" w:rsidRPr="00797379" w:rsidRDefault="00220288" w:rsidP="00F5225F">
            <w:pPr>
              <w:pStyle w:val="TableTextCentered"/>
              <w:spacing w:before="0" w:after="0"/>
            </w:pPr>
            <w:r>
              <w:t>N/A</w:t>
            </w:r>
          </w:p>
        </w:tc>
        <w:tc>
          <w:tcPr>
            <w:tcW w:w="289" w:type="pct"/>
            <w:vAlign w:val="center"/>
          </w:tcPr>
          <w:p w14:paraId="267FA8F1" w14:textId="6DEF7E26" w:rsidR="007303EE" w:rsidRPr="00797379" w:rsidRDefault="00220288" w:rsidP="00F5225F">
            <w:pPr>
              <w:pStyle w:val="TableTextCentered"/>
              <w:spacing w:before="0" w:after="0"/>
            </w:pPr>
            <w:r>
              <w:t>N/A</w:t>
            </w:r>
          </w:p>
        </w:tc>
        <w:tc>
          <w:tcPr>
            <w:tcW w:w="289" w:type="pct"/>
            <w:vAlign w:val="center"/>
          </w:tcPr>
          <w:p w14:paraId="0A80E0AC" w14:textId="572EDAAF" w:rsidR="007303EE" w:rsidRPr="00797379" w:rsidRDefault="00220288" w:rsidP="00F5225F">
            <w:pPr>
              <w:pStyle w:val="TableTextCentered"/>
              <w:spacing w:before="0" w:after="0"/>
            </w:pPr>
            <w:r>
              <w:t>N/A</w:t>
            </w:r>
          </w:p>
        </w:tc>
        <w:tc>
          <w:tcPr>
            <w:tcW w:w="290" w:type="pct"/>
            <w:vAlign w:val="center"/>
          </w:tcPr>
          <w:p w14:paraId="0D37E607" w14:textId="77777777" w:rsidR="007303EE" w:rsidRPr="00797379" w:rsidRDefault="007303EE" w:rsidP="00F5225F">
            <w:pPr>
              <w:pStyle w:val="TableTextCentered"/>
              <w:spacing w:before="0" w:after="0"/>
            </w:pPr>
            <w:r w:rsidRPr="00797379">
              <w:t>50</w:t>
            </w:r>
          </w:p>
        </w:tc>
      </w:tr>
      <w:tr w:rsidR="007303EE" w:rsidRPr="00797379" w14:paraId="09C6E145" w14:textId="77777777" w:rsidTr="00220288">
        <w:trPr>
          <w:cnfStyle w:val="000000100000" w:firstRow="0" w:lastRow="0" w:firstColumn="0" w:lastColumn="0" w:oddVBand="0" w:evenVBand="0" w:oddHBand="1" w:evenHBand="0" w:firstRowFirstColumn="0" w:firstRowLastColumn="0" w:lastRowFirstColumn="0" w:lastRowLastColumn="0"/>
        </w:trPr>
        <w:tc>
          <w:tcPr>
            <w:tcW w:w="1179" w:type="pct"/>
          </w:tcPr>
          <w:p w14:paraId="396BE56B" w14:textId="77777777" w:rsidR="007303EE" w:rsidRPr="00F5225F" w:rsidRDefault="007303EE" w:rsidP="00F5225F">
            <w:pPr>
              <w:pStyle w:val="TableSubheading"/>
              <w:spacing w:before="0" w:after="0"/>
              <w:rPr>
                <w:rFonts w:asciiTheme="minorHAnsi" w:hAnsiTheme="minorHAnsi"/>
                <w:spacing w:val="-4"/>
              </w:rPr>
            </w:pPr>
            <w:r w:rsidRPr="00F5225F">
              <w:rPr>
                <w:rFonts w:asciiTheme="minorHAnsi" w:hAnsiTheme="minorHAnsi"/>
                <w:spacing w:val="-4"/>
              </w:rPr>
              <w:t>Low Income</w:t>
            </w:r>
          </w:p>
        </w:tc>
        <w:tc>
          <w:tcPr>
            <w:tcW w:w="348" w:type="pct"/>
            <w:vAlign w:val="center"/>
          </w:tcPr>
          <w:p w14:paraId="7B4D1E0C" w14:textId="77777777" w:rsidR="007303EE" w:rsidRPr="00797379" w:rsidRDefault="007303EE" w:rsidP="00F5225F">
            <w:pPr>
              <w:pStyle w:val="TableTextCentered"/>
              <w:spacing w:before="0" w:after="0"/>
              <w:rPr>
                <w:rFonts w:ascii="Franklin Gothic Book" w:hAnsi="Franklin Gothic Book"/>
              </w:rPr>
            </w:pPr>
            <w:r w:rsidRPr="00797379">
              <w:rPr>
                <w:rFonts w:ascii="Franklin Gothic Book" w:hAnsi="Franklin Gothic Book"/>
              </w:rPr>
              <w:t>26</w:t>
            </w:r>
          </w:p>
        </w:tc>
        <w:tc>
          <w:tcPr>
            <w:tcW w:w="289" w:type="pct"/>
            <w:vAlign w:val="center"/>
          </w:tcPr>
          <w:p w14:paraId="5886ACF1" w14:textId="77777777" w:rsidR="007303EE" w:rsidRPr="00797379" w:rsidRDefault="007303EE" w:rsidP="00F5225F">
            <w:pPr>
              <w:pStyle w:val="TableTextCentered"/>
              <w:spacing w:before="0" w:after="0"/>
            </w:pPr>
            <w:r w:rsidRPr="00797379">
              <w:t>57</w:t>
            </w:r>
          </w:p>
        </w:tc>
        <w:tc>
          <w:tcPr>
            <w:tcW w:w="289" w:type="pct"/>
            <w:vAlign w:val="center"/>
          </w:tcPr>
          <w:p w14:paraId="41A579AF" w14:textId="77777777" w:rsidR="007303EE" w:rsidRPr="00797379" w:rsidRDefault="007303EE" w:rsidP="00F5225F">
            <w:pPr>
              <w:pStyle w:val="TableTextCentered"/>
              <w:spacing w:before="0" w:after="0"/>
            </w:pPr>
            <w:r w:rsidRPr="00797379">
              <w:t>45</w:t>
            </w:r>
          </w:p>
        </w:tc>
        <w:tc>
          <w:tcPr>
            <w:tcW w:w="289" w:type="pct"/>
            <w:vAlign w:val="center"/>
          </w:tcPr>
          <w:p w14:paraId="043A0A24" w14:textId="77777777" w:rsidR="007303EE" w:rsidRPr="00797379" w:rsidRDefault="007303EE" w:rsidP="00F5225F">
            <w:pPr>
              <w:pStyle w:val="TableTextCentered"/>
              <w:spacing w:before="0" w:after="0"/>
            </w:pPr>
            <w:r w:rsidRPr="00797379">
              <w:t>77</w:t>
            </w:r>
          </w:p>
        </w:tc>
        <w:tc>
          <w:tcPr>
            <w:tcW w:w="289" w:type="pct"/>
            <w:vAlign w:val="center"/>
          </w:tcPr>
          <w:p w14:paraId="41A3B935" w14:textId="77777777" w:rsidR="007303EE" w:rsidRPr="00797379" w:rsidRDefault="007303EE" w:rsidP="00F5225F">
            <w:pPr>
              <w:pStyle w:val="TableTextCentered"/>
              <w:spacing w:before="0" w:after="0"/>
            </w:pPr>
            <w:r w:rsidRPr="00797379">
              <w:t>25</w:t>
            </w:r>
          </w:p>
        </w:tc>
        <w:tc>
          <w:tcPr>
            <w:tcW w:w="289" w:type="pct"/>
            <w:vAlign w:val="center"/>
          </w:tcPr>
          <w:p w14:paraId="4104ED96" w14:textId="77777777" w:rsidR="007303EE" w:rsidRPr="00797379" w:rsidRDefault="007303EE" w:rsidP="00F5225F">
            <w:pPr>
              <w:pStyle w:val="TableTextCentered"/>
              <w:spacing w:before="0" w:after="0"/>
            </w:pPr>
            <w:r w:rsidRPr="00797379">
              <w:t>35</w:t>
            </w:r>
          </w:p>
        </w:tc>
        <w:tc>
          <w:tcPr>
            <w:tcW w:w="289" w:type="pct"/>
            <w:vAlign w:val="center"/>
          </w:tcPr>
          <w:p w14:paraId="751B6A55" w14:textId="77777777" w:rsidR="007303EE" w:rsidRPr="00797379" w:rsidRDefault="007303EE" w:rsidP="00F5225F">
            <w:pPr>
              <w:pStyle w:val="TableTextCentered"/>
              <w:spacing w:before="0" w:after="0"/>
            </w:pPr>
            <w:r w:rsidRPr="00797379">
              <w:t>55</w:t>
            </w:r>
          </w:p>
        </w:tc>
        <w:tc>
          <w:tcPr>
            <w:tcW w:w="289" w:type="pct"/>
            <w:vAlign w:val="center"/>
          </w:tcPr>
          <w:p w14:paraId="37CB2CBA" w14:textId="77777777" w:rsidR="007303EE" w:rsidRPr="00797379" w:rsidRDefault="007303EE" w:rsidP="00F5225F">
            <w:pPr>
              <w:pStyle w:val="TableTextCentered"/>
              <w:spacing w:before="0" w:after="0"/>
            </w:pPr>
            <w:r w:rsidRPr="00797379">
              <w:t>12</w:t>
            </w:r>
          </w:p>
        </w:tc>
        <w:tc>
          <w:tcPr>
            <w:tcW w:w="289" w:type="pct"/>
            <w:vAlign w:val="center"/>
          </w:tcPr>
          <w:p w14:paraId="087F9A24" w14:textId="77777777" w:rsidR="007303EE" w:rsidRPr="00797379" w:rsidRDefault="007303EE" w:rsidP="00F5225F">
            <w:pPr>
              <w:pStyle w:val="TableTextCentered"/>
              <w:spacing w:before="0" w:after="0"/>
            </w:pPr>
            <w:r w:rsidRPr="00797379">
              <w:t>46</w:t>
            </w:r>
          </w:p>
        </w:tc>
        <w:tc>
          <w:tcPr>
            <w:tcW w:w="289" w:type="pct"/>
            <w:vAlign w:val="center"/>
          </w:tcPr>
          <w:p w14:paraId="2248FDE5" w14:textId="77777777" w:rsidR="007303EE" w:rsidRPr="00797379" w:rsidRDefault="007303EE" w:rsidP="00F5225F">
            <w:pPr>
              <w:pStyle w:val="TableTextCentered"/>
              <w:spacing w:before="0" w:after="0"/>
            </w:pPr>
            <w:r w:rsidRPr="00797379">
              <w:t>9</w:t>
            </w:r>
          </w:p>
        </w:tc>
        <w:tc>
          <w:tcPr>
            <w:tcW w:w="289" w:type="pct"/>
            <w:vAlign w:val="center"/>
          </w:tcPr>
          <w:p w14:paraId="6540F11D" w14:textId="77777777" w:rsidR="007303EE" w:rsidRPr="00797379" w:rsidRDefault="007303EE" w:rsidP="00F5225F">
            <w:pPr>
              <w:pStyle w:val="TableTextCentered"/>
              <w:spacing w:before="0" w:after="0"/>
            </w:pPr>
            <w:r w:rsidRPr="00797379">
              <w:t>0</w:t>
            </w:r>
          </w:p>
        </w:tc>
        <w:tc>
          <w:tcPr>
            <w:tcW w:w="289" w:type="pct"/>
            <w:vAlign w:val="center"/>
          </w:tcPr>
          <w:p w14:paraId="076EC4D9" w14:textId="77777777" w:rsidR="007303EE" w:rsidRPr="00797379" w:rsidRDefault="007303EE" w:rsidP="00F5225F">
            <w:pPr>
              <w:pStyle w:val="TableTextCentered"/>
              <w:spacing w:before="0" w:after="0"/>
            </w:pPr>
            <w:r w:rsidRPr="00797379">
              <w:t>12</w:t>
            </w:r>
          </w:p>
        </w:tc>
        <w:tc>
          <w:tcPr>
            <w:tcW w:w="290" w:type="pct"/>
            <w:vAlign w:val="center"/>
          </w:tcPr>
          <w:p w14:paraId="3F826E1B" w14:textId="77777777" w:rsidR="007303EE" w:rsidRPr="00797379" w:rsidRDefault="007303EE" w:rsidP="00F5225F">
            <w:pPr>
              <w:pStyle w:val="TableTextCentered"/>
              <w:spacing w:before="0" w:after="0"/>
            </w:pPr>
            <w:r w:rsidRPr="00797379">
              <w:t>29</w:t>
            </w:r>
          </w:p>
        </w:tc>
      </w:tr>
      <w:tr w:rsidR="007303EE" w:rsidRPr="00797379" w14:paraId="665D8273" w14:textId="77777777" w:rsidTr="00220288">
        <w:tc>
          <w:tcPr>
            <w:tcW w:w="1179" w:type="pct"/>
          </w:tcPr>
          <w:p w14:paraId="2DBCD747" w14:textId="77777777" w:rsidR="007303EE" w:rsidRPr="00F5225F" w:rsidRDefault="007303EE" w:rsidP="00F5225F">
            <w:pPr>
              <w:pStyle w:val="TableSubheading"/>
              <w:spacing w:before="0" w:after="0"/>
              <w:rPr>
                <w:rFonts w:asciiTheme="minorHAnsi" w:hAnsiTheme="minorHAnsi"/>
              </w:rPr>
            </w:pPr>
            <w:r w:rsidRPr="00F5225F">
              <w:rPr>
                <w:rFonts w:asciiTheme="minorHAnsi" w:hAnsiTheme="minorHAnsi"/>
              </w:rPr>
              <w:t>Students with Disabilities</w:t>
            </w:r>
          </w:p>
        </w:tc>
        <w:tc>
          <w:tcPr>
            <w:tcW w:w="348" w:type="pct"/>
            <w:vAlign w:val="center"/>
          </w:tcPr>
          <w:p w14:paraId="409B9603" w14:textId="77777777" w:rsidR="007303EE" w:rsidRPr="00797379" w:rsidRDefault="007303EE" w:rsidP="00F5225F">
            <w:pPr>
              <w:pStyle w:val="TableTextCentered"/>
              <w:spacing w:before="0" w:after="0"/>
              <w:rPr>
                <w:rFonts w:ascii="Franklin Gothic Book" w:hAnsi="Franklin Gothic Book"/>
              </w:rPr>
            </w:pPr>
            <w:r w:rsidRPr="00797379">
              <w:rPr>
                <w:rFonts w:ascii="Franklin Gothic Book" w:hAnsi="Franklin Gothic Book"/>
              </w:rPr>
              <w:t>48</w:t>
            </w:r>
          </w:p>
        </w:tc>
        <w:tc>
          <w:tcPr>
            <w:tcW w:w="289" w:type="pct"/>
            <w:vAlign w:val="center"/>
          </w:tcPr>
          <w:p w14:paraId="2BD6B50D" w14:textId="77777777" w:rsidR="007303EE" w:rsidRPr="00797379" w:rsidRDefault="007303EE" w:rsidP="00F5225F">
            <w:pPr>
              <w:pStyle w:val="TableTextCentered"/>
              <w:spacing w:before="0" w:after="0"/>
            </w:pPr>
            <w:r w:rsidRPr="00797379">
              <w:t>50</w:t>
            </w:r>
          </w:p>
        </w:tc>
        <w:tc>
          <w:tcPr>
            <w:tcW w:w="289" w:type="pct"/>
            <w:vAlign w:val="center"/>
          </w:tcPr>
          <w:p w14:paraId="66EC83E5" w14:textId="77777777" w:rsidR="007303EE" w:rsidRPr="00797379" w:rsidRDefault="007303EE" w:rsidP="00F5225F">
            <w:pPr>
              <w:pStyle w:val="TableTextCentered"/>
              <w:spacing w:before="0" w:after="0"/>
            </w:pPr>
            <w:r w:rsidRPr="00797379">
              <w:t>37</w:t>
            </w:r>
          </w:p>
        </w:tc>
        <w:tc>
          <w:tcPr>
            <w:tcW w:w="289" w:type="pct"/>
            <w:vAlign w:val="center"/>
          </w:tcPr>
          <w:p w14:paraId="1A8CCFAC" w14:textId="77777777" w:rsidR="007303EE" w:rsidRPr="00797379" w:rsidRDefault="007303EE" w:rsidP="00F5225F">
            <w:pPr>
              <w:pStyle w:val="TableTextCentered"/>
              <w:spacing w:before="0" w:after="0"/>
            </w:pPr>
            <w:r w:rsidRPr="00797379">
              <w:t>35</w:t>
            </w:r>
          </w:p>
        </w:tc>
        <w:tc>
          <w:tcPr>
            <w:tcW w:w="289" w:type="pct"/>
            <w:vAlign w:val="center"/>
          </w:tcPr>
          <w:p w14:paraId="2707A70B" w14:textId="77777777" w:rsidR="007303EE" w:rsidRPr="00797379" w:rsidRDefault="007303EE" w:rsidP="00F5225F">
            <w:pPr>
              <w:pStyle w:val="TableTextCentered"/>
              <w:spacing w:before="0" w:after="0"/>
            </w:pPr>
            <w:r w:rsidRPr="00797379">
              <w:t>15</w:t>
            </w:r>
          </w:p>
        </w:tc>
        <w:tc>
          <w:tcPr>
            <w:tcW w:w="289" w:type="pct"/>
            <w:vAlign w:val="center"/>
          </w:tcPr>
          <w:p w14:paraId="6BA01541" w14:textId="77777777" w:rsidR="007303EE" w:rsidRPr="00797379" w:rsidRDefault="007303EE" w:rsidP="00F5225F">
            <w:pPr>
              <w:pStyle w:val="TableTextCentered"/>
              <w:spacing w:before="0" w:after="0"/>
            </w:pPr>
            <w:r w:rsidRPr="00797379">
              <w:t>39</w:t>
            </w:r>
          </w:p>
        </w:tc>
        <w:tc>
          <w:tcPr>
            <w:tcW w:w="289" w:type="pct"/>
            <w:vAlign w:val="center"/>
          </w:tcPr>
          <w:p w14:paraId="775C4AA8" w14:textId="77777777" w:rsidR="007303EE" w:rsidRPr="00797379" w:rsidRDefault="007303EE" w:rsidP="00F5225F">
            <w:pPr>
              <w:pStyle w:val="TableTextCentered"/>
              <w:spacing w:before="0" w:after="0"/>
            </w:pPr>
            <w:r w:rsidRPr="00797379">
              <w:t>48</w:t>
            </w:r>
          </w:p>
        </w:tc>
        <w:tc>
          <w:tcPr>
            <w:tcW w:w="289" w:type="pct"/>
            <w:vAlign w:val="center"/>
          </w:tcPr>
          <w:p w14:paraId="2AA90C8A" w14:textId="77777777" w:rsidR="007303EE" w:rsidRPr="00797379" w:rsidRDefault="007303EE" w:rsidP="00F5225F">
            <w:pPr>
              <w:pStyle w:val="TableTextCentered"/>
              <w:spacing w:before="0" w:after="0"/>
            </w:pPr>
            <w:r w:rsidRPr="00797379">
              <w:t>48</w:t>
            </w:r>
          </w:p>
        </w:tc>
        <w:tc>
          <w:tcPr>
            <w:tcW w:w="289" w:type="pct"/>
            <w:vAlign w:val="center"/>
          </w:tcPr>
          <w:p w14:paraId="3252C733" w14:textId="77777777" w:rsidR="007303EE" w:rsidRPr="00797379" w:rsidRDefault="007303EE" w:rsidP="00F5225F">
            <w:pPr>
              <w:pStyle w:val="TableTextCentered"/>
              <w:spacing w:before="0" w:after="0"/>
            </w:pPr>
            <w:r w:rsidRPr="00797379">
              <w:t>43</w:t>
            </w:r>
          </w:p>
        </w:tc>
        <w:tc>
          <w:tcPr>
            <w:tcW w:w="289" w:type="pct"/>
            <w:vAlign w:val="center"/>
          </w:tcPr>
          <w:p w14:paraId="2CB0CACB" w14:textId="77777777" w:rsidR="007303EE" w:rsidRPr="00797379" w:rsidRDefault="007303EE" w:rsidP="00F5225F">
            <w:pPr>
              <w:pStyle w:val="TableTextCentered"/>
              <w:spacing w:before="0" w:after="0"/>
            </w:pPr>
            <w:r w:rsidRPr="00797379">
              <w:t>11</w:t>
            </w:r>
          </w:p>
        </w:tc>
        <w:tc>
          <w:tcPr>
            <w:tcW w:w="289" w:type="pct"/>
            <w:vAlign w:val="center"/>
          </w:tcPr>
          <w:p w14:paraId="15608A5E" w14:textId="77777777" w:rsidR="007303EE" w:rsidRPr="00797379" w:rsidRDefault="007303EE" w:rsidP="00F5225F">
            <w:pPr>
              <w:pStyle w:val="TableTextCentered"/>
              <w:spacing w:before="0" w:after="0"/>
            </w:pPr>
            <w:r w:rsidRPr="00797379">
              <w:t>15</w:t>
            </w:r>
          </w:p>
        </w:tc>
        <w:tc>
          <w:tcPr>
            <w:tcW w:w="289" w:type="pct"/>
            <w:vAlign w:val="center"/>
          </w:tcPr>
          <w:p w14:paraId="33A8E99A" w14:textId="77777777" w:rsidR="007303EE" w:rsidRPr="00797379" w:rsidRDefault="007303EE" w:rsidP="00F5225F">
            <w:pPr>
              <w:pStyle w:val="TableTextCentered"/>
              <w:spacing w:before="0" w:after="0"/>
            </w:pPr>
            <w:r w:rsidRPr="00797379">
              <w:t>17</w:t>
            </w:r>
          </w:p>
        </w:tc>
        <w:tc>
          <w:tcPr>
            <w:tcW w:w="290" w:type="pct"/>
            <w:vAlign w:val="center"/>
          </w:tcPr>
          <w:p w14:paraId="72168E49" w14:textId="77777777" w:rsidR="007303EE" w:rsidRPr="00797379" w:rsidRDefault="007303EE" w:rsidP="00F5225F">
            <w:pPr>
              <w:pStyle w:val="TableTextCentered"/>
              <w:spacing w:before="0" w:after="0"/>
            </w:pPr>
            <w:r w:rsidRPr="00797379">
              <w:t>42</w:t>
            </w:r>
          </w:p>
        </w:tc>
      </w:tr>
    </w:tbl>
    <w:p w14:paraId="5519151A" w14:textId="77777777" w:rsidR="007303EE" w:rsidRPr="00797379" w:rsidRDefault="007303EE" w:rsidP="00901486">
      <w:pPr>
        <w:pStyle w:val="TableETitles"/>
        <w:keepLines/>
      </w:pPr>
      <w:bookmarkStart w:id="246" w:name="_Toc220933510"/>
      <w:bookmarkStart w:id="247" w:name="_Hlk138323146"/>
      <w:r w:rsidRPr="00797379">
        <w:t>Table E7. MCAS ELA Achievement by Grade, 2023-2025</w:t>
      </w:r>
      <w:bookmarkEnd w:id="246"/>
    </w:p>
    <w:tbl>
      <w:tblPr>
        <w:tblStyle w:val="MSVTable1"/>
        <w:tblW w:w="5000" w:type="pct"/>
        <w:tblLook w:val="0420" w:firstRow="1" w:lastRow="0" w:firstColumn="0" w:lastColumn="0" w:noHBand="0" w:noVBand="1"/>
      </w:tblPr>
      <w:tblGrid>
        <w:gridCol w:w="961"/>
        <w:gridCol w:w="969"/>
        <w:gridCol w:w="916"/>
        <w:gridCol w:w="919"/>
        <w:gridCol w:w="916"/>
        <w:gridCol w:w="919"/>
        <w:gridCol w:w="919"/>
        <w:gridCol w:w="919"/>
        <w:gridCol w:w="919"/>
        <w:gridCol w:w="922"/>
        <w:gridCol w:w="916"/>
        <w:gridCol w:w="919"/>
        <w:gridCol w:w="916"/>
        <w:gridCol w:w="914"/>
      </w:tblGrid>
      <w:tr w:rsidR="00B313B4" w:rsidRPr="00797379" w14:paraId="6232AEA1" w14:textId="77777777" w:rsidTr="00132A03">
        <w:trPr>
          <w:cnfStyle w:val="100000000000" w:firstRow="1" w:lastRow="0" w:firstColumn="0" w:lastColumn="0" w:oddVBand="0" w:evenVBand="0" w:oddHBand="0" w:evenHBand="0" w:firstRowFirstColumn="0" w:firstRowLastColumn="0" w:lastRowFirstColumn="0" w:lastRowLastColumn="0"/>
          <w:tblHeader/>
        </w:trPr>
        <w:tc>
          <w:tcPr>
            <w:tcW w:w="371" w:type="pct"/>
            <w:vAlign w:val="center"/>
          </w:tcPr>
          <w:p w14:paraId="3E4B5D70" w14:textId="77777777" w:rsidR="007303EE" w:rsidRPr="00797379" w:rsidRDefault="007303EE" w:rsidP="00901486">
            <w:pPr>
              <w:pStyle w:val="TableColHeadingCenter"/>
              <w:keepNext/>
              <w:keepLines/>
            </w:pPr>
            <w:r w:rsidRPr="00797379">
              <w:t>Grade</w:t>
            </w:r>
          </w:p>
        </w:tc>
        <w:tc>
          <w:tcPr>
            <w:tcW w:w="374" w:type="pct"/>
            <w:vAlign w:val="center"/>
          </w:tcPr>
          <w:p w14:paraId="6C4C671A" w14:textId="77777777" w:rsidR="007303EE" w:rsidRPr="00797379" w:rsidRDefault="007303EE" w:rsidP="00901486">
            <w:pPr>
              <w:pStyle w:val="TableColHeadingCenter"/>
              <w:keepNext/>
              <w:keepLines/>
            </w:pPr>
            <w:r w:rsidRPr="00797379">
              <w:t># Included (2025)</w:t>
            </w:r>
          </w:p>
        </w:tc>
        <w:tc>
          <w:tcPr>
            <w:tcW w:w="354" w:type="pct"/>
            <w:vAlign w:val="center"/>
          </w:tcPr>
          <w:p w14:paraId="4A1C5358" w14:textId="77777777" w:rsidR="007303EE" w:rsidRPr="00797379" w:rsidRDefault="007303EE" w:rsidP="00901486">
            <w:pPr>
              <w:pStyle w:val="TableColHeadingCenter"/>
              <w:keepNext/>
              <w:keepLines/>
            </w:pPr>
            <w:r w:rsidRPr="00797379">
              <w:t>% M/E 2023</w:t>
            </w:r>
          </w:p>
        </w:tc>
        <w:tc>
          <w:tcPr>
            <w:tcW w:w="355" w:type="pct"/>
            <w:vAlign w:val="center"/>
          </w:tcPr>
          <w:p w14:paraId="3BB63D65" w14:textId="77777777" w:rsidR="007303EE" w:rsidRPr="00797379" w:rsidRDefault="007303EE" w:rsidP="00901486">
            <w:pPr>
              <w:pStyle w:val="TableColHeadingCenter"/>
              <w:keepNext/>
              <w:keepLines/>
            </w:pPr>
            <w:r w:rsidRPr="00797379">
              <w:t>% M/E 2024</w:t>
            </w:r>
          </w:p>
        </w:tc>
        <w:tc>
          <w:tcPr>
            <w:tcW w:w="354" w:type="pct"/>
            <w:vAlign w:val="center"/>
          </w:tcPr>
          <w:p w14:paraId="595E3125" w14:textId="77777777" w:rsidR="007303EE" w:rsidRPr="00797379" w:rsidRDefault="007303EE" w:rsidP="00901486">
            <w:pPr>
              <w:pStyle w:val="TableColHeadingCenter"/>
              <w:keepNext/>
              <w:keepLines/>
            </w:pPr>
            <w:r w:rsidRPr="00797379">
              <w:t>% M/E 2025</w:t>
            </w:r>
          </w:p>
        </w:tc>
        <w:tc>
          <w:tcPr>
            <w:tcW w:w="355" w:type="pct"/>
            <w:vAlign w:val="center"/>
          </w:tcPr>
          <w:p w14:paraId="0D903009" w14:textId="77777777" w:rsidR="007303EE" w:rsidRPr="00797379" w:rsidRDefault="007303EE" w:rsidP="00901486">
            <w:pPr>
              <w:pStyle w:val="TableColHeadingCenter"/>
              <w:keepNext/>
              <w:keepLines/>
            </w:pPr>
            <w:r w:rsidRPr="00797379">
              <w:t>% M/E 2025 State</w:t>
            </w:r>
          </w:p>
        </w:tc>
        <w:tc>
          <w:tcPr>
            <w:tcW w:w="355" w:type="pct"/>
            <w:vAlign w:val="center"/>
          </w:tcPr>
          <w:p w14:paraId="6F8F89B5" w14:textId="77777777" w:rsidR="007303EE" w:rsidRPr="00797379" w:rsidRDefault="007303EE" w:rsidP="00901486">
            <w:pPr>
              <w:pStyle w:val="TableColHeadingCenter"/>
              <w:keepNext/>
              <w:keepLines/>
            </w:pPr>
            <w:r w:rsidRPr="00797379">
              <w:t>% PME 2023</w:t>
            </w:r>
          </w:p>
        </w:tc>
        <w:tc>
          <w:tcPr>
            <w:tcW w:w="355" w:type="pct"/>
            <w:vAlign w:val="center"/>
          </w:tcPr>
          <w:p w14:paraId="70A2C6AF" w14:textId="77777777" w:rsidR="007303EE" w:rsidRPr="00797379" w:rsidRDefault="007303EE" w:rsidP="00901486">
            <w:pPr>
              <w:pStyle w:val="TableColHeadingCenter"/>
              <w:keepNext/>
              <w:keepLines/>
            </w:pPr>
            <w:r w:rsidRPr="00797379">
              <w:t>% PME 2024</w:t>
            </w:r>
          </w:p>
        </w:tc>
        <w:tc>
          <w:tcPr>
            <w:tcW w:w="355" w:type="pct"/>
            <w:vAlign w:val="center"/>
          </w:tcPr>
          <w:p w14:paraId="2FAD1100" w14:textId="77777777" w:rsidR="007303EE" w:rsidRPr="00797379" w:rsidRDefault="007303EE" w:rsidP="00901486">
            <w:pPr>
              <w:pStyle w:val="TableColHeadingCenter"/>
              <w:keepNext/>
              <w:keepLines/>
            </w:pPr>
            <w:r w:rsidRPr="00797379">
              <w:t>% PME 2025</w:t>
            </w:r>
          </w:p>
        </w:tc>
        <w:tc>
          <w:tcPr>
            <w:tcW w:w="356" w:type="pct"/>
            <w:vAlign w:val="center"/>
          </w:tcPr>
          <w:p w14:paraId="1D71F65B" w14:textId="77777777" w:rsidR="007303EE" w:rsidRPr="00797379" w:rsidRDefault="007303EE" w:rsidP="00901486">
            <w:pPr>
              <w:pStyle w:val="TableColHeadingCenter"/>
              <w:keepNext/>
              <w:keepLines/>
            </w:pPr>
            <w:r w:rsidRPr="00797379">
              <w:t>% PME 2025 State</w:t>
            </w:r>
          </w:p>
        </w:tc>
        <w:tc>
          <w:tcPr>
            <w:tcW w:w="354" w:type="pct"/>
            <w:vAlign w:val="center"/>
          </w:tcPr>
          <w:p w14:paraId="3804D43B" w14:textId="77777777" w:rsidR="007303EE" w:rsidRPr="00797379" w:rsidRDefault="007303EE" w:rsidP="00901486">
            <w:pPr>
              <w:pStyle w:val="TableColHeadingCenter"/>
              <w:keepNext/>
              <w:keepLines/>
            </w:pPr>
            <w:r w:rsidRPr="00797379">
              <w:t>% NM 2023</w:t>
            </w:r>
          </w:p>
        </w:tc>
        <w:tc>
          <w:tcPr>
            <w:tcW w:w="355" w:type="pct"/>
            <w:vAlign w:val="center"/>
          </w:tcPr>
          <w:p w14:paraId="2C4EA6BD" w14:textId="77777777" w:rsidR="007303EE" w:rsidRPr="00797379" w:rsidRDefault="007303EE" w:rsidP="00901486">
            <w:pPr>
              <w:pStyle w:val="TableColHeadingCenter"/>
              <w:keepNext/>
              <w:keepLines/>
            </w:pPr>
            <w:r w:rsidRPr="00797379">
              <w:t>% NM 2024</w:t>
            </w:r>
          </w:p>
        </w:tc>
        <w:tc>
          <w:tcPr>
            <w:tcW w:w="354" w:type="pct"/>
            <w:vAlign w:val="center"/>
          </w:tcPr>
          <w:p w14:paraId="605F6930" w14:textId="77777777" w:rsidR="007303EE" w:rsidRPr="00797379" w:rsidRDefault="007303EE" w:rsidP="00901486">
            <w:pPr>
              <w:pStyle w:val="TableColHeadingCenter"/>
              <w:keepNext/>
              <w:keepLines/>
            </w:pPr>
            <w:r w:rsidRPr="00797379">
              <w:t>% NM 2025</w:t>
            </w:r>
          </w:p>
        </w:tc>
        <w:tc>
          <w:tcPr>
            <w:tcW w:w="353" w:type="pct"/>
            <w:vAlign w:val="center"/>
          </w:tcPr>
          <w:p w14:paraId="4753500C" w14:textId="77777777" w:rsidR="007303EE" w:rsidRPr="00797379" w:rsidRDefault="007303EE" w:rsidP="00901486">
            <w:pPr>
              <w:pStyle w:val="TableColHeadingCenter"/>
              <w:keepNext/>
              <w:keepLines/>
            </w:pPr>
            <w:r w:rsidRPr="00797379">
              <w:t>% NM 2025 State</w:t>
            </w:r>
          </w:p>
        </w:tc>
      </w:tr>
      <w:tr w:rsidR="00B313B4" w:rsidRPr="00797379" w14:paraId="297F7B53" w14:textId="77777777" w:rsidTr="00132A03">
        <w:trPr>
          <w:cnfStyle w:val="000000100000" w:firstRow="0" w:lastRow="0" w:firstColumn="0" w:lastColumn="0" w:oddVBand="0" w:evenVBand="0" w:oddHBand="1" w:evenHBand="0" w:firstRowFirstColumn="0" w:firstRowLastColumn="0" w:lastRowFirstColumn="0" w:lastRowLastColumn="0"/>
        </w:trPr>
        <w:tc>
          <w:tcPr>
            <w:tcW w:w="371" w:type="pct"/>
            <w:vAlign w:val="center"/>
          </w:tcPr>
          <w:p w14:paraId="4D624143" w14:textId="77777777" w:rsidR="007303EE" w:rsidRPr="0059750A" w:rsidRDefault="007303EE" w:rsidP="00132A03">
            <w:pPr>
              <w:pStyle w:val="TableSubheading"/>
              <w:keepNext/>
              <w:keepLines/>
              <w:spacing w:before="0" w:after="0"/>
              <w:jc w:val="center"/>
              <w:rPr>
                <w:rFonts w:asciiTheme="minorHAnsi" w:hAnsiTheme="minorHAnsi"/>
              </w:rPr>
            </w:pPr>
            <w:r w:rsidRPr="0059750A">
              <w:rPr>
                <w:rFonts w:asciiTheme="minorHAnsi" w:hAnsiTheme="minorHAnsi"/>
              </w:rPr>
              <w:t>3</w:t>
            </w:r>
          </w:p>
        </w:tc>
        <w:tc>
          <w:tcPr>
            <w:tcW w:w="374" w:type="pct"/>
          </w:tcPr>
          <w:p w14:paraId="4D6E7AF6" w14:textId="77777777" w:rsidR="007303EE" w:rsidRPr="00797379" w:rsidRDefault="007303EE" w:rsidP="00574147">
            <w:pPr>
              <w:pStyle w:val="TableTextCentered"/>
              <w:keepNext/>
              <w:keepLines/>
              <w:spacing w:before="0" w:after="0"/>
            </w:pPr>
            <w:r w:rsidRPr="00797379">
              <w:t>328</w:t>
            </w:r>
          </w:p>
        </w:tc>
        <w:tc>
          <w:tcPr>
            <w:tcW w:w="354" w:type="pct"/>
          </w:tcPr>
          <w:p w14:paraId="226FFE1E" w14:textId="77777777" w:rsidR="007303EE" w:rsidRPr="00797379" w:rsidRDefault="007303EE" w:rsidP="00574147">
            <w:pPr>
              <w:pStyle w:val="TableTextCentered"/>
              <w:keepNext/>
              <w:keepLines/>
              <w:spacing w:before="0" w:after="0"/>
            </w:pPr>
            <w:r w:rsidRPr="00797379">
              <w:t>67</w:t>
            </w:r>
          </w:p>
        </w:tc>
        <w:tc>
          <w:tcPr>
            <w:tcW w:w="355" w:type="pct"/>
          </w:tcPr>
          <w:p w14:paraId="3D749B11" w14:textId="77777777" w:rsidR="007303EE" w:rsidRPr="00797379" w:rsidRDefault="007303EE" w:rsidP="00574147">
            <w:pPr>
              <w:pStyle w:val="TableTextCentered"/>
              <w:keepNext/>
              <w:keepLines/>
              <w:spacing w:before="0" w:after="0"/>
            </w:pPr>
            <w:r w:rsidRPr="00797379">
              <w:t>68</w:t>
            </w:r>
          </w:p>
        </w:tc>
        <w:tc>
          <w:tcPr>
            <w:tcW w:w="354" w:type="pct"/>
          </w:tcPr>
          <w:p w14:paraId="3D6DB0AB" w14:textId="77777777" w:rsidR="007303EE" w:rsidRPr="00797379" w:rsidRDefault="007303EE" w:rsidP="00574147">
            <w:pPr>
              <w:pStyle w:val="TableTextCentered"/>
              <w:keepNext/>
              <w:keepLines/>
              <w:spacing w:before="0" w:after="0"/>
            </w:pPr>
            <w:r w:rsidRPr="00797379">
              <w:t>78</w:t>
            </w:r>
          </w:p>
        </w:tc>
        <w:tc>
          <w:tcPr>
            <w:tcW w:w="355" w:type="pct"/>
          </w:tcPr>
          <w:p w14:paraId="341F73A0" w14:textId="77777777" w:rsidR="007303EE" w:rsidRPr="00797379" w:rsidRDefault="007303EE" w:rsidP="00574147">
            <w:pPr>
              <w:pStyle w:val="TableTextCentered"/>
              <w:keepNext/>
              <w:keepLines/>
              <w:spacing w:before="0" w:after="0"/>
            </w:pPr>
            <w:r w:rsidRPr="00797379">
              <w:t>42</w:t>
            </w:r>
          </w:p>
        </w:tc>
        <w:tc>
          <w:tcPr>
            <w:tcW w:w="355" w:type="pct"/>
          </w:tcPr>
          <w:p w14:paraId="35A3A35B" w14:textId="77777777" w:rsidR="007303EE" w:rsidRPr="00797379" w:rsidRDefault="007303EE" w:rsidP="00574147">
            <w:pPr>
              <w:pStyle w:val="TableTextCentered"/>
              <w:keepNext/>
              <w:keepLines/>
              <w:spacing w:before="0" w:after="0"/>
            </w:pPr>
            <w:r w:rsidRPr="00797379">
              <w:t>30</w:t>
            </w:r>
          </w:p>
        </w:tc>
        <w:tc>
          <w:tcPr>
            <w:tcW w:w="355" w:type="pct"/>
          </w:tcPr>
          <w:p w14:paraId="61BEB8EB" w14:textId="77777777" w:rsidR="007303EE" w:rsidRPr="00797379" w:rsidRDefault="007303EE" w:rsidP="00574147">
            <w:pPr>
              <w:pStyle w:val="TableTextCentered"/>
              <w:keepNext/>
              <w:keepLines/>
              <w:spacing w:before="0" w:after="0"/>
            </w:pPr>
            <w:r w:rsidRPr="00797379">
              <w:t>28</w:t>
            </w:r>
          </w:p>
        </w:tc>
        <w:tc>
          <w:tcPr>
            <w:tcW w:w="355" w:type="pct"/>
          </w:tcPr>
          <w:p w14:paraId="6CC8E78F" w14:textId="77777777" w:rsidR="007303EE" w:rsidRPr="00797379" w:rsidRDefault="007303EE" w:rsidP="00574147">
            <w:pPr>
              <w:pStyle w:val="TableTextCentered"/>
              <w:keepNext/>
              <w:keepLines/>
              <w:spacing w:before="0" w:after="0"/>
            </w:pPr>
            <w:r w:rsidRPr="00797379">
              <w:t>19</w:t>
            </w:r>
          </w:p>
        </w:tc>
        <w:tc>
          <w:tcPr>
            <w:tcW w:w="356" w:type="pct"/>
          </w:tcPr>
          <w:p w14:paraId="72685122" w14:textId="77777777" w:rsidR="007303EE" w:rsidRPr="00797379" w:rsidRDefault="007303EE" w:rsidP="00574147">
            <w:pPr>
              <w:pStyle w:val="TableTextCentered"/>
              <w:keepNext/>
              <w:keepLines/>
              <w:spacing w:before="0" w:after="0"/>
            </w:pPr>
            <w:r w:rsidRPr="00797379">
              <w:t>39</w:t>
            </w:r>
          </w:p>
        </w:tc>
        <w:tc>
          <w:tcPr>
            <w:tcW w:w="354" w:type="pct"/>
          </w:tcPr>
          <w:p w14:paraId="26FD6CAE" w14:textId="77777777" w:rsidR="007303EE" w:rsidRPr="00797379" w:rsidRDefault="007303EE" w:rsidP="00574147">
            <w:pPr>
              <w:pStyle w:val="TableTextCentered"/>
              <w:keepNext/>
              <w:keepLines/>
              <w:spacing w:before="0" w:after="0"/>
            </w:pPr>
            <w:r w:rsidRPr="00797379">
              <w:t>4</w:t>
            </w:r>
          </w:p>
        </w:tc>
        <w:tc>
          <w:tcPr>
            <w:tcW w:w="355" w:type="pct"/>
          </w:tcPr>
          <w:p w14:paraId="633F1544" w14:textId="77777777" w:rsidR="007303EE" w:rsidRPr="00797379" w:rsidRDefault="007303EE" w:rsidP="00574147">
            <w:pPr>
              <w:pStyle w:val="TableTextCentered"/>
              <w:keepNext/>
              <w:keepLines/>
              <w:spacing w:before="0" w:after="0"/>
            </w:pPr>
            <w:r w:rsidRPr="00797379">
              <w:t>4</w:t>
            </w:r>
          </w:p>
        </w:tc>
        <w:tc>
          <w:tcPr>
            <w:tcW w:w="354" w:type="pct"/>
          </w:tcPr>
          <w:p w14:paraId="061FCB8A" w14:textId="77777777" w:rsidR="007303EE" w:rsidRPr="00797379" w:rsidRDefault="007303EE" w:rsidP="00574147">
            <w:pPr>
              <w:pStyle w:val="TableTextCentered"/>
              <w:keepNext/>
              <w:keepLines/>
              <w:spacing w:before="0" w:after="0"/>
            </w:pPr>
            <w:r w:rsidRPr="00797379">
              <w:t>3</w:t>
            </w:r>
          </w:p>
        </w:tc>
        <w:tc>
          <w:tcPr>
            <w:tcW w:w="353" w:type="pct"/>
          </w:tcPr>
          <w:p w14:paraId="0CD02DF3" w14:textId="77777777" w:rsidR="007303EE" w:rsidRPr="00797379" w:rsidRDefault="007303EE" w:rsidP="00574147">
            <w:pPr>
              <w:pStyle w:val="TableTextCentered"/>
              <w:keepNext/>
              <w:keepLines/>
              <w:spacing w:before="0" w:after="0"/>
            </w:pPr>
            <w:r w:rsidRPr="00797379">
              <w:t>19</w:t>
            </w:r>
          </w:p>
        </w:tc>
      </w:tr>
      <w:tr w:rsidR="00B313B4" w:rsidRPr="00797379" w14:paraId="5261493E" w14:textId="77777777" w:rsidTr="00132A03">
        <w:tc>
          <w:tcPr>
            <w:tcW w:w="371" w:type="pct"/>
            <w:vAlign w:val="center"/>
          </w:tcPr>
          <w:p w14:paraId="1AAAF3E6" w14:textId="77777777" w:rsidR="007303EE" w:rsidRPr="0059750A" w:rsidRDefault="007303EE" w:rsidP="00132A03">
            <w:pPr>
              <w:pStyle w:val="TableSubheading"/>
              <w:keepNext/>
              <w:keepLines/>
              <w:spacing w:before="0" w:after="0"/>
              <w:jc w:val="center"/>
              <w:rPr>
                <w:rFonts w:asciiTheme="minorHAnsi" w:hAnsiTheme="minorHAnsi"/>
              </w:rPr>
            </w:pPr>
            <w:r w:rsidRPr="0059750A">
              <w:rPr>
                <w:rFonts w:asciiTheme="minorHAnsi" w:hAnsiTheme="minorHAnsi"/>
              </w:rPr>
              <w:t>4</w:t>
            </w:r>
          </w:p>
        </w:tc>
        <w:tc>
          <w:tcPr>
            <w:tcW w:w="374" w:type="pct"/>
          </w:tcPr>
          <w:p w14:paraId="2B5B82BE" w14:textId="77777777" w:rsidR="007303EE" w:rsidRPr="00797379" w:rsidRDefault="007303EE" w:rsidP="00574147">
            <w:pPr>
              <w:pStyle w:val="TableTextCentered"/>
              <w:keepNext/>
              <w:keepLines/>
              <w:spacing w:before="0" w:after="0"/>
            </w:pPr>
            <w:r w:rsidRPr="00797379">
              <w:t>297</w:t>
            </w:r>
          </w:p>
        </w:tc>
        <w:tc>
          <w:tcPr>
            <w:tcW w:w="354" w:type="pct"/>
          </w:tcPr>
          <w:p w14:paraId="70B371BC" w14:textId="77777777" w:rsidR="007303EE" w:rsidRPr="00797379" w:rsidRDefault="007303EE" w:rsidP="00574147">
            <w:pPr>
              <w:pStyle w:val="TableTextCentered"/>
              <w:keepNext/>
              <w:keepLines/>
              <w:spacing w:before="0" w:after="0"/>
            </w:pPr>
            <w:r w:rsidRPr="00797379">
              <w:t>64</w:t>
            </w:r>
          </w:p>
        </w:tc>
        <w:tc>
          <w:tcPr>
            <w:tcW w:w="355" w:type="pct"/>
          </w:tcPr>
          <w:p w14:paraId="2F1F3AC6" w14:textId="77777777" w:rsidR="007303EE" w:rsidRPr="00797379" w:rsidRDefault="007303EE" w:rsidP="00574147">
            <w:pPr>
              <w:pStyle w:val="TableTextCentered"/>
              <w:keepNext/>
              <w:keepLines/>
              <w:spacing w:before="0" w:after="0"/>
            </w:pPr>
            <w:r w:rsidRPr="00797379">
              <w:t>56</w:t>
            </w:r>
          </w:p>
        </w:tc>
        <w:tc>
          <w:tcPr>
            <w:tcW w:w="354" w:type="pct"/>
          </w:tcPr>
          <w:p w14:paraId="5C1E92F9" w14:textId="77777777" w:rsidR="007303EE" w:rsidRPr="00797379" w:rsidRDefault="007303EE" w:rsidP="00574147">
            <w:pPr>
              <w:pStyle w:val="TableTextCentered"/>
              <w:keepNext/>
              <w:keepLines/>
              <w:spacing w:before="0" w:after="0"/>
            </w:pPr>
            <w:r w:rsidRPr="00797379">
              <w:t>70</w:t>
            </w:r>
          </w:p>
        </w:tc>
        <w:tc>
          <w:tcPr>
            <w:tcW w:w="355" w:type="pct"/>
          </w:tcPr>
          <w:p w14:paraId="1BF93A85" w14:textId="77777777" w:rsidR="007303EE" w:rsidRPr="00797379" w:rsidRDefault="007303EE" w:rsidP="00574147">
            <w:pPr>
              <w:pStyle w:val="TableTextCentered"/>
              <w:keepNext/>
              <w:keepLines/>
              <w:spacing w:before="0" w:after="0"/>
            </w:pPr>
            <w:r w:rsidRPr="00797379">
              <w:t>40</w:t>
            </w:r>
          </w:p>
        </w:tc>
        <w:tc>
          <w:tcPr>
            <w:tcW w:w="355" w:type="pct"/>
          </w:tcPr>
          <w:p w14:paraId="4346AE8C" w14:textId="77777777" w:rsidR="007303EE" w:rsidRPr="00797379" w:rsidRDefault="007303EE" w:rsidP="00574147">
            <w:pPr>
              <w:pStyle w:val="TableTextCentered"/>
              <w:keepNext/>
              <w:keepLines/>
              <w:spacing w:before="0" w:after="0"/>
            </w:pPr>
            <w:r w:rsidRPr="00797379">
              <w:t>31</w:t>
            </w:r>
          </w:p>
        </w:tc>
        <w:tc>
          <w:tcPr>
            <w:tcW w:w="355" w:type="pct"/>
          </w:tcPr>
          <w:p w14:paraId="09A30D79" w14:textId="77777777" w:rsidR="007303EE" w:rsidRPr="00797379" w:rsidRDefault="007303EE" w:rsidP="00574147">
            <w:pPr>
              <w:pStyle w:val="TableTextCentered"/>
              <w:keepNext/>
              <w:keepLines/>
              <w:spacing w:before="0" w:after="0"/>
            </w:pPr>
            <w:r w:rsidRPr="00797379">
              <w:t>38</w:t>
            </w:r>
          </w:p>
        </w:tc>
        <w:tc>
          <w:tcPr>
            <w:tcW w:w="355" w:type="pct"/>
          </w:tcPr>
          <w:p w14:paraId="4F48A1EA" w14:textId="77777777" w:rsidR="007303EE" w:rsidRPr="00797379" w:rsidRDefault="007303EE" w:rsidP="00574147">
            <w:pPr>
              <w:pStyle w:val="TableTextCentered"/>
              <w:keepNext/>
              <w:keepLines/>
              <w:spacing w:before="0" w:after="0"/>
            </w:pPr>
            <w:r w:rsidRPr="00797379">
              <w:t>25</w:t>
            </w:r>
          </w:p>
        </w:tc>
        <w:tc>
          <w:tcPr>
            <w:tcW w:w="356" w:type="pct"/>
          </w:tcPr>
          <w:p w14:paraId="3078685F" w14:textId="77777777" w:rsidR="007303EE" w:rsidRPr="00797379" w:rsidRDefault="007303EE" w:rsidP="00574147">
            <w:pPr>
              <w:pStyle w:val="TableTextCentered"/>
              <w:keepNext/>
              <w:keepLines/>
              <w:spacing w:before="0" w:after="0"/>
            </w:pPr>
            <w:r w:rsidRPr="00797379">
              <w:t>41</w:t>
            </w:r>
          </w:p>
        </w:tc>
        <w:tc>
          <w:tcPr>
            <w:tcW w:w="354" w:type="pct"/>
          </w:tcPr>
          <w:p w14:paraId="1648E09A" w14:textId="77777777" w:rsidR="007303EE" w:rsidRPr="00797379" w:rsidRDefault="007303EE" w:rsidP="00574147">
            <w:pPr>
              <w:pStyle w:val="TableTextCentered"/>
              <w:keepNext/>
              <w:keepLines/>
              <w:spacing w:before="0" w:after="0"/>
            </w:pPr>
            <w:r w:rsidRPr="00797379">
              <w:t>5</w:t>
            </w:r>
          </w:p>
        </w:tc>
        <w:tc>
          <w:tcPr>
            <w:tcW w:w="355" w:type="pct"/>
          </w:tcPr>
          <w:p w14:paraId="04DD307E" w14:textId="77777777" w:rsidR="007303EE" w:rsidRPr="00797379" w:rsidRDefault="007303EE" w:rsidP="00574147">
            <w:pPr>
              <w:pStyle w:val="TableTextCentered"/>
              <w:keepNext/>
              <w:keepLines/>
              <w:spacing w:before="0" w:after="0"/>
            </w:pPr>
            <w:r w:rsidRPr="00797379">
              <w:t>6</w:t>
            </w:r>
          </w:p>
        </w:tc>
        <w:tc>
          <w:tcPr>
            <w:tcW w:w="354" w:type="pct"/>
          </w:tcPr>
          <w:p w14:paraId="3499FC42" w14:textId="77777777" w:rsidR="007303EE" w:rsidRPr="00797379" w:rsidRDefault="007303EE" w:rsidP="00574147">
            <w:pPr>
              <w:pStyle w:val="TableTextCentered"/>
              <w:keepNext/>
              <w:keepLines/>
              <w:spacing w:before="0" w:after="0"/>
            </w:pPr>
            <w:r w:rsidRPr="00797379">
              <w:t>5</w:t>
            </w:r>
          </w:p>
        </w:tc>
        <w:tc>
          <w:tcPr>
            <w:tcW w:w="353" w:type="pct"/>
          </w:tcPr>
          <w:p w14:paraId="126F4972" w14:textId="77777777" w:rsidR="007303EE" w:rsidRPr="00797379" w:rsidRDefault="007303EE" w:rsidP="00574147">
            <w:pPr>
              <w:pStyle w:val="TableTextCentered"/>
              <w:keepNext/>
              <w:keepLines/>
              <w:spacing w:before="0" w:after="0"/>
            </w:pPr>
            <w:r w:rsidRPr="00797379">
              <w:t>19</w:t>
            </w:r>
          </w:p>
        </w:tc>
      </w:tr>
      <w:tr w:rsidR="00B313B4" w:rsidRPr="00797379" w14:paraId="24CBB4E9" w14:textId="77777777" w:rsidTr="00132A03">
        <w:trPr>
          <w:cnfStyle w:val="000000100000" w:firstRow="0" w:lastRow="0" w:firstColumn="0" w:lastColumn="0" w:oddVBand="0" w:evenVBand="0" w:oddHBand="1" w:evenHBand="0" w:firstRowFirstColumn="0" w:firstRowLastColumn="0" w:lastRowFirstColumn="0" w:lastRowLastColumn="0"/>
        </w:trPr>
        <w:tc>
          <w:tcPr>
            <w:tcW w:w="371" w:type="pct"/>
            <w:vAlign w:val="center"/>
          </w:tcPr>
          <w:p w14:paraId="7943BD84" w14:textId="77777777" w:rsidR="007303EE" w:rsidRPr="0059750A" w:rsidRDefault="007303EE" w:rsidP="00132A03">
            <w:pPr>
              <w:pStyle w:val="TableSubheading"/>
              <w:keepNext/>
              <w:keepLines/>
              <w:spacing w:before="0" w:after="0"/>
              <w:jc w:val="center"/>
              <w:rPr>
                <w:rFonts w:asciiTheme="minorHAnsi" w:hAnsiTheme="minorHAnsi"/>
              </w:rPr>
            </w:pPr>
            <w:r w:rsidRPr="0059750A">
              <w:rPr>
                <w:rFonts w:asciiTheme="minorHAnsi" w:hAnsiTheme="minorHAnsi"/>
              </w:rPr>
              <w:t>5</w:t>
            </w:r>
          </w:p>
        </w:tc>
        <w:tc>
          <w:tcPr>
            <w:tcW w:w="374" w:type="pct"/>
          </w:tcPr>
          <w:p w14:paraId="36CA63AB" w14:textId="77777777" w:rsidR="007303EE" w:rsidRPr="00797379" w:rsidRDefault="007303EE" w:rsidP="00574147">
            <w:pPr>
              <w:pStyle w:val="TableTextCentered"/>
              <w:keepNext/>
              <w:keepLines/>
              <w:spacing w:before="0" w:after="0"/>
            </w:pPr>
            <w:r w:rsidRPr="00797379">
              <w:t>377</w:t>
            </w:r>
          </w:p>
        </w:tc>
        <w:tc>
          <w:tcPr>
            <w:tcW w:w="354" w:type="pct"/>
          </w:tcPr>
          <w:p w14:paraId="0D5E748F" w14:textId="77777777" w:rsidR="007303EE" w:rsidRPr="00797379" w:rsidRDefault="007303EE" w:rsidP="00574147">
            <w:pPr>
              <w:pStyle w:val="TableTextCentered"/>
              <w:keepNext/>
              <w:keepLines/>
              <w:spacing w:before="0" w:after="0"/>
            </w:pPr>
            <w:r w:rsidRPr="00797379">
              <w:t>73</w:t>
            </w:r>
          </w:p>
        </w:tc>
        <w:tc>
          <w:tcPr>
            <w:tcW w:w="355" w:type="pct"/>
          </w:tcPr>
          <w:p w14:paraId="7BAA58D4" w14:textId="77777777" w:rsidR="007303EE" w:rsidRPr="00797379" w:rsidRDefault="007303EE" w:rsidP="00574147">
            <w:pPr>
              <w:pStyle w:val="TableTextCentered"/>
              <w:keepNext/>
              <w:keepLines/>
              <w:spacing w:before="0" w:after="0"/>
            </w:pPr>
            <w:r w:rsidRPr="00797379">
              <w:t>71</w:t>
            </w:r>
          </w:p>
        </w:tc>
        <w:tc>
          <w:tcPr>
            <w:tcW w:w="354" w:type="pct"/>
          </w:tcPr>
          <w:p w14:paraId="511EB6C6" w14:textId="77777777" w:rsidR="007303EE" w:rsidRPr="00797379" w:rsidRDefault="007303EE" w:rsidP="00574147">
            <w:pPr>
              <w:pStyle w:val="TableTextCentered"/>
              <w:keepNext/>
              <w:keepLines/>
              <w:spacing w:before="0" w:after="0"/>
            </w:pPr>
            <w:r w:rsidRPr="00797379">
              <w:t>66</w:t>
            </w:r>
          </w:p>
        </w:tc>
        <w:tc>
          <w:tcPr>
            <w:tcW w:w="355" w:type="pct"/>
          </w:tcPr>
          <w:p w14:paraId="2256AA37" w14:textId="77777777" w:rsidR="007303EE" w:rsidRPr="00797379" w:rsidRDefault="007303EE" w:rsidP="00574147">
            <w:pPr>
              <w:pStyle w:val="TableTextCentered"/>
              <w:keepNext/>
              <w:keepLines/>
              <w:spacing w:before="0" w:after="0"/>
            </w:pPr>
            <w:r w:rsidRPr="00797379">
              <w:t>38</w:t>
            </w:r>
          </w:p>
        </w:tc>
        <w:tc>
          <w:tcPr>
            <w:tcW w:w="355" w:type="pct"/>
          </w:tcPr>
          <w:p w14:paraId="71CCC31D" w14:textId="77777777" w:rsidR="007303EE" w:rsidRPr="00797379" w:rsidRDefault="007303EE" w:rsidP="00574147">
            <w:pPr>
              <w:pStyle w:val="TableTextCentered"/>
              <w:keepNext/>
              <w:keepLines/>
              <w:spacing w:before="0" w:after="0"/>
            </w:pPr>
            <w:r w:rsidRPr="00797379">
              <w:t>23</w:t>
            </w:r>
          </w:p>
        </w:tc>
        <w:tc>
          <w:tcPr>
            <w:tcW w:w="355" w:type="pct"/>
          </w:tcPr>
          <w:p w14:paraId="57662625" w14:textId="77777777" w:rsidR="007303EE" w:rsidRPr="00797379" w:rsidRDefault="007303EE" w:rsidP="00574147">
            <w:pPr>
              <w:pStyle w:val="TableTextCentered"/>
              <w:keepNext/>
              <w:keepLines/>
              <w:spacing w:before="0" w:after="0"/>
            </w:pPr>
            <w:r w:rsidRPr="00797379">
              <w:t>25</w:t>
            </w:r>
          </w:p>
        </w:tc>
        <w:tc>
          <w:tcPr>
            <w:tcW w:w="355" w:type="pct"/>
          </w:tcPr>
          <w:p w14:paraId="04D247F7" w14:textId="77777777" w:rsidR="007303EE" w:rsidRPr="00797379" w:rsidRDefault="007303EE" w:rsidP="00574147">
            <w:pPr>
              <w:pStyle w:val="TableTextCentered"/>
              <w:keepNext/>
              <w:keepLines/>
              <w:spacing w:before="0" w:after="0"/>
            </w:pPr>
            <w:r w:rsidRPr="00797379">
              <w:t>31</w:t>
            </w:r>
          </w:p>
        </w:tc>
        <w:tc>
          <w:tcPr>
            <w:tcW w:w="356" w:type="pct"/>
          </w:tcPr>
          <w:p w14:paraId="121F7F23" w14:textId="77777777" w:rsidR="007303EE" w:rsidRPr="00797379" w:rsidRDefault="007303EE" w:rsidP="00574147">
            <w:pPr>
              <w:pStyle w:val="TableTextCentered"/>
              <w:keepNext/>
              <w:keepLines/>
              <w:spacing w:before="0" w:after="0"/>
            </w:pPr>
            <w:r w:rsidRPr="00797379">
              <w:t>47</w:t>
            </w:r>
          </w:p>
        </w:tc>
        <w:tc>
          <w:tcPr>
            <w:tcW w:w="354" w:type="pct"/>
          </w:tcPr>
          <w:p w14:paraId="5D5D223A" w14:textId="77777777" w:rsidR="007303EE" w:rsidRPr="00797379" w:rsidRDefault="007303EE" w:rsidP="00574147">
            <w:pPr>
              <w:pStyle w:val="TableTextCentered"/>
              <w:keepNext/>
              <w:keepLines/>
              <w:spacing w:before="0" w:after="0"/>
            </w:pPr>
            <w:r w:rsidRPr="00797379">
              <w:t>3</w:t>
            </w:r>
          </w:p>
        </w:tc>
        <w:tc>
          <w:tcPr>
            <w:tcW w:w="355" w:type="pct"/>
          </w:tcPr>
          <w:p w14:paraId="58F6F3F8" w14:textId="77777777" w:rsidR="007303EE" w:rsidRPr="00797379" w:rsidRDefault="007303EE" w:rsidP="00574147">
            <w:pPr>
              <w:pStyle w:val="TableTextCentered"/>
              <w:keepNext/>
              <w:keepLines/>
              <w:spacing w:before="0" w:after="0"/>
            </w:pPr>
            <w:r w:rsidRPr="00797379">
              <w:t>4</w:t>
            </w:r>
          </w:p>
        </w:tc>
        <w:tc>
          <w:tcPr>
            <w:tcW w:w="354" w:type="pct"/>
          </w:tcPr>
          <w:p w14:paraId="14FA5653" w14:textId="77777777" w:rsidR="007303EE" w:rsidRPr="00797379" w:rsidRDefault="007303EE" w:rsidP="00574147">
            <w:pPr>
              <w:pStyle w:val="TableTextCentered"/>
              <w:keepNext/>
              <w:keepLines/>
              <w:spacing w:before="0" w:after="0"/>
            </w:pPr>
            <w:r w:rsidRPr="00797379">
              <w:t>3</w:t>
            </w:r>
          </w:p>
        </w:tc>
        <w:tc>
          <w:tcPr>
            <w:tcW w:w="353" w:type="pct"/>
          </w:tcPr>
          <w:p w14:paraId="62CE70D6" w14:textId="77777777" w:rsidR="007303EE" w:rsidRPr="00797379" w:rsidRDefault="007303EE" w:rsidP="00574147">
            <w:pPr>
              <w:pStyle w:val="TableTextCentered"/>
              <w:keepNext/>
              <w:keepLines/>
              <w:spacing w:before="0" w:after="0"/>
            </w:pPr>
            <w:r w:rsidRPr="00797379">
              <w:t>15</w:t>
            </w:r>
          </w:p>
        </w:tc>
      </w:tr>
      <w:tr w:rsidR="00B313B4" w:rsidRPr="00797379" w14:paraId="22E9F9CA" w14:textId="77777777" w:rsidTr="00132A03">
        <w:tc>
          <w:tcPr>
            <w:tcW w:w="371" w:type="pct"/>
            <w:vAlign w:val="center"/>
          </w:tcPr>
          <w:p w14:paraId="35E80917" w14:textId="77777777" w:rsidR="007303EE" w:rsidRPr="0059750A" w:rsidRDefault="007303EE" w:rsidP="00132A03">
            <w:pPr>
              <w:pStyle w:val="TableSubheading"/>
              <w:keepNext/>
              <w:keepLines/>
              <w:spacing w:before="0" w:after="0"/>
              <w:jc w:val="center"/>
              <w:rPr>
                <w:rFonts w:asciiTheme="minorHAnsi" w:hAnsiTheme="minorHAnsi"/>
              </w:rPr>
            </w:pPr>
            <w:r w:rsidRPr="0059750A">
              <w:rPr>
                <w:rFonts w:asciiTheme="minorHAnsi" w:hAnsiTheme="minorHAnsi"/>
              </w:rPr>
              <w:t>6</w:t>
            </w:r>
          </w:p>
        </w:tc>
        <w:tc>
          <w:tcPr>
            <w:tcW w:w="374" w:type="pct"/>
          </w:tcPr>
          <w:p w14:paraId="21B184E9" w14:textId="77777777" w:rsidR="007303EE" w:rsidRPr="00797379" w:rsidRDefault="007303EE" w:rsidP="00574147">
            <w:pPr>
              <w:pStyle w:val="TableTextCentered"/>
              <w:keepNext/>
              <w:keepLines/>
              <w:spacing w:before="0" w:after="0"/>
            </w:pPr>
            <w:r w:rsidRPr="00797379">
              <w:t>344</w:t>
            </w:r>
          </w:p>
        </w:tc>
        <w:tc>
          <w:tcPr>
            <w:tcW w:w="354" w:type="pct"/>
          </w:tcPr>
          <w:p w14:paraId="3244920C" w14:textId="77777777" w:rsidR="007303EE" w:rsidRPr="00797379" w:rsidRDefault="007303EE" w:rsidP="00574147">
            <w:pPr>
              <w:pStyle w:val="TableTextCentered"/>
              <w:keepNext/>
              <w:keepLines/>
              <w:spacing w:before="0" w:after="0"/>
            </w:pPr>
            <w:r w:rsidRPr="00797379">
              <w:t>64</w:t>
            </w:r>
          </w:p>
        </w:tc>
        <w:tc>
          <w:tcPr>
            <w:tcW w:w="355" w:type="pct"/>
          </w:tcPr>
          <w:p w14:paraId="0BA3A111" w14:textId="77777777" w:rsidR="007303EE" w:rsidRPr="00797379" w:rsidRDefault="007303EE" w:rsidP="00574147">
            <w:pPr>
              <w:pStyle w:val="TableTextCentered"/>
              <w:keepNext/>
              <w:keepLines/>
              <w:spacing w:before="0" w:after="0"/>
            </w:pPr>
            <w:r w:rsidRPr="00797379">
              <w:t>62</w:t>
            </w:r>
          </w:p>
        </w:tc>
        <w:tc>
          <w:tcPr>
            <w:tcW w:w="354" w:type="pct"/>
          </w:tcPr>
          <w:p w14:paraId="1F66C053" w14:textId="77777777" w:rsidR="007303EE" w:rsidRPr="00797379" w:rsidRDefault="007303EE" w:rsidP="00574147">
            <w:pPr>
              <w:pStyle w:val="TableTextCentered"/>
              <w:keepNext/>
              <w:keepLines/>
              <w:spacing w:before="0" w:after="0"/>
            </w:pPr>
            <w:r w:rsidRPr="00797379">
              <w:t>64</w:t>
            </w:r>
          </w:p>
        </w:tc>
        <w:tc>
          <w:tcPr>
            <w:tcW w:w="355" w:type="pct"/>
          </w:tcPr>
          <w:p w14:paraId="43ECFE01" w14:textId="77777777" w:rsidR="007303EE" w:rsidRPr="00797379" w:rsidRDefault="007303EE" w:rsidP="00574147">
            <w:pPr>
              <w:pStyle w:val="TableTextCentered"/>
              <w:keepNext/>
              <w:keepLines/>
              <w:spacing w:before="0" w:after="0"/>
            </w:pPr>
            <w:r w:rsidRPr="00797379">
              <w:t>42</w:t>
            </w:r>
          </w:p>
        </w:tc>
        <w:tc>
          <w:tcPr>
            <w:tcW w:w="355" w:type="pct"/>
          </w:tcPr>
          <w:p w14:paraId="75D93BA2" w14:textId="77777777" w:rsidR="007303EE" w:rsidRPr="00797379" w:rsidRDefault="007303EE" w:rsidP="00574147">
            <w:pPr>
              <w:pStyle w:val="TableTextCentered"/>
              <w:keepNext/>
              <w:keepLines/>
              <w:spacing w:before="0" w:after="0"/>
            </w:pPr>
            <w:r w:rsidRPr="00797379">
              <w:t>29</w:t>
            </w:r>
          </w:p>
        </w:tc>
        <w:tc>
          <w:tcPr>
            <w:tcW w:w="355" w:type="pct"/>
          </w:tcPr>
          <w:p w14:paraId="29D1BCCD" w14:textId="77777777" w:rsidR="007303EE" w:rsidRPr="00797379" w:rsidRDefault="007303EE" w:rsidP="00574147">
            <w:pPr>
              <w:pStyle w:val="TableTextCentered"/>
              <w:keepNext/>
              <w:keepLines/>
              <w:spacing w:before="0" w:after="0"/>
            </w:pPr>
            <w:r w:rsidRPr="00797379">
              <w:t>31</w:t>
            </w:r>
          </w:p>
        </w:tc>
        <w:tc>
          <w:tcPr>
            <w:tcW w:w="355" w:type="pct"/>
          </w:tcPr>
          <w:p w14:paraId="6E44BD31" w14:textId="77777777" w:rsidR="007303EE" w:rsidRPr="00797379" w:rsidRDefault="007303EE" w:rsidP="00574147">
            <w:pPr>
              <w:pStyle w:val="TableTextCentered"/>
              <w:keepNext/>
              <w:keepLines/>
              <w:spacing w:before="0" w:after="0"/>
            </w:pPr>
            <w:r w:rsidRPr="00797379">
              <w:t>27</w:t>
            </w:r>
          </w:p>
        </w:tc>
        <w:tc>
          <w:tcPr>
            <w:tcW w:w="356" w:type="pct"/>
          </w:tcPr>
          <w:p w14:paraId="5E1AEDE5" w14:textId="77777777" w:rsidR="007303EE" w:rsidRPr="00797379" w:rsidRDefault="007303EE" w:rsidP="00574147">
            <w:pPr>
              <w:pStyle w:val="TableTextCentered"/>
              <w:keepNext/>
              <w:keepLines/>
              <w:spacing w:before="0" w:after="0"/>
            </w:pPr>
            <w:r w:rsidRPr="00797379">
              <w:t>36</w:t>
            </w:r>
          </w:p>
        </w:tc>
        <w:tc>
          <w:tcPr>
            <w:tcW w:w="354" w:type="pct"/>
          </w:tcPr>
          <w:p w14:paraId="4A255603" w14:textId="77777777" w:rsidR="007303EE" w:rsidRPr="00797379" w:rsidRDefault="007303EE" w:rsidP="00574147">
            <w:pPr>
              <w:pStyle w:val="TableTextCentered"/>
              <w:keepNext/>
              <w:keepLines/>
              <w:spacing w:before="0" w:after="0"/>
            </w:pPr>
            <w:r w:rsidRPr="00797379">
              <w:t>7</w:t>
            </w:r>
          </w:p>
        </w:tc>
        <w:tc>
          <w:tcPr>
            <w:tcW w:w="355" w:type="pct"/>
          </w:tcPr>
          <w:p w14:paraId="1561998B" w14:textId="77777777" w:rsidR="007303EE" w:rsidRPr="00797379" w:rsidRDefault="007303EE" w:rsidP="00574147">
            <w:pPr>
              <w:pStyle w:val="TableTextCentered"/>
              <w:keepNext/>
              <w:keepLines/>
              <w:spacing w:before="0" w:after="0"/>
            </w:pPr>
            <w:r w:rsidRPr="00797379">
              <w:t>7</w:t>
            </w:r>
          </w:p>
        </w:tc>
        <w:tc>
          <w:tcPr>
            <w:tcW w:w="354" w:type="pct"/>
          </w:tcPr>
          <w:p w14:paraId="5C4C24EA" w14:textId="77777777" w:rsidR="007303EE" w:rsidRPr="00797379" w:rsidRDefault="007303EE" w:rsidP="00574147">
            <w:pPr>
              <w:pStyle w:val="TableTextCentered"/>
              <w:keepNext/>
              <w:keepLines/>
              <w:spacing w:before="0" w:after="0"/>
            </w:pPr>
            <w:r w:rsidRPr="00797379">
              <w:t>9</w:t>
            </w:r>
          </w:p>
        </w:tc>
        <w:tc>
          <w:tcPr>
            <w:tcW w:w="353" w:type="pct"/>
          </w:tcPr>
          <w:p w14:paraId="7031006B" w14:textId="77777777" w:rsidR="007303EE" w:rsidRPr="00797379" w:rsidRDefault="007303EE" w:rsidP="00574147">
            <w:pPr>
              <w:pStyle w:val="TableTextCentered"/>
              <w:keepNext/>
              <w:keepLines/>
              <w:spacing w:before="0" w:after="0"/>
            </w:pPr>
            <w:r w:rsidRPr="00797379">
              <w:t>22</w:t>
            </w:r>
          </w:p>
        </w:tc>
      </w:tr>
      <w:tr w:rsidR="00B313B4" w:rsidRPr="00797379" w14:paraId="639CB0EC" w14:textId="77777777" w:rsidTr="00132A03">
        <w:trPr>
          <w:cnfStyle w:val="000000100000" w:firstRow="0" w:lastRow="0" w:firstColumn="0" w:lastColumn="0" w:oddVBand="0" w:evenVBand="0" w:oddHBand="1" w:evenHBand="0" w:firstRowFirstColumn="0" w:firstRowLastColumn="0" w:lastRowFirstColumn="0" w:lastRowLastColumn="0"/>
        </w:trPr>
        <w:tc>
          <w:tcPr>
            <w:tcW w:w="371" w:type="pct"/>
            <w:vAlign w:val="center"/>
          </w:tcPr>
          <w:p w14:paraId="05208A09" w14:textId="77777777" w:rsidR="007303EE" w:rsidRPr="0059750A" w:rsidRDefault="007303EE" w:rsidP="00132A03">
            <w:pPr>
              <w:pStyle w:val="TableSubheading"/>
              <w:spacing w:before="0" w:after="0"/>
              <w:jc w:val="center"/>
              <w:rPr>
                <w:rFonts w:asciiTheme="minorHAnsi" w:hAnsiTheme="minorHAnsi"/>
              </w:rPr>
            </w:pPr>
            <w:r w:rsidRPr="0059750A">
              <w:rPr>
                <w:rFonts w:asciiTheme="minorHAnsi" w:hAnsiTheme="minorHAnsi"/>
              </w:rPr>
              <w:t>7</w:t>
            </w:r>
          </w:p>
        </w:tc>
        <w:tc>
          <w:tcPr>
            <w:tcW w:w="374" w:type="pct"/>
          </w:tcPr>
          <w:p w14:paraId="4C5C31F7" w14:textId="77777777" w:rsidR="007303EE" w:rsidRPr="00797379" w:rsidRDefault="007303EE" w:rsidP="00574147">
            <w:pPr>
              <w:pStyle w:val="TableTextCentered"/>
              <w:spacing w:before="0" w:after="0"/>
            </w:pPr>
            <w:r w:rsidRPr="00797379">
              <w:t>337</w:t>
            </w:r>
          </w:p>
        </w:tc>
        <w:tc>
          <w:tcPr>
            <w:tcW w:w="354" w:type="pct"/>
          </w:tcPr>
          <w:p w14:paraId="07F5C180" w14:textId="77777777" w:rsidR="007303EE" w:rsidRPr="00797379" w:rsidRDefault="007303EE" w:rsidP="00574147">
            <w:pPr>
              <w:pStyle w:val="TableTextCentered"/>
              <w:spacing w:before="0" w:after="0"/>
            </w:pPr>
            <w:r w:rsidRPr="00797379">
              <w:t>67</w:t>
            </w:r>
          </w:p>
        </w:tc>
        <w:tc>
          <w:tcPr>
            <w:tcW w:w="355" w:type="pct"/>
          </w:tcPr>
          <w:p w14:paraId="7A0D0D22" w14:textId="77777777" w:rsidR="007303EE" w:rsidRPr="00797379" w:rsidRDefault="007303EE" w:rsidP="00574147">
            <w:pPr>
              <w:pStyle w:val="TableTextCentered"/>
              <w:spacing w:before="0" w:after="0"/>
            </w:pPr>
            <w:r w:rsidRPr="00797379">
              <w:t>61</w:t>
            </w:r>
          </w:p>
        </w:tc>
        <w:tc>
          <w:tcPr>
            <w:tcW w:w="354" w:type="pct"/>
          </w:tcPr>
          <w:p w14:paraId="61BDD60C" w14:textId="77777777" w:rsidR="007303EE" w:rsidRPr="00797379" w:rsidRDefault="007303EE" w:rsidP="00574147">
            <w:pPr>
              <w:pStyle w:val="TableTextCentered"/>
              <w:spacing w:before="0" w:after="0"/>
            </w:pPr>
            <w:r w:rsidRPr="00797379">
              <w:t>67</w:t>
            </w:r>
          </w:p>
        </w:tc>
        <w:tc>
          <w:tcPr>
            <w:tcW w:w="355" w:type="pct"/>
          </w:tcPr>
          <w:p w14:paraId="4AC97E93" w14:textId="77777777" w:rsidR="007303EE" w:rsidRPr="00797379" w:rsidRDefault="007303EE" w:rsidP="00574147">
            <w:pPr>
              <w:pStyle w:val="TableTextCentered"/>
              <w:spacing w:before="0" w:after="0"/>
            </w:pPr>
            <w:r w:rsidRPr="00797379">
              <w:t>42</w:t>
            </w:r>
          </w:p>
        </w:tc>
        <w:tc>
          <w:tcPr>
            <w:tcW w:w="355" w:type="pct"/>
          </w:tcPr>
          <w:p w14:paraId="2F099CAE" w14:textId="77777777" w:rsidR="007303EE" w:rsidRPr="00797379" w:rsidRDefault="007303EE" w:rsidP="00574147">
            <w:pPr>
              <w:pStyle w:val="TableTextCentered"/>
              <w:spacing w:before="0" w:after="0"/>
            </w:pPr>
            <w:r w:rsidRPr="00797379">
              <w:t>29</w:t>
            </w:r>
          </w:p>
        </w:tc>
        <w:tc>
          <w:tcPr>
            <w:tcW w:w="355" w:type="pct"/>
          </w:tcPr>
          <w:p w14:paraId="1ECC796F" w14:textId="77777777" w:rsidR="007303EE" w:rsidRPr="00797379" w:rsidRDefault="007303EE" w:rsidP="00574147">
            <w:pPr>
              <w:pStyle w:val="TableTextCentered"/>
              <w:spacing w:before="0" w:after="0"/>
            </w:pPr>
            <w:r w:rsidRPr="00797379">
              <w:t>35</w:t>
            </w:r>
          </w:p>
        </w:tc>
        <w:tc>
          <w:tcPr>
            <w:tcW w:w="355" w:type="pct"/>
          </w:tcPr>
          <w:p w14:paraId="255B4FF9" w14:textId="77777777" w:rsidR="007303EE" w:rsidRPr="00797379" w:rsidRDefault="007303EE" w:rsidP="00574147">
            <w:pPr>
              <w:pStyle w:val="TableTextCentered"/>
              <w:spacing w:before="0" w:after="0"/>
            </w:pPr>
            <w:r w:rsidRPr="00797379">
              <w:t>28</w:t>
            </w:r>
          </w:p>
        </w:tc>
        <w:tc>
          <w:tcPr>
            <w:tcW w:w="356" w:type="pct"/>
          </w:tcPr>
          <w:p w14:paraId="3B17C339" w14:textId="77777777" w:rsidR="007303EE" w:rsidRPr="00797379" w:rsidRDefault="007303EE" w:rsidP="00574147">
            <w:pPr>
              <w:pStyle w:val="TableTextCentered"/>
              <w:spacing w:before="0" w:after="0"/>
            </w:pPr>
            <w:r w:rsidRPr="00797379">
              <w:t>36</w:t>
            </w:r>
          </w:p>
        </w:tc>
        <w:tc>
          <w:tcPr>
            <w:tcW w:w="354" w:type="pct"/>
          </w:tcPr>
          <w:p w14:paraId="19A92B4A" w14:textId="77777777" w:rsidR="007303EE" w:rsidRPr="00797379" w:rsidRDefault="007303EE" w:rsidP="00574147">
            <w:pPr>
              <w:pStyle w:val="TableTextCentered"/>
              <w:spacing w:before="0" w:after="0"/>
            </w:pPr>
            <w:r w:rsidRPr="00797379">
              <w:t>3</w:t>
            </w:r>
          </w:p>
        </w:tc>
        <w:tc>
          <w:tcPr>
            <w:tcW w:w="355" w:type="pct"/>
          </w:tcPr>
          <w:p w14:paraId="09EE7799" w14:textId="77777777" w:rsidR="007303EE" w:rsidRPr="00797379" w:rsidRDefault="007303EE" w:rsidP="00574147">
            <w:pPr>
              <w:pStyle w:val="TableTextCentered"/>
              <w:spacing w:before="0" w:after="0"/>
            </w:pPr>
            <w:r w:rsidRPr="00797379">
              <w:t>4</w:t>
            </w:r>
          </w:p>
        </w:tc>
        <w:tc>
          <w:tcPr>
            <w:tcW w:w="354" w:type="pct"/>
          </w:tcPr>
          <w:p w14:paraId="1C6EE786" w14:textId="77777777" w:rsidR="007303EE" w:rsidRPr="00797379" w:rsidRDefault="007303EE" w:rsidP="00574147">
            <w:pPr>
              <w:pStyle w:val="TableTextCentered"/>
              <w:spacing w:before="0" w:after="0"/>
            </w:pPr>
            <w:r w:rsidRPr="00797379">
              <w:t>6</w:t>
            </w:r>
          </w:p>
        </w:tc>
        <w:tc>
          <w:tcPr>
            <w:tcW w:w="353" w:type="pct"/>
          </w:tcPr>
          <w:p w14:paraId="65B4C955" w14:textId="77777777" w:rsidR="007303EE" w:rsidRPr="00797379" w:rsidRDefault="007303EE" w:rsidP="00574147">
            <w:pPr>
              <w:pStyle w:val="TableTextCentered"/>
              <w:spacing w:before="0" w:after="0"/>
            </w:pPr>
            <w:r w:rsidRPr="00797379">
              <w:t>22</w:t>
            </w:r>
          </w:p>
        </w:tc>
      </w:tr>
      <w:tr w:rsidR="00B313B4" w:rsidRPr="00797379" w14:paraId="3A365787" w14:textId="77777777" w:rsidTr="00132A03">
        <w:tc>
          <w:tcPr>
            <w:tcW w:w="371" w:type="pct"/>
            <w:vAlign w:val="center"/>
          </w:tcPr>
          <w:p w14:paraId="0D3C2EEB" w14:textId="77777777" w:rsidR="007303EE" w:rsidRPr="0059750A" w:rsidRDefault="007303EE" w:rsidP="00132A03">
            <w:pPr>
              <w:pStyle w:val="TableSubheading"/>
              <w:spacing w:before="0" w:after="0"/>
              <w:jc w:val="center"/>
              <w:rPr>
                <w:rFonts w:asciiTheme="minorHAnsi" w:hAnsiTheme="minorHAnsi"/>
              </w:rPr>
            </w:pPr>
            <w:r w:rsidRPr="0059750A">
              <w:rPr>
                <w:rFonts w:asciiTheme="minorHAnsi" w:hAnsiTheme="minorHAnsi"/>
              </w:rPr>
              <w:t>8</w:t>
            </w:r>
          </w:p>
        </w:tc>
        <w:tc>
          <w:tcPr>
            <w:tcW w:w="374" w:type="pct"/>
          </w:tcPr>
          <w:p w14:paraId="58E0B766" w14:textId="77777777" w:rsidR="007303EE" w:rsidRPr="00797379" w:rsidRDefault="007303EE" w:rsidP="00574147">
            <w:pPr>
              <w:pStyle w:val="TableTextCentered"/>
              <w:spacing w:before="0" w:after="0"/>
            </w:pPr>
            <w:r w:rsidRPr="00797379">
              <w:t>350</w:t>
            </w:r>
          </w:p>
        </w:tc>
        <w:tc>
          <w:tcPr>
            <w:tcW w:w="354" w:type="pct"/>
          </w:tcPr>
          <w:p w14:paraId="3FE8AF94" w14:textId="77777777" w:rsidR="007303EE" w:rsidRPr="00797379" w:rsidRDefault="007303EE" w:rsidP="00574147">
            <w:pPr>
              <w:pStyle w:val="TableTextCentered"/>
              <w:spacing w:before="0" w:after="0"/>
            </w:pPr>
            <w:r w:rsidRPr="00797379">
              <w:t>78</w:t>
            </w:r>
          </w:p>
        </w:tc>
        <w:tc>
          <w:tcPr>
            <w:tcW w:w="355" w:type="pct"/>
          </w:tcPr>
          <w:p w14:paraId="5CA48D57" w14:textId="77777777" w:rsidR="007303EE" w:rsidRPr="00797379" w:rsidRDefault="007303EE" w:rsidP="00574147">
            <w:pPr>
              <w:pStyle w:val="TableTextCentered"/>
              <w:spacing w:before="0" w:after="0"/>
            </w:pPr>
            <w:r w:rsidRPr="00797379">
              <w:t>78</w:t>
            </w:r>
          </w:p>
        </w:tc>
        <w:tc>
          <w:tcPr>
            <w:tcW w:w="354" w:type="pct"/>
          </w:tcPr>
          <w:p w14:paraId="2FCF34DF" w14:textId="77777777" w:rsidR="007303EE" w:rsidRPr="00797379" w:rsidRDefault="007303EE" w:rsidP="00574147">
            <w:pPr>
              <w:pStyle w:val="TableTextCentered"/>
              <w:spacing w:before="0" w:after="0"/>
            </w:pPr>
            <w:r w:rsidRPr="00797379">
              <w:t>79</w:t>
            </w:r>
          </w:p>
        </w:tc>
        <w:tc>
          <w:tcPr>
            <w:tcW w:w="355" w:type="pct"/>
          </w:tcPr>
          <w:p w14:paraId="3B2C28ED" w14:textId="77777777" w:rsidR="007303EE" w:rsidRPr="00797379" w:rsidRDefault="007303EE" w:rsidP="00574147">
            <w:pPr>
              <w:pStyle w:val="TableTextCentered"/>
              <w:spacing w:before="0" w:after="0"/>
            </w:pPr>
            <w:r w:rsidRPr="00797379">
              <w:t>44</w:t>
            </w:r>
          </w:p>
        </w:tc>
        <w:tc>
          <w:tcPr>
            <w:tcW w:w="355" w:type="pct"/>
          </w:tcPr>
          <w:p w14:paraId="282AE4BD" w14:textId="77777777" w:rsidR="007303EE" w:rsidRPr="00797379" w:rsidRDefault="007303EE" w:rsidP="00574147">
            <w:pPr>
              <w:pStyle w:val="TableTextCentered"/>
              <w:spacing w:before="0" w:after="0"/>
            </w:pPr>
            <w:r w:rsidRPr="00797379">
              <w:t>17</w:t>
            </w:r>
          </w:p>
        </w:tc>
        <w:tc>
          <w:tcPr>
            <w:tcW w:w="355" w:type="pct"/>
          </w:tcPr>
          <w:p w14:paraId="1095FBEF" w14:textId="77777777" w:rsidR="007303EE" w:rsidRPr="00797379" w:rsidRDefault="007303EE" w:rsidP="00574147">
            <w:pPr>
              <w:pStyle w:val="TableTextCentered"/>
              <w:spacing w:before="0" w:after="0"/>
            </w:pPr>
            <w:r w:rsidRPr="00797379">
              <w:t>19</w:t>
            </w:r>
          </w:p>
        </w:tc>
        <w:tc>
          <w:tcPr>
            <w:tcW w:w="355" w:type="pct"/>
          </w:tcPr>
          <w:p w14:paraId="64EEA80F" w14:textId="77777777" w:rsidR="007303EE" w:rsidRPr="00797379" w:rsidRDefault="007303EE" w:rsidP="00574147">
            <w:pPr>
              <w:pStyle w:val="TableTextCentered"/>
              <w:spacing w:before="0" w:after="0"/>
            </w:pPr>
            <w:r w:rsidRPr="00797379">
              <w:t>16</w:t>
            </w:r>
          </w:p>
        </w:tc>
        <w:tc>
          <w:tcPr>
            <w:tcW w:w="356" w:type="pct"/>
          </w:tcPr>
          <w:p w14:paraId="32B2360B" w14:textId="77777777" w:rsidR="007303EE" w:rsidRPr="00797379" w:rsidRDefault="007303EE" w:rsidP="00574147">
            <w:pPr>
              <w:pStyle w:val="TableTextCentered"/>
              <w:spacing w:before="0" w:after="0"/>
            </w:pPr>
            <w:r w:rsidRPr="00797379">
              <w:t>34</w:t>
            </w:r>
          </w:p>
        </w:tc>
        <w:tc>
          <w:tcPr>
            <w:tcW w:w="354" w:type="pct"/>
          </w:tcPr>
          <w:p w14:paraId="79D021BA" w14:textId="77777777" w:rsidR="007303EE" w:rsidRPr="00797379" w:rsidRDefault="007303EE" w:rsidP="00574147">
            <w:pPr>
              <w:pStyle w:val="TableTextCentered"/>
              <w:spacing w:before="0" w:after="0"/>
            </w:pPr>
            <w:r w:rsidRPr="00797379">
              <w:t>6</w:t>
            </w:r>
          </w:p>
        </w:tc>
        <w:tc>
          <w:tcPr>
            <w:tcW w:w="355" w:type="pct"/>
          </w:tcPr>
          <w:p w14:paraId="40AAE5B0" w14:textId="77777777" w:rsidR="007303EE" w:rsidRPr="00797379" w:rsidRDefault="007303EE" w:rsidP="00574147">
            <w:pPr>
              <w:pStyle w:val="TableTextCentered"/>
              <w:spacing w:before="0" w:after="0"/>
            </w:pPr>
            <w:r w:rsidRPr="00797379">
              <w:t>3</w:t>
            </w:r>
          </w:p>
        </w:tc>
        <w:tc>
          <w:tcPr>
            <w:tcW w:w="354" w:type="pct"/>
          </w:tcPr>
          <w:p w14:paraId="773A7A5C" w14:textId="77777777" w:rsidR="007303EE" w:rsidRPr="00797379" w:rsidRDefault="007303EE" w:rsidP="00574147">
            <w:pPr>
              <w:pStyle w:val="TableTextCentered"/>
              <w:spacing w:before="0" w:after="0"/>
            </w:pPr>
            <w:r w:rsidRPr="00797379">
              <w:t>5</w:t>
            </w:r>
          </w:p>
        </w:tc>
        <w:tc>
          <w:tcPr>
            <w:tcW w:w="353" w:type="pct"/>
          </w:tcPr>
          <w:p w14:paraId="19750B11" w14:textId="77777777" w:rsidR="007303EE" w:rsidRPr="00797379" w:rsidRDefault="007303EE" w:rsidP="00574147">
            <w:pPr>
              <w:pStyle w:val="TableTextCentered"/>
              <w:spacing w:before="0" w:after="0"/>
            </w:pPr>
            <w:r w:rsidRPr="00797379">
              <w:t>22</w:t>
            </w:r>
          </w:p>
        </w:tc>
      </w:tr>
      <w:tr w:rsidR="00B313B4" w:rsidRPr="00797379" w14:paraId="4E1A43E9" w14:textId="77777777" w:rsidTr="00132A03">
        <w:trPr>
          <w:cnfStyle w:val="000000100000" w:firstRow="0" w:lastRow="0" w:firstColumn="0" w:lastColumn="0" w:oddVBand="0" w:evenVBand="0" w:oddHBand="1" w:evenHBand="0" w:firstRowFirstColumn="0" w:firstRowLastColumn="0" w:lastRowFirstColumn="0" w:lastRowLastColumn="0"/>
        </w:trPr>
        <w:tc>
          <w:tcPr>
            <w:tcW w:w="371" w:type="pct"/>
            <w:vAlign w:val="center"/>
          </w:tcPr>
          <w:p w14:paraId="51C8B367" w14:textId="77777777" w:rsidR="007303EE" w:rsidRPr="0059750A" w:rsidRDefault="007303EE" w:rsidP="00132A03">
            <w:pPr>
              <w:pStyle w:val="TableSubheading"/>
              <w:spacing w:before="0" w:after="0"/>
              <w:jc w:val="center"/>
              <w:rPr>
                <w:rFonts w:asciiTheme="minorHAnsi" w:hAnsiTheme="minorHAnsi"/>
                <w:spacing w:val="-4"/>
              </w:rPr>
            </w:pPr>
            <w:r w:rsidRPr="0059750A">
              <w:rPr>
                <w:rFonts w:asciiTheme="minorHAnsi" w:hAnsiTheme="minorHAnsi"/>
              </w:rPr>
              <w:t>3-8</w:t>
            </w:r>
          </w:p>
        </w:tc>
        <w:tc>
          <w:tcPr>
            <w:tcW w:w="374" w:type="pct"/>
          </w:tcPr>
          <w:p w14:paraId="1B975CB3" w14:textId="77777777" w:rsidR="007303EE" w:rsidRPr="00797379" w:rsidRDefault="007303EE" w:rsidP="00574147">
            <w:pPr>
              <w:pStyle w:val="TableTextCentered"/>
              <w:spacing w:before="0" w:after="0"/>
            </w:pPr>
            <w:r w:rsidRPr="00797379">
              <w:t>2,033</w:t>
            </w:r>
          </w:p>
        </w:tc>
        <w:tc>
          <w:tcPr>
            <w:tcW w:w="354" w:type="pct"/>
          </w:tcPr>
          <w:p w14:paraId="18CBF02F" w14:textId="77777777" w:rsidR="007303EE" w:rsidRPr="00797379" w:rsidRDefault="007303EE" w:rsidP="00574147">
            <w:pPr>
              <w:pStyle w:val="TableTextCentered"/>
              <w:spacing w:before="0" w:after="0"/>
            </w:pPr>
            <w:r w:rsidRPr="00797379">
              <w:t>69</w:t>
            </w:r>
          </w:p>
        </w:tc>
        <w:tc>
          <w:tcPr>
            <w:tcW w:w="355" w:type="pct"/>
          </w:tcPr>
          <w:p w14:paraId="62C9F48B" w14:textId="77777777" w:rsidR="007303EE" w:rsidRPr="00797379" w:rsidRDefault="007303EE" w:rsidP="00574147">
            <w:pPr>
              <w:pStyle w:val="TableTextCentered"/>
              <w:spacing w:before="0" w:after="0"/>
            </w:pPr>
            <w:r w:rsidRPr="00797379">
              <w:t>66</w:t>
            </w:r>
          </w:p>
        </w:tc>
        <w:tc>
          <w:tcPr>
            <w:tcW w:w="354" w:type="pct"/>
          </w:tcPr>
          <w:p w14:paraId="78B75E8C" w14:textId="77777777" w:rsidR="007303EE" w:rsidRPr="00797379" w:rsidRDefault="007303EE" w:rsidP="00574147">
            <w:pPr>
              <w:pStyle w:val="TableTextCentered"/>
              <w:spacing w:before="0" w:after="0"/>
            </w:pPr>
            <w:r w:rsidRPr="00797379">
              <w:t>71</w:t>
            </w:r>
          </w:p>
        </w:tc>
        <w:tc>
          <w:tcPr>
            <w:tcW w:w="355" w:type="pct"/>
          </w:tcPr>
          <w:p w14:paraId="2DB309D6" w14:textId="77777777" w:rsidR="007303EE" w:rsidRPr="00797379" w:rsidRDefault="007303EE" w:rsidP="00574147">
            <w:pPr>
              <w:pStyle w:val="TableTextCentered"/>
              <w:spacing w:before="0" w:after="0"/>
            </w:pPr>
            <w:r w:rsidRPr="00797379">
              <w:t>42</w:t>
            </w:r>
          </w:p>
        </w:tc>
        <w:tc>
          <w:tcPr>
            <w:tcW w:w="355" w:type="pct"/>
          </w:tcPr>
          <w:p w14:paraId="488D1CA6" w14:textId="77777777" w:rsidR="007303EE" w:rsidRPr="00797379" w:rsidRDefault="007303EE" w:rsidP="00574147">
            <w:pPr>
              <w:pStyle w:val="TableTextCentered"/>
              <w:spacing w:before="0" w:after="0"/>
            </w:pPr>
            <w:r w:rsidRPr="00797379">
              <w:t>27</w:t>
            </w:r>
          </w:p>
        </w:tc>
        <w:tc>
          <w:tcPr>
            <w:tcW w:w="355" w:type="pct"/>
          </w:tcPr>
          <w:p w14:paraId="6890F833" w14:textId="77777777" w:rsidR="007303EE" w:rsidRPr="00797379" w:rsidRDefault="007303EE" w:rsidP="00574147">
            <w:pPr>
              <w:pStyle w:val="TableTextCentered"/>
              <w:spacing w:before="0" w:after="0"/>
            </w:pPr>
            <w:r w:rsidRPr="00797379">
              <w:t>29</w:t>
            </w:r>
          </w:p>
        </w:tc>
        <w:tc>
          <w:tcPr>
            <w:tcW w:w="355" w:type="pct"/>
          </w:tcPr>
          <w:p w14:paraId="1C8EABF3" w14:textId="77777777" w:rsidR="007303EE" w:rsidRPr="00797379" w:rsidRDefault="007303EE" w:rsidP="00574147">
            <w:pPr>
              <w:pStyle w:val="TableTextCentered"/>
              <w:spacing w:before="0" w:after="0"/>
            </w:pPr>
            <w:r w:rsidRPr="00797379">
              <w:t>24</w:t>
            </w:r>
          </w:p>
        </w:tc>
        <w:tc>
          <w:tcPr>
            <w:tcW w:w="356" w:type="pct"/>
          </w:tcPr>
          <w:p w14:paraId="28674094" w14:textId="77777777" w:rsidR="007303EE" w:rsidRPr="00797379" w:rsidRDefault="007303EE" w:rsidP="00574147">
            <w:pPr>
              <w:pStyle w:val="TableTextCentered"/>
              <w:spacing w:before="0" w:after="0"/>
            </w:pPr>
            <w:r w:rsidRPr="00797379">
              <w:t>39</w:t>
            </w:r>
          </w:p>
        </w:tc>
        <w:tc>
          <w:tcPr>
            <w:tcW w:w="354" w:type="pct"/>
          </w:tcPr>
          <w:p w14:paraId="1C252331" w14:textId="77777777" w:rsidR="007303EE" w:rsidRPr="00797379" w:rsidRDefault="007303EE" w:rsidP="00574147">
            <w:pPr>
              <w:pStyle w:val="TableTextCentered"/>
              <w:spacing w:before="0" w:after="0"/>
            </w:pPr>
            <w:r w:rsidRPr="00797379">
              <w:t>5</w:t>
            </w:r>
          </w:p>
        </w:tc>
        <w:tc>
          <w:tcPr>
            <w:tcW w:w="355" w:type="pct"/>
          </w:tcPr>
          <w:p w14:paraId="57C3D5D5" w14:textId="77777777" w:rsidR="007303EE" w:rsidRPr="00797379" w:rsidRDefault="007303EE" w:rsidP="00574147">
            <w:pPr>
              <w:pStyle w:val="TableTextCentered"/>
              <w:spacing w:before="0" w:after="0"/>
            </w:pPr>
            <w:r w:rsidRPr="00797379">
              <w:t>5</w:t>
            </w:r>
          </w:p>
        </w:tc>
        <w:tc>
          <w:tcPr>
            <w:tcW w:w="354" w:type="pct"/>
          </w:tcPr>
          <w:p w14:paraId="0EEF2DB7" w14:textId="77777777" w:rsidR="007303EE" w:rsidRPr="00797379" w:rsidRDefault="007303EE" w:rsidP="00574147">
            <w:pPr>
              <w:pStyle w:val="TableTextCentered"/>
              <w:spacing w:before="0" w:after="0"/>
            </w:pPr>
            <w:r w:rsidRPr="00797379">
              <w:t>5</w:t>
            </w:r>
          </w:p>
        </w:tc>
        <w:tc>
          <w:tcPr>
            <w:tcW w:w="353" w:type="pct"/>
          </w:tcPr>
          <w:p w14:paraId="08B97716" w14:textId="77777777" w:rsidR="007303EE" w:rsidRPr="00797379" w:rsidRDefault="007303EE" w:rsidP="00574147">
            <w:pPr>
              <w:pStyle w:val="TableTextCentered"/>
              <w:spacing w:before="0" w:after="0"/>
            </w:pPr>
            <w:r w:rsidRPr="00797379">
              <w:t>20</w:t>
            </w:r>
          </w:p>
        </w:tc>
      </w:tr>
      <w:tr w:rsidR="00B313B4" w:rsidRPr="00797379" w14:paraId="25F59DD5" w14:textId="77777777" w:rsidTr="00132A03">
        <w:tc>
          <w:tcPr>
            <w:tcW w:w="371" w:type="pct"/>
            <w:vAlign w:val="center"/>
          </w:tcPr>
          <w:p w14:paraId="60AC0EF8" w14:textId="77777777" w:rsidR="007303EE" w:rsidRPr="0059750A" w:rsidRDefault="007303EE" w:rsidP="00132A03">
            <w:pPr>
              <w:pStyle w:val="TableSubheading"/>
              <w:spacing w:before="0" w:after="0"/>
              <w:jc w:val="center"/>
              <w:rPr>
                <w:rFonts w:asciiTheme="minorHAnsi" w:hAnsiTheme="minorHAnsi"/>
              </w:rPr>
            </w:pPr>
            <w:r w:rsidRPr="0059750A">
              <w:rPr>
                <w:rFonts w:asciiTheme="minorHAnsi" w:hAnsiTheme="minorHAnsi"/>
              </w:rPr>
              <w:t>10</w:t>
            </w:r>
          </w:p>
        </w:tc>
        <w:tc>
          <w:tcPr>
            <w:tcW w:w="374" w:type="pct"/>
          </w:tcPr>
          <w:p w14:paraId="43C72B51" w14:textId="77777777" w:rsidR="007303EE" w:rsidRPr="00797379" w:rsidRDefault="007303EE" w:rsidP="00574147">
            <w:pPr>
              <w:pStyle w:val="TableTextCentered"/>
              <w:spacing w:before="0" w:after="0"/>
            </w:pPr>
            <w:r w:rsidRPr="00797379">
              <w:t>348</w:t>
            </w:r>
          </w:p>
        </w:tc>
        <w:tc>
          <w:tcPr>
            <w:tcW w:w="354" w:type="pct"/>
          </w:tcPr>
          <w:p w14:paraId="4AD5997E" w14:textId="77777777" w:rsidR="007303EE" w:rsidRPr="00797379" w:rsidRDefault="007303EE" w:rsidP="00574147">
            <w:pPr>
              <w:pStyle w:val="TableTextCentered"/>
              <w:spacing w:before="0" w:after="0"/>
            </w:pPr>
            <w:r w:rsidRPr="00797379">
              <w:t>87</w:t>
            </w:r>
          </w:p>
        </w:tc>
        <w:tc>
          <w:tcPr>
            <w:tcW w:w="355" w:type="pct"/>
          </w:tcPr>
          <w:p w14:paraId="7F6E5328" w14:textId="77777777" w:rsidR="007303EE" w:rsidRPr="00797379" w:rsidRDefault="007303EE" w:rsidP="00574147">
            <w:pPr>
              <w:pStyle w:val="TableTextCentered"/>
              <w:spacing w:before="0" w:after="0"/>
            </w:pPr>
            <w:r w:rsidRPr="00797379">
              <w:t>85</w:t>
            </w:r>
          </w:p>
        </w:tc>
        <w:tc>
          <w:tcPr>
            <w:tcW w:w="354" w:type="pct"/>
          </w:tcPr>
          <w:p w14:paraId="4679244F" w14:textId="77777777" w:rsidR="007303EE" w:rsidRPr="00797379" w:rsidRDefault="007303EE" w:rsidP="00574147">
            <w:pPr>
              <w:pStyle w:val="TableTextCentered"/>
              <w:spacing w:before="0" w:after="0"/>
            </w:pPr>
            <w:r w:rsidRPr="00797379">
              <w:t>80</w:t>
            </w:r>
          </w:p>
        </w:tc>
        <w:tc>
          <w:tcPr>
            <w:tcW w:w="355" w:type="pct"/>
          </w:tcPr>
          <w:p w14:paraId="3072D16D" w14:textId="77777777" w:rsidR="007303EE" w:rsidRPr="00797379" w:rsidRDefault="007303EE" w:rsidP="00574147">
            <w:pPr>
              <w:pStyle w:val="TableTextCentered"/>
              <w:spacing w:before="0" w:after="0"/>
            </w:pPr>
            <w:r w:rsidRPr="00797379">
              <w:t>51</w:t>
            </w:r>
          </w:p>
        </w:tc>
        <w:tc>
          <w:tcPr>
            <w:tcW w:w="355" w:type="pct"/>
          </w:tcPr>
          <w:p w14:paraId="3FD91D90" w14:textId="77777777" w:rsidR="007303EE" w:rsidRPr="00797379" w:rsidRDefault="007303EE" w:rsidP="00574147">
            <w:pPr>
              <w:pStyle w:val="TableTextCentered"/>
              <w:spacing w:before="0" w:after="0"/>
            </w:pPr>
            <w:r w:rsidRPr="00797379">
              <w:t>11</w:t>
            </w:r>
          </w:p>
        </w:tc>
        <w:tc>
          <w:tcPr>
            <w:tcW w:w="355" w:type="pct"/>
          </w:tcPr>
          <w:p w14:paraId="074FE46C" w14:textId="77777777" w:rsidR="007303EE" w:rsidRPr="00797379" w:rsidRDefault="007303EE" w:rsidP="00574147">
            <w:pPr>
              <w:pStyle w:val="TableTextCentered"/>
              <w:spacing w:before="0" w:after="0"/>
            </w:pPr>
            <w:r w:rsidRPr="00797379">
              <w:t>11</w:t>
            </w:r>
          </w:p>
        </w:tc>
        <w:tc>
          <w:tcPr>
            <w:tcW w:w="355" w:type="pct"/>
          </w:tcPr>
          <w:p w14:paraId="1EFAC52C" w14:textId="77777777" w:rsidR="007303EE" w:rsidRPr="00797379" w:rsidRDefault="007303EE" w:rsidP="00574147">
            <w:pPr>
              <w:pStyle w:val="TableTextCentered"/>
              <w:spacing w:before="0" w:after="0"/>
            </w:pPr>
            <w:r w:rsidRPr="00797379">
              <w:t>16</w:t>
            </w:r>
          </w:p>
        </w:tc>
        <w:tc>
          <w:tcPr>
            <w:tcW w:w="356" w:type="pct"/>
          </w:tcPr>
          <w:p w14:paraId="156AFCD5" w14:textId="77777777" w:rsidR="007303EE" w:rsidRPr="00797379" w:rsidRDefault="007303EE" w:rsidP="00574147">
            <w:pPr>
              <w:pStyle w:val="TableTextCentered"/>
              <w:spacing w:before="0" w:after="0"/>
            </w:pPr>
            <w:r w:rsidRPr="00797379">
              <w:t>35</w:t>
            </w:r>
          </w:p>
        </w:tc>
        <w:tc>
          <w:tcPr>
            <w:tcW w:w="354" w:type="pct"/>
          </w:tcPr>
          <w:p w14:paraId="447234AC" w14:textId="77777777" w:rsidR="007303EE" w:rsidRPr="00797379" w:rsidRDefault="007303EE" w:rsidP="00574147">
            <w:pPr>
              <w:pStyle w:val="TableTextCentered"/>
              <w:spacing w:before="0" w:after="0"/>
            </w:pPr>
            <w:r w:rsidRPr="00797379">
              <w:t>2</w:t>
            </w:r>
          </w:p>
        </w:tc>
        <w:tc>
          <w:tcPr>
            <w:tcW w:w="355" w:type="pct"/>
          </w:tcPr>
          <w:p w14:paraId="6C5B7449" w14:textId="77777777" w:rsidR="007303EE" w:rsidRPr="00797379" w:rsidRDefault="007303EE" w:rsidP="00574147">
            <w:pPr>
              <w:pStyle w:val="TableTextCentered"/>
              <w:spacing w:before="0" w:after="0"/>
            </w:pPr>
            <w:r w:rsidRPr="00797379">
              <w:t>3</w:t>
            </w:r>
          </w:p>
        </w:tc>
        <w:tc>
          <w:tcPr>
            <w:tcW w:w="354" w:type="pct"/>
          </w:tcPr>
          <w:p w14:paraId="0B891181" w14:textId="77777777" w:rsidR="007303EE" w:rsidRPr="00797379" w:rsidRDefault="007303EE" w:rsidP="00574147">
            <w:pPr>
              <w:pStyle w:val="TableTextCentered"/>
              <w:spacing w:before="0" w:after="0"/>
            </w:pPr>
            <w:r w:rsidRPr="00797379">
              <w:t>4</w:t>
            </w:r>
          </w:p>
        </w:tc>
        <w:tc>
          <w:tcPr>
            <w:tcW w:w="353" w:type="pct"/>
          </w:tcPr>
          <w:p w14:paraId="24713471" w14:textId="77777777" w:rsidR="007303EE" w:rsidRPr="00797379" w:rsidRDefault="007303EE" w:rsidP="00574147">
            <w:pPr>
              <w:pStyle w:val="TableTextCentered"/>
              <w:spacing w:before="0" w:after="0"/>
            </w:pPr>
            <w:r w:rsidRPr="00797379">
              <w:t>15</w:t>
            </w:r>
          </w:p>
        </w:tc>
      </w:tr>
    </w:tbl>
    <w:p w14:paraId="61307BDD" w14:textId="77777777" w:rsidR="007303EE" w:rsidRPr="00797379" w:rsidRDefault="007303EE" w:rsidP="006C2038">
      <w:pPr>
        <w:pStyle w:val="TableETitles"/>
      </w:pPr>
      <w:bookmarkStart w:id="248" w:name="_Toc220933511"/>
      <w:bookmarkStart w:id="249" w:name="_Hlk139011901"/>
      <w:r w:rsidRPr="00797379">
        <w:t>Table E8. MCAS Mathematics Achievement by Grade, 2023-2025</w:t>
      </w:r>
      <w:bookmarkEnd w:id="248"/>
    </w:p>
    <w:tbl>
      <w:tblPr>
        <w:tblStyle w:val="MSVTable1"/>
        <w:tblW w:w="5000" w:type="pct"/>
        <w:tblLook w:val="0420" w:firstRow="1" w:lastRow="0" w:firstColumn="0" w:lastColumn="0" w:noHBand="0" w:noVBand="1"/>
      </w:tblPr>
      <w:tblGrid>
        <w:gridCol w:w="961"/>
        <w:gridCol w:w="969"/>
        <w:gridCol w:w="916"/>
        <w:gridCol w:w="919"/>
        <w:gridCol w:w="916"/>
        <w:gridCol w:w="919"/>
        <w:gridCol w:w="919"/>
        <w:gridCol w:w="919"/>
        <w:gridCol w:w="919"/>
        <w:gridCol w:w="922"/>
        <w:gridCol w:w="916"/>
        <w:gridCol w:w="919"/>
        <w:gridCol w:w="916"/>
        <w:gridCol w:w="914"/>
      </w:tblGrid>
      <w:tr w:rsidR="00B313B4" w:rsidRPr="00797379" w14:paraId="7C54AC8D" w14:textId="77777777" w:rsidTr="00132A03">
        <w:trPr>
          <w:cnfStyle w:val="100000000000" w:firstRow="1" w:lastRow="0" w:firstColumn="0" w:lastColumn="0" w:oddVBand="0" w:evenVBand="0" w:oddHBand="0" w:evenHBand="0" w:firstRowFirstColumn="0" w:firstRowLastColumn="0" w:lastRowFirstColumn="0" w:lastRowLastColumn="0"/>
          <w:tblHeader/>
        </w:trPr>
        <w:tc>
          <w:tcPr>
            <w:tcW w:w="371" w:type="pct"/>
            <w:vAlign w:val="center"/>
          </w:tcPr>
          <w:p w14:paraId="1C0CC34D" w14:textId="77777777" w:rsidR="007303EE" w:rsidRPr="00797379" w:rsidRDefault="007303EE" w:rsidP="005874C8">
            <w:pPr>
              <w:pStyle w:val="TableColHeadingCenter"/>
            </w:pPr>
            <w:r w:rsidRPr="00797379">
              <w:t>Grade</w:t>
            </w:r>
          </w:p>
        </w:tc>
        <w:tc>
          <w:tcPr>
            <w:tcW w:w="374" w:type="pct"/>
            <w:vAlign w:val="center"/>
          </w:tcPr>
          <w:p w14:paraId="30AD17AC" w14:textId="77777777" w:rsidR="007303EE" w:rsidRPr="00797379" w:rsidRDefault="007303EE" w:rsidP="005874C8">
            <w:pPr>
              <w:pStyle w:val="TableColHeadingCenter"/>
            </w:pPr>
            <w:r w:rsidRPr="00797379">
              <w:t># Included (2025)</w:t>
            </w:r>
          </w:p>
        </w:tc>
        <w:tc>
          <w:tcPr>
            <w:tcW w:w="354" w:type="pct"/>
            <w:vAlign w:val="center"/>
          </w:tcPr>
          <w:p w14:paraId="7B71EBE3" w14:textId="77777777" w:rsidR="007303EE" w:rsidRPr="00797379" w:rsidRDefault="007303EE" w:rsidP="005874C8">
            <w:pPr>
              <w:pStyle w:val="TableColHeadingCenter"/>
            </w:pPr>
            <w:r w:rsidRPr="00797379">
              <w:t>% M/E 2023</w:t>
            </w:r>
          </w:p>
        </w:tc>
        <w:tc>
          <w:tcPr>
            <w:tcW w:w="355" w:type="pct"/>
            <w:vAlign w:val="center"/>
          </w:tcPr>
          <w:p w14:paraId="5C734B77" w14:textId="77777777" w:rsidR="007303EE" w:rsidRPr="00797379" w:rsidRDefault="007303EE" w:rsidP="005874C8">
            <w:pPr>
              <w:pStyle w:val="TableColHeadingCenter"/>
            </w:pPr>
            <w:r w:rsidRPr="00797379">
              <w:t>% M/E 2024</w:t>
            </w:r>
          </w:p>
        </w:tc>
        <w:tc>
          <w:tcPr>
            <w:tcW w:w="354" w:type="pct"/>
            <w:vAlign w:val="center"/>
          </w:tcPr>
          <w:p w14:paraId="4E22F291" w14:textId="77777777" w:rsidR="007303EE" w:rsidRPr="00797379" w:rsidRDefault="007303EE" w:rsidP="005874C8">
            <w:pPr>
              <w:pStyle w:val="TableColHeadingCenter"/>
            </w:pPr>
            <w:r w:rsidRPr="00797379">
              <w:t>% M/E 2025</w:t>
            </w:r>
          </w:p>
        </w:tc>
        <w:tc>
          <w:tcPr>
            <w:tcW w:w="355" w:type="pct"/>
            <w:vAlign w:val="center"/>
          </w:tcPr>
          <w:p w14:paraId="2DC07274" w14:textId="77777777" w:rsidR="007303EE" w:rsidRPr="00797379" w:rsidRDefault="007303EE" w:rsidP="005874C8">
            <w:pPr>
              <w:pStyle w:val="TableColHeadingCenter"/>
            </w:pPr>
            <w:r w:rsidRPr="00797379">
              <w:t>% M/E 2025 State</w:t>
            </w:r>
          </w:p>
        </w:tc>
        <w:tc>
          <w:tcPr>
            <w:tcW w:w="355" w:type="pct"/>
            <w:vAlign w:val="center"/>
          </w:tcPr>
          <w:p w14:paraId="4AF39472" w14:textId="77777777" w:rsidR="007303EE" w:rsidRPr="00797379" w:rsidRDefault="007303EE" w:rsidP="005874C8">
            <w:pPr>
              <w:pStyle w:val="TableColHeadingCenter"/>
            </w:pPr>
            <w:r w:rsidRPr="00797379">
              <w:t>% PME 2023</w:t>
            </w:r>
          </w:p>
        </w:tc>
        <w:tc>
          <w:tcPr>
            <w:tcW w:w="355" w:type="pct"/>
            <w:vAlign w:val="center"/>
          </w:tcPr>
          <w:p w14:paraId="7D92BE1D" w14:textId="77777777" w:rsidR="007303EE" w:rsidRPr="00797379" w:rsidRDefault="007303EE" w:rsidP="005874C8">
            <w:pPr>
              <w:pStyle w:val="TableColHeadingCenter"/>
            </w:pPr>
            <w:r w:rsidRPr="00797379">
              <w:t>% PME 2024</w:t>
            </w:r>
          </w:p>
        </w:tc>
        <w:tc>
          <w:tcPr>
            <w:tcW w:w="355" w:type="pct"/>
            <w:vAlign w:val="center"/>
          </w:tcPr>
          <w:p w14:paraId="01946389" w14:textId="77777777" w:rsidR="007303EE" w:rsidRPr="00797379" w:rsidRDefault="007303EE" w:rsidP="005874C8">
            <w:pPr>
              <w:pStyle w:val="TableColHeadingCenter"/>
            </w:pPr>
            <w:r w:rsidRPr="00797379">
              <w:t>% PME 2025</w:t>
            </w:r>
          </w:p>
        </w:tc>
        <w:tc>
          <w:tcPr>
            <w:tcW w:w="356" w:type="pct"/>
            <w:vAlign w:val="center"/>
          </w:tcPr>
          <w:p w14:paraId="34BB4222" w14:textId="77777777" w:rsidR="007303EE" w:rsidRPr="00797379" w:rsidRDefault="007303EE" w:rsidP="005874C8">
            <w:pPr>
              <w:pStyle w:val="TableColHeadingCenter"/>
            </w:pPr>
            <w:r w:rsidRPr="00797379">
              <w:t>% PME 2025 State</w:t>
            </w:r>
          </w:p>
        </w:tc>
        <w:tc>
          <w:tcPr>
            <w:tcW w:w="354" w:type="pct"/>
            <w:vAlign w:val="center"/>
          </w:tcPr>
          <w:p w14:paraId="0EE4D125" w14:textId="77777777" w:rsidR="007303EE" w:rsidRPr="00797379" w:rsidRDefault="007303EE" w:rsidP="005874C8">
            <w:pPr>
              <w:pStyle w:val="TableColHeadingCenter"/>
            </w:pPr>
            <w:r w:rsidRPr="00797379">
              <w:t>% NM 2023</w:t>
            </w:r>
          </w:p>
        </w:tc>
        <w:tc>
          <w:tcPr>
            <w:tcW w:w="355" w:type="pct"/>
            <w:vAlign w:val="center"/>
          </w:tcPr>
          <w:p w14:paraId="7B383FA8" w14:textId="77777777" w:rsidR="007303EE" w:rsidRPr="00797379" w:rsidRDefault="007303EE" w:rsidP="005874C8">
            <w:pPr>
              <w:pStyle w:val="TableColHeadingCenter"/>
            </w:pPr>
            <w:r w:rsidRPr="00797379">
              <w:t>% NM 2024</w:t>
            </w:r>
          </w:p>
        </w:tc>
        <w:tc>
          <w:tcPr>
            <w:tcW w:w="354" w:type="pct"/>
            <w:vAlign w:val="center"/>
          </w:tcPr>
          <w:p w14:paraId="37EF15F7" w14:textId="77777777" w:rsidR="007303EE" w:rsidRPr="00797379" w:rsidRDefault="007303EE" w:rsidP="005874C8">
            <w:pPr>
              <w:pStyle w:val="TableColHeadingCenter"/>
            </w:pPr>
            <w:r w:rsidRPr="00797379">
              <w:t>% NM 2025</w:t>
            </w:r>
          </w:p>
        </w:tc>
        <w:tc>
          <w:tcPr>
            <w:tcW w:w="353" w:type="pct"/>
            <w:vAlign w:val="center"/>
          </w:tcPr>
          <w:p w14:paraId="6A2A859C" w14:textId="77777777" w:rsidR="007303EE" w:rsidRPr="00797379" w:rsidRDefault="007303EE" w:rsidP="005874C8">
            <w:pPr>
              <w:pStyle w:val="TableColHeadingCenter"/>
            </w:pPr>
            <w:r w:rsidRPr="00797379">
              <w:t>% NM 2025 State</w:t>
            </w:r>
          </w:p>
        </w:tc>
      </w:tr>
      <w:tr w:rsidR="00B313B4" w:rsidRPr="00797379" w14:paraId="2118BBE9" w14:textId="77777777" w:rsidTr="00132A03">
        <w:trPr>
          <w:cnfStyle w:val="000000100000" w:firstRow="0" w:lastRow="0" w:firstColumn="0" w:lastColumn="0" w:oddVBand="0" w:evenVBand="0" w:oddHBand="1" w:evenHBand="0" w:firstRowFirstColumn="0" w:firstRowLastColumn="0" w:lastRowFirstColumn="0" w:lastRowLastColumn="0"/>
        </w:trPr>
        <w:tc>
          <w:tcPr>
            <w:tcW w:w="371" w:type="pct"/>
            <w:vAlign w:val="center"/>
          </w:tcPr>
          <w:p w14:paraId="576C993A" w14:textId="77777777" w:rsidR="007303EE" w:rsidRPr="0059750A" w:rsidRDefault="007303EE" w:rsidP="00132A03">
            <w:pPr>
              <w:pStyle w:val="TableSubheading"/>
              <w:spacing w:before="0" w:after="0"/>
              <w:jc w:val="center"/>
              <w:rPr>
                <w:rFonts w:asciiTheme="minorHAnsi" w:hAnsiTheme="minorHAnsi"/>
              </w:rPr>
            </w:pPr>
            <w:r w:rsidRPr="0059750A">
              <w:rPr>
                <w:rFonts w:asciiTheme="minorHAnsi" w:hAnsiTheme="minorHAnsi"/>
              </w:rPr>
              <w:t>3</w:t>
            </w:r>
          </w:p>
        </w:tc>
        <w:tc>
          <w:tcPr>
            <w:tcW w:w="374" w:type="pct"/>
          </w:tcPr>
          <w:p w14:paraId="7C3F3795" w14:textId="77777777" w:rsidR="007303EE" w:rsidRPr="00797379" w:rsidRDefault="007303EE" w:rsidP="00574147">
            <w:pPr>
              <w:pStyle w:val="TableTextCentered"/>
              <w:spacing w:before="0" w:after="0"/>
            </w:pPr>
            <w:r w:rsidRPr="00797379">
              <w:t>327</w:t>
            </w:r>
          </w:p>
        </w:tc>
        <w:tc>
          <w:tcPr>
            <w:tcW w:w="354" w:type="pct"/>
          </w:tcPr>
          <w:p w14:paraId="20445674" w14:textId="77777777" w:rsidR="007303EE" w:rsidRPr="00797379" w:rsidRDefault="007303EE" w:rsidP="00574147">
            <w:pPr>
              <w:pStyle w:val="TableTextCentered"/>
              <w:spacing w:before="0" w:after="0"/>
            </w:pPr>
            <w:r w:rsidRPr="00797379">
              <w:t>60</w:t>
            </w:r>
          </w:p>
        </w:tc>
        <w:tc>
          <w:tcPr>
            <w:tcW w:w="355" w:type="pct"/>
          </w:tcPr>
          <w:p w14:paraId="78B55569" w14:textId="77777777" w:rsidR="007303EE" w:rsidRPr="00797379" w:rsidRDefault="007303EE" w:rsidP="00574147">
            <w:pPr>
              <w:pStyle w:val="TableTextCentered"/>
              <w:spacing w:before="0" w:after="0"/>
            </w:pPr>
            <w:r w:rsidRPr="00797379">
              <w:t>72</w:t>
            </w:r>
          </w:p>
        </w:tc>
        <w:tc>
          <w:tcPr>
            <w:tcW w:w="354" w:type="pct"/>
          </w:tcPr>
          <w:p w14:paraId="5F9AA2F7" w14:textId="77777777" w:rsidR="007303EE" w:rsidRPr="00797379" w:rsidRDefault="007303EE" w:rsidP="00574147">
            <w:pPr>
              <w:pStyle w:val="TableTextCentered"/>
              <w:spacing w:before="0" w:after="0"/>
            </w:pPr>
            <w:r w:rsidRPr="00797379">
              <w:t>75</w:t>
            </w:r>
          </w:p>
        </w:tc>
        <w:tc>
          <w:tcPr>
            <w:tcW w:w="355" w:type="pct"/>
          </w:tcPr>
          <w:p w14:paraId="4A6AC774" w14:textId="77777777" w:rsidR="007303EE" w:rsidRPr="00797379" w:rsidRDefault="007303EE" w:rsidP="00574147">
            <w:pPr>
              <w:pStyle w:val="TableTextCentered"/>
              <w:spacing w:before="0" w:after="0"/>
            </w:pPr>
            <w:r w:rsidRPr="00797379">
              <w:t>44</w:t>
            </w:r>
          </w:p>
        </w:tc>
        <w:tc>
          <w:tcPr>
            <w:tcW w:w="355" w:type="pct"/>
          </w:tcPr>
          <w:p w14:paraId="7D72924A" w14:textId="77777777" w:rsidR="007303EE" w:rsidRPr="00797379" w:rsidRDefault="007303EE" w:rsidP="00574147">
            <w:pPr>
              <w:pStyle w:val="TableTextCentered"/>
              <w:spacing w:before="0" w:after="0"/>
            </w:pPr>
            <w:r w:rsidRPr="00797379">
              <w:t>33</w:t>
            </w:r>
          </w:p>
        </w:tc>
        <w:tc>
          <w:tcPr>
            <w:tcW w:w="355" w:type="pct"/>
          </w:tcPr>
          <w:p w14:paraId="2F632954" w14:textId="77777777" w:rsidR="007303EE" w:rsidRPr="00797379" w:rsidRDefault="007303EE" w:rsidP="00574147">
            <w:pPr>
              <w:pStyle w:val="TableTextCentered"/>
              <w:spacing w:before="0" w:after="0"/>
            </w:pPr>
            <w:r w:rsidRPr="00797379">
              <w:t>23</w:t>
            </w:r>
          </w:p>
        </w:tc>
        <w:tc>
          <w:tcPr>
            <w:tcW w:w="355" w:type="pct"/>
          </w:tcPr>
          <w:p w14:paraId="0A354C84" w14:textId="77777777" w:rsidR="007303EE" w:rsidRPr="00797379" w:rsidRDefault="007303EE" w:rsidP="00574147">
            <w:pPr>
              <w:pStyle w:val="TableTextCentered"/>
              <w:spacing w:before="0" w:after="0"/>
            </w:pPr>
            <w:r w:rsidRPr="00797379">
              <w:t>22</w:t>
            </w:r>
          </w:p>
        </w:tc>
        <w:tc>
          <w:tcPr>
            <w:tcW w:w="356" w:type="pct"/>
          </w:tcPr>
          <w:p w14:paraId="39C524FE" w14:textId="77777777" w:rsidR="007303EE" w:rsidRPr="00797379" w:rsidRDefault="007303EE" w:rsidP="00574147">
            <w:pPr>
              <w:pStyle w:val="TableTextCentered"/>
              <w:spacing w:before="0" w:after="0"/>
            </w:pPr>
            <w:r w:rsidRPr="00797379">
              <w:t>36</w:t>
            </w:r>
          </w:p>
        </w:tc>
        <w:tc>
          <w:tcPr>
            <w:tcW w:w="354" w:type="pct"/>
          </w:tcPr>
          <w:p w14:paraId="5B28F139" w14:textId="77777777" w:rsidR="007303EE" w:rsidRPr="00797379" w:rsidRDefault="007303EE" w:rsidP="00574147">
            <w:pPr>
              <w:pStyle w:val="TableTextCentered"/>
              <w:spacing w:before="0" w:after="0"/>
            </w:pPr>
            <w:r w:rsidRPr="00797379">
              <w:t>7</w:t>
            </w:r>
          </w:p>
        </w:tc>
        <w:tc>
          <w:tcPr>
            <w:tcW w:w="355" w:type="pct"/>
          </w:tcPr>
          <w:p w14:paraId="4CBB0673" w14:textId="77777777" w:rsidR="007303EE" w:rsidRPr="00797379" w:rsidRDefault="007303EE" w:rsidP="00574147">
            <w:pPr>
              <w:pStyle w:val="TableTextCentered"/>
              <w:spacing w:before="0" w:after="0"/>
            </w:pPr>
            <w:r w:rsidRPr="00797379">
              <w:t>5</w:t>
            </w:r>
          </w:p>
        </w:tc>
        <w:tc>
          <w:tcPr>
            <w:tcW w:w="354" w:type="pct"/>
          </w:tcPr>
          <w:p w14:paraId="3DF35573" w14:textId="77777777" w:rsidR="007303EE" w:rsidRPr="00797379" w:rsidRDefault="007303EE" w:rsidP="00574147">
            <w:pPr>
              <w:pStyle w:val="TableTextCentered"/>
              <w:spacing w:before="0" w:after="0"/>
            </w:pPr>
            <w:r w:rsidRPr="00797379">
              <w:t>3</w:t>
            </w:r>
          </w:p>
        </w:tc>
        <w:tc>
          <w:tcPr>
            <w:tcW w:w="353" w:type="pct"/>
          </w:tcPr>
          <w:p w14:paraId="3B21F74B" w14:textId="77777777" w:rsidR="007303EE" w:rsidRPr="00797379" w:rsidRDefault="007303EE" w:rsidP="00574147">
            <w:pPr>
              <w:pStyle w:val="TableTextCentered"/>
              <w:spacing w:before="0" w:after="0"/>
            </w:pPr>
            <w:r w:rsidRPr="00797379">
              <w:t>21</w:t>
            </w:r>
          </w:p>
        </w:tc>
      </w:tr>
      <w:tr w:rsidR="00B313B4" w:rsidRPr="00797379" w14:paraId="0EC71EB6" w14:textId="77777777" w:rsidTr="00132A03">
        <w:tc>
          <w:tcPr>
            <w:tcW w:w="371" w:type="pct"/>
            <w:vAlign w:val="center"/>
          </w:tcPr>
          <w:p w14:paraId="4CED8DF2" w14:textId="77777777" w:rsidR="007303EE" w:rsidRPr="0059750A" w:rsidRDefault="007303EE" w:rsidP="00132A03">
            <w:pPr>
              <w:pStyle w:val="TableSubheading"/>
              <w:spacing w:before="0" w:after="0"/>
              <w:jc w:val="center"/>
              <w:rPr>
                <w:rFonts w:asciiTheme="minorHAnsi" w:hAnsiTheme="minorHAnsi"/>
              </w:rPr>
            </w:pPr>
            <w:r w:rsidRPr="0059750A">
              <w:rPr>
                <w:rFonts w:asciiTheme="minorHAnsi" w:hAnsiTheme="minorHAnsi"/>
              </w:rPr>
              <w:t>4</w:t>
            </w:r>
          </w:p>
        </w:tc>
        <w:tc>
          <w:tcPr>
            <w:tcW w:w="374" w:type="pct"/>
          </w:tcPr>
          <w:p w14:paraId="506B4E83" w14:textId="77777777" w:rsidR="007303EE" w:rsidRPr="00797379" w:rsidRDefault="007303EE" w:rsidP="00574147">
            <w:pPr>
              <w:pStyle w:val="TableTextCentered"/>
              <w:spacing w:before="0" w:after="0"/>
            </w:pPr>
            <w:r w:rsidRPr="00797379">
              <w:t>296</w:t>
            </w:r>
          </w:p>
        </w:tc>
        <w:tc>
          <w:tcPr>
            <w:tcW w:w="354" w:type="pct"/>
          </w:tcPr>
          <w:p w14:paraId="3FAFCA03" w14:textId="77777777" w:rsidR="007303EE" w:rsidRPr="00797379" w:rsidRDefault="007303EE" w:rsidP="00574147">
            <w:pPr>
              <w:pStyle w:val="TableTextCentered"/>
              <w:spacing w:before="0" w:after="0"/>
            </w:pPr>
            <w:r w:rsidRPr="00797379">
              <w:t>68</w:t>
            </w:r>
          </w:p>
        </w:tc>
        <w:tc>
          <w:tcPr>
            <w:tcW w:w="355" w:type="pct"/>
          </w:tcPr>
          <w:p w14:paraId="55E5A76F" w14:textId="77777777" w:rsidR="007303EE" w:rsidRPr="00797379" w:rsidRDefault="007303EE" w:rsidP="00574147">
            <w:pPr>
              <w:pStyle w:val="TableTextCentered"/>
              <w:spacing w:before="0" w:after="0"/>
            </w:pPr>
            <w:r w:rsidRPr="00797379">
              <w:t>63</w:t>
            </w:r>
          </w:p>
        </w:tc>
        <w:tc>
          <w:tcPr>
            <w:tcW w:w="354" w:type="pct"/>
          </w:tcPr>
          <w:p w14:paraId="66553F10" w14:textId="77777777" w:rsidR="007303EE" w:rsidRPr="00797379" w:rsidRDefault="007303EE" w:rsidP="00574147">
            <w:pPr>
              <w:pStyle w:val="TableTextCentered"/>
              <w:spacing w:before="0" w:after="0"/>
            </w:pPr>
            <w:r w:rsidRPr="00797379">
              <w:t>73</w:t>
            </w:r>
          </w:p>
        </w:tc>
        <w:tc>
          <w:tcPr>
            <w:tcW w:w="355" w:type="pct"/>
          </w:tcPr>
          <w:p w14:paraId="6F613EAC" w14:textId="77777777" w:rsidR="007303EE" w:rsidRPr="00797379" w:rsidRDefault="007303EE" w:rsidP="00574147">
            <w:pPr>
              <w:pStyle w:val="TableTextCentered"/>
              <w:spacing w:before="0" w:after="0"/>
            </w:pPr>
            <w:r w:rsidRPr="00797379">
              <w:t>43</w:t>
            </w:r>
          </w:p>
        </w:tc>
        <w:tc>
          <w:tcPr>
            <w:tcW w:w="355" w:type="pct"/>
          </w:tcPr>
          <w:p w14:paraId="00AE41FA" w14:textId="77777777" w:rsidR="007303EE" w:rsidRPr="00797379" w:rsidRDefault="007303EE" w:rsidP="00574147">
            <w:pPr>
              <w:pStyle w:val="TableTextCentered"/>
              <w:spacing w:before="0" w:after="0"/>
            </w:pPr>
            <w:r w:rsidRPr="00797379">
              <w:t>28</w:t>
            </w:r>
          </w:p>
        </w:tc>
        <w:tc>
          <w:tcPr>
            <w:tcW w:w="355" w:type="pct"/>
          </w:tcPr>
          <w:p w14:paraId="3825C01B" w14:textId="77777777" w:rsidR="007303EE" w:rsidRPr="00797379" w:rsidRDefault="007303EE" w:rsidP="00574147">
            <w:pPr>
              <w:pStyle w:val="TableTextCentered"/>
              <w:spacing w:before="0" w:after="0"/>
            </w:pPr>
            <w:r w:rsidRPr="00797379">
              <w:t>32</w:t>
            </w:r>
          </w:p>
        </w:tc>
        <w:tc>
          <w:tcPr>
            <w:tcW w:w="355" w:type="pct"/>
          </w:tcPr>
          <w:p w14:paraId="1B478CB3" w14:textId="77777777" w:rsidR="007303EE" w:rsidRPr="00797379" w:rsidRDefault="007303EE" w:rsidP="00574147">
            <w:pPr>
              <w:pStyle w:val="TableTextCentered"/>
              <w:spacing w:before="0" w:after="0"/>
            </w:pPr>
            <w:r w:rsidRPr="00797379">
              <w:t>23</w:t>
            </w:r>
          </w:p>
        </w:tc>
        <w:tc>
          <w:tcPr>
            <w:tcW w:w="356" w:type="pct"/>
          </w:tcPr>
          <w:p w14:paraId="22ED7982" w14:textId="77777777" w:rsidR="007303EE" w:rsidRPr="00797379" w:rsidRDefault="007303EE" w:rsidP="00574147">
            <w:pPr>
              <w:pStyle w:val="TableTextCentered"/>
              <w:spacing w:before="0" w:after="0"/>
            </w:pPr>
            <w:r w:rsidRPr="00797379">
              <w:t>40</w:t>
            </w:r>
          </w:p>
        </w:tc>
        <w:tc>
          <w:tcPr>
            <w:tcW w:w="354" w:type="pct"/>
          </w:tcPr>
          <w:p w14:paraId="0B5B38D6" w14:textId="77777777" w:rsidR="007303EE" w:rsidRPr="00797379" w:rsidRDefault="007303EE" w:rsidP="00574147">
            <w:pPr>
              <w:pStyle w:val="TableTextCentered"/>
              <w:spacing w:before="0" w:after="0"/>
            </w:pPr>
            <w:r w:rsidRPr="00797379">
              <w:t>4</w:t>
            </w:r>
          </w:p>
        </w:tc>
        <w:tc>
          <w:tcPr>
            <w:tcW w:w="355" w:type="pct"/>
          </w:tcPr>
          <w:p w14:paraId="45A01D98" w14:textId="77777777" w:rsidR="007303EE" w:rsidRPr="00797379" w:rsidRDefault="007303EE" w:rsidP="00574147">
            <w:pPr>
              <w:pStyle w:val="TableTextCentered"/>
              <w:spacing w:before="0" w:after="0"/>
            </w:pPr>
            <w:r w:rsidRPr="00797379">
              <w:t>5</w:t>
            </w:r>
          </w:p>
        </w:tc>
        <w:tc>
          <w:tcPr>
            <w:tcW w:w="354" w:type="pct"/>
          </w:tcPr>
          <w:p w14:paraId="2A9C1E5F" w14:textId="77777777" w:rsidR="007303EE" w:rsidRPr="00797379" w:rsidRDefault="007303EE" w:rsidP="00574147">
            <w:pPr>
              <w:pStyle w:val="TableTextCentered"/>
              <w:spacing w:before="0" w:after="0"/>
            </w:pPr>
            <w:r w:rsidRPr="00797379">
              <w:t>4</w:t>
            </w:r>
          </w:p>
        </w:tc>
        <w:tc>
          <w:tcPr>
            <w:tcW w:w="353" w:type="pct"/>
          </w:tcPr>
          <w:p w14:paraId="4245E74C" w14:textId="77777777" w:rsidR="007303EE" w:rsidRPr="00797379" w:rsidRDefault="007303EE" w:rsidP="00574147">
            <w:pPr>
              <w:pStyle w:val="TableTextCentered"/>
              <w:spacing w:before="0" w:after="0"/>
            </w:pPr>
            <w:r w:rsidRPr="00797379">
              <w:t>17</w:t>
            </w:r>
          </w:p>
        </w:tc>
      </w:tr>
      <w:tr w:rsidR="00B313B4" w:rsidRPr="00797379" w14:paraId="4E5F942B" w14:textId="77777777" w:rsidTr="00132A03">
        <w:trPr>
          <w:cnfStyle w:val="000000100000" w:firstRow="0" w:lastRow="0" w:firstColumn="0" w:lastColumn="0" w:oddVBand="0" w:evenVBand="0" w:oddHBand="1" w:evenHBand="0" w:firstRowFirstColumn="0" w:firstRowLastColumn="0" w:lastRowFirstColumn="0" w:lastRowLastColumn="0"/>
        </w:trPr>
        <w:tc>
          <w:tcPr>
            <w:tcW w:w="371" w:type="pct"/>
            <w:vAlign w:val="center"/>
          </w:tcPr>
          <w:p w14:paraId="07F1E644" w14:textId="77777777" w:rsidR="007303EE" w:rsidRPr="0059750A" w:rsidRDefault="007303EE" w:rsidP="00132A03">
            <w:pPr>
              <w:pStyle w:val="TableSubheading"/>
              <w:spacing w:before="0" w:after="0"/>
              <w:jc w:val="center"/>
              <w:rPr>
                <w:rFonts w:asciiTheme="minorHAnsi" w:hAnsiTheme="minorHAnsi"/>
              </w:rPr>
            </w:pPr>
            <w:r w:rsidRPr="0059750A">
              <w:rPr>
                <w:rFonts w:asciiTheme="minorHAnsi" w:hAnsiTheme="minorHAnsi"/>
              </w:rPr>
              <w:t>5</w:t>
            </w:r>
          </w:p>
        </w:tc>
        <w:tc>
          <w:tcPr>
            <w:tcW w:w="374" w:type="pct"/>
          </w:tcPr>
          <w:p w14:paraId="661B7061" w14:textId="77777777" w:rsidR="007303EE" w:rsidRPr="00797379" w:rsidRDefault="007303EE" w:rsidP="00574147">
            <w:pPr>
              <w:pStyle w:val="TableTextCentered"/>
              <w:spacing w:before="0" w:after="0"/>
            </w:pPr>
            <w:r w:rsidRPr="00797379">
              <w:t>376</w:t>
            </w:r>
          </w:p>
        </w:tc>
        <w:tc>
          <w:tcPr>
            <w:tcW w:w="354" w:type="pct"/>
          </w:tcPr>
          <w:p w14:paraId="45B3237D" w14:textId="77777777" w:rsidR="007303EE" w:rsidRPr="00797379" w:rsidRDefault="007303EE" w:rsidP="00574147">
            <w:pPr>
              <w:pStyle w:val="TableTextCentered"/>
              <w:spacing w:before="0" w:after="0"/>
            </w:pPr>
            <w:r w:rsidRPr="00797379">
              <w:t>74</w:t>
            </w:r>
          </w:p>
        </w:tc>
        <w:tc>
          <w:tcPr>
            <w:tcW w:w="355" w:type="pct"/>
          </w:tcPr>
          <w:p w14:paraId="04653B9E" w14:textId="77777777" w:rsidR="007303EE" w:rsidRPr="00797379" w:rsidRDefault="007303EE" w:rsidP="00574147">
            <w:pPr>
              <w:pStyle w:val="TableTextCentered"/>
              <w:spacing w:before="0" w:after="0"/>
            </w:pPr>
            <w:r w:rsidRPr="00797379">
              <w:t>75</w:t>
            </w:r>
          </w:p>
        </w:tc>
        <w:tc>
          <w:tcPr>
            <w:tcW w:w="354" w:type="pct"/>
          </w:tcPr>
          <w:p w14:paraId="3AACE1A2" w14:textId="77777777" w:rsidR="007303EE" w:rsidRPr="00797379" w:rsidRDefault="007303EE" w:rsidP="00574147">
            <w:pPr>
              <w:pStyle w:val="TableTextCentered"/>
              <w:spacing w:before="0" w:after="0"/>
            </w:pPr>
            <w:r w:rsidRPr="00797379">
              <w:t>70</w:t>
            </w:r>
          </w:p>
        </w:tc>
        <w:tc>
          <w:tcPr>
            <w:tcW w:w="355" w:type="pct"/>
          </w:tcPr>
          <w:p w14:paraId="1558D766" w14:textId="77777777" w:rsidR="007303EE" w:rsidRPr="00797379" w:rsidRDefault="007303EE" w:rsidP="00574147">
            <w:pPr>
              <w:pStyle w:val="TableTextCentered"/>
              <w:spacing w:before="0" w:after="0"/>
            </w:pPr>
            <w:r w:rsidRPr="00797379">
              <w:t>40</w:t>
            </w:r>
          </w:p>
        </w:tc>
        <w:tc>
          <w:tcPr>
            <w:tcW w:w="355" w:type="pct"/>
          </w:tcPr>
          <w:p w14:paraId="0C4C2BD7" w14:textId="77777777" w:rsidR="007303EE" w:rsidRPr="00797379" w:rsidRDefault="007303EE" w:rsidP="00574147">
            <w:pPr>
              <w:pStyle w:val="TableTextCentered"/>
              <w:spacing w:before="0" w:after="0"/>
            </w:pPr>
            <w:r w:rsidRPr="00797379">
              <w:t>23</w:t>
            </w:r>
          </w:p>
        </w:tc>
        <w:tc>
          <w:tcPr>
            <w:tcW w:w="355" w:type="pct"/>
          </w:tcPr>
          <w:p w14:paraId="613A8B07" w14:textId="77777777" w:rsidR="007303EE" w:rsidRPr="00797379" w:rsidRDefault="007303EE" w:rsidP="00574147">
            <w:pPr>
              <w:pStyle w:val="TableTextCentered"/>
              <w:spacing w:before="0" w:after="0"/>
            </w:pPr>
            <w:r w:rsidRPr="00797379">
              <w:t>22</w:t>
            </w:r>
          </w:p>
        </w:tc>
        <w:tc>
          <w:tcPr>
            <w:tcW w:w="355" w:type="pct"/>
          </w:tcPr>
          <w:p w14:paraId="1DF48707" w14:textId="77777777" w:rsidR="007303EE" w:rsidRPr="00797379" w:rsidRDefault="007303EE" w:rsidP="00574147">
            <w:pPr>
              <w:pStyle w:val="TableTextCentered"/>
              <w:spacing w:before="0" w:after="0"/>
            </w:pPr>
            <w:r w:rsidRPr="00797379">
              <w:t>26</w:t>
            </w:r>
          </w:p>
        </w:tc>
        <w:tc>
          <w:tcPr>
            <w:tcW w:w="356" w:type="pct"/>
          </w:tcPr>
          <w:p w14:paraId="48ECD835" w14:textId="77777777" w:rsidR="007303EE" w:rsidRPr="00797379" w:rsidRDefault="007303EE" w:rsidP="00574147">
            <w:pPr>
              <w:pStyle w:val="TableTextCentered"/>
              <w:spacing w:before="0" w:after="0"/>
            </w:pPr>
            <w:r w:rsidRPr="00797379">
              <w:t>43</w:t>
            </w:r>
          </w:p>
        </w:tc>
        <w:tc>
          <w:tcPr>
            <w:tcW w:w="354" w:type="pct"/>
          </w:tcPr>
          <w:p w14:paraId="412F39BA" w14:textId="77777777" w:rsidR="007303EE" w:rsidRPr="00797379" w:rsidRDefault="007303EE" w:rsidP="00574147">
            <w:pPr>
              <w:pStyle w:val="TableTextCentered"/>
              <w:spacing w:before="0" w:after="0"/>
            </w:pPr>
            <w:r w:rsidRPr="00797379">
              <w:t>3</w:t>
            </w:r>
          </w:p>
        </w:tc>
        <w:tc>
          <w:tcPr>
            <w:tcW w:w="355" w:type="pct"/>
          </w:tcPr>
          <w:p w14:paraId="4BC6718E" w14:textId="77777777" w:rsidR="007303EE" w:rsidRPr="00797379" w:rsidRDefault="007303EE" w:rsidP="00574147">
            <w:pPr>
              <w:pStyle w:val="TableTextCentered"/>
              <w:spacing w:before="0" w:after="0"/>
            </w:pPr>
            <w:r w:rsidRPr="00797379">
              <w:t>3</w:t>
            </w:r>
          </w:p>
        </w:tc>
        <w:tc>
          <w:tcPr>
            <w:tcW w:w="354" w:type="pct"/>
          </w:tcPr>
          <w:p w14:paraId="16FF3E63" w14:textId="77777777" w:rsidR="007303EE" w:rsidRPr="00797379" w:rsidRDefault="007303EE" w:rsidP="00574147">
            <w:pPr>
              <w:pStyle w:val="TableTextCentered"/>
              <w:spacing w:before="0" w:after="0"/>
            </w:pPr>
            <w:r w:rsidRPr="00797379">
              <w:t>4</w:t>
            </w:r>
          </w:p>
        </w:tc>
        <w:tc>
          <w:tcPr>
            <w:tcW w:w="353" w:type="pct"/>
          </w:tcPr>
          <w:p w14:paraId="590921B9" w14:textId="77777777" w:rsidR="007303EE" w:rsidRPr="00797379" w:rsidRDefault="007303EE" w:rsidP="00574147">
            <w:pPr>
              <w:pStyle w:val="TableTextCentered"/>
              <w:spacing w:before="0" w:after="0"/>
            </w:pPr>
            <w:r w:rsidRPr="00797379">
              <w:t>17</w:t>
            </w:r>
          </w:p>
        </w:tc>
      </w:tr>
      <w:tr w:rsidR="00B313B4" w:rsidRPr="00797379" w14:paraId="4324C9E4" w14:textId="77777777" w:rsidTr="00132A03">
        <w:tc>
          <w:tcPr>
            <w:tcW w:w="371" w:type="pct"/>
            <w:vAlign w:val="center"/>
          </w:tcPr>
          <w:p w14:paraId="43C406EB" w14:textId="77777777" w:rsidR="007303EE" w:rsidRPr="0059750A" w:rsidRDefault="007303EE" w:rsidP="00132A03">
            <w:pPr>
              <w:pStyle w:val="TableSubheading"/>
              <w:spacing w:before="0" w:after="0"/>
              <w:jc w:val="center"/>
              <w:rPr>
                <w:rFonts w:asciiTheme="minorHAnsi" w:hAnsiTheme="minorHAnsi"/>
              </w:rPr>
            </w:pPr>
            <w:r w:rsidRPr="0059750A">
              <w:rPr>
                <w:rFonts w:asciiTheme="minorHAnsi" w:hAnsiTheme="minorHAnsi"/>
              </w:rPr>
              <w:t>6</w:t>
            </w:r>
          </w:p>
        </w:tc>
        <w:tc>
          <w:tcPr>
            <w:tcW w:w="374" w:type="pct"/>
          </w:tcPr>
          <w:p w14:paraId="524A4248" w14:textId="77777777" w:rsidR="007303EE" w:rsidRPr="00797379" w:rsidRDefault="007303EE" w:rsidP="00574147">
            <w:pPr>
              <w:pStyle w:val="TableTextCentered"/>
              <w:spacing w:before="0" w:after="0"/>
            </w:pPr>
            <w:r w:rsidRPr="00797379">
              <w:t>346</w:t>
            </w:r>
          </w:p>
        </w:tc>
        <w:tc>
          <w:tcPr>
            <w:tcW w:w="354" w:type="pct"/>
          </w:tcPr>
          <w:p w14:paraId="05DDA6FE" w14:textId="77777777" w:rsidR="007303EE" w:rsidRPr="00797379" w:rsidRDefault="007303EE" w:rsidP="00574147">
            <w:pPr>
              <w:pStyle w:val="TableTextCentered"/>
              <w:spacing w:before="0" w:after="0"/>
            </w:pPr>
            <w:r w:rsidRPr="00797379">
              <w:t>71</w:t>
            </w:r>
          </w:p>
        </w:tc>
        <w:tc>
          <w:tcPr>
            <w:tcW w:w="355" w:type="pct"/>
          </w:tcPr>
          <w:p w14:paraId="235C01CB" w14:textId="77777777" w:rsidR="007303EE" w:rsidRPr="00797379" w:rsidRDefault="007303EE" w:rsidP="00574147">
            <w:pPr>
              <w:pStyle w:val="TableTextCentered"/>
              <w:spacing w:before="0" w:after="0"/>
            </w:pPr>
            <w:r w:rsidRPr="00797379">
              <w:t>77</w:t>
            </w:r>
          </w:p>
        </w:tc>
        <w:tc>
          <w:tcPr>
            <w:tcW w:w="354" w:type="pct"/>
          </w:tcPr>
          <w:p w14:paraId="1BBD7FF9" w14:textId="77777777" w:rsidR="007303EE" w:rsidRPr="00797379" w:rsidRDefault="007303EE" w:rsidP="00574147">
            <w:pPr>
              <w:pStyle w:val="TableTextCentered"/>
              <w:spacing w:before="0" w:after="0"/>
            </w:pPr>
            <w:r w:rsidRPr="00797379">
              <w:t>70</w:t>
            </w:r>
          </w:p>
        </w:tc>
        <w:tc>
          <w:tcPr>
            <w:tcW w:w="355" w:type="pct"/>
          </w:tcPr>
          <w:p w14:paraId="4FE321E9" w14:textId="77777777" w:rsidR="007303EE" w:rsidRPr="00797379" w:rsidRDefault="007303EE" w:rsidP="00574147">
            <w:pPr>
              <w:pStyle w:val="TableTextCentered"/>
              <w:spacing w:before="0" w:after="0"/>
            </w:pPr>
            <w:r w:rsidRPr="00797379">
              <w:t>41</w:t>
            </w:r>
          </w:p>
        </w:tc>
        <w:tc>
          <w:tcPr>
            <w:tcW w:w="355" w:type="pct"/>
          </w:tcPr>
          <w:p w14:paraId="5798D929" w14:textId="77777777" w:rsidR="007303EE" w:rsidRPr="00797379" w:rsidRDefault="007303EE" w:rsidP="00574147">
            <w:pPr>
              <w:pStyle w:val="TableTextCentered"/>
              <w:spacing w:before="0" w:after="0"/>
            </w:pPr>
            <w:r w:rsidRPr="00797379">
              <w:t>25</w:t>
            </w:r>
          </w:p>
        </w:tc>
        <w:tc>
          <w:tcPr>
            <w:tcW w:w="355" w:type="pct"/>
          </w:tcPr>
          <w:p w14:paraId="1DCFDADB" w14:textId="77777777" w:rsidR="007303EE" w:rsidRPr="00797379" w:rsidRDefault="007303EE" w:rsidP="00574147">
            <w:pPr>
              <w:pStyle w:val="TableTextCentered"/>
              <w:spacing w:before="0" w:after="0"/>
            </w:pPr>
            <w:r w:rsidRPr="00797379">
              <w:t>19</w:t>
            </w:r>
          </w:p>
        </w:tc>
        <w:tc>
          <w:tcPr>
            <w:tcW w:w="355" w:type="pct"/>
          </w:tcPr>
          <w:p w14:paraId="4A0BB8AF" w14:textId="77777777" w:rsidR="007303EE" w:rsidRPr="00797379" w:rsidRDefault="007303EE" w:rsidP="00574147">
            <w:pPr>
              <w:pStyle w:val="TableTextCentered"/>
              <w:spacing w:before="0" w:after="0"/>
            </w:pPr>
            <w:r w:rsidRPr="00797379">
              <w:t>27</w:t>
            </w:r>
          </w:p>
        </w:tc>
        <w:tc>
          <w:tcPr>
            <w:tcW w:w="356" w:type="pct"/>
          </w:tcPr>
          <w:p w14:paraId="3EB8E319" w14:textId="77777777" w:rsidR="007303EE" w:rsidRPr="00797379" w:rsidRDefault="007303EE" w:rsidP="00574147">
            <w:pPr>
              <w:pStyle w:val="TableTextCentered"/>
              <w:spacing w:before="0" w:after="0"/>
            </w:pPr>
            <w:r w:rsidRPr="00797379">
              <w:t>42</w:t>
            </w:r>
          </w:p>
        </w:tc>
        <w:tc>
          <w:tcPr>
            <w:tcW w:w="354" w:type="pct"/>
          </w:tcPr>
          <w:p w14:paraId="55ED0189" w14:textId="77777777" w:rsidR="007303EE" w:rsidRPr="00797379" w:rsidRDefault="007303EE" w:rsidP="00574147">
            <w:pPr>
              <w:pStyle w:val="TableTextCentered"/>
              <w:spacing w:before="0" w:after="0"/>
            </w:pPr>
            <w:r w:rsidRPr="00797379">
              <w:t>4</w:t>
            </w:r>
          </w:p>
        </w:tc>
        <w:tc>
          <w:tcPr>
            <w:tcW w:w="355" w:type="pct"/>
          </w:tcPr>
          <w:p w14:paraId="0060BB3E" w14:textId="77777777" w:rsidR="007303EE" w:rsidRPr="00797379" w:rsidRDefault="007303EE" w:rsidP="00574147">
            <w:pPr>
              <w:pStyle w:val="TableTextCentered"/>
              <w:spacing w:before="0" w:after="0"/>
            </w:pPr>
            <w:r w:rsidRPr="00797379">
              <w:t>4</w:t>
            </w:r>
          </w:p>
        </w:tc>
        <w:tc>
          <w:tcPr>
            <w:tcW w:w="354" w:type="pct"/>
          </w:tcPr>
          <w:p w14:paraId="19FBDE2B" w14:textId="77777777" w:rsidR="007303EE" w:rsidRPr="00797379" w:rsidRDefault="007303EE" w:rsidP="00574147">
            <w:pPr>
              <w:pStyle w:val="TableTextCentered"/>
              <w:spacing w:before="0" w:after="0"/>
            </w:pPr>
            <w:r w:rsidRPr="00797379">
              <w:t>3</w:t>
            </w:r>
          </w:p>
        </w:tc>
        <w:tc>
          <w:tcPr>
            <w:tcW w:w="353" w:type="pct"/>
          </w:tcPr>
          <w:p w14:paraId="6E86C447" w14:textId="77777777" w:rsidR="007303EE" w:rsidRPr="00797379" w:rsidRDefault="007303EE" w:rsidP="00574147">
            <w:pPr>
              <w:pStyle w:val="TableTextCentered"/>
              <w:spacing w:before="0" w:after="0"/>
            </w:pPr>
            <w:r w:rsidRPr="00797379">
              <w:t>17</w:t>
            </w:r>
          </w:p>
        </w:tc>
      </w:tr>
      <w:tr w:rsidR="00B313B4" w:rsidRPr="00797379" w14:paraId="0ACDAA6A" w14:textId="77777777" w:rsidTr="00132A03">
        <w:trPr>
          <w:cnfStyle w:val="000000100000" w:firstRow="0" w:lastRow="0" w:firstColumn="0" w:lastColumn="0" w:oddVBand="0" w:evenVBand="0" w:oddHBand="1" w:evenHBand="0" w:firstRowFirstColumn="0" w:firstRowLastColumn="0" w:lastRowFirstColumn="0" w:lastRowLastColumn="0"/>
        </w:trPr>
        <w:tc>
          <w:tcPr>
            <w:tcW w:w="371" w:type="pct"/>
            <w:vAlign w:val="center"/>
          </w:tcPr>
          <w:p w14:paraId="756203AC" w14:textId="77777777" w:rsidR="007303EE" w:rsidRPr="0059750A" w:rsidRDefault="007303EE" w:rsidP="00132A03">
            <w:pPr>
              <w:pStyle w:val="TableSubheading"/>
              <w:spacing w:before="0" w:after="0"/>
              <w:jc w:val="center"/>
              <w:rPr>
                <w:rFonts w:asciiTheme="minorHAnsi" w:hAnsiTheme="minorHAnsi"/>
              </w:rPr>
            </w:pPr>
            <w:r w:rsidRPr="0059750A">
              <w:rPr>
                <w:rFonts w:asciiTheme="minorHAnsi" w:hAnsiTheme="minorHAnsi"/>
              </w:rPr>
              <w:t>7</w:t>
            </w:r>
          </w:p>
        </w:tc>
        <w:tc>
          <w:tcPr>
            <w:tcW w:w="374" w:type="pct"/>
          </w:tcPr>
          <w:p w14:paraId="4C33C123" w14:textId="77777777" w:rsidR="007303EE" w:rsidRPr="00797379" w:rsidRDefault="007303EE" w:rsidP="00574147">
            <w:pPr>
              <w:pStyle w:val="TableTextCentered"/>
              <w:spacing w:before="0" w:after="0"/>
            </w:pPr>
            <w:r w:rsidRPr="00797379">
              <w:t>338</w:t>
            </w:r>
          </w:p>
        </w:tc>
        <w:tc>
          <w:tcPr>
            <w:tcW w:w="354" w:type="pct"/>
          </w:tcPr>
          <w:p w14:paraId="78854C07" w14:textId="77777777" w:rsidR="007303EE" w:rsidRPr="00797379" w:rsidRDefault="007303EE" w:rsidP="00574147">
            <w:pPr>
              <w:pStyle w:val="TableTextCentered"/>
              <w:spacing w:before="0" w:after="0"/>
            </w:pPr>
            <w:r w:rsidRPr="00797379">
              <w:t>74</w:t>
            </w:r>
          </w:p>
        </w:tc>
        <w:tc>
          <w:tcPr>
            <w:tcW w:w="355" w:type="pct"/>
          </w:tcPr>
          <w:p w14:paraId="2CC2B376" w14:textId="77777777" w:rsidR="007303EE" w:rsidRPr="00797379" w:rsidRDefault="007303EE" w:rsidP="00574147">
            <w:pPr>
              <w:pStyle w:val="TableTextCentered"/>
              <w:spacing w:before="0" w:after="0"/>
            </w:pPr>
            <w:r w:rsidRPr="00797379">
              <w:t>72</w:t>
            </w:r>
          </w:p>
        </w:tc>
        <w:tc>
          <w:tcPr>
            <w:tcW w:w="354" w:type="pct"/>
          </w:tcPr>
          <w:p w14:paraId="446B86B7" w14:textId="77777777" w:rsidR="007303EE" w:rsidRPr="00797379" w:rsidRDefault="007303EE" w:rsidP="00574147">
            <w:pPr>
              <w:pStyle w:val="TableTextCentered"/>
              <w:spacing w:before="0" w:after="0"/>
            </w:pPr>
            <w:r w:rsidRPr="00797379">
              <w:t>74</w:t>
            </w:r>
          </w:p>
        </w:tc>
        <w:tc>
          <w:tcPr>
            <w:tcW w:w="355" w:type="pct"/>
          </w:tcPr>
          <w:p w14:paraId="6C1BF3F1" w14:textId="77777777" w:rsidR="007303EE" w:rsidRPr="00797379" w:rsidRDefault="007303EE" w:rsidP="00574147">
            <w:pPr>
              <w:pStyle w:val="TableTextCentered"/>
              <w:spacing w:before="0" w:after="0"/>
            </w:pPr>
            <w:r w:rsidRPr="00797379">
              <w:t>39</w:t>
            </w:r>
          </w:p>
        </w:tc>
        <w:tc>
          <w:tcPr>
            <w:tcW w:w="355" w:type="pct"/>
          </w:tcPr>
          <w:p w14:paraId="076A601C" w14:textId="77777777" w:rsidR="007303EE" w:rsidRPr="00797379" w:rsidRDefault="007303EE" w:rsidP="00574147">
            <w:pPr>
              <w:pStyle w:val="TableTextCentered"/>
              <w:spacing w:before="0" w:after="0"/>
            </w:pPr>
            <w:r w:rsidRPr="00797379">
              <w:t>23</w:t>
            </w:r>
          </w:p>
        </w:tc>
        <w:tc>
          <w:tcPr>
            <w:tcW w:w="355" w:type="pct"/>
          </w:tcPr>
          <w:p w14:paraId="16F5D9E2" w14:textId="77777777" w:rsidR="007303EE" w:rsidRPr="00797379" w:rsidRDefault="007303EE" w:rsidP="00574147">
            <w:pPr>
              <w:pStyle w:val="TableTextCentered"/>
              <w:spacing w:before="0" w:after="0"/>
            </w:pPr>
            <w:r w:rsidRPr="00797379">
              <w:t>23</w:t>
            </w:r>
          </w:p>
        </w:tc>
        <w:tc>
          <w:tcPr>
            <w:tcW w:w="355" w:type="pct"/>
          </w:tcPr>
          <w:p w14:paraId="70B4600E" w14:textId="77777777" w:rsidR="007303EE" w:rsidRPr="00797379" w:rsidRDefault="007303EE" w:rsidP="00574147">
            <w:pPr>
              <w:pStyle w:val="TableTextCentered"/>
              <w:spacing w:before="0" w:after="0"/>
            </w:pPr>
            <w:r w:rsidRPr="00797379">
              <w:t>22</w:t>
            </w:r>
          </w:p>
        </w:tc>
        <w:tc>
          <w:tcPr>
            <w:tcW w:w="356" w:type="pct"/>
          </w:tcPr>
          <w:p w14:paraId="52D5F8B0" w14:textId="77777777" w:rsidR="007303EE" w:rsidRPr="00797379" w:rsidRDefault="007303EE" w:rsidP="00574147">
            <w:pPr>
              <w:pStyle w:val="TableTextCentered"/>
              <w:spacing w:before="0" w:after="0"/>
            </w:pPr>
            <w:r w:rsidRPr="00797379">
              <w:t>41</w:t>
            </w:r>
          </w:p>
        </w:tc>
        <w:tc>
          <w:tcPr>
            <w:tcW w:w="354" w:type="pct"/>
          </w:tcPr>
          <w:p w14:paraId="75B25EA9" w14:textId="77777777" w:rsidR="007303EE" w:rsidRPr="00797379" w:rsidRDefault="007303EE" w:rsidP="00574147">
            <w:pPr>
              <w:pStyle w:val="TableTextCentered"/>
              <w:spacing w:before="0" w:after="0"/>
            </w:pPr>
            <w:r w:rsidRPr="00797379">
              <w:t>3</w:t>
            </w:r>
          </w:p>
        </w:tc>
        <w:tc>
          <w:tcPr>
            <w:tcW w:w="355" w:type="pct"/>
          </w:tcPr>
          <w:p w14:paraId="56E67AB8" w14:textId="77777777" w:rsidR="007303EE" w:rsidRPr="00797379" w:rsidRDefault="007303EE" w:rsidP="00574147">
            <w:pPr>
              <w:pStyle w:val="TableTextCentered"/>
              <w:spacing w:before="0" w:after="0"/>
            </w:pPr>
            <w:r w:rsidRPr="00797379">
              <w:t>5</w:t>
            </w:r>
          </w:p>
        </w:tc>
        <w:tc>
          <w:tcPr>
            <w:tcW w:w="354" w:type="pct"/>
          </w:tcPr>
          <w:p w14:paraId="62FED276" w14:textId="77777777" w:rsidR="007303EE" w:rsidRPr="00797379" w:rsidRDefault="007303EE" w:rsidP="00574147">
            <w:pPr>
              <w:pStyle w:val="TableTextCentered"/>
              <w:spacing w:before="0" w:after="0"/>
            </w:pPr>
            <w:r w:rsidRPr="00797379">
              <w:t>4</w:t>
            </w:r>
          </w:p>
        </w:tc>
        <w:tc>
          <w:tcPr>
            <w:tcW w:w="353" w:type="pct"/>
          </w:tcPr>
          <w:p w14:paraId="64DCEF1A" w14:textId="77777777" w:rsidR="007303EE" w:rsidRPr="00797379" w:rsidRDefault="007303EE" w:rsidP="00574147">
            <w:pPr>
              <w:pStyle w:val="TableTextCentered"/>
              <w:spacing w:before="0" w:after="0"/>
            </w:pPr>
            <w:r w:rsidRPr="00797379">
              <w:t>20</w:t>
            </w:r>
          </w:p>
        </w:tc>
      </w:tr>
      <w:tr w:rsidR="00B313B4" w:rsidRPr="00797379" w14:paraId="218AC894" w14:textId="77777777" w:rsidTr="00132A03">
        <w:tc>
          <w:tcPr>
            <w:tcW w:w="371" w:type="pct"/>
            <w:vAlign w:val="center"/>
          </w:tcPr>
          <w:p w14:paraId="0F0F628D" w14:textId="77777777" w:rsidR="007303EE" w:rsidRPr="0059750A" w:rsidRDefault="007303EE" w:rsidP="00132A03">
            <w:pPr>
              <w:pStyle w:val="TableSubheading"/>
              <w:spacing w:before="0" w:after="0"/>
              <w:jc w:val="center"/>
              <w:rPr>
                <w:rFonts w:asciiTheme="minorHAnsi" w:hAnsiTheme="minorHAnsi"/>
              </w:rPr>
            </w:pPr>
            <w:r w:rsidRPr="0059750A">
              <w:rPr>
                <w:rFonts w:asciiTheme="minorHAnsi" w:hAnsiTheme="minorHAnsi"/>
              </w:rPr>
              <w:t>8</w:t>
            </w:r>
          </w:p>
        </w:tc>
        <w:tc>
          <w:tcPr>
            <w:tcW w:w="374" w:type="pct"/>
          </w:tcPr>
          <w:p w14:paraId="5C447DFB" w14:textId="77777777" w:rsidR="007303EE" w:rsidRPr="00797379" w:rsidRDefault="007303EE" w:rsidP="00574147">
            <w:pPr>
              <w:pStyle w:val="TableTextCentered"/>
              <w:spacing w:before="0" w:after="0"/>
            </w:pPr>
            <w:r w:rsidRPr="00797379">
              <w:t>351</w:t>
            </w:r>
          </w:p>
        </w:tc>
        <w:tc>
          <w:tcPr>
            <w:tcW w:w="354" w:type="pct"/>
          </w:tcPr>
          <w:p w14:paraId="4AA20051" w14:textId="77777777" w:rsidR="007303EE" w:rsidRPr="00797379" w:rsidRDefault="007303EE" w:rsidP="00574147">
            <w:pPr>
              <w:pStyle w:val="TableTextCentered"/>
              <w:spacing w:before="0" w:after="0"/>
            </w:pPr>
            <w:r w:rsidRPr="00797379">
              <w:t>74</w:t>
            </w:r>
          </w:p>
        </w:tc>
        <w:tc>
          <w:tcPr>
            <w:tcW w:w="355" w:type="pct"/>
          </w:tcPr>
          <w:p w14:paraId="43F3001D" w14:textId="77777777" w:rsidR="007303EE" w:rsidRPr="00797379" w:rsidRDefault="007303EE" w:rsidP="00574147">
            <w:pPr>
              <w:pStyle w:val="TableTextCentered"/>
              <w:spacing w:before="0" w:after="0"/>
            </w:pPr>
            <w:r w:rsidRPr="00797379">
              <w:t>82</w:t>
            </w:r>
          </w:p>
        </w:tc>
        <w:tc>
          <w:tcPr>
            <w:tcW w:w="354" w:type="pct"/>
          </w:tcPr>
          <w:p w14:paraId="5C582676" w14:textId="77777777" w:rsidR="007303EE" w:rsidRPr="00797379" w:rsidRDefault="007303EE" w:rsidP="00574147">
            <w:pPr>
              <w:pStyle w:val="TableTextCentered"/>
              <w:spacing w:before="0" w:after="0"/>
            </w:pPr>
            <w:r w:rsidRPr="00797379">
              <w:t>81</w:t>
            </w:r>
          </w:p>
        </w:tc>
        <w:tc>
          <w:tcPr>
            <w:tcW w:w="355" w:type="pct"/>
          </w:tcPr>
          <w:p w14:paraId="3CC8531C" w14:textId="77777777" w:rsidR="007303EE" w:rsidRPr="00797379" w:rsidRDefault="007303EE" w:rsidP="00574147">
            <w:pPr>
              <w:pStyle w:val="TableTextCentered"/>
              <w:spacing w:before="0" w:after="0"/>
            </w:pPr>
            <w:r w:rsidRPr="00797379">
              <w:t>38</w:t>
            </w:r>
          </w:p>
        </w:tc>
        <w:tc>
          <w:tcPr>
            <w:tcW w:w="355" w:type="pct"/>
          </w:tcPr>
          <w:p w14:paraId="6C2935A2" w14:textId="77777777" w:rsidR="007303EE" w:rsidRPr="00797379" w:rsidRDefault="007303EE" w:rsidP="00574147">
            <w:pPr>
              <w:pStyle w:val="TableTextCentered"/>
              <w:spacing w:before="0" w:after="0"/>
            </w:pPr>
            <w:r w:rsidRPr="00797379">
              <w:t>20</w:t>
            </w:r>
          </w:p>
        </w:tc>
        <w:tc>
          <w:tcPr>
            <w:tcW w:w="355" w:type="pct"/>
          </w:tcPr>
          <w:p w14:paraId="03FB673D" w14:textId="77777777" w:rsidR="007303EE" w:rsidRPr="00797379" w:rsidRDefault="007303EE" w:rsidP="00574147">
            <w:pPr>
              <w:pStyle w:val="TableTextCentered"/>
              <w:spacing w:before="0" w:after="0"/>
            </w:pPr>
            <w:r w:rsidRPr="00797379">
              <w:t>16</w:t>
            </w:r>
          </w:p>
        </w:tc>
        <w:tc>
          <w:tcPr>
            <w:tcW w:w="355" w:type="pct"/>
          </w:tcPr>
          <w:p w14:paraId="5EB44B7A" w14:textId="77777777" w:rsidR="007303EE" w:rsidRPr="00797379" w:rsidRDefault="007303EE" w:rsidP="00574147">
            <w:pPr>
              <w:pStyle w:val="TableTextCentered"/>
              <w:spacing w:before="0" w:after="0"/>
            </w:pPr>
            <w:r w:rsidRPr="00797379">
              <w:t>15</w:t>
            </w:r>
          </w:p>
        </w:tc>
        <w:tc>
          <w:tcPr>
            <w:tcW w:w="356" w:type="pct"/>
          </w:tcPr>
          <w:p w14:paraId="45C069A0" w14:textId="77777777" w:rsidR="007303EE" w:rsidRPr="00797379" w:rsidRDefault="007303EE" w:rsidP="00574147">
            <w:pPr>
              <w:pStyle w:val="TableTextCentered"/>
              <w:spacing w:before="0" w:after="0"/>
            </w:pPr>
            <w:r w:rsidRPr="00797379">
              <w:t>41</w:t>
            </w:r>
          </w:p>
        </w:tc>
        <w:tc>
          <w:tcPr>
            <w:tcW w:w="354" w:type="pct"/>
          </w:tcPr>
          <w:p w14:paraId="01A104F5" w14:textId="77777777" w:rsidR="007303EE" w:rsidRPr="00797379" w:rsidRDefault="007303EE" w:rsidP="00574147">
            <w:pPr>
              <w:pStyle w:val="TableTextCentered"/>
              <w:spacing w:before="0" w:after="0"/>
            </w:pPr>
            <w:r w:rsidRPr="00797379">
              <w:t>6</w:t>
            </w:r>
          </w:p>
        </w:tc>
        <w:tc>
          <w:tcPr>
            <w:tcW w:w="355" w:type="pct"/>
          </w:tcPr>
          <w:p w14:paraId="1947D8B6" w14:textId="77777777" w:rsidR="007303EE" w:rsidRPr="00797379" w:rsidRDefault="007303EE" w:rsidP="00574147">
            <w:pPr>
              <w:pStyle w:val="TableTextCentered"/>
              <w:spacing w:before="0" w:after="0"/>
            </w:pPr>
            <w:r w:rsidRPr="00797379">
              <w:t>2</w:t>
            </w:r>
          </w:p>
        </w:tc>
        <w:tc>
          <w:tcPr>
            <w:tcW w:w="354" w:type="pct"/>
          </w:tcPr>
          <w:p w14:paraId="74519050" w14:textId="77777777" w:rsidR="007303EE" w:rsidRPr="00797379" w:rsidRDefault="007303EE" w:rsidP="00574147">
            <w:pPr>
              <w:pStyle w:val="TableTextCentered"/>
              <w:spacing w:before="0" w:after="0"/>
            </w:pPr>
            <w:r w:rsidRPr="00797379">
              <w:t>5</w:t>
            </w:r>
          </w:p>
        </w:tc>
        <w:tc>
          <w:tcPr>
            <w:tcW w:w="353" w:type="pct"/>
          </w:tcPr>
          <w:p w14:paraId="781A3C5E" w14:textId="77777777" w:rsidR="007303EE" w:rsidRPr="00797379" w:rsidRDefault="007303EE" w:rsidP="00574147">
            <w:pPr>
              <w:pStyle w:val="TableTextCentered"/>
              <w:spacing w:before="0" w:after="0"/>
            </w:pPr>
            <w:r w:rsidRPr="00797379">
              <w:t>21</w:t>
            </w:r>
          </w:p>
        </w:tc>
      </w:tr>
      <w:tr w:rsidR="00B313B4" w:rsidRPr="00797379" w14:paraId="7FED5E7E" w14:textId="77777777" w:rsidTr="00132A03">
        <w:trPr>
          <w:cnfStyle w:val="000000100000" w:firstRow="0" w:lastRow="0" w:firstColumn="0" w:lastColumn="0" w:oddVBand="0" w:evenVBand="0" w:oddHBand="1" w:evenHBand="0" w:firstRowFirstColumn="0" w:firstRowLastColumn="0" w:lastRowFirstColumn="0" w:lastRowLastColumn="0"/>
        </w:trPr>
        <w:tc>
          <w:tcPr>
            <w:tcW w:w="371" w:type="pct"/>
            <w:vAlign w:val="center"/>
          </w:tcPr>
          <w:p w14:paraId="643D94EE" w14:textId="77777777" w:rsidR="007303EE" w:rsidRPr="0059750A" w:rsidRDefault="007303EE" w:rsidP="00132A03">
            <w:pPr>
              <w:pStyle w:val="TableSubheading"/>
              <w:spacing w:before="0" w:after="0"/>
              <w:jc w:val="center"/>
              <w:rPr>
                <w:rFonts w:asciiTheme="minorHAnsi" w:hAnsiTheme="minorHAnsi"/>
                <w:spacing w:val="-4"/>
              </w:rPr>
            </w:pPr>
            <w:r w:rsidRPr="0059750A">
              <w:rPr>
                <w:rFonts w:asciiTheme="minorHAnsi" w:hAnsiTheme="minorHAnsi"/>
              </w:rPr>
              <w:t>3-8</w:t>
            </w:r>
          </w:p>
        </w:tc>
        <w:tc>
          <w:tcPr>
            <w:tcW w:w="374" w:type="pct"/>
          </w:tcPr>
          <w:p w14:paraId="29874D06" w14:textId="77777777" w:rsidR="007303EE" w:rsidRPr="00797379" w:rsidRDefault="007303EE" w:rsidP="00574147">
            <w:pPr>
              <w:pStyle w:val="TableTextCentered"/>
              <w:spacing w:before="0" w:after="0"/>
            </w:pPr>
            <w:r w:rsidRPr="00797379">
              <w:t>2,034</w:t>
            </w:r>
          </w:p>
        </w:tc>
        <w:tc>
          <w:tcPr>
            <w:tcW w:w="354" w:type="pct"/>
          </w:tcPr>
          <w:p w14:paraId="46A29B7F" w14:textId="77777777" w:rsidR="007303EE" w:rsidRPr="00797379" w:rsidRDefault="007303EE" w:rsidP="00574147">
            <w:pPr>
              <w:pStyle w:val="TableTextCentered"/>
              <w:spacing w:before="0" w:after="0"/>
            </w:pPr>
            <w:r w:rsidRPr="00797379">
              <w:t>70</w:t>
            </w:r>
          </w:p>
        </w:tc>
        <w:tc>
          <w:tcPr>
            <w:tcW w:w="355" w:type="pct"/>
          </w:tcPr>
          <w:p w14:paraId="67343971" w14:textId="77777777" w:rsidR="007303EE" w:rsidRPr="00797379" w:rsidRDefault="007303EE" w:rsidP="00574147">
            <w:pPr>
              <w:pStyle w:val="TableTextCentered"/>
              <w:spacing w:before="0" w:after="0"/>
            </w:pPr>
            <w:r w:rsidRPr="00797379">
              <w:t>74</w:t>
            </w:r>
          </w:p>
        </w:tc>
        <w:tc>
          <w:tcPr>
            <w:tcW w:w="354" w:type="pct"/>
          </w:tcPr>
          <w:p w14:paraId="598C89E1" w14:textId="77777777" w:rsidR="007303EE" w:rsidRPr="00797379" w:rsidRDefault="007303EE" w:rsidP="00574147">
            <w:pPr>
              <w:pStyle w:val="TableTextCentered"/>
              <w:spacing w:before="0" w:after="0"/>
            </w:pPr>
            <w:r w:rsidRPr="00797379">
              <w:t>74</w:t>
            </w:r>
          </w:p>
        </w:tc>
        <w:tc>
          <w:tcPr>
            <w:tcW w:w="355" w:type="pct"/>
          </w:tcPr>
          <w:p w14:paraId="7F9250CE" w14:textId="77777777" w:rsidR="007303EE" w:rsidRPr="00797379" w:rsidRDefault="007303EE" w:rsidP="00574147">
            <w:pPr>
              <w:pStyle w:val="TableTextCentered"/>
              <w:spacing w:before="0" w:after="0"/>
            </w:pPr>
            <w:r w:rsidRPr="00797379">
              <w:t>41</w:t>
            </w:r>
          </w:p>
        </w:tc>
        <w:tc>
          <w:tcPr>
            <w:tcW w:w="355" w:type="pct"/>
          </w:tcPr>
          <w:p w14:paraId="2B32E766" w14:textId="77777777" w:rsidR="007303EE" w:rsidRPr="00797379" w:rsidRDefault="007303EE" w:rsidP="00574147">
            <w:pPr>
              <w:pStyle w:val="TableTextCentered"/>
              <w:spacing w:before="0" w:after="0"/>
            </w:pPr>
            <w:r w:rsidRPr="00797379">
              <w:t>25</w:t>
            </w:r>
          </w:p>
        </w:tc>
        <w:tc>
          <w:tcPr>
            <w:tcW w:w="355" w:type="pct"/>
          </w:tcPr>
          <w:p w14:paraId="5AE3F192" w14:textId="77777777" w:rsidR="007303EE" w:rsidRPr="00797379" w:rsidRDefault="007303EE" w:rsidP="00574147">
            <w:pPr>
              <w:pStyle w:val="TableTextCentered"/>
              <w:spacing w:before="0" w:after="0"/>
            </w:pPr>
            <w:r w:rsidRPr="00797379">
              <w:t>23</w:t>
            </w:r>
          </w:p>
        </w:tc>
        <w:tc>
          <w:tcPr>
            <w:tcW w:w="355" w:type="pct"/>
          </w:tcPr>
          <w:p w14:paraId="75B74CBF" w14:textId="77777777" w:rsidR="007303EE" w:rsidRPr="00797379" w:rsidRDefault="007303EE" w:rsidP="00574147">
            <w:pPr>
              <w:pStyle w:val="TableTextCentered"/>
              <w:spacing w:before="0" w:after="0"/>
            </w:pPr>
            <w:r w:rsidRPr="00797379">
              <w:t>22</w:t>
            </w:r>
          </w:p>
        </w:tc>
        <w:tc>
          <w:tcPr>
            <w:tcW w:w="356" w:type="pct"/>
          </w:tcPr>
          <w:p w14:paraId="14082C02" w14:textId="77777777" w:rsidR="007303EE" w:rsidRPr="00797379" w:rsidRDefault="007303EE" w:rsidP="00574147">
            <w:pPr>
              <w:pStyle w:val="TableTextCentered"/>
              <w:spacing w:before="0" w:after="0"/>
            </w:pPr>
            <w:r w:rsidRPr="00797379">
              <w:t>40</w:t>
            </w:r>
          </w:p>
        </w:tc>
        <w:tc>
          <w:tcPr>
            <w:tcW w:w="354" w:type="pct"/>
          </w:tcPr>
          <w:p w14:paraId="188CFC81" w14:textId="77777777" w:rsidR="007303EE" w:rsidRPr="00797379" w:rsidRDefault="007303EE" w:rsidP="00574147">
            <w:pPr>
              <w:pStyle w:val="TableTextCentered"/>
              <w:spacing w:before="0" w:after="0"/>
            </w:pPr>
            <w:r w:rsidRPr="00797379">
              <w:t>5</w:t>
            </w:r>
          </w:p>
        </w:tc>
        <w:tc>
          <w:tcPr>
            <w:tcW w:w="355" w:type="pct"/>
          </w:tcPr>
          <w:p w14:paraId="73BFA80B" w14:textId="77777777" w:rsidR="007303EE" w:rsidRPr="00797379" w:rsidRDefault="007303EE" w:rsidP="00574147">
            <w:pPr>
              <w:pStyle w:val="TableTextCentered"/>
              <w:spacing w:before="0" w:after="0"/>
            </w:pPr>
            <w:r w:rsidRPr="00797379">
              <w:t>4</w:t>
            </w:r>
          </w:p>
        </w:tc>
        <w:tc>
          <w:tcPr>
            <w:tcW w:w="354" w:type="pct"/>
          </w:tcPr>
          <w:p w14:paraId="1A9E9D44" w14:textId="77777777" w:rsidR="007303EE" w:rsidRPr="00797379" w:rsidRDefault="007303EE" w:rsidP="00574147">
            <w:pPr>
              <w:pStyle w:val="TableTextCentered"/>
              <w:spacing w:before="0" w:after="0"/>
            </w:pPr>
            <w:r w:rsidRPr="00797379">
              <w:t>4</w:t>
            </w:r>
          </w:p>
        </w:tc>
        <w:tc>
          <w:tcPr>
            <w:tcW w:w="353" w:type="pct"/>
          </w:tcPr>
          <w:p w14:paraId="52040980" w14:textId="77777777" w:rsidR="007303EE" w:rsidRPr="00797379" w:rsidRDefault="007303EE" w:rsidP="00574147">
            <w:pPr>
              <w:pStyle w:val="TableTextCentered"/>
              <w:spacing w:before="0" w:after="0"/>
            </w:pPr>
            <w:r w:rsidRPr="00797379">
              <w:t>19</w:t>
            </w:r>
          </w:p>
        </w:tc>
      </w:tr>
      <w:tr w:rsidR="00B313B4" w:rsidRPr="00797379" w14:paraId="3C1FE29E" w14:textId="77777777" w:rsidTr="00132A03">
        <w:tc>
          <w:tcPr>
            <w:tcW w:w="371" w:type="pct"/>
            <w:vAlign w:val="center"/>
          </w:tcPr>
          <w:p w14:paraId="504F16A9" w14:textId="77777777" w:rsidR="007303EE" w:rsidRPr="0059750A" w:rsidRDefault="007303EE" w:rsidP="00132A03">
            <w:pPr>
              <w:pStyle w:val="TableSubheading"/>
              <w:spacing w:before="0" w:after="0"/>
              <w:jc w:val="center"/>
              <w:rPr>
                <w:rFonts w:asciiTheme="minorHAnsi" w:hAnsiTheme="minorHAnsi"/>
              </w:rPr>
            </w:pPr>
            <w:r w:rsidRPr="0059750A">
              <w:rPr>
                <w:rFonts w:asciiTheme="minorHAnsi" w:hAnsiTheme="minorHAnsi"/>
              </w:rPr>
              <w:t>10</w:t>
            </w:r>
          </w:p>
        </w:tc>
        <w:tc>
          <w:tcPr>
            <w:tcW w:w="374" w:type="pct"/>
          </w:tcPr>
          <w:p w14:paraId="05253A39" w14:textId="77777777" w:rsidR="007303EE" w:rsidRPr="00797379" w:rsidRDefault="007303EE" w:rsidP="00574147">
            <w:pPr>
              <w:pStyle w:val="TableTextCentered"/>
              <w:spacing w:before="0" w:after="0"/>
            </w:pPr>
            <w:r w:rsidRPr="00797379">
              <w:t>345</w:t>
            </w:r>
          </w:p>
        </w:tc>
        <w:tc>
          <w:tcPr>
            <w:tcW w:w="354" w:type="pct"/>
          </w:tcPr>
          <w:p w14:paraId="0037549C" w14:textId="77777777" w:rsidR="007303EE" w:rsidRPr="00797379" w:rsidRDefault="007303EE" w:rsidP="00574147">
            <w:pPr>
              <w:pStyle w:val="TableTextCentered"/>
              <w:spacing w:before="0" w:after="0"/>
            </w:pPr>
            <w:r w:rsidRPr="00797379">
              <w:t>87</w:t>
            </w:r>
          </w:p>
        </w:tc>
        <w:tc>
          <w:tcPr>
            <w:tcW w:w="355" w:type="pct"/>
          </w:tcPr>
          <w:p w14:paraId="65B5851D" w14:textId="77777777" w:rsidR="007303EE" w:rsidRPr="00797379" w:rsidRDefault="007303EE" w:rsidP="00574147">
            <w:pPr>
              <w:pStyle w:val="TableTextCentered"/>
              <w:spacing w:before="0" w:after="0"/>
            </w:pPr>
            <w:r w:rsidRPr="00797379">
              <w:t>85</w:t>
            </w:r>
          </w:p>
        </w:tc>
        <w:tc>
          <w:tcPr>
            <w:tcW w:w="354" w:type="pct"/>
          </w:tcPr>
          <w:p w14:paraId="7FC09C53" w14:textId="77777777" w:rsidR="007303EE" w:rsidRPr="00797379" w:rsidRDefault="007303EE" w:rsidP="00574147">
            <w:pPr>
              <w:pStyle w:val="TableTextCentered"/>
              <w:spacing w:before="0" w:after="0"/>
            </w:pPr>
            <w:r w:rsidRPr="00797379">
              <w:t>77</w:t>
            </w:r>
          </w:p>
        </w:tc>
        <w:tc>
          <w:tcPr>
            <w:tcW w:w="355" w:type="pct"/>
          </w:tcPr>
          <w:p w14:paraId="1B3A0EDF" w14:textId="77777777" w:rsidR="007303EE" w:rsidRPr="00797379" w:rsidRDefault="007303EE" w:rsidP="00574147">
            <w:pPr>
              <w:pStyle w:val="TableTextCentered"/>
              <w:spacing w:before="0" w:after="0"/>
            </w:pPr>
            <w:r w:rsidRPr="00797379">
              <w:t>45</w:t>
            </w:r>
          </w:p>
        </w:tc>
        <w:tc>
          <w:tcPr>
            <w:tcW w:w="355" w:type="pct"/>
          </w:tcPr>
          <w:p w14:paraId="1D593816" w14:textId="77777777" w:rsidR="007303EE" w:rsidRPr="00797379" w:rsidRDefault="007303EE" w:rsidP="00574147">
            <w:pPr>
              <w:pStyle w:val="TableTextCentered"/>
              <w:spacing w:before="0" w:after="0"/>
            </w:pPr>
            <w:r w:rsidRPr="00797379">
              <w:t>11</w:t>
            </w:r>
          </w:p>
        </w:tc>
        <w:tc>
          <w:tcPr>
            <w:tcW w:w="355" w:type="pct"/>
          </w:tcPr>
          <w:p w14:paraId="02C96AE1" w14:textId="77777777" w:rsidR="007303EE" w:rsidRPr="00797379" w:rsidRDefault="007303EE" w:rsidP="00574147">
            <w:pPr>
              <w:pStyle w:val="TableTextCentered"/>
              <w:spacing w:before="0" w:after="0"/>
            </w:pPr>
            <w:r w:rsidRPr="00797379">
              <w:t>11</w:t>
            </w:r>
          </w:p>
        </w:tc>
        <w:tc>
          <w:tcPr>
            <w:tcW w:w="355" w:type="pct"/>
          </w:tcPr>
          <w:p w14:paraId="0415E6C6" w14:textId="77777777" w:rsidR="007303EE" w:rsidRPr="00797379" w:rsidRDefault="007303EE" w:rsidP="00574147">
            <w:pPr>
              <w:pStyle w:val="TableTextCentered"/>
              <w:spacing w:before="0" w:after="0"/>
            </w:pPr>
            <w:r w:rsidRPr="00797379">
              <w:t>18</w:t>
            </w:r>
          </w:p>
        </w:tc>
        <w:tc>
          <w:tcPr>
            <w:tcW w:w="356" w:type="pct"/>
          </w:tcPr>
          <w:p w14:paraId="5742F3C7" w14:textId="77777777" w:rsidR="007303EE" w:rsidRPr="00797379" w:rsidRDefault="007303EE" w:rsidP="00574147">
            <w:pPr>
              <w:pStyle w:val="TableTextCentered"/>
              <w:spacing w:before="0" w:after="0"/>
            </w:pPr>
            <w:r w:rsidRPr="00797379">
              <w:t>39</w:t>
            </w:r>
          </w:p>
        </w:tc>
        <w:tc>
          <w:tcPr>
            <w:tcW w:w="354" w:type="pct"/>
          </w:tcPr>
          <w:p w14:paraId="3E8EEC74" w14:textId="77777777" w:rsidR="007303EE" w:rsidRPr="00797379" w:rsidRDefault="007303EE" w:rsidP="00574147">
            <w:pPr>
              <w:pStyle w:val="TableTextCentered"/>
              <w:spacing w:before="0" w:after="0"/>
            </w:pPr>
            <w:r w:rsidRPr="00797379">
              <w:t>2</w:t>
            </w:r>
          </w:p>
        </w:tc>
        <w:tc>
          <w:tcPr>
            <w:tcW w:w="355" w:type="pct"/>
          </w:tcPr>
          <w:p w14:paraId="0C120086" w14:textId="77777777" w:rsidR="007303EE" w:rsidRPr="00797379" w:rsidRDefault="007303EE" w:rsidP="00574147">
            <w:pPr>
              <w:pStyle w:val="TableTextCentered"/>
              <w:spacing w:before="0" w:after="0"/>
            </w:pPr>
            <w:r w:rsidRPr="00797379">
              <w:t>4</w:t>
            </w:r>
          </w:p>
        </w:tc>
        <w:tc>
          <w:tcPr>
            <w:tcW w:w="354" w:type="pct"/>
          </w:tcPr>
          <w:p w14:paraId="29AADB1D" w14:textId="77777777" w:rsidR="007303EE" w:rsidRPr="00797379" w:rsidRDefault="007303EE" w:rsidP="00574147">
            <w:pPr>
              <w:pStyle w:val="TableTextCentered"/>
              <w:spacing w:before="0" w:after="0"/>
            </w:pPr>
            <w:r w:rsidRPr="00797379">
              <w:t>5</w:t>
            </w:r>
          </w:p>
        </w:tc>
        <w:tc>
          <w:tcPr>
            <w:tcW w:w="353" w:type="pct"/>
          </w:tcPr>
          <w:p w14:paraId="1AA4B77C" w14:textId="77777777" w:rsidR="007303EE" w:rsidRPr="00797379" w:rsidRDefault="007303EE" w:rsidP="00574147">
            <w:pPr>
              <w:pStyle w:val="TableTextCentered"/>
              <w:spacing w:before="0" w:after="0"/>
            </w:pPr>
            <w:r w:rsidRPr="00797379">
              <w:t>16</w:t>
            </w:r>
          </w:p>
        </w:tc>
      </w:tr>
    </w:tbl>
    <w:p w14:paraId="006AFB3C" w14:textId="77777777" w:rsidR="007303EE" w:rsidRPr="00797379" w:rsidRDefault="007303EE" w:rsidP="006C2038">
      <w:pPr>
        <w:pStyle w:val="TableETitles"/>
      </w:pPr>
      <w:bookmarkStart w:id="250" w:name="_Toc220933512"/>
      <w:bookmarkEnd w:id="247"/>
      <w:bookmarkEnd w:id="249"/>
      <w:r w:rsidRPr="00797379">
        <w:t>Table E9. MCAS Science Achievement by Grade, 2023-2025</w:t>
      </w:r>
      <w:bookmarkEnd w:id="250"/>
    </w:p>
    <w:tbl>
      <w:tblPr>
        <w:tblStyle w:val="MSVTable1"/>
        <w:tblW w:w="5000" w:type="pct"/>
        <w:tblLook w:val="0420" w:firstRow="1" w:lastRow="0" w:firstColumn="0" w:lastColumn="0" w:noHBand="0" w:noVBand="1"/>
      </w:tblPr>
      <w:tblGrid>
        <w:gridCol w:w="961"/>
        <w:gridCol w:w="969"/>
        <w:gridCol w:w="916"/>
        <w:gridCol w:w="919"/>
        <w:gridCol w:w="916"/>
        <w:gridCol w:w="919"/>
        <w:gridCol w:w="919"/>
        <w:gridCol w:w="919"/>
        <w:gridCol w:w="919"/>
        <w:gridCol w:w="922"/>
        <w:gridCol w:w="916"/>
        <w:gridCol w:w="919"/>
        <w:gridCol w:w="916"/>
        <w:gridCol w:w="914"/>
      </w:tblGrid>
      <w:tr w:rsidR="00B313B4" w:rsidRPr="00797379" w14:paraId="795D7531" w14:textId="77777777" w:rsidTr="00132A03">
        <w:trPr>
          <w:cnfStyle w:val="100000000000" w:firstRow="1" w:lastRow="0" w:firstColumn="0" w:lastColumn="0" w:oddVBand="0" w:evenVBand="0" w:oddHBand="0" w:evenHBand="0" w:firstRowFirstColumn="0" w:firstRowLastColumn="0" w:lastRowFirstColumn="0" w:lastRowLastColumn="0"/>
          <w:tblHeader/>
        </w:trPr>
        <w:tc>
          <w:tcPr>
            <w:tcW w:w="371" w:type="pct"/>
            <w:vAlign w:val="center"/>
          </w:tcPr>
          <w:p w14:paraId="2334D63C" w14:textId="77777777" w:rsidR="007303EE" w:rsidRPr="00797379" w:rsidRDefault="007303EE" w:rsidP="005874C8">
            <w:pPr>
              <w:pStyle w:val="TableColHeadingCenter"/>
            </w:pPr>
            <w:r w:rsidRPr="00797379">
              <w:t>Grade</w:t>
            </w:r>
          </w:p>
        </w:tc>
        <w:tc>
          <w:tcPr>
            <w:tcW w:w="374" w:type="pct"/>
            <w:vAlign w:val="center"/>
          </w:tcPr>
          <w:p w14:paraId="3D0B806F" w14:textId="77777777" w:rsidR="007303EE" w:rsidRPr="00797379" w:rsidRDefault="007303EE" w:rsidP="005874C8">
            <w:pPr>
              <w:pStyle w:val="TableColHeadingCenter"/>
            </w:pPr>
            <w:r w:rsidRPr="00797379">
              <w:t># Included (2025)</w:t>
            </w:r>
          </w:p>
        </w:tc>
        <w:tc>
          <w:tcPr>
            <w:tcW w:w="354" w:type="pct"/>
            <w:vAlign w:val="center"/>
          </w:tcPr>
          <w:p w14:paraId="7D4AEFFC" w14:textId="77777777" w:rsidR="007303EE" w:rsidRPr="00797379" w:rsidRDefault="007303EE" w:rsidP="005874C8">
            <w:pPr>
              <w:pStyle w:val="TableColHeadingCenter"/>
            </w:pPr>
            <w:r w:rsidRPr="00797379">
              <w:t>% M/E 2023</w:t>
            </w:r>
          </w:p>
        </w:tc>
        <w:tc>
          <w:tcPr>
            <w:tcW w:w="355" w:type="pct"/>
            <w:vAlign w:val="center"/>
          </w:tcPr>
          <w:p w14:paraId="3EE58DFC" w14:textId="77777777" w:rsidR="007303EE" w:rsidRPr="00797379" w:rsidRDefault="007303EE" w:rsidP="005874C8">
            <w:pPr>
              <w:pStyle w:val="TableColHeadingCenter"/>
            </w:pPr>
            <w:r w:rsidRPr="00797379">
              <w:t>% M/E 2024</w:t>
            </w:r>
          </w:p>
        </w:tc>
        <w:tc>
          <w:tcPr>
            <w:tcW w:w="354" w:type="pct"/>
            <w:vAlign w:val="center"/>
          </w:tcPr>
          <w:p w14:paraId="0784C4B5" w14:textId="77777777" w:rsidR="007303EE" w:rsidRPr="00797379" w:rsidRDefault="007303EE" w:rsidP="005874C8">
            <w:pPr>
              <w:pStyle w:val="TableColHeadingCenter"/>
            </w:pPr>
            <w:r w:rsidRPr="00797379">
              <w:t>% M/E 2025</w:t>
            </w:r>
          </w:p>
        </w:tc>
        <w:tc>
          <w:tcPr>
            <w:tcW w:w="355" w:type="pct"/>
            <w:vAlign w:val="center"/>
          </w:tcPr>
          <w:p w14:paraId="0B7B0429" w14:textId="77777777" w:rsidR="007303EE" w:rsidRPr="00797379" w:rsidRDefault="007303EE" w:rsidP="005874C8">
            <w:pPr>
              <w:pStyle w:val="TableColHeadingCenter"/>
            </w:pPr>
            <w:r w:rsidRPr="00797379">
              <w:t>% M/E 2025 State</w:t>
            </w:r>
          </w:p>
        </w:tc>
        <w:tc>
          <w:tcPr>
            <w:tcW w:w="355" w:type="pct"/>
            <w:vAlign w:val="center"/>
          </w:tcPr>
          <w:p w14:paraId="095B5969" w14:textId="77777777" w:rsidR="007303EE" w:rsidRPr="00797379" w:rsidRDefault="007303EE" w:rsidP="005874C8">
            <w:pPr>
              <w:pStyle w:val="TableColHeadingCenter"/>
            </w:pPr>
            <w:r w:rsidRPr="00797379">
              <w:t>% PME 2023</w:t>
            </w:r>
          </w:p>
        </w:tc>
        <w:tc>
          <w:tcPr>
            <w:tcW w:w="355" w:type="pct"/>
            <w:vAlign w:val="center"/>
          </w:tcPr>
          <w:p w14:paraId="1081D3AF" w14:textId="77777777" w:rsidR="007303EE" w:rsidRPr="00797379" w:rsidRDefault="007303EE" w:rsidP="005874C8">
            <w:pPr>
              <w:pStyle w:val="TableColHeadingCenter"/>
            </w:pPr>
            <w:r w:rsidRPr="00797379">
              <w:t>% PME 2024</w:t>
            </w:r>
          </w:p>
        </w:tc>
        <w:tc>
          <w:tcPr>
            <w:tcW w:w="355" w:type="pct"/>
            <w:vAlign w:val="center"/>
          </w:tcPr>
          <w:p w14:paraId="5FA29F70" w14:textId="77777777" w:rsidR="007303EE" w:rsidRPr="00797379" w:rsidRDefault="007303EE" w:rsidP="005874C8">
            <w:pPr>
              <w:pStyle w:val="TableColHeadingCenter"/>
            </w:pPr>
            <w:r w:rsidRPr="00797379">
              <w:t>% PME 2025</w:t>
            </w:r>
          </w:p>
        </w:tc>
        <w:tc>
          <w:tcPr>
            <w:tcW w:w="356" w:type="pct"/>
            <w:vAlign w:val="center"/>
          </w:tcPr>
          <w:p w14:paraId="7CCB74BC" w14:textId="77777777" w:rsidR="007303EE" w:rsidRPr="00797379" w:rsidRDefault="007303EE" w:rsidP="005874C8">
            <w:pPr>
              <w:pStyle w:val="TableColHeadingCenter"/>
            </w:pPr>
            <w:r w:rsidRPr="00797379">
              <w:t>% PME 2025 State</w:t>
            </w:r>
          </w:p>
        </w:tc>
        <w:tc>
          <w:tcPr>
            <w:tcW w:w="354" w:type="pct"/>
            <w:vAlign w:val="center"/>
          </w:tcPr>
          <w:p w14:paraId="244A4377" w14:textId="77777777" w:rsidR="007303EE" w:rsidRPr="00797379" w:rsidRDefault="007303EE" w:rsidP="005874C8">
            <w:pPr>
              <w:pStyle w:val="TableColHeadingCenter"/>
            </w:pPr>
            <w:r w:rsidRPr="00797379">
              <w:t>% NM 2023</w:t>
            </w:r>
          </w:p>
        </w:tc>
        <w:tc>
          <w:tcPr>
            <w:tcW w:w="355" w:type="pct"/>
            <w:vAlign w:val="center"/>
          </w:tcPr>
          <w:p w14:paraId="500AE6C0" w14:textId="77777777" w:rsidR="007303EE" w:rsidRPr="00797379" w:rsidRDefault="007303EE" w:rsidP="005874C8">
            <w:pPr>
              <w:pStyle w:val="TableColHeadingCenter"/>
            </w:pPr>
            <w:r w:rsidRPr="00797379">
              <w:t>% NM 2024</w:t>
            </w:r>
          </w:p>
        </w:tc>
        <w:tc>
          <w:tcPr>
            <w:tcW w:w="354" w:type="pct"/>
            <w:vAlign w:val="center"/>
          </w:tcPr>
          <w:p w14:paraId="4D432845" w14:textId="77777777" w:rsidR="007303EE" w:rsidRPr="00797379" w:rsidRDefault="007303EE" w:rsidP="005874C8">
            <w:pPr>
              <w:pStyle w:val="TableColHeadingCenter"/>
            </w:pPr>
            <w:r w:rsidRPr="00797379">
              <w:t>% NM 2025</w:t>
            </w:r>
          </w:p>
        </w:tc>
        <w:tc>
          <w:tcPr>
            <w:tcW w:w="353" w:type="pct"/>
            <w:vAlign w:val="center"/>
          </w:tcPr>
          <w:p w14:paraId="246CB4B6" w14:textId="77777777" w:rsidR="007303EE" w:rsidRPr="00797379" w:rsidRDefault="007303EE" w:rsidP="005874C8">
            <w:pPr>
              <w:pStyle w:val="TableColHeadingCenter"/>
            </w:pPr>
            <w:r w:rsidRPr="00797379">
              <w:t>% NM 2025 State</w:t>
            </w:r>
          </w:p>
        </w:tc>
      </w:tr>
      <w:tr w:rsidR="00B313B4" w:rsidRPr="00797379" w14:paraId="144C9B33" w14:textId="77777777" w:rsidTr="00132A03">
        <w:trPr>
          <w:cnfStyle w:val="000000100000" w:firstRow="0" w:lastRow="0" w:firstColumn="0" w:lastColumn="0" w:oddVBand="0" w:evenVBand="0" w:oddHBand="1" w:evenHBand="0" w:firstRowFirstColumn="0" w:firstRowLastColumn="0" w:lastRowFirstColumn="0" w:lastRowLastColumn="0"/>
        </w:trPr>
        <w:tc>
          <w:tcPr>
            <w:tcW w:w="371" w:type="pct"/>
            <w:vAlign w:val="center"/>
          </w:tcPr>
          <w:p w14:paraId="1165D928" w14:textId="77777777" w:rsidR="007303EE" w:rsidRPr="0059750A" w:rsidRDefault="007303EE" w:rsidP="00132A03">
            <w:pPr>
              <w:pStyle w:val="TableSubheading"/>
              <w:spacing w:before="0" w:after="0"/>
              <w:jc w:val="center"/>
              <w:rPr>
                <w:rFonts w:asciiTheme="minorHAnsi" w:hAnsiTheme="minorHAnsi"/>
              </w:rPr>
            </w:pPr>
            <w:r w:rsidRPr="0059750A">
              <w:rPr>
                <w:rFonts w:asciiTheme="minorHAnsi" w:hAnsiTheme="minorHAnsi"/>
              </w:rPr>
              <w:t>5</w:t>
            </w:r>
          </w:p>
        </w:tc>
        <w:tc>
          <w:tcPr>
            <w:tcW w:w="374" w:type="pct"/>
          </w:tcPr>
          <w:p w14:paraId="0B488CDB" w14:textId="77777777" w:rsidR="007303EE" w:rsidRPr="00797379" w:rsidRDefault="007303EE" w:rsidP="00574147">
            <w:pPr>
              <w:pStyle w:val="TableTextCentered"/>
              <w:spacing w:before="0" w:after="0"/>
            </w:pPr>
            <w:r w:rsidRPr="00797379">
              <w:t>376</w:t>
            </w:r>
          </w:p>
        </w:tc>
        <w:tc>
          <w:tcPr>
            <w:tcW w:w="354" w:type="pct"/>
          </w:tcPr>
          <w:p w14:paraId="79505F4F" w14:textId="77777777" w:rsidR="007303EE" w:rsidRPr="00797379" w:rsidRDefault="007303EE" w:rsidP="00574147">
            <w:pPr>
              <w:pStyle w:val="TableTextCentered"/>
              <w:spacing w:before="0" w:after="0"/>
            </w:pPr>
            <w:r w:rsidRPr="00797379">
              <w:t>78</w:t>
            </w:r>
          </w:p>
        </w:tc>
        <w:tc>
          <w:tcPr>
            <w:tcW w:w="355" w:type="pct"/>
          </w:tcPr>
          <w:p w14:paraId="1B654AEB" w14:textId="77777777" w:rsidR="007303EE" w:rsidRPr="00797379" w:rsidRDefault="007303EE" w:rsidP="00574147">
            <w:pPr>
              <w:pStyle w:val="TableTextCentered"/>
              <w:spacing w:before="0" w:after="0"/>
            </w:pPr>
            <w:r w:rsidRPr="00797379">
              <w:t>80</w:t>
            </w:r>
          </w:p>
        </w:tc>
        <w:tc>
          <w:tcPr>
            <w:tcW w:w="354" w:type="pct"/>
          </w:tcPr>
          <w:p w14:paraId="17F7DE88" w14:textId="77777777" w:rsidR="007303EE" w:rsidRPr="00797379" w:rsidRDefault="007303EE" w:rsidP="00574147">
            <w:pPr>
              <w:pStyle w:val="TableTextCentered"/>
              <w:spacing w:before="0" w:after="0"/>
            </w:pPr>
            <w:r w:rsidRPr="00797379">
              <w:t>79</w:t>
            </w:r>
          </w:p>
        </w:tc>
        <w:tc>
          <w:tcPr>
            <w:tcW w:w="355" w:type="pct"/>
          </w:tcPr>
          <w:p w14:paraId="1B20D3FC" w14:textId="77777777" w:rsidR="007303EE" w:rsidRPr="00797379" w:rsidRDefault="007303EE" w:rsidP="00574147">
            <w:pPr>
              <w:pStyle w:val="TableTextCentered"/>
              <w:spacing w:before="0" w:after="0"/>
            </w:pPr>
            <w:r w:rsidRPr="00797379">
              <w:t>46</w:t>
            </w:r>
          </w:p>
        </w:tc>
        <w:tc>
          <w:tcPr>
            <w:tcW w:w="355" w:type="pct"/>
          </w:tcPr>
          <w:p w14:paraId="55713673" w14:textId="77777777" w:rsidR="007303EE" w:rsidRPr="00797379" w:rsidRDefault="007303EE" w:rsidP="00574147">
            <w:pPr>
              <w:pStyle w:val="TableTextCentered"/>
              <w:spacing w:before="0" w:after="0"/>
            </w:pPr>
            <w:r w:rsidRPr="00797379">
              <w:t>17</w:t>
            </w:r>
          </w:p>
        </w:tc>
        <w:tc>
          <w:tcPr>
            <w:tcW w:w="355" w:type="pct"/>
          </w:tcPr>
          <w:p w14:paraId="7342B3B0" w14:textId="77777777" w:rsidR="007303EE" w:rsidRPr="00797379" w:rsidRDefault="007303EE" w:rsidP="00574147">
            <w:pPr>
              <w:pStyle w:val="TableTextCentered"/>
              <w:spacing w:before="0" w:after="0"/>
            </w:pPr>
            <w:r w:rsidRPr="00797379">
              <w:t>16</w:t>
            </w:r>
          </w:p>
        </w:tc>
        <w:tc>
          <w:tcPr>
            <w:tcW w:w="355" w:type="pct"/>
          </w:tcPr>
          <w:p w14:paraId="60F465F0" w14:textId="77777777" w:rsidR="007303EE" w:rsidRPr="00797379" w:rsidRDefault="007303EE" w:rsidP="00574147">
            <w:pPr>
              <w:pStyle w:val="TableTextCentered"/>
              <w:spacing w:before="0" w:after="0"/>
            </w:pPr>
            <w:r w:rsidRPr="00797379">
              <w:t>19</w:t>
            </w:r>
          </w:p>
        </w:tc>
        <w:tc>
          <w:tcPr>
            <w:tcW w:w="356" w:type="pct"/>
          </w:tcPr>
          <w:p w14:paraId="1AF7A3E6" w14:textId="77777777" w:rsidR="007303EE" w:rsidRPr="00797379" w:rsidRDefault="007303EE" w:rsidP="00574147">
            <w:pPr>
              <w:pStyle w:val="TableTextCentered"/>
              <w:spacing w:before="0" w:after="0"/>
            </w:pPr>
            <w:r w:rsidRPr="00797379">
              <w:t>34</w:t>
            </w:r>
          </w:p>
        </w:tc>
        <w:tc>
          <w:tcPr>
            <w:tcW w:w="354" w:type="pct"/>
          </w:tcPr>
          <w:p w14:paraId="29575DC3" w14:textId="77777777" w:rsidR="007303EE" w:rsidRPr="00797379" w:rsidRDefault="007303EE" w:rsidP="00574147">
            <w:pPr>
              <w:pStyle w:val="TableTextCentered"/>
              <w:spacing w:before="0" w:after="0"/>
            </w:pPr>
            <w:r w:rsidRPr="00797379">
              <w:t>5</w:t>
            </w:r>
          </w:p>
        </w:tc>
        <w:tc>
          <w:tcPr>
            <w:tcW w:w="355" w:type="pct"/>
          </w:tcPr>
          <w:p w14:paraId="17B4C5F4" w14:textId="77777777" w:rsidR="007303EE" w:rsidRPr="00797379" w:rsidRDefault="007303EE" w:rsidP="00574147">
            <w:pPr>
              <w:pStyle w:val="TableTextCentered"/>
              <w:spacing w:before="0" w:after="0"/>
            </w:pPr>
            <w:r w:rsidRPr="00797379">
              <w:t>4</w:t>
            </w:r>
          </w:p>
        </w:tc>
        <w:tc>
          <w:tcPr>
            <w:tcW w:w="354" w:type="pct"/>
          </w:tcPr>
          <w:p w14:paraId="0D1AD964" w14:textId="77777777" w:rsidR="007303EE" w:rsidRPr="00797379" w:rsidRDefault="007303EE" w:rsidP="00574147">
            <w:pPr>
              <w:pStyle w:val="TableTextCentered"/>
              <w:spacing w:before="0" w:after="0"/>
            </w:pPr>
            <w:r w:rsidRPr="00797379">
              <w:t>2</w:t>
            </w:r>
          </w:p>
        </w:tc>
        <w:tc>
          <w:tcPr>
            <w:tcW w:w="353" w:type="pct"/>
          </w:tcPr>
          <w:p w14:paraId="5A128A33" w14:textId="77777777" w:rsidR="007303EE" w:rsidRPr="00797379" w:rsidRDefault="007303EE" w:rsidP="00574147">
            <w:pPr>
              <w:pStyle w:val="TableTextCentered"/>
              <w:spacing w:before="0" w:after="0"/>
            </w:pPr>
            <w:r w:rsidRPr="00797379">
              <w:t>20</w:t>
            </w:r>
          </w:p>
        </w:tc>
      </w:tr>
      <w:tr w:rsidR="00B313B4" w:rsidRPr="00797379" w14:paraId="1AC47617" w14:textId="77777777" w:rsidTr="00132A03">
        <w:tc>
          <w:tcPr>
            <w:tcW w:w="371" w:type="pct"/>
            <w:vAlign w:val="center"/>
          </w:tcPr>
          <w:p w14:paraId="59EAB0BE" w14:textId="77777777" w:rsidR="007303EE" w:rsidRPr="0059750A" w:rsidRDefault="007303EE" w:rsidP="00132A03">
            <w:pPr>
              <w:pStyle w:val="TableSubheading"/>
              <w:spacing w:before="0" w:after="0"/>
              <w:jc w:val="center"/>
              <w:rPr>
                <w:rFonts w:asciiTheme="minorHAnsi" w:hAnsiTheme="minorHAnsi"/>
              </w:rPr>
            </w:pPr>
            <w:r w:rsidRPr="0059750A">
              <w:rPr>
                <w:rFonts w:asciiTheme="minorHAnsi" w:hAnsiTheme="minorHAnsi"/>
              </w:rPr>
              <w:t>8</w:t>
            </w:r>
          </w:p>
        </w:tc>
        <w:tc>
          <w:tcPr>
            <w:tcW w:w="374" w:type="pct"/>
          </w:tcPr>
          <w:p w14:paraId="1B8B523A" w14:textId="77777777" w:rsidR="007303EE" w:rsidRPr="00797379" w:rsidRDefault="007303EE" w:rsidP="00574147">
            <w:pPr>
              <w:pStyle w:val="TableTextCentered"/>
              <w:spacing w:before="0" w:after="0"/>
            </w:pPr>
            <w:r w:rsidRPr="00797379">
              <w:t>351</w:t>
            </w:r>
          </w:p>
        </w:tc>
        <w:tc>
          <w:tcPr>
            <w:tcW w:w="354" w:type="pct"/>
          </w:tcPr>
          <w:p w14:paraId="4ADE2F72" w14:textId="77777777" w:rsidR="007303EE" w:rsidRPr="00797379" w:rsidRDefault="007303EE" w:rsidP="00574147">
            <w:pPr>
              <w:pStyle w:val="TableTextCentered"/>
              <w:spacing w:before="0" w:after="0"/>
            </w:pPr>
            <w:r w:rsidRPr="00797379">
              <w:t>72</w:t>
            </w:r>
          </w:p>
        </w:tc>
        <w:tc>
          <w:tcPr>
            <w:tcW w:w="355" w:type="pct"/>
          </w:tcPr>
          <w:p w14:paraId="48CF00FB" w14:textId="77777777" w:rsidR="007303EE" w:rsidRPr="00797379" w:rsidRDefault="007303EE" w:rsidP="00574147">
            <w:pPr>
              <w:pStyle w:val="TableTextCentered"/>
              <w:spacing w:before="0" w:after="0"/>
            </w:pPr>
            <w:r w:rsidRPr="00797379">
              <w:t>80</w:t>
            </w:r>
          </w:p>
        </w:tc>
        <w:tc>
          <w:tcPr>
            <w:tcW w:w="354" w:type="pct"/>
          </w:tcPr>
          <w:p w14:paraId="48656B7C" w14:textId="77777777" w:rsidR="007303EE" w:rsidRPr="00797379" w:rsidRDefault="007303EE" w:rsidP="00574147">
            <w:pPr>
              <w:pStyle w:val="TableTextCentered"/>
              <w:spacing w:before="0" w:after="0"/>
            </w:pPr>
            <w:r w:rsidRPr="00797379">
              <w:t>75</w:t>
            </w:r>
          </w:p>
        </w:tc>
        <w:tc>
          <w:tcPr>
            <w:tcW w:w="355" w:type="pct"/>
          </w:tcPr>
          <w:p w14:paraId="75D946C4" w14:textId="77777777" w:rsidR="007303EE" w:rsidRPr="00797379" w:rsidRDefault="007303EE" w:rsidP="00574147">
            <w:pPr>
              <w:pStyle w:val="TableTextCentered"/>
              <w:spacing w:before="0" w:after="0"/>
            </w:pPr>
            <w:r w:rsidRPr="00797379">
              <w:t>37</w:t>
            </w:r>
          </w:p>
        </w:tc>
        <w:tc>
          <w:tcPr>
            <w:tcW w:w="355" w:type="pct"/>
          </w:tcPr>
          <w:p w14:paraId="2B7CBB6D" w14:textId="77777777" w:rsidR="007303EE" w:rsidRPr="00797379" w:rsidRDefault="007303EE" w:rsidP="00574147">
            <w:pPr>
              <w:pStyle w:val="TableTextCentered"/>
              <w:spacing w:before="0" w:after="0"/>
            </w:pPr>
            <w:r w:rsidRPr="00797379">
              <w:t>23</w:t>
            </w:r>
          </w:p>
        </w:tc>
        <w:tc>
          <w:tcPr>
            <w:tcW w:w="355" w:type="pct"/>
          </w:tcPr>
          <w:p w14:paraId="6B2EFF90" w14:textId="77777777" w:rsidR="007303EE" w:rsidRPr="00797379" w:rsidRDefault="007303EE" w:rsidP="00574147">
            <w:pPr>
              <w:pStyle w:val="TableTextCentered"/>
              <w:spacing w:before="0" w:after="0"/>
            </w:pPr>
            <w:r w:rsidRPr="00797379">
              <w:t>18</w:t>
            </w:r>
          </w:p>
        </w:tc>
        <w:tc>
          <w:tcPr>
            <w:tcW w:w="355" w:type="pct"/>
          </w:tcPr>
          <w:p w14:paraId="050F35A5" w14:textId="77777777" w:rsidR="007303EE" w:rsidRPr="00797379" w:rsidRDefault="007303EE" w:rsidP="00574147">
            <w:pPr>
              <w:pStyle w:val="TableTextCentered"/>
              <w:spacing w:before="0" w:after="0"/>
            </w:pPr>
            <w:r w:rsidRPr="00797379">
              <w:t>21</w:t>
            </w:r>
          </w:p>
        </w:tc>
        <w:tc>
          <w:tcPr>
            <w:tcW w:w="356" w:type="pct"/>
          </w:tcPr>
          <w:p w14:paraId="3389B802" w14:textId="77777777" w:rsidR="007303EE" w:rsidRPr="00797379" w:rsidRDefault="007303EE" w:rsidP="00574147">
            <w:pPr>
              <w:pStyle w:val="TableTextCentered"/>
              <w:spacing w:before="0" w:after="0"/>
            </w:pPr>
            <w:r w:rsidRPr="00797379">
              <w:t>44</w:t>
            </w:r>
          </w:p>
        </w:tc>
        <w:tc>
          <w:tcPr>
            <w:tcW w:w="354" w:type="pct"/>
          </w:tcPr>
          <w:p w14:paraId="4564FFFD" w14:textId="77777777" w:rsidR="007303EE" w:rsidRPr="00797379" w:rsidRDefault="007303EE" w:rsidP="00574147">
            <w:pPr>
              <w:pStyle w:val="TableTextCentered"/>
              <w:spacing w:before="0" w:after="0"/>
            </w:pPr>
            <w:r w:rsidRPr="00797379">
              <w:t>4</w:t>
            </w:r>
          </w:p>
        </w:tc>
        <w:tc>
          <w:tcPr>
            <w:tcW w:w="355" w:type="pct"/>
          </w:tcPr>
          <w:p w14:paraId="4EBD6FE4" w14:textId="77777777" w:rsidR="007303EE" w:rsidRPr="00797379" w:rsidRDefault="007303EE" w:rsidP="00574147">
            <w:pPr>
              <w:pStyle w:val="TableTextCentered"/>
              <w:spacing w:before="0" w:after="0"/>
            </w:pPr>
            <w:r w:rsidRPr="00797379">
              <w:t>2</w:t>
            </w:r>
          </w:p>
        </w:tc>
        <w:tc>
          <w:tcPr>
            <w:tcW w:w="354" w:type="pct"/>
          </w:tcPr>
          <w:p w14:paraId="547A55A5" w14:textId="77777777" w:rsidR="007303EE" w:rsidRPr="00797379" w:rsidRDefault="007303EE" w:rsidP="00574147">
            <w:pPr>
              <w:pStyle w:val="TableTextCentered"/>
              <w:spacing w:before="0" w:after="0"/>
            </w:pPr>
            <w:r w:rsidRPr="00797379">
              <w:t>5</w:t>
            </w:r>
          </w:p>
        </w:tc>
        <w:tc>
          <w:tcPr>
            <w:tcW w:w="353" w:type="pct"/>
          </w:tcPr>
          <w:p w14:paraId="74347048" w14:textId="77777777" w:rsidR="007303EE" w:rsidRPr="00797379" w:rsidRDefault="007303EE" w:rsidP="00574147">
            <w:pPr>
              <w:pStyle w:val="TableTextCentered"/>
              <w:spacing w:before="0" w:after="0"/>
            </w:pPr>
            <w:r w:rsidRPr="00797379">
              <w:t>19</w:t>
            </w:r>
          </w:p>
        </w:tc>
      </w:tr>
      <w:tr w:rsidR="00B313B4" w:rsidRPr="00797379" w14:paraId="4C3E8ACE" w14:textId="77777777" w:rsidTr="00132A03">
        <w:trPr>
          <w:cnfStyle w:val="000000100000" w:firstRow="0" w:lastRow="0" w:firstColumn="0" w:lastColumn="0" w:oddVBand="0" w:evenVBand="0" w:oddHBand="1" w:evenHBand="0" w:firstRowFirstColumn="0" w:firstRowLastColumn="0" w:lastRowFirstColumn="0" w:lastRowLastColumn="0"/>
        </w:trPr>
        <w:tc>
          <w:tcPr>
            <w:tcW w:w="371" w:type="pct"/>
            <w:vAlign w:val="center"/>
          </w:tcPr>
          <w:p w14:paraId="7DF3149D" w14:textId="77777777" w:rsidR="007303EE" w:rsidRPr="0059750A" w:rsidRDefault="007303EE" w:rsidP="00132A03">
            <w:pPr>
              <w:pStyle w:val="TableSubheading"/>
              <w:spacing w:before="0" w:after="0"/>
              <w:jc w:val="center"/>
              <w:rPr>
                <w:rFonts w:asciiTheme="minorHAnsi" w:hAnsiTheme="minorHAnsi"/>
              </w:rPr>
            </w:pPr>
            <w:r w:rsidRPr="0059750A">
              <w:rPr>
                <w:rFonts w:asciiTheme="minorHAnsi" w:hAnsiTheme="minorHAnsi"/>
              </w:rPr>
              <w:t>5 and 8</w:t>
            </w:r>
          </w:p>
        </w:tc>
        <w:tc>
          <w:tcPr>
            <w:tcW w:w="374" w:type="pct"/>
          </w:tcPr>
          <w:p w14:paraId="716AB714" w14:textId="77777777" w:rsidR="007303EE" w:rsidRPr="00797379" w:rsidRDefault="007303EE" w:rsidP="00574147">
            <w:pPr>
              <w:pStyle w:val="TableTextCentered"/>
              <w:spacing w:before="0" w:after="0"/>
            </w:pPr>
            <w:r w:rsidRPr="00797379">
              <w:t>727</w:t>
            </w:r>
          </w:p>
        </w:tc>
        <w:tc>
          <w:tcPr>
            <w:tcW w:w="354" w:type="pct"/>
          </w:tcPr>
          <w:p w14:paraId="25FE77C6" w14:textId="77777777" w:rsidR="007303EE" w:rsidRPr="00797379" w:rsidRDefault="007303EE" w:rsidP="00574147">
            <w:pPr>
              <w:pStyle w:val="TableTextCentered"/>
              <w:spacing w:before="0" w:after="0"/>
            </w:pPr>
            <w:r w:rsidRPr="00797379">
              <w:t>75</w:t>
            </w:r>
          </w:p>
        </w:tc>
        <w:tc>
          <w:tcPr>
            <w:tcW w:w="355" w:type="pct"/>
          </w:tcPr>
          <w:p w14:paraId="2E45A3FF" w14:textId="77777777" w:rsidR="007303EE" w:rsidRPr="00797379" w:rsidRDefault="007303EE" w:rsidP="00574147">
            <w:pPr>
              <w:pStyle w:val="TableTextCentered"/>
              <w:spacing w:before="0" w:after="0"/>
            </w:pPr>
            <w:r w:rsidRPr="00797379">
              <w:t>80</w:t>
            </w:r>
          </w:p>
        </w:tc>
        <w:tc>
          <w:tcPr>
            <w:tcW w:w="354" w:type="pct"/>
          </w:tcPr>
          <w:p w14:paraId="40B148E6" w14:textId="77777777" w:rsidR="007303EE" w:rsidRPr="00797379" w:rsidRDefault="007303EE" w:rsidP="00574147">
            <w:pPr>
              <w:pStyle w:val="TableTextCentered"/>
              <w:spacing w:before="0" w:after="0"/>
            </w:pPr>
            <w:r w:rsidRPr="00797379">
              <w:t>77</w:t>
            </w:r>
          </w:p>
        </w:tc>
        <w:tc>
          <w:tcPr>
            <w:tcW w:w="355" w:type="pct"/>
          </w:tcPr>
          <w:p w14:paraId="6C468288" w14:textId="77777777" w:rsidR="007303EE" w:rsidRPr="00797379" w:rsidRDefault="007303EE" w:rsidP="00574147">
            <w:pPr>
              <w:pStyle w:val="TableTextCentered"/>
              <w:spacing w:before="0" w:after="0"/>
            </w:pPr>
            <w:r w:rsidRPr="00797379">
              <w:t>42</w:t>
            </w:r>
          </w:p>
        </w:tc>
        <w:tc>
          <w:tcPr>
            <w:tcW w:w="355" w:type="pct"/>
          </w:tcPr>
          <w:p w14:paraId="680A9995" w14:textId="77777777" w:rsidR="007303EE" w:rsidRPr="00797379" w:rsidRDefault="007303EE" w:rsidP="00574147">
            <w:pPr>
              <w:pStyle w:val="TableTextCentered"/>
              <w:spacing w:before="0" w:after="0"/>
            </w:pPr>
            <w:r w:rsidRPr="00797379">
              <w:t>20</w:t>
            </w:r>
          </w:p>
        </w:tc>
        <w:tc>
          <w:tcPr>
            <w:tcW w:w="355" w:type="pct"/>
          </w:tcPr>
          <w:p w14:paraId="79B2E4D5" w14:textId="77777777" w:rsidR="007303EE" w:rsidRPr="00797379" w:rsidRDefault="007303EE" w:rsidP="00574147">
            <w:pPr>
              <w:pStyle w:val="TableTextCentered"/>
              <w:spacing w:before="0" w:after="0"/>
            </w:pPr>
            <w:r w:rsidRPr="00797379">
              <w:t>17</w:t>
            </w:r>
          </w:p>
        </w:tc>
        <w:tc>
          <w:tcPr>
            <w:tcW w:w="355" w:type="pct"/>
          </w:tcPr>
          <w:p w14:paraId="5F01BB4F" w14:textId="77777777" w:rsidR="007303EE" w:rsidRPr="00797379" w:rsidRDefault="007303EE" w:rsidP="00574147">
            <w:pPr>
              <w:pStyle w:val="TableTextCentered"/>
              <w:spacing w:before="0" w:after="0"/>
            </w:pPr>
            <w:r w:rsidRPr="00797379">
              <w:t>20</w:t>
            </w:r>
          </w:p>
        </w:tc>
        <w:tc>
          <w:tcPr>
            <w:tcW w:w="356" w:type="pct"/>
          </w:tcPr>
          <w:p w14:paraId="607BB052" w14:textId="77777777" w:rsidR="007303EE" w:rsidRPr="00797379" w:rsidRDefault="007303EE" w:rsidP="00574147">
            <w:pPr>
              <w:pStyle w:val="TableTextCentered"/>
              <w:spacing w:before="0" w:after="0"/>
            </w:pPr>
            <w:r w:rsidRPr="00797379">
              <w:t>39</w:t>
            </w:r>
          </w:p>
        </w:tc>
        <w:tc>
          <w:tcPr>
            <w:tcW w:w="354" w:type="pct"/>
          </w:tcPr>
          <w:p w14:paraId="042825D7" w14:textId="77777777" w:rsidR="007303EE" w:rsidRPr="00797379" w:rsidRDefault="007303EE" w:rsidP="00574147">
            <w:pPr>
              <w:pStyle w:val="TableTextCentered"/>
              <w:spacing w:before="0" w:after="0"/>
            </w:pPr>
            <w:r w:rsidRPr="00797379">
              <w:t>5</w:t>
            </w:r>
          </w:p>
        </w:tc>
        <w:tc>
          <w:tcPr>
            <w:tcW w:w="355" w:type="pct"/>
          </w:tcPr>
          <w:p w14:paraId="134059BD" w14:textId="77777777" w:rsidR="007303EE" w:rsidRPr="00797379" w:rsidRDefault="007303EE" w:rsidP="00574147">
            <w:pPr>
              <w:pStyle w:val="TableTextCentered"/>
              <w:spacing w:before="0" w:after="0"/>
            </w:pPr>
            <w:r w:rsidRPr="00797379">
              <w:t>3</w:t>
            </w:r>
          </w:p>
        </w:tc>
        <w:tc>
          <w:tcPr>
            <w:tcW w:w="354" w:type="pct"/>
          </w:tcPr>
          <w:p w14:paraId="26BF56B8" w14:textId="77777777" w:rsidR="007303EE" w:rsidRPr="00797379" w:rsidRDefault="007303EE" w:rsidP="00574147">
            <w:pPr>
              <w:pStyle w:val="TableTextCentered"/>
              <w:spacing w:before="0" w:after="0"/>
            </w:pPr>
            <w:r w:rsidRPr="00797379">
              <w:t>3</w:t>
            </w:r>
          </w:p>
        </w:tc>
        <w:tc>
          <w:tcPr>
            <w:tcW w:w="353" w:type="pct"/>
          </w:tcPr>
          <w:p w14:paraId="156E8705" w14:textId="77777777" w:rsidR="007303EE" w:rsidRPr="00797379" w:rsidRDefault="007303EE" w:rsidP="00574147">
            <w:pPr>
              <w:pStyle w:val="TableTextCentered"/>
              <w:spacing w:before="0" w:after="0"/>
            </w:pPr>
            <w:r w:rsidRPr="00797379">
              <w:t>19</w:t>
            </w:r>
          </w:p>
        </w:tc>
      </w:tr>
      <w:tr w:rsidR="00B313B4" w:rsidRPr="00797379" w14:paraId="301A0AA0" w14:textId="77777777" w:rsidTr="00132A03">
        <w:tc>
          <w:tcPr>
            <w:tcW w:w="371" w:type="pct"/>
            <w:vAlign w:val="center"/>
          </w:tcPr>
          <w:p w14:paraId="165FDF53" w14:textId="77777777" w:rsidR="007303EE" w:rsidRPr="0059750A" w:rsidRDefault="007303EE" w:rsidP="00132A03">
            <w:pPr>
              <w:pStyle w:val="TableSubheading"/>
              <w:spacing w:before="0" w:after="0"/>
              <w:jc w:val="center"/>
              <w:rPr>
                <w:rFonts w:asciiTheme="minorHAnsi" w:hAnsiTheme="minorHAnsi"/>
              </w:rPr>
            </w:pPr>
            <w:r w:rsidRPr="0059750A">
              <w:rPr>
                <w:rFonts w:asciiTheme="minorHAnsi" w:hAnsiTheme="minorHAnsi"/>
              </w:rPr>
              <w:t>10</w:t>
            </w:r>
          </w:p>
        </w:tc>
        <w:tc>
          <w:tcPr>
            <w:tcW w:w="374" w:type="pct"/>
          </w:tcPr>
          <w:p w14:paraId="77072880" w14:textId="77777777" w:rsidR="007303EE" w:rsidRPr="00797379" w:rsidRDefault="007303EE" w:rsidP="00574147">
            <w:pPr>
              <w:pStyle w:val="TableTextCentered"/>
              <w:spacing w:before="0" w:after="0"/>
            </w:pPr>
            <w:r w:rsidRPr="00797379">
              <w:t>328</w:t>
            </w:r>
          </w:p>
        </w:tc>
        <w:tc>
          <w:tcPr>
            <w:tcW w:w="354" w:type="pct"/>
          </w:tcPr>
          <w:p w14:paraId="68A99CED" w14:textId="77777777" w:rsidR="007303EE" w:rsidRPr="00797379" w:rsidRDefault="007303EE" w:rsidP="00574147">
            <w:pPr>
              <w:pStyle w:val="TableTextCentered"/>
              <w:spacing w:before="0" w:after="0"/>
            </w:pPr>
            <w:r w:rsidRPr="00797379">
              <w:t>82</w:t>
            </w:r>
          </w:p>
        </w:tc>
        <w:tc>
          <w:tcPr>
            <w:tcW w:w="355" w:type="pct"/>
          </w:tcPr>
          <w:p w14:paraId="4DF615A0" w14:textId="77777777" w:rsidR="007303EE" w:rsidRPr="00797379" w:rsidRDefault="007303EE" w:rsidP="00574147">
            <w:pPr>
              <w:pStyle w:val="TableTextCentered"/>
              <w:spacing w:before="0" w:after="0"/>
            </w:pPr>
            <w:r w:rsidRPr="00797379">
              <w:t>81</w:t>
            </w:r>
          </w:p>
        </w:tc>
        <w:tc>
          <w:tcPr>
            <w:tcW w:w="354" w:type="pct"/>
          </w:tcPr>
          <w:p w14:paraId="74A879AE" w14:textId="77777777" w:rsidR="007303EE" w:rsidRPr="00797379" w:rsidRDefault="007303EE" w:rsidP="00574147">
            <w:pPr>
              <w:pStyle w:val="TableTextCentered"/>
              <w:spacing w:before="0" w:after="0"/>
            </w:pPr>
            <w:r w:rsidRPr="00797379">
              <w:t>84</w:t>
            </w:r>
          </w:p>
        </w:tc>
        <w:tc>
          <w:tcPr>
            <w:tcW w:w="355" w:type="pct"/>
          </w:tcPr>
          <w:p w14:paraId="7E511140" w14:textId="77777777" w:rsidR="007303EE" w:rsidRPr="00797379" w:rsidRDefault="007303EE" w:rsidP="00574147">
            <w:pPr>
              <w:pStyle w:val="TableTextCentered"/>
              <w:spacing w:before="0" w:after="0"/>
            </w:pPr>
            <w:r w:rsidRPr="00797379">
              <w:t>46</w:t>
            </w:r>
          </w:p>
        </w:tc>
        <w:tc>
          <w:tcPr>
            <w:tcW w:w="355" w:type="pct"/>
          </w:tcPr>
          <w:p w14:paraId="070FCCFF" w14:textId="77777777" w:rsidR="007303EE" w:rsidRPr="00797379" w:rsidRDefault="007303EE" w:rsidP="00574147">
            <w:pPr>
              <w:pStyle w:val="TableTextCentered"/>
              <w:spacing w:before="0" w:after="0"/>
            </w:pPr>
            <w:r w:rsidRPr="00797379">
              <w:t>16</w:t>
            </w:r>
          </w:p>
        </w:tc>
        <w:tc>
          <w:tcPr>
            <w:tcW w:w="355" w:type="pct"/>
          </w:tcPr>
          <w:p w14:paraId="04381926" w14:textId="77777777" w:rsidR="007303EE" w:rsidRPr="00797379" w:rsidRDefault="007303EE" w:rsidP="00574147">
            <w:pPr>
              <w:pStyle w:val="TableTextCentered"/>
              <w:spacing w:before="0" w:after="0"/>
            </w:pPr>
            <w:r w:rsidRPr="00797379">
              <w:t>17</w:t>
            </w:r>
          </w:p>
        </w:tc>
        <w:tc>
          <w:tcPr>
            <w:tcW w:w="355" w:type="pct"/>
          </w:tcPr>
          <w:p w14:paraId="7729775B" w14:textId="77777777" w:rsidR="007303EE" w:rsidRPr="00797379" w:rsidRDefault="007303EE" w:rsidP="00574147">
            <w:pPr>
              <w:pStyle w:val="TableTextCentered"/>
              <w:spacing w:before="0" w:after="0"/>
            </w:pPr>
            <w:r w:rsidRPr="00797379">
              <w:t>13</w:t>
            </w:r>
          </w:p>
        </w:tc>
        <w:tc>
          <w:tcPr>
            <w:tcW w:w="356" w:type="pct"/>
          </w:tcPr>
          <w:p w14:paraId="0CD4D2E0" w14:textId="77777777" w:rsidR="007303EE" w:rsidRPr="00797379" w:rsidRDefault="007303EE" w:rsidP="00574147">
            <w:pPr>
              <w:pStyle w:val="TableTextCentered"/>
              <w:spacing w:before="0" w:after="0"/>
            </w:pPr>
            <w:r w:rsidRPr="00797379">
              <w:t>38</w:t>
            </w:r>
          </w:p>
        </w:tc>
        <w:tc>
          <w:tcPr>
            <w:tcW w:w="354" w:type="pct"/>
          </w:tcPr>
          <w:p w14:paraId="5BAA95BE" w14:textId="77777777" w:rsidR="007303EE" w:rsidRPr="00797379" w:rsidRDefault="007303EE" w:rsidP="00574147">
            <w:pPr>
              <w:pStyle w:val="TableTextCentered"/>
              <w:spacing w:before="0" w:after="0"/>
            </w:pPr>
            <w:r w:rsidRPr="00797379">
              <w:t>2</w:t>
            </w:r>
          </w:p>
        </w:tc>
        <w:tc>
          <w:tcPr>
            <w:tcW w:w="355" w:type="pct"/>
          </w:tcPr>
          <w:p w14:paraId="3A3F86F8" w14:textId="77777777" w:rsidR="007303EE" w:rsidRPr="00797379" w:rsidRDefault="007303EE" w:rsidP="00574147">
            <w:pPr>
              <w:pStyle w:val="TableTextCentered"/>
              <w:spacing w:before="0" w:after="0"/>
            </w:pPr>
            <w:r w:rsidRPr="00797379">
              <w:t>2</w:t>
            </w:r>
          </w:p>
        </w:tc>
        <w:tc>
          <w:tcPr>
            <w:tcW w:w="354" w:type="pct"/>
          </w:tcPr>
          <w:p w14:paraId="3229B5FB" w14:textId="77777777" w:rsidR="007303EE" w:rsidRPr="00797379" w:rsidRDefault="007303EE" w:rsidP="00574147">
            <w:pPr>
              <w:pStyle w:val="TableTextCentered"/>
              <w:spacing w:before="0" w:after="0"/>
            </w:pPr>
            <w:r w:rsidRPr="00797379">
              <w:t>3</w:t>
            </w:r>
          </w:p>
        </w:tc>
        <w:tc>
          <w:tcPr>
            <w:tcW w:w="353" w:type="pct"/>
          </w:tcPr>
          <w:p w14:paraId="05372884" w14:textId="77777777" w:rsidR="007303EE" w:rsidRPr="00797379" w:rsidRDefault="007303EE" w:rsidP="00574147">
            <w:pPr>
              <w:pStyle w:val="TableTextCentered"/>
              <w:spacing w:before="0" w:after="0"/>
            </w:pPr>
            <w:r w:rsidRPr="00797379">
              <w:t>16</w:t>
            </w:r>
          </w:p>
        </w:tc>
      </w:tr>
    </w:tbl>
    <w:p w14:paraId="472BD1CA" w14:textId="77777777" w:rsidR="00B70F71" w:rsidRDefault="00B70F71" w:rsidP="006C2038">
      <w:pPr>
        <w:pStyle w:val="TableETitles"/>
        <w:sectPr w:rsidR="00B70F71" w:rsidSect="00A14869">
          <w:pgSz w:w="15840" w:h="12240" w:orient="landscape"/>
          <w:pgMar w:top="1170" w:right="1440" w:bottom="1440" w:left="1440" w:header="720" w:footer="720" w:gutter="0"/>
          <w:cols w:space="720"/>
          <w:docGrid w:linePitch="360"/>
        </w:sectPr>
      </w:pPr>
      <w:bookmarkStart w:id="251" w:name="_Toc220933513"/>
    </w:p>
    <w:p w14:paraId="57596AC0" w14:textId="2810AD6B" w:rsidR="007303EE" w:rsidRPr="00797379" w:rsidRDefault="007303EE" w:rsidP="006C2038">
      <w:pPr>
        <w:pStyle w:val="TableETitles"/>
      </w:pPr>
      <w:r w:rsidRPr="00797379">
        <w:t>Table E10. MCAS ELA Mean Student Growth Percentile by Student Group, Grades 3-8, 2023</w:t>
      </w:r>
      <w:r w:rsidR="006C2038" w:rsidRPr="00797379">
        <w:noBreakHyphen/>
      </w:r>
      <w:r w:rsidRPr="00797379">
        <w:t>2025</w:t>
      </w:r>
      <w:bookmarkEnd w:id="251"/>
    </w:p>
    <w:tbl>
      <w:tblPr>
        <w:tblStyle w:val="MSVTable1"/>
        <w:tblW w:w="5000" w:type="pct"/>
        <w:tblLook w:val="0420" w:firstRow="1" w:lastRow="0" w:firstColumn="0" w:lastColumn="0" w:noHBand="0" w:noVBand="1"/>
      </w:tblPr>
      <w:tblGrid>
        <w:gridCol w:w="3586"/>
        <w:gridCol w:w="1151"/>
        <w:gridCol w:w="1152"/>
        <w:gridCol w:w="1151"/>
        <w:gridCol w:w="1152"/>
        <w:gridCol w:w="1152"/>
      </w:tblGrid>
      <w:tr w:rsidR="007303EE" w:rsidRPr="00797379" w14:paraId="501B36A5" w14:textId="77777777" w:rsidTr="00132A03">
        <w:trPr>
          <w:cnfStyle w:val="100000000000" w:firstRow="1" w:lastRow="0" w:firstColumn="0" w:lastColumn="0" w:oddVBand="0" w:evenVBand="0" w:oddHBand="0" w:evenHBand="0" w:firstRowFirstColumn="0" w:firstRowLastColumn="0" w:lastRowFirstColumn="0" w:lastRowLastColumn="0"/>
          <w:tblHeader/>
        </w:trPr>
        <w:tc>
          <w:tcPr>
            <w:tcW w:w="3586" w:type="dxa"/>
            <w:vAlign w:val="center"/>
          </w:tcPr>
          <w:p w14:paraId="1C611D05" w14:textId="77777777" w:rsidR="007303EE" w:rsidRPr="00797379" w:rsidRDefault="007303EE" w:rsidP="00F60802">
            <w:pPr>
              <w:pStyle w:val="TableColHeadingCenter"/>
            </w:pPr>
            <w:r w:rsidRPr="00797379">
              <w:t>Group</w:t>
            </w:r>
          </w:p>
        </w:tc>
        <w:tc>
          <w:tcPr>
            <w:tcW w:w="1151" w:type="dxa"/>
            <w:vAlign w:val="center"/>
          </w:tcPr>
          <w:p w14:paraId="54A3176A" w14:textId="77777777" w:rsidR="007303EE" w:rsidRPr="00797379" w:rsidRDefault="007303EE" w:rsidP="00F60802">
            <w:pPr>
              <w:pStyle w:val="TableColHeadingCenter"/>
            </w:pPr>
            <w:r w:rsidRPr="00797379">
              <w:t># Included (2025)</w:t>
            </w:r>
          </w:p>
        </w:tc>
        <w:tc>
          <w:tcPr>
            <w:tcW w:w="1152" w:type="dxa"/>
            <w:vAlign w:val="center"/>
          </w:tcPr>
          <w:p w14:paraId="0FC62C1B" w14:textId="77777777" w:rsidR="007303EE" w:rsidRPr="00797379" w:rsidRDefault="007303EE" w:rsidP="00F60802">
            <w:pPr>
              <w:pStyle w:val="TableColHeadingCenter"/>
            </w:pPr>
            <w:r w:rsidRPr="00797379">
              <w:t>2023</w:t>
            </w:r>
          </w:p>
        </w:tc>
        <w:tc>
          <w:tcPr>
            <w:tcW w:w="1151" w:type="dxa"/>
            <w:vAlign w:val="center"/>
          </w:tcPr>
          <w:p w14:paraId="4096BF2E" w14:textId="77777777" w:rsidR="007303EE" w:rsidRPr="00797379" w:rsidRDefault="007303EE" w:rsidP="00F60802">
            <w:pPr>
              <w:pStyle w:val="TableColHeadingCenter"/>
            </w:pPr>
            <w:r w:rsidRPr="00797379">
              <w:t>2024</w:t>
            </w:r>
          </w:p>
        </w:tc>
        <w:tc>
          <w:tcPr>
            <w:tcW w:w="1152" w:type="dxa"/>
            <w:vAlign w:val="center"/>
          </w:tcPr>
          <w:p w14:paraId="72312A77" w14:textId="77777777" w:rsidR="007303EE" w:rsidRPr="00797379" w:rsidRDefault="007303EE" w:rsidP="00F60802">
            <w:pPr>
              <w:pStyle w:val="TableColHeadingCenter"/>
            </w:pPr>
            <w:r w:rsidRPr="00797379">
              <w:t>2025</w:t>
            </w:r>
          </w:p>
        </w:tc>
        <w:tc>
          <w:tcPr>
            <w:tcW w:w="1152" w:type="dxa"/>
            <w:vAlign w:val="center"/>
          </w:tcPr>
          <w:p w14:paraId="63370081" w14:textId="77777777" w:rsidR="007303EE" w:rsidRPr="00797379" w:rsidRDefault="007303EE" w:rsidP="00F60802">
            <w:pPr>
              <w:pStyle w:val="TableColHeadingCenter"/>
            </w:pPr>
            <w:r w:rsidRPr="00797379">
              <w:t>State (2025)</w:t>
            </w:r>
          </w:p>
        </w:tc>
      </w:tr>
      <w:tr w:rsidR="007303EE" w:rsidRPr="00797379" w14:paraId="005891EA" w14:textId="77777777" w:rsidTr="005874C8">
        <w:trPr>
          <w:cnfStyle w:val="000000100000" w:firstRow="0" w:lastRow="0" w:firstColumn="0" w:lastColumn="0" w:oddVBand="0" w:evenVBand="0" w:oddHBand="1" w:evenHBand="0" w:firstRowFirstColumn="0" w:firstRowLastColumn="0" w:lastRowFirstColumn="0" w:lastRowLastColumn="0"/>
        </w:trPr>
        <w:tc>
          <w:tcPr>
            <w:tcW w:w="3586" w:type="dxa"/>
          </w:tcPr>
          <w:p w14:paraId="3F0C335B" w14:textId="77777777" w:rsidR="007303EE" w:rsidRPr="0059750A" w:rsidRDefault="007303EE" w:rsidP="00F60802">
            <w:pPr>
              <w:pStyle w:val="TableSubheading"/>
              <w:rPr>
                <w:rFonts w:asciiTheme="minorHAnsi" w:hAnsiTheme="minorHAnsi"/>
              </w:rPr>
            </w:pPr>
            <w:r w:rsidRPr="0059750A">
              <w:rPr>
                <w:rFonts w:asciiTheme="minorHAnsi" w:hAnsiTheme="minorHAnsi"/>
              </w:rPr>
              <w:t>All Students</w:t>
            </w:r>
          </w:p>
        </w:tc>
        <w:tc>
          <w:tcPr>
            <w:tcW w:w="1151" w:type="dxa"/>
          </w:tcPr>
          <w:p w14:paraId="521AF49D" w14:textId="77777777" w:rsidR="007303EE" w:rsidRPr="00797379" w:rsidRDefault="007303EE" w:rsidP="00F60802">
            <w:pPr>
              <w:pStyle w:val="TableTextCentered"/>
            </w:pPr>
            <w:r w:rsidRPr="00797379">
              <w:t>1,606</w:t>
            </w:r>
          </w:p>
        </w:tc>
        <w:tc>
          <w:tcPr>
            <w:tcW w:w="1152" w:type="dxa"/>
          </w:tcPr>
          <w:p w14:paraId="6F26FA9B" w14:textId="77777777" w:rsidR="007303EE" w:rsidRPr="00797379" w:rsidRDefault="007303EE" w:rsidP="00F60802">
            <w:pPr>
              <w:pStyle w:val="TableTextCentered"/>
            </w:pPr>
            <w:r w:rsidRPr="00797379">
              <w:t>54</w:t>
            </w:r>
          </w:p>
        </w:tc>
        <w:tc>
          <w:tcPr>
            <w:tcW w:w="1151" w:type="dxa"/>
          </w:tcPr>
          <w:p w14:paraId="456908C4" w14:textId="77777777" w:rsidR="007303EE" w:rsidRPr="00797379" w:rsidRDefault="007303EE" w:rsidP="00F60802">
            <w:pPr>
              <w:pStyle w:val="TableTextCentered"/>
            </w:pPr>
            <w:r w:rsidRPr="00797379">
              <w:t>56</w:t>
            </w:r>
          </w:p>
        </w:tc>
        <w:tc>
          <w:tcPr>
            <w:tcW w:w="1152" w:type="dxa"/>
          </w:tcPr>
          <w:p w14:paraId="698215CD" w14:textId="77777777" w:rsidR="007303EE" w:rsidRPr="00797379" w:rsidRDefault="007303EE" w:rsidP="00F60802">
            <w:pPr>
              <w:pStyle w:val="TableTextCentered"/>
            </w:pPr>
            <w:r w:rsidRPr="00797379">
              <w:t>58</w:t>
            </w:r>
          </w:p>
        </w:tc>
        <w:tc>
          <w:tcPr>
            <w:tcW w:w="1152" w:type="dxa"/>
          </w:tcPr>
          <w:p w14:paraId="3E8B4811" w14:textId="77777777" w:rsidR="007303EE" w:rsidRPr="00797379" w:rsidRDefault="007303EE" w:rsidP="00F60802">
            <w:pPr>
              <w:pStyle w:val="TableTextCentered"/>
            </w:pPr>
            <w:r w:rsidRPr="00797379">
              <w:t>50</w:t>
            </w:r>
          </w:p>
        </w:tc>
      </w:tr>
      <w:tr w:rsidR="007303EE" w:rsidRPr="00797379" w14:paraId="011E207A" w14:textId="77777777" w:rsidTr="005874C8">
        <w:tc>
          <w:tcPr>
            <w:tcW w:w="3586" w:type="dxa"/>
          </w:tcPr>
          <w:p w14:paraId="60E27A66" w14:textId="77777777" w:rsidR="007303EE" w:rsidRPr="0059750A" w:rsidRDefault="007303EE" w:rsidP="00F60802">
            <w:pPr>
              <w:pStyle w:val="TableSubheading"/>
              <w:rPr>
                <w:rFonts w:asciiTheme="minorHAnsi" w:hAnsiTheme="minorHAnsi"/>
              </w:rPr>
            </w:pPr>
            <w:r w:rsidRPr="0059750A">
              <w:rPr>
                <w:rFonts w:asciiTheme="minorHAnsi" w:hAnsiTheme="minorHAnsi"/>
              </w:rPr>
              <w:t>American Indian or Alaskan Native</w:t>
            </w:r>
          </w:p>
        </w:tc>
        <w:tc>
          <w:tcPr>
            <w:tcW w:w="1151" w:type="dxa"/>
          </w:tcPr>
          <w:p w14:paraId="6B7E8454" w14:textId="7748D4C1" w:rsidR="007303EE" w:rsidRPr="00797379" w:rsidRDefault="00220288" w:rsidP="00F60802">
            <w:pPr>
              <w:pStyle w:val="TableTextCentered"/>
            </w:pPr>
            <w:r>
              <w:t>N/A</w:t>
            </w:r>
          </w:p>
        </w:tc>
        <w:tc>
          <w:tcPr>
            <w:tcW w:w="1152" w:type="dxa"/>
          </w:tcPr>
          <w:p w14:paraId="6FA77A9B" w14:textId="474B306C" w:rsidR="007303EE" w:rsidRPr="00797379" w:rsidRDefault="00220288" w:rsidP="00F60802">
            <w:pPr>
              <w:pStyle w:val="TableTextCentered"/>
            </w:pPr>
            <w:r>
              <w:t>N/A</w:t>
            </w:r>
          </w:p>
        </w:tc>
        <w:tc>
          <w:tcPr>
            <w:tcW w:w="1151" w:type="dxa"/>
          </w:tcPr>
          <w:p w14:paraId="07178253" w14:textId="10454142" w:rsidR="007303EE" w:rsidRPr="00797379" w:rsidRDefault="00220288" w:rsidP="00F60802">
            <w:pPr>
              <w:pStyle w:val="TableTextCentered"/>
            </w:pPr>
            <w:r>
              <w:t>N/A</w:t>
            </w:r>
          </w:p>
        </w:tc>
        <w:tc>
          <w:tcPr>
            <w:tcW w:w="1152" w:type="dxa"/>
          </w:tcPr>
          <w:p w14:paraId="2BEF60ED" w14:textId="35505E56" w:rsidR="007303EE" w:rsidRPr="00797379" w:rsidRDefault="00220288" w:rsidP="00F60802">
            <w:pPr>
              <w:pStyle w:val="TableTextCentered"/>
            </w:pPr>
            <w:r>
              <w:t>N/A</w:t>
            </w:r>
          </w:p>
        </w:tc>
        <w:tc>
          <w:tcPr>
            <w:tcW w:w="1152" w:type="dxa"/>
          </w:tcPr>
          <w:p w14:paraId="19663579" w14:textId="77777777" w:rsidR="007303EE" w:rsidRPr="00797379" w:rsidRDefault="007303EE" w:rsidP="00F60802">
            <w:pPr>
              <w:pStyle w:val="TableTextCentered"/>
            </w:pPr>
            <w:r w:rsidRPr="00797379">
              <w:t>48</w:t>
            </w:r>
          </w:p>
        </w:tc>
      </w:tr>
      <w:tr w:rsidR="007303EE" w:rsidRPr="00797379" w14:paraId="066B2F68" w14:textId="77777777" w:rsidTr="005874C8">
        <w:trPr>
          <w:cnfStyle w:val="000000100000" w:firstRow="0" w:lastRow="0" w:firstColumn="0" w:lastColumn="0" w:oddVBand="0" w:evenVBand="0" w:oddHBand="1" w:evenHBand="0" w:firstRowFirstColumn="0" w:firstRowLastColumn="0" w:lastRowFirstColumn="0" w:lastRowLastColumn="0"/>
        </w:trPr>
        <w:tc>
          <w:tcPr>
            <w:tcW w:w="3586" w:type="dxa"/>
          </w:tcPr>
          <w:p w14:paraId="7BD0A0AA" w14:textId="77777777" w:rsidR="007303EE" w:rsidRPr="0059750A" w:rsidRDefault="007303EE" w:rsidP="00F60802">
            <w:pPr>
              <w:pStyle w:val="TableSubheading"/>
              <w:rPr>
                <w:rFonts w:asciiTheme="minorHAnsi" w:hAnsiTheme="minorHAnsi"/>
              </w:rPr>
            </w:pPr>
            <w:r w:rsidRPr="0059750A">
              <w:rPr>
                <w:rFonts w:asciiTheme="minorHAnsi" w:hAnsiTheme="minorHAnsi"/>
              </w:rPr>
              <w:t>Asian</w:t>
            </w:r>
          </w:p>
        </w:tc>
        <w:tc>
          <w:tcPr>
            <w:tcW w:w="1151" w:type="dxa"/>
          </w:tcPr>
          <w:p w14:paraId="0DB08A61" w14:textId="77777777" w:rsidR="007303EE" w:rsidRPr="00797379" w:rsidRDefault="007303EE" w:rsidP="00F60802">
            <w:pPr>
              <w:pStyle w:val="TableTextCentered"/>
            </w:pPr>
            <w:r w:rsidRPr="00797379">
              <w:t>341</w:t>
            </w:r>
          </w:p>
        </w:tc>
        <w:tc>
          <w:tcPr>
            <w:tcW w:w="1152" w:type="dxa"/>
          </w:tcPr>
          <w:p w14:paraId="48B96A8D" w14:textId="77777777" w:rsidR="007303EE" w:rsidRPr="00797379" w:rsidRDefault="007303EE" w:rsidP="00F60802">
            <w:pPr>
              <w:pStyle w:val="TableTextCentered"/>
            </w:pPr>
            <w:r w:rsidRPr="00797379">
              <w:t>59</w:t>
            </w:r>
          </w:p>
        </w:tc>
        <w:tc>
          <w:tcPr>
            <w:tcW w:w="1151" w:type="dxa"/>
          </w:tcPr>
          <w:p w14:paraId="0C398FB9" w14:textId="77777777" w:rsidR="007303EE" w:rsidRPr="00797379" w:rsidRDefault="007303EE" w:rsidP="00F60802">
            <w:pPr>
              <w:pStyle w:val="TableTextCentered"/>
            </w:pPr>
            <w:r w:rsidRPr="00797379">
              <w:t>61</w:t>
            </w:r>
          </w:p>
        </w:tc>
        <w:tc>
          <w:tcPr>
            <w:tcW w:w="1152" w:type="dxa"/>
          </w:tcPr>
          <w:p w14:paraId="174B6049" w14:textId="77777777" w:rsidR="007303EE" w:rsidRPr="00797379" w:rsidRDefault="007303EE" w:rsidP="00F60802">
            <w:pPr>
              <w:pStyle w:val="TableTextCentered"/>
            </w:pPr>
            <w:r w:rsidRPr="00797379">
              <w:t>62</w:t>
            </w:r>
          </w:p>
        </w:tc>
        <w:tc>
          <w:tcPr>
            <w:tcW w:w="1152" w:type="dxa"/>
          </w:tcPr>
          <w:p w14:paraId="41B98D36" w14:textId="77777777" w:rsidR="007303EE" w:rsidRPr="00797379" w:rsidRDefault="007303EE" w:rsidP="00F60802">
            <w:pPr>
              <w:pStyle w:val="TableTextCentered"/>
            </w:pPr>
            <w:r w:rsidRPr="00797379">
              <w:t>57</w:t>
            </w:r>
          </w:p>
        </w:tc>
      </w:tr>
      <w:tr w:rsidR="007303EE" w:rsidRPr="00797379" w14:paraId="445F58EE" w14:textId="77777777" w:rsidTr="005874C8">
        <w:tc>
          <w:tcPr>
            <w:tcW w:w="3586" w:type="dxa"/>
          </w:tcPr>
          <w:p w14:paraId="590653A4" w14:textId="77777777" w:rsidR="007303EE" w:rsidRPr="0059750A" w:rsidRDefault="007303EE" w:rsidP="00F60802">
            <w:pPr>
              <w:pStyle w:val="TableSubheading"/>
              <w:rPr>
                <w:rFonts w:asciiTheme="minorHAnsi" w:hAnsiTheme="minorHAnsi"/>
              </w:rPr>
            </w:pPr>
            <w:r w:rsidRPr="0059750A">
              <w:rPr>
                <w:rFonts w:asciiTheme="minorHAnsi" w:hAnsiTheme="minorHAnsi"/>
              </w:rPr>
              <w:t>Black or African American</w:t>
            </w:r>
          </w:p>
        </w:tc>
        <w:tc>
          <w:tcPr>
            <w:tcW w:w="1151" w:type="dxa"/>
          </w:tcPr>
          <w:p w14:paraId="62C39085" w14:textId="77777777" w:rsidR="007303EE" w:rsidRPr="00797379" w:rsidRDefault="007303EE" w:rsidP="00F60802">
            <w:pPr>
              <w:pStyle w:val="TableTextCentered"/>
            </w:pPr>
            <w:r w:rsidRPr="00797379">
              <w:t>22</w:t>
            </w:r>
          </w:p>
        </w:tc>
        <w:tc>
          <w:tcPr>
            <w:tcW w:w="1152" w:type="dxa"/>
          </w:tcPr>
          <w:p w14:paraId="038C2546" w14:textId="17F799D0" w:rsidR="007303EE" w:rsidRPr="00797379" w:rsidRDefault="00220288" w:rsidP="00F60802">
            <w:pPr>
              <w:pStyle w:val="TableTextCentered"/>
            </w:pPr>
            <w:r>
              <w:t>N/A</w:t>
            </w:r>
          </w:p>
        </w:tc>
        <w:tc>
          <w:tcPr>
            <w:tcW w:w="1151" w:type="dxa"/>
          </w:tcPr>
          <w:p w14:paraId="327E9192" w14:textId="77777777" w:rsidR="007303EE" w:rsidRPr="00797379" w:rsidRDefault="007303EE" w:rsidP="00F60802">
            <w:pPr>
              <w:pStyle w:val="TableTextCentered"/>
            </w:pPr>
            <w:r w:rsidRPr="00797379">
              <w:t>60</w:t>
            </w:r>
          </w:p>
        </w:tc>
        <w:tc>
          <w:tcPr>
            <w:tcW w:w="1152" w:type="dxa"/>
          </w:tcPr>
          <w:p w14:paraId="3CA36F26" w14:textId="77777777" w:rsidR="007303EE" w:rsidRPr="00797379" w:rsidRDefault="007303EE" w:rsidP="00F60802">
            <w:pPr>
              <w:pStyle w:val="TableTextCentered"/>
            </w:pPr>
            <w:r w:rsidRPr="00797379">
              <w:t>51</w:t>
            </w:r>
          </w:p>
        </w:tc>
        <w:tc>
          <w:tcPr>
            <w:tcW w:w="1152" w:type="dxa"/>
          </w:tcPr>
          <w:p w14:paraId="64EBC7DD" w14:textId="77777777" w:rsidR="007303EE" w:rsidRPr="00797379" w:rsidRDefault="007303EE" w:rsidP="00F60802">
            <w:pPr>
              <w:pStyle w:val="TableTextCentered"/>
            </w:pPr>
            <w:r w:rsidRPr="00797379">
              <w:t>49</w:t>
            </w:r>
          </w:p>
        </w:tc>
      </w:tr>
      <w:tr w:rsidR="007303EE" w:rsidRPr="00797379" w14:paraId="5E491FA7" w14:textId="77777777" w:rsidTr="005874C8">
        <w:trPr>
          <w:cnfStyle w:val="000000100000" w:firstRow="0" w:lastRow="0" w:firstColumn="0" w:lastColumn="0" w:oddVBand="0" w:evenVBand="0" w:oddHBand="1" w:evenHBand="0" w:firstRowFirstColumn="0" w:firstRowLastColumn="0" w:lastRowFirstColumn="0" w:lastRowLastColumn="0"/>
        </w:trPr>
        <w:tc>
          <w:tcPr>
            <w:tcW w:w="3586" w:type="dxa"/>
          </w:tcPr>
          <w:p w14:paraId="18E36EAA" w14:textId="77777777" w:rsidR="007303EE" w:rsidRPr="0059750A" w:rsidRDefault="007303EE" w:rsidP="00F60802">
            <w:pPr>
              <w:pStyle w:val="TableSubheading"/>
              <w:rPr>
                <w:rFonts w:asciiTheme="minorHAnsi" w:hAnsiTheme="minorHAnsi"/>
              </w:rPr>
            </w:pPr>
            <w:r w:rsidRPr="0059750A">
              <w:rPr>
                <w:rFonts w:asciiTheme="minorHAnsi" w:hAnsiTheme="minorHAnsi"/>
              </w:rPr>
              <w:t>Hispanic or Latino</w:t>
            </w:r>
          </w:p>
        </w:tc>
        <w:tc>
          <w:tcPr>
            <w:tcW w:w="1151" w:type="dxa"/>
          </w:tcPr>
          <w:p w14:paraId="68193F2E" w14:textId="77777777" w:rsidR="007303EE" w:rsidRPr="00797379" w:rsidRDefault="007303EE" w:rsidP="00F60802">
            <w:pPr>
              <w:pStyle w:val="TableTextCentered"/>
            </w:pPr>
            <w:r w:rsidRPr="00797379">
              <w:t>53</w:t>
            </w:r>
          </w:p>
        </w:tc>
        <w:tc>
          <w:tcPr>
            <w:tcW w:w="1152" w:type="dxa"/>
          </w:tcPr>
          <w:p w14:paraId="2B99B63B" w14:textId="77777777" w:rsidR="007303EE" w:rsidRPr="00797379" w:rsidRDefault="007303EE" w:rsidP="00F60802">
            <w:pPr>
              <w:pStyle w:val="TableTextCentered"/>
            </w:pPr>
            <w:r w:rsidRPr="00797379">
              <w:t>59</w:t>
            </w:r>
          </w:p>
        </w:tc>
        <w:tc>
          <w:tcPr>
            <w:tcW w:w="1151" w:type="dxa"/>
          </w:tcPr>
          <w:p w14:paraId="42F0CC33" w14:textId="77777777" w:rsidR="007303EE" w:rsidRPr="00797379" w:rsidRDefault="007303EE" w:rsidP="00F60802">
            <w:pPr>
              <w:pStyle w:val="TableTextCentered"/>
            </w:pPr>
            <w:r w:rsidRPr="00797379">
              <w:t>53</w:t>
            </w:r>
          </w:p>
        </w:tc>
        <w:tc>
          <w:tcPr>
            <w:tcW w:w="1152" w:type="dxa"/>
          </w:tcPr>
          <w:p w14:paraId="2AD6A768" w14:textId="77777777" w:rsidR="007303EE" w:rsidRPr="00797379" w:rsidRDefault="007303EE" w:rsidP="00F60802">
            <w:pPr>
              <w:pStyle w:val="TableTextCentered"/>
            </w:pPr>
            <w:r w:rsidRPr="00797379">
              <w:t>50</w:t>
            </w:r>
          </w:p>
        </w:tc>
        <w:tc>
          <w:tcPr>
            <w:tcW w:w="1152" w:type="dxa"/>
          </w:tcPr>
          <w:p w14:paraId="07E10352" w14:textId="77777777" w:rsidR="007303EE" w:rsidRPr="00797379" w:rsidRDefault="007303EE" w:rsidP="00F60802">
            <w:pPr>
              <w:pStyle w:val="TableTextCentered"/>
            </w:pPr>
            <w:r w:rsidRPr="00797379">
              <w:t>49</w:t>
            </w:r>
          </w:p>
        </w:tc>
      </w:tr>
      <w:tr w:rsidR="007303EE" w:rsidRPr="00797379" w14:paraId="3A843F0A" w14:textId="77777777" w:rsidTr="005874C8">
        <w:tc>
          <w:tcPr>
            <w:tcW w:w="3586" w:type="dxa"/>
          </w:tcPr>
          <w:p w14:paraId="365032B8" w14:textId="77777777" w:rsidR="007303EE" w:rsidRPr="0059750A" w:rsidRDefault="007303EE" w:rsidP="00F60802">
            <w:pPr>
              <w:pStyle w:val="TableSubheading"/>
              <w:rPr>
                <w:rFonts w:asciiTheme="minorHAnsi" w:hAnsiTheme="minorHAnsi"/>
              </w:rPr>
            </w:pPr>
            <w:r w:rsidRPr="0059750A">
              <w:rPr>
                <w:rFonts w:asciiTheme="minorHAnsi" w:hAnsiTheme="minorHAnsi"/>
              </w:rPr>
              <w:t>Multi-Race, Not Hispanic or Latino</w:t>
            </w:r>
          </w:p>
        </w:tc>
        <w:tc>
          <w:tcPr>
            <w:tcW w:w="1151" w:type="dxa"/>
          </w:tcPr>
          <w:p w14:paraId="3DB689A5" w14:textId="77777777" w:rsidR="007303EE" w:rsidRPr="00797379" w:rsidRDefault="007303EE" w:rsidP="00F60802">
            <w:pPr>
              <w:pStyle w:val="TableTextCentered"/>
            </w:pPr>
            <w:r w:rsidRPr="00797379">
              <w:t>134</w:t>
            </w:r>
          </w:p>
        </w:tc>
        <w:tc>
          <w:tcPr>
            <w:tcW w:w="1152" w:type="dxa"/>
          </w:tcPr>
          <w:p w14:paraId="1ECB5FC0" w14:textId="77777777" w:rsidR="007303EE" w:rsidRPr="00797379" w:rsidRDefault="007303EE" w:rsidP="00F60802">
            <w:pPr>
              <w:pStyle w:val="TableTextCentered"/>
            </w:pPr>
            <w:r w:rsidRPr="00797379">
              <w:t>58</w:t>
            </w:r>
          </w:p>
        </w:tc>
        <w:tc>
          <w:tcPr>
            <w:tcW w:w="1151" w:type="dxa"/>
          </w:tcPr>
          <w:p w14:paraId="7B25164C" w14:textId="77777777" w:rsidR="007303EE" w:rsidRPr="00797379" w:rsidRDefault="007303EE" w:rsidP="00F60802">
            <w:pPr>
              <w:pStyle w:val="TableTextCentered"/>
            </w:pPr>
            <w:r w:rsidRPr="00797379">
              <w:t>59</w:t>
            </w:r>
          </w:p>
        </w:tc>
        <w:tc>
          <w:tcPr>
            <w:tcW w:w="1152" w:type="dxa"/>
          </w:tcPr>
          <w:p w14:paraId="58D561BC" w14:textId="77777777" w:rsidR="007303EE" w:rsidRPr="00797379" w:rsidRDefault="007303EE" w:rsidP="00F60802">
            <w:pPr>
              <w:pStyle w:val="TableTextCentered"/>
            </w:pPr>
            <w:r w:rsidRPr="00797379">
              <w:t>59</w:t>
            </w:r>
          </w:p>
        </w:tc>
        <w:tc>
          <w:tcPr>
            <w:tcW w:w="1152" w:type="dxa"/>
          </w:tcPr>
          <w:p w14:paraId="0D135A84" w14:textId="77777777" w:rsidR="007303EE" w:rsidRPr="00797379" w:rsidRDefault="007303EE" w:rsidP="00F60802">
            <w:pPr>
              <w:pStyle w:val="TableTextCentered"/>
            </w:pPr>
            <w:r w:rsidRPr="00797379">
              <w:t>51</w:t>
            </w:r>
          </w:p>
        </w:tc>
      </w:tr>
      <w:tr w:rsidR="007303EE" w:rsidRPr="00797379" w14:paraId="2D30965C" w14:textId="77777777" w:rsidTr="005874C8">
        <w:trPr>
          <w:cnfStyle w:val="000000100000" w:firstRow="0" w:lastRow="0" w:firstColumn="0" w:lastColumn="0" w:oddVBand="0" w:evenVBand="0" w:oddHBand="1" w:evenHBand="0" w:firstRowFirstColumn="0" w:firstRowLastColumn="0" w:lastRowFirstColumn="0" w:lastRowLastColumn="0"/>
        </w:trPr>
        <w:tc>
          <w:tcPr>
            <w:tcW w:w="3586" w:type="dxa"/>
          </w:tcPr>
          <w:p w14:paraId="7E73283D" w14:textId="77777777" w:rsidR="007303EE" w:rsidRPr="0059750A" w:rsidRDefault="007303EE" w:rsidP="00F60802">
            <w:pPr>
              <w:pStyle w:val="TableSubheading"/>
              <w:rPr>
                <w:rFonts w:asciiTheme="minorHAnsi" w:hAnsiTheme="minorHAnsi"/>
                <w:spacing w:val="-4"/>
              </w:rPr>
            </w:pPr>
            <w:r w:rsidRPr="0059750A">
              <w:rPr>
                <w:rFonts w:asciiTheme="minorHAnsi" w:hAnsiTheme="minorHAnsi"/>
              </w:rPr>
              <w:t>Native Hawaiian or Other Pacific Islander</w:t>
            </w:r>
          </w:p>
        </w:tc>
        <w:tc>
          <w:tcPr>
            <w:tcW w:w="1151" w:type="dxa"/>
          </w:tcPr>
          <w:p w14:paraId="22DBA28D" w14:textId="449C30F7" w:rsidR="007303EE" w:rsidRPr="00797379" w:rsidRDefault="00220288" w:rsidP="00F60802">
            <w:pPr>
              <w:pStyle w:val="TableTextCentered"/>
            </w:pPr>
            <w:r>
              <w:t>N/A</w:t>
            </w:r>
          </w:p>
        </w:tc>
        <w:tc>
          <w:tcPr>
            <w:tcW w:w="1152" w:type="dxa"/>
          </w:tcPr>
          <w:p w14:paraId="5EF7AE66" w14:textId="5FFD58C5" w:rsidR="007303EE" w:rsidRPr="00797379" w:rsidRDefault="00220288" w:rsidP="00F60802">
            <w:pPr>
              <w:pStyle w:val="TableTextCentered"/>
            </w:pPr>
            <w:r>
              <w:t>N/A</w:t>
            </w:r>
          </w:p>
        </w:tc>
        <w:tc>
          <w:tcPr>
            <w:tcW w:w="1151" w:type="dxa"/>
          </w:tcPr>
          <w:p w14:paraId="5EEA5B37" w14:textId="584E2AF9" w:rsidR="007303EE" w:rsidRPr="00797379" w:rsidRDefault="00220288" w:rsidP="00F60802">
            <w:pPr>
              <w:pStyle w:val="TableTextCentered"/>
            </w:pPr>
            <w:r>
              <w:t>N/A</w:t>
            </w:r>
          </w:p>
        </w:tc>
        <w:tc>
          <w:tcPr>
            <w:tcW w:w="1152" w:type="dxa"/>
          </w:tcPr>
          <w:p w14:paraId="5FBA36DA" w14:textId="4E61979E" w:rsidR="007303EE" w:rsidRPr="00797379" w:rsidRDefault="00220288" w:rsidP="00F60802">
            <w:pPr>
              <w:pStyle w:val="TableTextCentered"/>
            </w:pPr>
            <w:r>
              <w:t>N/A</w:t>
            </w:r>
          </w:p>
        </w:tc>
        <w:tc>
          <w:tcPr>
            <w:tcW w:w="1152" w:type="dxa"/>
          </w:tcPr>
          <w:p w14:paraId="05D73C4A" w14:textId="77777777" w:rsidR="007303EE" w:rsidRPr="00797379" w:rsidRDefault="007303EE" w:rsidP="00F60802">
            <w:pPr>
              <w:pStyle w:val="TableTextCentered"/>
            </w:pPr>
            <w:r w:rsidRPr="00797379">
              <w:t>53</w:t>
            </w:r>
          </w:p>
        </w:tc>
      </w:tr>
      <w:tr w:rsidR="007303EE" w:rsidRPr="00797379" w14:paraId="659950FE" w14:textId="77777777" w:rsidTr="005874C8">
        <w:tc>
          <w:tcPr>
            <w:tcW w:w="3586" w:type="dxa"/>
          </w:tcPr>
          <w:p w14:paraId="3C051918" w14:textId="77777777" w:rsidR="007303EE" w:rsidRPr="0059750A" w:rsidRDefault="007303EE" w:rsidP="00F60802">
            <w:pPr>
              <w:pStyle w:val="TableSubheading"/>
              <w:rPr>
                <w:rFonts w:asciiTheme="minorHAnsi" w:hAnsiTheme="minorHAnsi"/>
              </w:rPr>
            </w:pPr>
            <w:r w:rsidRPr="0059750A">
              <w:rPr>
                <w:rFonts w:asciiTheme="minorHAnsi" w:hAnsiTheme="minorHAnsi"/>
              </w:rPr>
              <w:t>White</w:t>
            </w:r>
          </w:p>
        </w:tc>
        <w:tc>
          <w:tcPr>
            <w:tcW w:w="1151" w:type="dxa"/>
          </w:tcPr>
          <w:p w14:paraId="2AA0871C" w14:textId="77777777" w:rsidR="007303EE" w:rsidRPr="00797379" w:rsidRDefault="007303EE" w:rsidP="00F60802">
            <w:pPr>
              <w:pStyle w:val="TableTextCentered"/>
            </w:pPr>
            <w:r w:rsidRPr="00797379">
              <w:t>1,056</w:t>
            </w:r>
          </w:p>
        </w:tc>
        <w:tc>
          <w:tcPr>
            <w:tcW w:w="1152" w:type="dxa"/>
          </w:tcPr>
          <w:p w14:paraId="6B6C0B65" w14:textId="77777777" w:rsidR="007303EE" w:rsidRPr="00797379" w:rsidRDefault="007303EE" w:rsidP="00F60802">
            <w:pPr>
              <w:pStyle w:val="TableTextCentered"/>
            </w:pPr>
            <w:r w:rsidRPr="00797379">
              <w:t>52</w:t>
            </w:r>
          </w:p>
        </w:tc>
        <w:tc>
          <w:tcPr>
            <w:tcW w:w="1151" w:type="dxa"/>
          </w:tcPr>
          <w:p w14:paraId="2AFE13CF" w14:textId="77777777" w:rsidR="007303EE" w:rsidRPr="00797379" w:rsidRDefault="007303EE" w:rsidP="00F60802">
            <w:pPr>
              <w:pStyle w:val="TableTextCentered"/>
            </w:pPr>
            <w:r w:rsidRPr="00797379">
              <w:t>55</w:t>
            </w:r>
          </w:p>
        </w:tc>
        <w:tc>
          <w:tcPr>
            <w:tcW w:w="1152" w:type="dxa"/>
          </w:tcPr>
          <w:p w14:paraId="704AB840" w14:textId="77777777" w:rsidR="007303EE" w:rsidRPr="00797379" w:rsidRDefault="007303EE" w:rsidP="00F60802">
            <w:pPr>
              <w:pStyle w:val="TableTextCentered"/>
            </w:pPr>
            <w:r w:rsidRPr="00797379">
              <w:t>57</w:t>
            </w:r>
          </w:p>
        </w:tc>
        <w:tc>
          <w:tcPr>
            <w:tcW w:w="1152" w:type="dxa"/>
          </w:tcPr>
          <w:p w14:paraId="7D8B5719" w14:textId="77777777" w:rsidR="007303EE" w:rsidRPr="00797379" w:rsidRDefault="007303EE" w:rsidP="00F60802">
            <w:pPr>
              <w:pStyle w:val="TableTextCentered"/>
            </w:pPr>
            <w:r w:rsidRPr="00797379">
              <w:t>50</w:t>
            </w:r>
          </w:p>
        </w:tc>
      </w:tr>
      <w:tr w:rsidR="007303EE" w:rsidRPr="00797379" w14:paraId="775E1A15" w14:textId="77777777" w:rsidTr="005874C8">
        <w:trPr>
          <w:cnfStyle w:val="000000100000" w:firstRow="0" w:lastRow="0" w:firstColumn="0" w:lastColumn="0" w:oddVBand="0" w:evenVBand="0" w:oddHBand="1" w:evenHBand="0" w:firstRowFirstColumn="0" w:firstRowLastColumn="0" w:lastRowFirstColumn="0" w:lastRowLastColumn="0"/>
        </w:trPr>
        <w:tc>
          <w:tcPr>
            <w:tcW w:w="3586" w:type="dxa"/>
          </w:tcPr>
          <w:p w14:paraId="45C5044D" w14:textId="77777777" w:rsidR="007303EE" w:rsidRPr="0059750A" w:rsidRDefault="007303EE" w:rsidP="00F60802">
            <w:pPr>
              <w:pStyle w:val="TableSubheading"/>
              <w:rPr>
                <w:rFonts w:asciiTheme="minorHAnsi" w:hAnsiTheme="minorHAnsi"/>
              </w:rPr>
            </w:pPr>
            <w:r w:rsidRPr="0059750A">
              <w:rPr>
                <w:rFonts w:asciiTheme="minorHAnsi" w:hAnsiTheme="minorHAnsi"/>
              </w:rPr>
              <w:t>High Needs</w:t>
            </w:r>
          </w:p>
        </w:tc>
        <w:tc>
          <w:tcPr>
            <w:tcW w:w="1151" w:type="dxa"/>
          </w:tcPr>
          <w:p w14:paraId="3242EA9F" w14:textId="77777777" w:rsidR="007303EE" w:rsidRPr="00797379" w:rsidRDefault="007303EE" w:rsidP="00F60802">
            <w:pPr>
              <w:pStyle w:val="TableTextCentered"/>
            </w:pPr>
            <w:r w:rsidRPr="00797379">
              <w:t>502</w:t>
            </w:r>
          </w:p>
        </w:tc>
        <w:tc>
          <w:tcPr>
            <w:tcW w:w="1152" w:type="dxa"/>
          </w:tcPr>
          <w:p w14:paraId="4C2F97C6" w14:textId="77777777" w:rsidR="007303EE" w:rsidRPr="00797379" w:rsidRDefault="007303EE" w:rsidP="00F60802">
            <w:pPr>
              <w:pStyle w:val="TableTextCentered"/>
            </w:pPr>
            <w:r w:rsidRPr="00797379">
              <w:t>49</w:t>
            </w:r>
          </w:p>
        </w:tc>
        <w:tc>
          <w:tcPr>
            <w:tcW w:w="1151" w:type="dxa"/>
          </w:tcPr>
          <w:p w14:paraId="58DE61BE" w14:textId="77777777" w:rsidR="007303EE" w:rsidRPr="00797379" w:rsidRDefault="007303EE" w:rsidP="00F60802">
            <w:pPr>
              <w:pStyle w:val="TableTextCentered"/>
            </w:pPr>
            <w:r w:rsidRPr="00797379">
              <w:t>52</w:t>
            </w:r>
          </w:p>
        </w:tc>
        <w:tc>
          <w:tcPr>
            <w:tcW w:w="1152" w:type="dxa"/>
          </w:tcPr>
          <w:p w14:paraId="6658958E" w14:textId="77777777" w:rsidR="007303EE" w:rsidRPr="00797379" w:rsidRDefault="007303EE" w:rsidP="00F60802">
            <w:pPr>
              <w:pStyle w:val="TableTextCentered"/>
            </w:pPr>
            <w:r w:rsidRPr="00797379">
              <w:t>53</w:t>
            </w:r>
          </w:p>
        </w:tc>
        <w:tc>
          <w:tcPr>
            <w:tcW w:w="1152" w:type="dxa"/>
          </w:tcPr>
          <w:p w14:paraId="6F6E5920" w14:textId="77777777" w:rsidR="007303EE" w:rsidRPr="00797379" w:rsidRDefault="007303EE" w:rsidP="00F60802">
            <w:pPr>
              <w:pStyle w:val="TableTextCentered"/>
            </w:pPr>
            <w:r w:rsidRPr="00797379">
              <w:t>48</w:t>
            </w:r>
          </w:p>
        </w:tc>
      </w:tr>
      <w:tr w:rsidR="007303EE" w:rsidRPr="00797379" w14:paraId="75663A04" w14:textId="77777777" w:rsidTr="005874C8">
        <w:tc>
          <w:tcPr>
            <w:tcW w:w="3586" w:type="dxa"/>
          </w:tcPr>
          <w:p w14:paraId="701B8266" w14:textId="77777777" w:rsidR="007303EE" w:rsidRPr="0059750A" w:rsidRDefault="007303EE" w:rsidP="00F60802">
            <w:pPr>
              <w:pStyle w:val="TableSubheading"/>
              <w:rPr>
                <w:rFonts w:asciiTheme="minorHAnsi" w:hAnsiTheme="minorHAnsi"/>
              </w:rPr>
            </w:pPr>
            <w:r w:rsidRPr="0059750A">
              <w:rPr>
                <w:rFonts w:asciiTheme="minorHAnsi" w:hAnsiTheme="minorHAnsi"/>
              </w:rPr>
              <w:t>English Learners</w:t>
            </w:r>
          </w:p>
        </w:tc>
        <w:tc>
          <w:tcPr>
            <w:tcW w:w="1151" w:type="dxa"/>
          </w:tcPr>
          <w:p w14:paraId="6A667D1C" w14:textId="77777777" w:rsidR="007303EE" w:rsidRPr="00797379" w:rsidRDefault="007303EE" w:rsidP="00F60802">
            <w:pPr>
              <w:pStyle w:val="TableTextCentered"/>
            </w:pPr>
            <w:r w:rsidRPr="00797379">
              <w:t>126</w:t>
            </w:r>
          </w:p>
        </w:tc>
        <w:tc>
          <w:tcPr>
            <w:tcW w:w="1152" w:type="dxa"/>
          </w:tcPr>
          <w:p w14:paraId="78DA9753" w14:textId="77777777" w:rsidR="007303EE" w:rsidRPr="00797379" w:rsidRDefault="007303EE" w:rsidP="00F60802">
            <w:pPr>
              <w:pStyle w:val="TableTextCentered"/>
            </w:pPr>
            <w:r w:rsidRPr="00797379">
              <w:t>59</w:t>
            </w:r>
          </w:p>
        </w:tc>
        <w:tc>
          <w:tcPr>
            <w:tcW w:w="1151" w:type="dxa"/>
          </w:tcPr>
          <w:p w14:paraId="74EC4A87" w14:textId="77777777" w:rsidR="007303EE" w:rsidRPr="00797379" w:rsidRDefault="007303EE" w:rsidP="00F60802">
            <w:pPr>
              <w:pStyle w:val="TableTextCentered"/>
            </w:pPr>
            <w:r w:rsidRPr="00797379">
              <w:t>54</w:t>
            </w:r>
          </w:p>
        </w:tc>
        <w:tc>
          <w:tcPr>
            <w:tcW w:w="1152" w:type="dxa"/>
          </w:tcPr>
          <w:p w14:paraId="27F41528" w14:textId="77777777" w:rsidR="007303EE" w:rsidRPr="00797379" w:rsidRDefault="007303EE" w:rsidP="00F60802">
            <w:pPr>
              <w:pStyle w:val="TableTextCentered"/>
            </w:pPr>
            <w:r w:rsidRPr="00797379">
              <w:t>56</w:t>
            </w:r>
          </w:p>
        </w:tc>
        <w:tc>
          <w:tcPr>
            <w:tcW w:w="1152" w:type="dxa"/>
          </w:tcPr>
          <w:p w14:paraId="59DC5999" w14:textId="77777777" w:rsidR="007303EE" w:rsidRPr="00797379" w:rsidRDefault="007303EE" w:rsidP="00F60802">
            <w:pPr>
              <w:pStyle w:val="TableTextCentered"/>
            </w:pPr>
            <w:r w:rsidRPr="00797379">
              <w:t>50</w:t>
            </w:r>
          </w:p>
        </w:tc>
      </w:tr>
      <w:tr w:rsidR="007303EE" w:rsidRPr="00797379" w14:paraId="204CC152" w14:textId="77777777" w:rsidTr="005874C8">
        <w:trPr>
          <w:cnfStyle w:val="000000100000" w:firstRow="0" w:lastRow="0" w:firstColumn="0" w:lastColumn="0" w:oddVBand="0" w:evenVBand="0" w:oddHBand="1" w:evenHBand="0" w:firstRowFirstColumn="0" w:firstRowLastColumn="0" w:lastRowFirstColumn="0" w:lastRowLastColumn="0"/>
        </w:trPr>
        <w:tc>
          <w:tcPr>
            <w:tcW w:w="3586" w:type="dxa"/>
          </w:tcPr>
          <w:p w14:paraId="6DCC99D2" w14:textId="77777777" w:rsidR="007303EE" w:rsidRPr="0059750A" w:rsidRDefault="007303EE" w:rsidP="00F60802">
            <w:pPr>
              <w:pStyle w:val="TableSubheading"/>
              <w:rPr>
                <w:rFonts w:asciiTheme="minorHAnsi" w:hAnsiTheme="minorHAnsi"/>
                <w:spacing w:val="-4"/>
              </w:rPr>
            </w:pPr>
            <w:r w:rsidRPr="0059750A">
              <w:rPr>
                <w:rFonts w:asciiTheme="minorHAnsi" w:hAnsiTheme="minorHAnsi"/>
              </w:rPr>
              <w:t>Low Income</w:t>
            </w:r>
          </w:p>
        </w:tc>
        <w:tc>
          <w:tcPr>
            <w:tcW w:w="1151" w:type="dxa"/>
          </w:tcPr>
          <w:p w14:paraId="5D35FC8E" w14:textId="77777777" w:rsidR="007303EE" w:rsidRPr="00797379" w:rsidRDefault="007303EE" w:rsidP="00F60802">
            <w:pPr>
              <w:pStyle w:val="TableTextCentered"/>
            </w:pPr>
            <w:r w:rsidRPr="00797379">
              <w:t>138</w:t>
            </w:r>
          </w:p>
        </w:tc>
        <w:tc>
          <w:tcPr>
            <w:tcW w:w="1152" w:type="dxa"/>
          </w:tcPr>
          <w:p w14:paraId="7B26C9BF" w14:textId="77777777" w:rsidR="007303EE" w:rsidRPr="00797379" w:rsidRDefault="007303EE" w:rsidP="00F60802">
            <w:pPr>
              <w:pStyle w:val="TableTextCentered"/>
            </w:pPr>
            <w:r w:rsidRPr="00797379">
              <w:t>50</w:t>
            </w:r>
          </w:p>
        </w:tc>
        <w:tc>
          <w:tcPr>
            <w:tcW w:w="1151" w:type="dxa"/>
          </w:tcPr>
          <w:p w14:paraId="1A168F63" w14:textId="77777777" w:rsidR="007303EE" w:rsidRPr="00797379" w:rsidRDefault="007303EE" w:rsidP="00F60802">
            <w:pPr>
              <w:pStyle w:val="TableTextCentered"/>
            </w:pPr>
            <w:r w:rsidRPr="00797379">
              <w:t>51</w:t>
            </w:r>
          </w:p>
        </w:tc>
        <w:tc>
          <w:tcPr>
            <w:tcW w:w="1152" w:type="dxa"/>
          </w:tcPr>
          <w:p w14:paraId="6E878B20" w14:textId="77777777" w:rsidR="007303EE" w:rsidRPr="00797379" w:rsidRDefault="007303EE" w:rsidP="00F60802">
            <w:pPr>
              <w:pStyle w:val="TableTextCentered"/>
            </w:pPr>
            <w:r w:rsidRPr="00797379">
              <w:t>54</w:t>
            </w:r>
          </w:p>
        </w:tc>
        <w:tc>
          <w:tcPr>
            <w:tcW w:w="1152" w:type="dxa"/>
          </w:tcPr>
          <w:p w14:paraId="60F13360" w14:textId="77777777" w:rsidR="007303EE" w:rsidRPr="00797379" w:rsidRDefault="007303EE" w:rsidP="00F60802">
            <w:pPr>
              <w:pStyle w:val="TableTextCentered"/>
            </w:pPr>
            <w:r w:rsidRPr="00797379">
              <w:t>48</w:t>
            </w:r>
          </w:p>
        </w:tc>
      </w:tr>
      <w:tr w:rsidR="007303EE" w:rsidRPr="00797379" w14:paraId="677280C4" w14:textId="77777777" w:rsidTr="005874C8">
        <w:tc>
          <w:tcPr>
            <w:tcW w:w="3586" w:type="dxa"/>
          </w:tcPr>
          <w:p w14:paraId="3BA1194B" w14:textId="77777777" w:rsidR="007303EE" w:rsidRPr="0059750A" w:rsidRDefault="007303EE" w:rsidP="00F60802">
            <w:pPr>
              <w:pStyle w:val="TableSubheading"/>
              <w:rPr>
                <w:rFonts w:asciiTheme="minorHAnsi" w:hAnsiTheme="minorHAnsi"/>
              </w:rPr>
            </w:pPr>
            <w:r w:rsidRPr="0059750A">
              <w:rPr>
                <w:rFonts w:asciiTheme="minorHAnsi" w:hAnsiTheme="minorHAnsi"/>
              </w:rPr>
              <w:t>Students with Disabilities</w:t>
            </w:r>
          </w:p>
        </w:tc>
        <w:tc>
          <w:tcPr>
            <w:tcW w:w="1151" w:type="dxa"/>
          </w:tcPr>
          <w:p w14:paraId="2E54160F" w14:textId="77777777" w:rsidR="007303EE" w:rsidRPr="00797379" w:rsidRDefault="007303EE" w:rsidP="00F60802">
            <w:pPr>
              <w:pStyle w:val="TableTextCentered"/>
            </w:pPr>
            <w:r w:rsidRPr="00797379">
              <w:t>342</w:t>
            </w:r>
          </w:p>
        </w:tc>
        <w:tc>
          <w:tcPr>
            <w:tcW w:w="1152" w:type="dxa"/>
          </w:tcPr>
          <w:p w14:paraId="6ADEFFAF" w14:textId="77777777" w:rsidR="007303EE" w:rsidRPr="00797379" w:rsidRDefault="007303EE" w:rsidP="00F60802">
            <w:pPr>
              <w:pStyle w:val="TableTextCentered"/>
            </w:pPr>
            <w:r w:rsidRPr="00797379">
              <w:t>46</w:t>
            </w:r>
          </w:p>
        </w:tc>
        <w:tc>
          <w:tcPr>
            <w:tcW w:w="1151" w:type="dxa"/>
          </w:tcPr>
          <w:p w14:paraId="0803CC4C" w14:textId="77777777" w:rsidR="007303EE" w:rsidRPr="00797379" w:rsidRDefault="007303EE" w:rsidP="00F60802">
            <w:pPr>
              <w:pStyle w:val="TableTextCentered"/>
            </w:pPr>
            <w:r w:rsidRPr="00797379">
              <w:t>50</w:t>
            </w:r>
          </w:p>
        </w:tc>
        <w:tc>
          <w:tcPr>
            <w:tcW w:w="1152" w:type="dxa"/>
          </w:tcPr>
          <w:p w14:paraId="14C12C7F" w14:textId="77777777" w:rsidR="007303EE" w:rsidRPr="00797379" w:rsidRDefault="007303EE" w:rsidP="00F60802">
            <w:pPr>
              <w:pStyle w:val="TableTextCentered"/>
            </w:pPr>
            <w:r w:rsidRPr="00797379">
              <w:t>49</w:t>
            </w:r>
          </w:p>
        </w:tc>
        <w:tc>
          <w:tcPr>
            <w:tcW w:w="1152" w:type="dxa"/>
          </w:tcPr>
          <w:p w14:paraId="51D4B00B" w14:textId="77777777" w:rsidR="007303EE" w:rsidRPr="00797379" w:rsidRDefault="007303EE" w:rsidP="00F60802">
            <w:pPr>
              <w:pStyle w:val="TableTextCentered"/>
            </w:pPr>
            <w:r w:rsidRPr="00797379">
              <w:t>45</w:t>
            </w:r>
          </w:p>
        </w:tc>
      </w:tr>
    </w:tbl>
    <w:p w14:paraId="0412D531" w14:textId="6FC1E645" w:rsidR="007303EE" w:rsidRPr="00797379" w:rsidRDefault="007303EE" w:rsidP="006C2038">
      <w:pPr>
        <w:pStyle w:val="TableETitles"/>
      </w:pPr>
      <w:bookmarkStart w:id="252" w:name="_Toc220933514"/>
      <w:r w:rsidRPr="00797379">
        <w:t>Table E11. MCAS ELA Mean Student Growth Percentile by Student Group, Grade 10, 2023</w:t>
      </w:r>
      <w:r w:rsidR="0068153B" w:rsidRPr="00797379">
        <w:noBreakHyphen/>
      </w:r>
      <w:r w:rsidRPr="00797379">
        <w:t>2025</w:t>
      </w:r>
      <w:bookmarkEnd w:id="252"/>
    </w:p>
    <w:tbl>
      <w:tblPr>
        <w:tblStyle w:val="MSVTable1"/>
        <w:tblW w:w="5000" w:type="pct"/>
        <w:tblLook w:val="0420" w:firstRow="1" w:lastRow="0" w:firstColumn="0" w:lastColumn="0" w:noHBand="0" w:noVBand="1"/>
      </w:tblPr>
      <w:tblGrid>
        <w:gridCol w:w="3586"/>
        <w:gridCol w:w="1151"/>
        <w:gridCol w:w="1152"/>
        <w:gridCol w:w="1151"/>
        <w:gridCol w:w="1152"/>
        <w:gridCol w:w="1152"/>
      </w:tblGrid>
      <w:tr w:rsidR="007303EE" w:rsidRPr="00797379" w14:paraId="0E68ED81" w14:textId="77777777" w:rsidTr="00132A03">
        <w:trPr>
          <w:cnfStyle w:val="100000000000" w:firstRow="1" w:lastRow="0" w:firstColumn="0" w:lastColumn="0" w:oddVBand="0" w:evenVBand="0" w:oddHBand="0" w:evenHBand="0" w:firstRowFirstColumn="0" w:firstRowLastColumn="0" w:lastRowFirstColumn="0" w:lastRowLastColumn="0"/>
          <w:tblHeader/>
        </w:trPr>
        <w:tc>
          <w:tcPr>
            <w:tcW w:w="3586" w:type="dxa"/>
            <w:vAlign w:val="center"/>
          </w:tcPr>
          <w:p w14:paraId="6189689A" w14:textId="77777777" w:rsidR="007303EE" w:rsidRPr="00797379" w:rsidRDefault="007303EE" w:rsidP="00F60802">
            <w:pPr>
              <w:pStyle w:val="TableColHeadingCenter"/>
            </w:pPr>
            <w:r w:rsidRPr="00797379">
              <w:t>Group</w:t>
            </w:r>
          </w:p>
        </w:tc>
        <w:tc>
          <w:tcPr>
            <w:tcW w:w="1151" w:type="dxa"/>
            <w:vAlign w:val="center"/>
          </w:tcPr>
          <w:p w14:paraId="6F7ED7CD" w14:textId="77777777" w:rsidR="007303EE" w:rsidRPr="00797379" w:rsidRDefault="007303EE" w:rsidP="00F60802">
            <w:pPr>
              <w:pStyle w:val="TableColHeadingCenter"/>
            </w:pPr>
            <w:r w:rsidRPr="00797379">
              <w:t># Included (2025)</w:t>
            </w:r>
          </w:p>
        </w:tc>
        <w:tc>
          <w:tcPr>
            <w:tcW w:w="1152" w:type="dxa"/>
            <w:vAlign w:val="center"/>
          </w:tcPr>
          <w:p w14:paraId="7029B6FA" w14:textId="77777777" w:rsidR="007303EE" w:rsidRPr="00797379" w:rsidRDefault="007303EE" w:rsidP="00F60802">
            <w:pPr>
              <w:pStyle w:val="TableColHeadingCenter"/>
            </w:pPr>
            <w:r w:rsidRPr="00797379">
              <w:t>2023</w:t>
            </w:r>
          </w:p>
        </w:tc>
        <w:tc>
          <w:tcPr>
            <w:tcW w:w="1151" w:type="dxa"/>
            <w:vAlign w:val="center"/>
          </w:tcPr>
          <w:p w14:paraId="0B5D770E" w14:textId="77777777" w:rsidR="007303EE" w:rsidRPr="00797379" w:rsidRDefault="007303EE" w:rsidP="00F60802">
            <w:pPr>
              <w:pStyle w:val="TableColHeadingCenter"/>
            </w:pPr>
            <w:r w:rsidRPr="00797379">
              <w:t>2024</w:t>
            </w:r>
          </w:p>
        </w:tc>
        <w:tc>
          <w:tcPr>
            <w:tcW w:w="1152" w:type="dxa"/>
            <w:vAlign w:val="center"/>
          </w:tcPr>
          <w:p w14:paraId="1BAD0CA9" w14:textId="77777777" w:rsidR="007303EE" w:rsidRPr="00797379" w:rsidRDefault="007303EE" w:rsidP="00F60802">
            <w:pPr>
              <w:pStyle w:val="TableColHeadingCenter"/>
            </w:pPr>
            <w:r w:rsidRPr="00797379">
              <w:t>2025</w:t>
            </w:r>
          </w:p>
        </w:tc>
        <w:tc>
          <w:tcPr>
            <w:tcW w:w="1152" w:type="dxa"/>
            <w:vAlign w:val="center"/>
          </w:tcPr>
          <w:p w14:paraId="58CB6830" w14:textId="77777777" w:rsidR="007303EE" w:rsidRPr="00797379" w:rsidRDefault="007303EE" w:rsidP="00F60802">
            <w:pPr>
              <w:pStyle w:val="TableColHeadingCenter"/>
            </w:pPr>
            <w:r w:rsidRPr="00797379">
              <w:t>State (2025)</w:t>
            </w:r>
          </w:p>
        </w:tc>
      </w:tr>
      <w:tr w:rsidR="007303EE" w:rsidRPr="00797379" w14:paraId="71F14034" w14:textId="77777777" w:rsidTr="00F60802">
        <w:trPr>
          <w:cnfStyle w:val="000000100000" w:firstRow="0" w:lastRow="0" w:firstColumn="0" w:lastColumn="0" w:oddVBand="0" w:evenVBand="0" w:oddHBand="1" w:evenHBand="0" w:firstRowFirstColumn="0" w:firstRowLastColumn="0" w:lastRowFirstColumn="0" w:lastRowLastColumn="0"/>
        </w:trPr>
        <w:tc>
          <w:tcPr>
            <w:tcW w:w="3586" w:type="dxa"/>
          </w:tcPr>
          <w:p w14:paraId="6A6C2F33" w14:textId="77777777" w:rsidR="007303EE" w:rsidRPr="0059750A" w:rsidRDefault="007303EE" w:rsidP="00F60802">
            <w:pPr>
              <w:pStyle w:val="TableSubheading"/>
              <w:rPr>
                <w:rFonts w:asciiTheme="minorHAnsi" w:hAnsiTheme="minorHAnsi"/>
              </w:rPr>
            </w:pPr>
            <w:r w:rsidRPr="0059750A">
              <w:rPr>
                <w:rFonts w:asciiTheme="minorHAnsi" w:hAnsiTheme="minorHAnsi"/>
              </w:rPr>
              <w:t>All Students</w:t>
            </w:r>
          </w:p>
        </w:tc>
        <w:tc>
          <w:tcPr>
            <w:tcW w:w="1151" w:type="dxa"/>
          </w:tcPr>
          <w:p w14:paraId="535BA05A" w14:textId="77777777" w:rsidR="007303EE" w:rsidRPr="00797379" w:rsidRDefault="007303EE" w:rsidP="00F60802">
            <w:pPr>
              <w:pStyle w:val="TableTextCentered"/>
            </w:pPr>
            <w:r w:rsidRPr="00797379">
              <w:t>309</w:t>
            </w:r>
          </w:p>
        </w:tc>
        <w:tc>
          <w:tcPr>
            <w:tcW w:w="1152" w:type="dxa"/>
          </w:tcPr>
          <w:p w14:paraId="7D237AF4" w14:textId="77777777" w:rsidR="007303EE" w:rsidRPr="00797379" w:rsidRDefault="007303EE" w:rsidP="00F60802">
            <w:pPr>
              <w:pStyle w:val="TableTextCentered"/>
            </w:pPr>
            <w:r w:rsidRPr="00797379">
              <w:t>58</w:t>
            </w:r>
          </w:p>
        </w:tc>
        <w:tc>
          <w:tcPr>
            <w:tcW w:w="1151" w:type="dxa"/>
          </w:tcPr>
          <w:p w14:paraId="5530CFCF" w14:textId="77777777" w:rsidR="007303EE" w:rsidRPr="00797379" w:rsidRDefault="007303EE" w:rsidP="00F60802">
            <w:pPr>
              <w:pStyle w:val="TableTextCentered"/>
            </w:pPr>
            <w:r w:rsidRPr="00797379">
              <w:t>57</w:t>
            </w:r>
          </w:p>
        </w:tc>
        <w:tc>
          <w:tcPr>
            <w:tcW w:w="1152" w:type="dxa"/>
          </w:tcPr>
          <w:p w14:paraId="4CA12B10" w14:textId="77777777" w:rsidR="007303EE" w:rsidRPr="00797379" w:rsidRDefault="007303EE" w:rsidP="00F60802">
            <w:pPr>
              <w:pStyle w:val="TableTextCentered"/>
            </w:pPr>
            <w:r w:rsidRPr="00797379">
              <w:t>58</w:t>
            </w:r>
          </w:p>
        </w:tc>
        <w:tc>
          <w:tcPr>
            <w:tcW w:w="1152" w:type="dxa"/>
          </w:tcPr>
          <w:p w14:paraId="5DFDF01C" w14:textId="77777777" w:rsidR="007303EE" w:rsidRPr="00797379" w:rsidRDefault="007303EE" w:rsidP="00F60802">
            <w:pPr>
              <w:pStyle w:val="TableTextCentered"/>
            </w:pPr>
            <w:r w:rsidRPr="00797379">
              <w:t>50</w:t>
            </w:r>
          </w:p>
        </w:tc>
      </w:tr>
      <w:tr w:rsidR="007303EE" w:rsidRPr="00797379" w14:paraId="1CF9603C" w14:textId="77777777" w:rsidTr="00F60802">
        <w:tc>
          <w:tcPr>
            <w:tcW w:w="3586" w:type="dxa"/>
          </w:tcPr>
          <w:p w14:paraId="4F390985" w14:textId="77777777" w:rsidR="007303EE" w:rsidRPr="0059750A" w:rsidRDefault="007303EE" w:rsidP="00F60802">
            <w:pPr>
              <w:pStyle w:val="TableSubheading"/>
              <w:rPr>
                <w:rFonts w:asciiTheme="minorHAnsi" w:hAnsiTheme="minorHAnsi"/>
              </w:rPr>
            </w:pPr>
            <w:r w:rsidRPr="0059750A">
              <w:rPr>
                <w:rFonts w:asciiTheme="minorHAnsi" w:hAnsiTheme="minorHAnsi"/>
              </w:rPr>
              <w:t>American Indian or Alaskan Native</w:t>
            </w:r>
          </w:p>
        </w:tc>
        <w:tc>
          <w:tcPr>
            <w:tcW w:w="1151" w:type="dxa"/>
          </w:tcPr>
          <w:p w14:paraId="5A2F0C41" w14:textId="24F25F27" w:rsidR="007303EE" w:rsidRPr="00797379" w:rsidRDefault="00220288" w:rsidP="00F60802">
            <w:pPr>
              <w:pStyle w:val="TableTextCentered"/>
            </w:pPr>
            <w:r>
              <w:t>N/A</w:t>
            </w:r>
          </w:p>
        </w:tc>
        <w:tc>
          <w:tcPr>
            <w:tcW w:w="1152" w:type="dxa"/>
          </w:tcPr>
          <w:p w14:paraId="59F60AC1" w14:textId="05B438F4" w:rsidR="007303EE" w:rsidRPr="00797379" w:rsidRDefault="00220288" w:rsidP="00F60802">
            <w:pPr>
              <w:pStyle w:val="TableTextCentered"/>
            </w:pPr>
            <w:r>
              <w:t>N/A</w:t>
            </w:r>
          </w:p>
        </w:tc>
        <w:tc>
          <w:tcPr>
            <w:tcW w:w="1151" w:type="dxa"/>
          </w:tcPr>
          <w:p w14:paraId="4F077297" w14:textId="1AB375E8" w:rsidR="007303EE" w:rsidRPr="00797379" w:rsidRDefault="00220288" w:rsidP="00F60802">
            <w:pPr>
              <w:pStyle w:val="TableTextCentered"/>
            </w:pPr>
            <w:r>
              <w:t>N/A</w:t>
            </w:r>
          </w:p>
        </w:tc>
        <w:tc>
          <w:tcPr>
            <w:tcW w:w="1152" w:type="dxa"/>
          </w:tcPr>
          <w:p w14:paraId="6BC3FAF2" w14:textId="4A310FEB" w:rsidR="007303EE" w:rsidRPr="00797379" w:rsidRDefault="00220288" w:rsidP="00F60802">
            <w:pPr>
              <w:pStyle w:val="TableTextCentered"/>
            </w:pPr>
            <w:r>
              <w:t>N/A</w:t>
            </w:r>
          </w:p>
        </w:tc>
        <w:tc>
          <w:tcPr>
            <w:tcW w:w="1152" w:type="dxa"/>
          </w:tcPr>
          <w:p w14:paraId="587F0BED" w14:textId="77777777" w:rsidR="007303EE" w:rsidRPr="00797379" w:rsidRDefault="007303EE" w:rsidP="00F60802">
            <w:pPr>
              <w:pStyle w:val="TableTextCentered"/>
            </w:pPr>
            <w:r w:rsidRPr="00797379">
              <w:t>52</w:t>
            </w:r>
          </w:p>
        </w:tc>
      </w:tr>
      <w:tr w:rsidR="007303EE" w:rsidRPr="00797379" w14:paraId="7CC495B5" w14:textId="77777777" w:rsidTr="00F60802">
        <w:trPr>
          <w:cnfStyle w:val="000000100000" w:firstRow="0" w:lastRow="0" w:firstColumn="0" w:lastColumn="0" w:oddVBand="0" w:evenVBand="0" w:oddHBand="1" w:evenHBand="0" w:firstRowFirstColumn="0" w:firstRowLastColumn="0" w:lastRowFirstColumn="0" w:lastRowLastColumn="0"/>
        </w:trPr>
        <w:tc>
          <w:tcPr>
            <w:tcW w:w="3586" w:type="dxa"/>
          </w:tcPr>
          <w:p w14:paraId="25EDAF2C" w14:textId="77777777" w:rsidR="007303EE" w:rsidRPr="0059750A" w:rsidRDefault="007303EE" w:rsidP="00F60802">
            <w:pPr>
              <w:pStyle w:val="TableSubheading"/>
              <w:rPr>
                <w:rFonts w:asciiTheme="minorHAnsi" w:hAnsiTheme="minorHAnsi"/>
              </w:rPr>
            </w:pPr>
            <w:r w:rsidRPr="0059750A">
              <w:rPr>
                <w:rFonts w:asciiTheme="minorHAnsi" w:hAnsiTheme="minorHAnsi"/>
              </w:rPr>
              <w:t>Asian</w:t>
            </w:r>
          </w:p>
        </w:tc>
        <w:tc>
          <w:tcPr>
            <w:tcW w:w="1151" w:type="dxa"/>
          </w:tcPr>
          <w:p w14:paraId="2A65E881" w14:textId="77777777" w:rsidR="007303EE" w:rsidRPr="00797379" w:rsidRDefault="007303EE" w:rsidP="00F60802">
            <w:pPr>
              <w:pStyle w:val="TableTextCentered"/>
            </w:pPr>
            <w:r w:rsidRPr="00797379">
              <w:t>60</w:t>
            </w:r>
          </w:p>
        </w:tc>
        <w:tc>
          <w:tcPr>
            <w:tcW w:w="1152" w:type="dxa"/>
          </w:tcPr>
          <w:p w14:paraId="22955536" w14:textId="77777777" w:rsidR="007303EE" w:rsidRPr="00797379" w:rsidRDefault="007303EE" w:rsidP="00F60802">
            <w:pPr>
              <w:pStyle w:val="TableTextCentered"/>
            </w:pPr>
            <w:r w:rsidRPr="00797379">
              <w:t>65</w:t>
            </w:r>
          </w:p>
        </w:tc>
        <w:tc>
          <w:tcPr>
            <w:tcW w:w="1151" w:type="dxa"/>
          </w:tcPr>
          <w:p w14:paraId="55F2C2DF" w14:textId="77777777" w:rsidR="007303EE" w:rsidRPr="00797379" w:rsidRDefault="007303EE" w:rsidP="00F60802">
            <w:pPr>
              <w:pStyle w:val="TableTextCentered"/>
            </w:pPr>
            <w:r w:rsidRPr="00797379">
              <w:t>68</w:t>
            </w:r>
          </w:p>
        </w:tc>
        <w:tc>
          <w:tcPr>
            <w:tcW w:w="1152" w:type="dxa"/>
          </w:tcPr>
          <w:p w14:paraId="5D2ABF13" w14:textId="77777777" w:rsidR="007303EE" w:rsidRPr="00797379" w:rsidRDefault="007303EE" w:rsidP="00F60802">
            <w:pPr>
              <w:pStyle w:val="TableTextCentered"/>
            </w:pPr>
            <w:r w:rsidRPr="00797379">
              <w:t>56</w:t>
            </w:r>
          </w:p>
        </w:tc>
        <w:tc>
          <w:tcPr>
            <w:tcW w:w="1152" w:type="dxa"/>
          </w:tcPr>
          <w:p w14:paraId="4BF1227B" w14:textId="77777777" w:rsidR="007303EE" w:rsidRPr="00797379" w:rsidRDefault="007303EE" w:rsidP="00F60802">
            <w:pPr>
              <w:pStyle w:val="TableTextCentered"/>
            </w:pPr>
            <w:r w:rsidRPr="00797379">
              <w:t>57</w:t>
            </w:r>
          </w:p>
        </w:tc>
      </w:tr>
      <w:tr w:rsidR="007303EE" w:rsidRPr="00797379" w14:paraId="106D0759" w14:textId="77777777" w:rsidTr="00F60802">
        <w:tc>
          <w:tcPr>
            <w:tcW w:w="3586" w:type="dxa"/>
          </w:tcPr>
          <w:p w14:paraId="1CB03678" w14:textId="77777777" w:rsidR="007303EE" w:rsidRPr="0059750A" w:rsidRDefault="007303EE" w:rsidP="00F60802">
            <w:pPr>
              <w:pStyle w:val="TableSubheading"/>
              <w:rPr>
                <w:rFonts w:asciiTheme="minorHAnsi" w:hAnsiTheme="minorHAnsi"/>
              </w:rPr>
            </w:pPr>
            <w:r w:rsidRPr="0059750A">
              <w:rPr>
                <w:rFonts w:asciiTheme="minorHAnsi" w:hAnsiTheme="minorHAnsi"/>
              </w:rPr>
              <w:t>Black or African American</w:t>
            </w:r>
          </w:p>
        </w:tc>
        <w:tc>
          <w:tcPr>
            <w:tcW w:w="1151" w:type="dxa"/>
          </w:tcPr>
          <w:p w14:paraId="2F265ADC" w14:textId="77777777" w:rsidR="007303EE" w:rsidRPr="00797379" w:rsidRDefault="007303EE" w:rsidP="00F60802">
            <w:pPr>
              <w:pStyle w:val="TableTextCentered"/>
            </w:pPr>
            <w:r w:rsidRPr="00797379">
              <w:t>6</w:t>
            </w:r>
          </w:p>
        </w:tc>
        <w:tc>
          <w:tcPr>
            <w:tcW w:w="1152" w:type="dxa"/>
          </w:tcPr>
          <w:p w14:paraId="6D78656A" w14:textId="4918CCBC" w:rsidR="007303EE" w:rsidRPr="00797379" w:rsidRDefault="00220288" w:rsidP="00F60802">
            <w:pPr>
              <w:pStyle w:val="TableTextCentered"/>
            </w:pPr>
            <w:r>
              <w:t>N/A</w:t>
            </w:r>
          </w:p>
        </w:tc>
        <w:tc>
          <w:tcPr>
            <w:tcW w:w="1151" w:type="dxa"/>
          </w:tcPr>
          <w:p w14:paraId="3ED775E4" w14:textId="78501A9B" w:rsidR="007303EE" w:rsidRPr="00797379" w:rsidRDefault="00220288" w:rsidP="00F60802">
            <w:pPr>
              <w:pStyle w:val="TableTextCentered"/>
            </w:pPr>
            <w:r>
              <w:t>N/A</w:t>
            </w:r>
          </w:p>
        </w:tc>
        <w:tc>
          <w:tcPr>
            <w:tcW w:w="1152" w:type="dxa"/>
          </w:tcPr>
          <w:p w14:paraId="6AD27255" w14:textId="574F7718" w:rsidR="007303EE" w:rsidRPr="00797379" w:rsidRDefault="00220288" w:rsidP="00F60802">
            <w:pPr>
              <w:pStyle w:val="TableTextCentered"/>
            </w:pPr>
            <w:r>
              <w:t>N/A</w:t>
            </w:r>
          </w:p>
        </w:tc>
        <w:tc>
          <w:tcPr>
            <w:tcW w:w="1152" w:type="dxa"/>
          </w:tcPr>
          <w:p w14:paraId="26792429" w14:textId="77777777" w:rsidR="007303EE" w:rsidRPr="00797379" w:rsidRDefault="007303EE" w:rsidP="00F60802">
            <w:pPr>
              <w:pStyle w:val="TableTextCentered"/>
            </w:pPr>
            <w:r w:rsidRPr="00797379">
              <w:t>49</w:t>
            </w:r>
          </w:p>
        </w:tc>
      </w:tr>
      <w:tr w:rsidR="007303EE" w:rsidRPr="00797379" w14:paraId="445C0E84" w14:textId="77777777" w:rsidTr="00F60802">
        <w:trPr>
          <w:cnfStyle w:val="000000100000" w:firstRow="0" w:lastRow="0" w:firstColumn="0" w:lastColumn="0" w:oddVBand="0" w:evenVBand="0" w:oddHBand="1" w:evenHBand="0" w:firstRowFirstColumn="0" w:firstRowLastColumn="0" w:lastRowFirstColumn="0" w:lastRowLastColumn="0"/>
        </w:trPr>
        <w:tc>
          <w:tcPr>
            <w:tcW w:w="3586" w:type="dxa"/>
          </w:tcPr>
          <w:p w14:paraId="41BF9BA0" w14:textId="77777777" w:rsidR="007303EE" w:rsidRPr="0059750A" w:rsidRDefault="007303EE" w:rsidP="00F60802">
            <w:pPr>
              <w:pStyle w:val="TableSubheading"/>
              <w:rPr>
                <w:rFonts w:asciiTheme="minorHAnsi" w:hAnsiTheme="minorHAnsi"/>
              </w:rPr>
            </w:pPr>
            <w:r w:rsidRPr="0059750A">
              <w:rPr>
                <w:rFonts w:asciiTheme="minorHAnsi" w:hAnsiTheme="minorHAnsi"/>
              </w:rPr>
              <w:t>Hispanic or Latino</w:t>
            </w:r>
          </w:p>
        </w:tc>
        <w:tc>
          <w:tcPr>
            <w:tcW w:w="1151" w:type="dxa"/>
          </w:tcPr>
          <w:p w14:paraId="6EC22F1A" w14:textId="77777777" w:rsidR="007303EE" w:rsidRPr="00797379" w:rsidRDefault="007303EE" w:rsidP="00F60802">
            <w:pPr>
              <w:pStyle w:val="TableTextCentered"/>
            </w:pPr>
            <w:r w:rsidRPr="00797379">
              <w:t>16</w:t>
            </w:r>
          </w:p>
        </w:tc>
        <w:tc>
          <w:tcPr>
            <w:tcW w:w="1152" w:type="dxa"/>
          </w:tcPr>
          <w:p w14:paraId="2A95DA74" w14:textId="65D08FE2" w:rsidR="007303EE" w:rsidRPr="00797379" w:rsidRDefault="00220288" w:rsidP="00F60802">
            <w:pPr>
              <w:pStyle w:val="TableTextCentered"/>
            </w:pPr>
            <w:r>
              <w:t>N/A</w:t>
            </w:r>
          </w:p>
        </w:tc>
        <w:tc>
          <w:tcPr>
            <w:tcW w:w="1151" w:type="dxa"/>
          </w:tcPr>
          <w:p w14:paraId="51EA5E18" w14:textId="06840745" w:rsidR="007303EE" w:rsidRPr="00797379" w:rsidRDefault="00220288" w:rsidP="00F60802">
            <w:pPr>
              <w:pStyle w:val="TableTextCentered"/>
            </w:pPr>
            <w:r>
              <w:t>N/A</w:t>
            </w:r>
          </w:p>
        </w:tc>
        <w:tc>
          <w:tcPr>
            <w:tcW w:w="1152" w:type="dxa"/>
          </w:tcPr>
          <w:p w14:paraId="2728A346" w14:textId="2C2FF9EC" w:rsidR="007303EE" w:rsidRPr="00797379" w:rsidRDefault="00220288" w:rsidP="00F60802">
            <w:pPr>
              <w:pStyle w:val="TableTextCentered"/>
            </w:pPr>
            <w:r>
              <w:t>N/A</w:t>
            </w:r>
          </w:p>
        </w:tc>
        <w:tc>
          <w:tcPr>
            <w:tcW w:w="1152" w:type="dxa"/>
          </w:tcPr>
          <w:p w14:paraId="5D0C8520" w14:textId="77777777" w:rsidR="007303EE" w:rsidRPr="00797379" w:rsidRDefault="007303EE" w:rsidP="00F60802">
            <w:pPr>
              <w:pStyle w:val="TableTextCentered"/>
            </w:pPr>
            <w:r w:rsidRPr="00797379">
              <w:t>47</w:t>
            </w:r>
          </w:p>
        </w:tc>
      </w:tr>
      <w:tr w:rsidR="007303EE" w:rsidRPr="00797379" w14:paraId="3FB4D25B" w14:textId="77777777" w:rsidTr="00F60802">
        <w:tc>
          <w:tcPr>
            <w:tcW w:w="3586" w:type="dxa"/>
          </w:tcPr>
          <w:p w14:paraId="1AA5BB64" w14:textId="77777777" w:rsidR="007303EE" w:rsidRPr="0059750A" w:rsidRDefault="007303EE" w:rsidP="00F60802">
            <w:pPr>
              <w:pStyle w:val="TableSubheading"/>
              <w:rPr>
                <w:rFonts w:asciiTheme="minorHAnsi" w:hAnsiTheme="minorHAnsi"/>
              </w:rPr>
            </w:pPr>
            <w:r w:rsidRPr="0059750A">
              <w:rPr>
                <w:rFonts w:asciiTheme="minorHAnsi" w:hAnsiTheme="minorHAnsi"/>
              </w:rPr>
              <w:t>Multi-Race, Not Hispanic or Latino</w:t>
            </w:r>
          </w:p>
        </w:tc>
        <w:tc>
          <w:tcPr>
            <w:tcW w:w="1151" w:type="dxa"/>
          </w:tcPr>
          <w:p w14:paraId="6312B235" w14:textId="77777777" w:rsidR="007303EE" w:rsidRPr="00797379" w:rsidRDefault="007303EE" w:rsidP="00F60802">
            <w:pPr>
              <w:pStyle w:val="TableTextCentered"/>
            </w:pPr>
            <w:r w:rsidRPr="00797379">
              <w:t>14</w:t>
            </w:r>
          </w:p>
        </w:tc>
        <w:tc>
          <w:tcPr>
            <w:tcW w:w="1152" w:type="dxa"/>
          </w:tcPr>
          <w:p w14:paraId="5F4B9503" w14:textId="04CF51EB" w:rsidR="007303EE" w:rsidRPr="00797379" w:rsidRDefault="00220288" w:rsidP="00F60802">
            <w:pPr>
              <w:pStyle w:val="TableTextCentered"/>
            </w:pPr>
            <w:r>
              <w:t>N/A</w:t>
            </w:r>
          </w:p>
        </w:tc>
        <w:tc>
          <w:tcPr>
            <w:tcW w:w="1151" w:type="dxa"/>
          </w:tcPr>
          <w:p w14:paraId="71A0744C" w14:textId="77777777" w:rsidR="007303EE" w:rsidRPr="00797379" w:rsidRDefault="007303EE" w:rsidP="00F60802">
            <w:pPr>
              <w:pStyle w:val="TableTextCentered"/>
            </w:pPr>
            <w:r w:rsidRPr="00797379">
              <w:t>55</w:t>
            </w:r>
          </w:p>
        </w:tc>
        <w:tc>
          <w:tcPr>
            <w:tcW w:w="1152" w:type="dxa"/>
          </w:tcPr>
          <w:p w14:paraId="339A6A24" w14:textId="5C919541" w:rsidR="007303EE" w:rsidRPr="00797379" w:rsidRDefault="00220288" w:rsidP="00F60802">
            <w:pPr>
              <w:pStyle w:val="TableTextCentered"/>
            </w:pPr>
            <w:r>
              <w:t>N/A</w:t>
            </w:r>
          </w:p>
        </w:tc>
        <w:tc>
          <w:tcPr>
            <w:tcW w:w="1152" w:type="dxa"/>
          </w:tcPr>
          <w:p w14:paraId="45E6BB86" w14:textId="77777777" w:rsidR="007303EE" w:rsidRPr="00797379" w:rsidRDefault="007303EE" w:rsidP="00F60802">
            <w:pPr>
              <w:pStyle w:val="TableTextCentered"/>
            </w:pPr>
            <w:r w:rsidRPr="00797379">
              <w:t>50</w:t>
            </w:r>
          </w:p>
        </w:tc>
      </w:tr>
      <w:tr w:rsidR="007303EE" w:rsidRPr="00797379" w14:paraId="43859EA5" w14:textId="77777777" w:rsidTr="00F60802">
        <w:trPr>
          <w:cnfStyle w:val="000000100000" w:firstRow="0" w:lastRow="0" w:firstColumn="0" w:lastColumn="0" w:oddVBand="0" w:evenVBand="0" w:oddHBand="1" w:evenHBand="0" w:firstRowFirstColumn="0" w:firstRowLastColumn="0" w:lastRowFirstColumn="0" w:lastRowLastColumn="0"/>
        </w:trPr>
        <w:tc>
          <w:tcPr>
            <w:tcW w:w="3586" w:type="dxa"/>
          </w:tcPr>
          <w:p w14:paraId="16F6BC43" w14:textId="77777777" w:rsidR="007303EE" w:rsidRPr="0059750A" w:rsidRDefault="007303EE" w:rsidP="00F60802">
            <w:pPr>
              <w:pStyle w:val="TableSubheading"/>
              <w:rPr>
                <w:rFonts w:asciiTheme="minorHAnsi" w:hAnsiTheme="minorHAnsi"/>
                <w:spacing w:val="-4"/>
              </w:rPr>
            </w:pPr>
            <w:r w:rsidRPr="0059750A">
              <w:rPr>
                <w:rFonts w:asciiTheme="minorHAnsi" w:hAnsiTheme="minorHAnsi"/>
              </w:rPr>
              <w:t>Native Hawaiian or Other Pacific Islander</w:t>
            </w:r>
          </w:p>
        </w:tc>
        <w:tc>
          <w:tcPr>
            <w:tcW w:w="1151" w:type="dxa"/>
          </w:tcPr>
          <w:p w14:paraId="12A10998" w14:textId="21A464F6" w:rsidR="007303EE" w:rsidRPr="00797379" w:rsidRDefault="00220288" w:rsidP="00F60802">
            <w:pPr>
              <w:pStyle w:val="TableTextCentered"/>
            </w:pPr>
            <w:r>
              <w:t>N/A</w:t>
            </w:r>
          </w:p>
        </w:tc>
        <w:tc>
          <w:tcPr>
            <w:tcW w:w="1152" w:type="dxa"/>
          </w:tcPr>
          <w:p w14:paraId="46F9C8FC" w14:textId="3D27109D" w:rsidR="007303EE" w:rsidRPr="00797379" w:rsidRDefault="00220288" w:rsidP="00F60802">
            <w:pPr>
              <w:pStyle w:val="TableTextCentered"/>
            </w:pPr>
            <w:r>
              <w:t>N/A</w:t>
            </w:r>
          </w:p>
        </w:tc>
        <w:tc>
          <w:tcPr>
            <w:tcW w:w="1151" w:type="dxa"/>
          </w:tcPr>
          <w:p w14:paraId="77A0514C" w14:textId="26CAC270" w:rsidR="007303EE" w:rsidRPr="00797379" w:rsidRDefault="00220288" w:rsidP="00F60802">
            <w:pPr>
              <w:pStyle w:val="TableTextCentered"/>
            </w:pPr>
            <w:r>
              <w:t>N/A</w:t>
            </w:r>
          </w:p>
        </w:tc>
        <w:tc>
          <w:tcPr>
            <w:tcW w:w="1152" w:type="dxa"/>
          </w:tcPr>
          <w:p w14:paraId="5C5BC413" w14:textId="3E0CE7D9" w:rsidR="007303EE" w:rsidRPr="00797379" w:rsidRDefault="00220288" w:rsidP="00F60802">
            <w:pPr>
              <w:pStyle w:val="TableTextCentered"/>
            </w:pPr>
            <w:r>
              <w:t>N/A</w:t>
            </w:r>
          </w:p>
        </w:tc>
        <w:tc>
          <w:tcPr>
            <w:tcW w:w="1152" w:type="dxa"/>
          </w:tcPr>
          <w:p w14:paraId="477DE34B" w14:textId="77777777" w:rsidR="007303EE" w:rsidRPr="00797379" w:rsidRDefault="007303EE" w:rsidP="00F60802">
            <w:pPr>
              <w:pStyle w:val="TableTextCentered"/>
            </w:pPr>
            <w:r w:rsidRPr="00797379">
              <w:t>50</w:t>
            </w:r>
          </w:p>
        </w:tc>
      </w:tr>
      <w:tr w:rsidR="007303EE" w:rsidRPr="00797379" w14:paraId="621469E2" w14:textId="77777777" w:rsidTr="00F60802">
        <w:tc>
          <w:tcPr>
            <w:tcW w:w="3586" w:type="dxa"/>
          </w:tcPr>
          <w:p w14:paraId="7823F714" w14:textId="77777777" w:rsidR="007303EE" w:rsidRPr="0059750A" w:rsidRDefault="007303EE" w:rsidP="00F60802">
            <w:pPr>
              <w:pStyle w:val="TableSubheading"/>
              <w:rPr>
                <w:rFonts w:asciiTheme="minorHAnsi" w:hAnsiTheme="minorHAnsi"/>
              </w:rPr>
            </w:pPr>
            <w:r w:rsidRPr="0059750A">
              <w:rPr>
                <w:rFonts w:asciiTheme="minorHAnsi" w:hAnsiTheme="minorHAnsi"/>
              </w:rPr>
              <w:t>White</w:t>
            </w:r>
          </w:p>
        </w:tc>
        <w:tc>
          <w:tcPr>
            <w:tcW w:w="1151" w:type="dxa"/>
          </w:tcPr>
          <w:p w14:paraId="16CAC3FD" w14:textId="77777777" w:rsidR="007303EE" w:rsidRPr="00797379" w:rsidRDefault="007303EE" w:rsidP="00F60802">
            <w:pPr>
              <w:pStyle w:val="TableTextCentered"/>
            </w:pPr>
            <w:r w:rsidRPr="00797379">
              <w:t>213</w:t>
            </w:r>
          </w:p>
        </w:tc>
        <w:tc>
          <w:tcPr>
            <w:tcW w:w="1152" w:type="dxa"/>
          </w:tcPr>
          <w:p w14:paraId="7BCD6EFD" w14:textId="77777777" w:rsidR="007303EE" w:rsidRPr="00797379" w:rsidRDefault="007303EE" w:rsidP="00F60802">
            <w:pPr>
              <w:pStyle w:val="TableTextCentered"/>
            </w:pPr>
            <w:r w:rsidRPr="00797379">
              <w:t>55</w:t>
            </w:r>
          </w:p>
        </w:tc>
        <w:tc>
          <w:tcPr>
            <w:tcW w:w="1151" w:type="dxa"/>
          </w:tcPr>
          <w:p w14:paraId="1327D4F4" w14:textId="77777777" w:rsidR="007303EE" w:rsidRPr="00797379" w:rsidRDefault="007303EE" w:rsidP="00F60802">
            <w:pPr>
              <w:pStyle w:val="TableTextCentered"/>
            </w:pPr>
            <w:r w:rsidRPr="00797379">
              <w:t>54</w:t>
            </w:r>
          </w:p>
        </w:tc>
        <w:tc>
          <w:tcPr>
            <w:tcW w:w="1152" w:type="dxa"/>
          </w:tcPr>
          <w:p w14:paraId="7A213DA0" w14:textId="77777777" w:rsidR="007303EE" w:rsidRPr="00797379" w:rsidRDefault="007303EE" w:rsidP="00F60802">
            <w:pPr>
              <w:pStyle w:val="TableTextCentered"/>
            </w:pPr>
            <w:r w:rsidRPr="00797379">
              <w:t>58</w:t>
            </w:r>
          </w:p>
        </w:tc>
        <w:tc>
          <w:tcPr>
            <w:tcW w:w="1152" w:type="dxa"/>
          </w:tcPr>
          <w:p w14:paraId="68460AAC" w14:textId="77777777" w:rsidR="007303EE" w:rsidRPr="00797379" w:rsidRDefault="007303EE" w:rsidP="00F60802">
            <w:pPr>
              <w:pStyle w:val="TableTextCentered"/>
            </w:pPr>
            <w:r w:rsidRPr="00797379">
              <w:t>50</w:t>
            </w:r>
          </w:p>
        </w:tc>
      </w:tr>
      <w:tr w:rsidR="007303EE" w:rsidRPr="00797379" w14:paraId="592C4C81" w14:textId="77777777" w:rsidTr="00F60802">
        <w:trPr>
          <w:cnfStyle w:val="000000100000" w:firstRow="0" w:lastRow="0" w:firstColumn="0" w:lastColumn="0" w:oddVBand="0" w:evenVBand="0" w:oddHBand="1" w:evenHBand="0" w:firstRowFirstColumn="0" w:firstRowLastColumn="0" w:lastRowFirstColumn="0" w:lastRowLastColumn="0"/>
        </w:trPr>
        <w:tc>
          <w:tcPr>
            <w:tcW w:w="3586" w:type="dxa"/>
          </w:tcPr>
          <w:p w14:paraId="442EF78A" w14:textId="77777777" w:rsidR="007303EE" w:rsidRPr="0059750A" w:rsidRDefault="007303EE" w:rsidP="00F60802">
            <w:pPr>
              <w:pStyle w:val="TableSubheading"/>
              <w:rPr>
                <w:rFonts w:asciiTheme="minorHAnsi" w:hAnsiTheme="minorHAnsi"/>
              </w:rPr>
            </w:pPr>
            <w:r w:rsidRPr="0059750A">
              <w:rPr>
                <w:rFonts w:asciiTheme="minorHAnsi" w:hAnsiTheme="minorHAnsi"/>
              </w:rPr>
              <w:t>High Needs</w:t>
            </w:r>
          </w:p>
        </w:tc>
        <w:tc>
          <w:tcPr>
            <w:tcW w:w="1151" w:type="dxa"/>
          </w:tcPr>
          <w:p w14:paraId="58DB4D50" w14:textId="77777777" w:rsidR="007303EE" w:rsidRPr="00797379" w:rsidRDefault="007303EE" w:rsidP="00F60802">
            <w:pPr>
              <w:pStyle w:val="TableTextCentered"/>
            </w:pPr>
            <w:r w:rsidRPr="00797379">
              <w:t>60</w:t>
            </w:r>
          </w:p>
        </w:tc>
        <w:tc>
          <w:tcPr>
            <w:tcW w:w="1152" w:type="dxa"/>
          </w:tcPr>
          <w:p w14:paraId="7031CA47" w14:textId="77777777" w:rsidR="007303EE" w:rsidRPr="00797379" w:rsidRDefault="007303EE" w:rsidP="00F60802">
            <w:pPr>
              <w:pStyle w:val="TableTextCentered"/>
            </w:pPr>
            <w:r w:rsidRPr="00797379">
              <w:t>48</w:t>
            </w:r>
          </w:p>
        </w:tc>
        <w:tc>
          <w:tcPr>
            <w:tcW w:w="1151" w:type="dxa"/>
          </w:tcPr>
          <w:p w14:paraId="412A0C4A" w14:textId="77777777" w:rsidR="007303EE" w:rsidRPr="00797379" w:rsidRDefault="007303EE" w:rsidP="00F60802">
            <w:pPr>
              <w:pStyle w:val="TableTextCentered"/>
            </w:pPr>
            <w:r w:rsidRPr="00797379">
              <w:t>48</w:t>
            </w:r>
          </w:p>
        </w:tc>
        <w:tc>
          <w:tcPr>
            <w:tcW w:w="1152" w:type="dxa"/>
          </w:tcPr>
          <w:p w14:paraId="05264E86" w14:textId="77777777" w:rsidR="007303EE" w:rsidRPr="00797379" w:rsidRDefault="007303EE" w:rsidP="00F60802">
            <w:pPr>
              <w:pStyle w:val="TableTextCentered"/>
            </w:pPr>
            <w:r w:rsidRPr="00797379">
              <w:t>51</w:t>
            </w:r>
          </w:p>
        </w:tc>
        <w:tc>
          <w:tcPr>
            <w:tcW w:w="1152" w:type="dxa"/>
          </w:tcPr>
          <w:p w14:paraId="299F23C7" w14:textId="77777777" w:rsidR="007303EE" w:rsidRPr="00797379" w:rsidRDefault="007303EE" w:rsidP="00F60802">
            <w:pPr>
              <w:pStyle w:val="TableTextCentered"/>
            </w:pPr>
            <w:r w:rsidRPr="00797379">
              <w:t>47</w:t>
            </w:r>
          </w:p>
        </w:tc>
      </w:tr>
      <w:tr w:rsidR="007303EE" w:rsidRPr="00797379" w14:paraId="53ADCE6B" w14:textId="77777777" w:rsidTr="00F60802">
        <w:tc>
          <w:tcPr>
            <w:tcW w:w="3586" w:type="dxa"/>
          </w:tcPr>
          <w:p w14:paraId="137FC815" w14:textId="77777777" w:rsidR="007303EE" w:rsidRPr="0059750A" w:rsidRDefault="007303EE" w:rsidP="00F60802">
            <w:pPr>
              <w:pStyle w:val="TableSubheading"/>
              <w:rPr>
                <w:rFonts w:asciiTheme="minorHAnsi" w:hAnsiTheme="minorHAnsi"/>
              </w:rPr>
            </w:pPr>
            <w:r w:rsidRPr="0059750A">
              <w:rPr>
                <w:rFonts w:asciiTheme="minorHAnsi" w:hAnsiTheme="minorHAnsi"/>
              </w:rPr>
              <w:t>English Learners</w:t>
            </w:r>
          </w:p>
        </w:tc>
        <w:tc>
          <w:tcPr>
            <w:tcW w:w="1151" w:type="dxa"/>
          </w:tcPr>
          <w:p w14:paraId="282B9197" w14:textId="77777777" w:rsidR="007303EE" w:rsidRPr="00797379" w:rsidRDefault="007303EE" w:rsidP="00F60802">
            <w:pPr>
              <w:pStyle w:val="TableTextCentered"/>
            </w:pPr>
            <w:r w:rsidRPr="00797379">
              <w:t>3</w:t>
            </w:r>
          </w:p>
        </w:tc>
        <w:tc>
          <w:tcPr>
            <w:tcW w:w="1152" w:type="dxa"/>
          </w:tcPr>
          <w:p w14:paraId="2A7D1E08" w14:textId="4BB59A83" w:rsidR="007303EE" w:rsidRPr="00797379" w:rsidRDefault="00220288" w:rsidP="00F60802">
            <w:pPr>
              <w:pStyle w:val="TableTextCentered"/>
            </w:pPr>
            <w:r>
              <w:t>N/A</w:t>
            </w:r>
          </w:p>
        </w:tc>
        <w:tc>
          <w:tcPr>
            <w:tcW w:w="1151" w:type="dxa"/>
          </w:tcPr>
          <w:p w14:paraId="1CF5DA05" w14:textId="3498EDEF" w:rsidR="007303EE" w:rsidRPr="00797379" w:rsidRDefault="00220288" w:rsidP="00F60802">
            <w:pPr>
              <w:pStyle w:val="TableTextCentered"/>
            </w:pPr>
            <w:r>
              <w:t>N/A</w:t>
            </w:r>
          </w:p>
        </w:tc>
        <w:tc>
          <w:tcPr>
            <w:tcW w:w="1152" w:type="dxa"/>
          </w:tcPr>
          <w:p w14:paraId="1EB9C5BD" w14:textId="3810257A" w:rsidR="007303EE" w:rsidRPr="00797379" w:rsidRDefault="00220288" w:rsidP="00F60802">
            <w:pPr>
              <w:pStyle w:val="TableTextCentered"/>
            </w:pPr>
            <w:r>
              <w:t>N/A</w:t>
            </w:r>
          </w:p>
        </w:tc>
        <w:tc>
          <w:tcPr>
            <w:tcW w:w="1152" w:type="dxa"/>
          </w:tcPr>
          <w:p w14:paraId="57E3A7EB" w14:textId="77777777" w:rsidR="007303EE" w:rsidRPr="00797379" w:rsidRDefault="007303EE" w:rsidP="00F60802">
            <w:pPr>
              <w:pStyle w:val="TableTextCentered"/>
            </w:pPr>
            <w:r w:rsidRPr="00797379">
              <w:t>51</w:t>
            </w:r>
          </w:p>
        </w:tc>
      </w:tr>
      <w:tr w:rsidR="007303EE" w:rsidRPr="00797379" w14:paraId="46B9263E" w14:textId="77777777" w:rsidTr="00F60802">
        <w:trPr>
          <w:cnfStyle w:val="000000100000" w:firstRow="0" w:lastRow="0" w:firstColumn="0" w:lastColumn="0" w:oddVBand="0" w:evenVBand="0" w:oddHBand="1" w:evenHBand="0" w:firstRowFirstColumn="0" w:firstRowLastColumn="0" w:lastRowFirstColumn="0" w:lastRowLastColumn="0"/>
        </w:trPr>
        <w:tc>
          <w:tcPr>
            <w:tcW w:w="3586" w:type="dxa"/>
          </w:tcPr>
          <w:p w14:paraId="4DD4B5DD" w14:textId="77777777" w:rsidR="007303EE" w:rsidRPr="0059750A" w:rsidRDefault="007303EE" w:rsidP="00F60802">
            <w:pPr>
              <w:pStyle w:val="TableSubheading"/>
              <w:rPr>
                <w:rFonts w:asciiTheme="minorHAnsi" w:hAnsiTheme="minorHAnsi"/>
                <w:spacing w:val="-4"/>
              </w:rPr>
            </w:pPr>
            <w:r w:rsidRPr="0059750A">
              <w:rPr>
                <w:rFonts w:asciiTheme="minorHAnsi" w:hAnsiTheme="minorHAnsi"/>
              </w:rPr>
              <w:t>Low Income</w:t>
            </w:r>
          </w:p>
        </w:tc>
        <w:tc>
          <w:tcPr>
            <w:tcW w:w="1151" w:type="dxa"/>
          </w:tcPr>
          <w:p w14:paraId="7451B4B3" w14:textId="77777777" w:rsidR="007303EE" w:rsidRPr="00797379" w:rsidRDefault="007303EE" w:rsidP="00F60802">
            <w:pPr>
              <w:pStyle w:val="TableTextCentered"/>
            </w:pPr>
            <w:r w:rsidRPr="00797379">
              <w:t>23</w:t>
            </w:r>
          </w:p>
        </w:tc>
        <w:tc>
          <w:tcPr>
            <w:tcW w:w="1152" w:type="dxa"/>
          </w:tcPr>
          <w:p w14:paraId="7D8E39EC" w14:textId="77777777" w:rsidR="007303EE" w:rsidRPr="00797379" w:rsidRDefault="007303EE" w:rsidP="00F60802">
            <w:pPr>
              <w:pStyle w:val="TableTextCentered"/>
            </w:pPr>
            <w:r w:rsidRPr="00797379">
              <w:t>52</w:t>
            </w:r>
          </w:p>
        </w:tc>
        <w:tc>
          <w:tcPr>
            <w:tcW w:w="1151" w:type="dxa"/>
          </w:tcPr>
          <w:p w14:paraId="54511F86" w14:textId="77777777" w:rsidR="007303EE" w:rsidRPr="00797379" w:rsidRDefault="007303EE" w:rsidP="00F60802">
            <w:pPr>
              <w:pStyle w:val="TableTextCentered"/>
            </w:pPr>
            <w:r w:rsidRPr="00797379">
              <w:t>51</w:t>
            </w:r>
          </w:p>
        </w:tc>
        <w:tc>
          <w:tcPr>
            <w:tcW w:w="1152" w:type="dxa"/>
          </w:tcPr>
          <w:p w14:paraId="47333D35" w14:textId="77777777" w:rsidR="007303EE" w:rsidRPr="00797379" w:rsidRDefault="007303EE" w:rsidP="00F60802">
            <w:pPr>
              <w:pStyle w:val="TableTextCentered"/>
            </w:pPr>
            <w:r w:rsidRPr="00797379">
              <w:t>58</w:t>
            </w:r>
          </w:p>
        </w:tc>
        <w:tc>
          <w:tcPr>
            <w:tcW w:w="1152" w:type="dxa"/>
          </w:tcPr>
          <w:p w14:paraId="13BFF8D1" w14:textId="77777777" w:rsidR="007303EE" w:rsidRPr="00797379" w:rsidRDefault="007303EE" w:rsidP="00F60802">
            <w:pPr>
              <w:pStyle w:val="TableTextCentered"/>
            </w:pPr>
            <w:r w:rsidRPr="00797379">
              <w:t>47</w:t>
            </w:r>
          </w:p>
        </w:tc>
      </w:tr>
      <w:tr w:rsidR="007303EE" w:rsidRPr="00797379" w14:paraId="01355E8C" w14:textId="77777777" w:rsidTr="00F60802">
        <w:tc>
          <w:tcPr>
            <w:tcW w:w="3586" w:type="dxa"/>
          </w:tcPr>
          <w:p w14:paraId="47FCFAD4" w14:textId="77777777" w:rsidR="007303EE" w:rsidRPr="0059750A" w:rsidRDefault="007303EE" w:rsidP="00F60802">
            <w:pPr>
              <w:pStyle w:val="TableSubheading"/>
              <w:rPr>
                <w:rFonts w:asciiTheme="minorHAnsi" w:hAnsiTheme="minorHAnsi"/>
              </w:rPr>
            </w:pPr>
            <w:r w:rsidRPr="0059750A">
              <w:rPr>
                <w:rFonts w:asciiTheme="minorHAnsi" w:hAnsiTheme="minorHAnsi"/>
              </w:rPr>
              <w:t>Students with Disabilities</w:t>
            </w:r>
          </w:p>
        </w:tc>
        <w:tc>
          <w:tcPr>
            <w:tcW w:w="1151" w:type="dxa"/>
          </w:tcPr>
          <w:p w14:paraId="4F2F7CD8" w14:textId="77777777" w:rsidR="007303EE" w:rsidRPr="00797379" w:rsidRDefault="007303EE" w:rsidP="00F60802">
            <w:pPr>
              <w:pStyle w:val="TableTextCentered"/>
            </w:pPr>
            <w:r w:rsidRPr="00797379">
              <w:t>42</w:t>
            </w:r>
          </w:p>
        </w:tc>
        <w:tc>
          <w:tcPr>
            <w:tcW w:w="1152" w:type="dxa"/>
          </w:tcPr>
          <w:p w14:paraId="6BD53E89" w14:textId="77777777" w:rsidR="007303EE" w:rsidRPr="00797379" w:rsidRDefault="007303EE" w:rsidP="00F60802">
            <w:pPr>
              <w:pStyle w:val="TableTextCentered"/>
            </w:pPr>
            <w:r w:rsidRPr="00797379">
              <w:t>47</w:t>
            </w:r>
          </w:p>
        </w:tc>
        <w:tc>
          <w:tcPr>
            <w:tcW w:w="1151" w:type="dxa"/>
          </w:tcPr>
          <w:p w14:paraId="6ECD0654" w14:textId="77777777" w:rsidR="007303EE" w:rsidRPr="00797379" w:rsidRDefault="007303EE" w:rsidP="00F60802">
            <w:pPr>
              <w:pStyle w:val="TableTextCentered"/>
            </w:pPr>
            <w:r w:rsidRPr="00797379">
              <w:t>47</w:t>
            </w:r>
          </w:p>
        </w:tc>
        <w:tc>
          <w:tcPr>
            <w:tcW w:w="1152" w:type="dxa"/>
          </w:tcPr>
          <w:p w14:paraId="4A78A865" w14:textId="77777777" w:rsidR="007303EE" w:rsidRPr="00797379" w:rsidRDefault="007303EE" w:rsidP="00F60802">
            <w:pPr>
              <w:pStyle w:val="TableTextCentered"/>
            </w:pPr>
            <w:r w:rsidRPr="00797379">
              <w:t>50</w:t>
            </w:r>
          </w:p>
        </w:tc>
        <w:tc>
          <w:tcPr>
            <w:tcW w:w="1152" w:type="dxa"/>
          </w:tcPr>
          <w:p w14:paraId="11E1097B" w14:textId="77777777" w:rsidR="007303EE" w:rsidRPr="00797379" w:rsidRDefault="007303EE" w:rsidP="00F60802">
            <w:pPr>
              <w:pStyle w:val="TableTextCentered"/>
            </w:pPr>
            <w:r w:rsidRPr="00797379">
              <w:t>46</w:t>
            </w:r>
          </w:p>
        </w:tc>
      </w:tr>
    </w:tbl>
    <w:p w14:paraId="0461A1D0" w14:textId="77777777" w:rsidR="003842C0" w:rsidRDefault="003842C0" w:rsidP="00F60802">
      <w:pPr>
        <w:pStyle w:val="TableETitles"/>
        <w:keepLines/>
      </w:pPr>
      <w:bookmarkStart w:id="253" w:name="_Toc220933515"/>
    </w:p>
    <w:p w14:paraId="1F608B88" w14:textId="77777777" w:rsidR="003842C0" w:rsidRDefault="003842C0">
      <w:pPr>
        <w:spacing w:line="240" w:lineRule="auto"/>
        <w:rPr>
          <w:rFonts w:ascii="Franklin Gothic Demi" w:hAnsi="Franklin Gothic Demi"/>
        </w:rPr>
      </w:pPr>
      <w:r>
        <w:br w:type="page"/>
      </w:r>
    </w:p>
    <w:p w14:paraId="7288F2E4" w14:textId="308953CC" w:rsidR="007303EE" w:rsidRPr="00797379" w:rsidRDefault="007303EE" w:rsidP="00F60802">
      <w:pPr>
        <w:pStyle w:val="TableETitles"/>
        <w:keepLines/>
      </w:pPr>
      <w:r w:rsidRPr="00797379">
        <w:t>Table E12. MCAS Mathematics Mean Student Growth Percentile by Student Group, Grades</w:t>
      </w:r>
      <w:r w:rsidR="0068153B" w:rsidRPr="00797379">
        <w:t> </w:t>
      </w:r>
      <w:r w:rsidRPr="00797379">
        <w:t>3</w:t>
      </w:r>
      <w:r w:rsidR="0068153B" w:rsidRPr="00797379">
        <w:noBreakHyphen/>
      </w:r>
      <w:r w:rsidRPr="00797379">
        <w:t>8, 2023-2025</w:t>
      </w:r>
      <w:bookmarkEnd w:id="253"/>
    </w:p>
    <w:tbl>
      <w:tblPr>
        <w:tblStyle w:val="MSVTable1"/>
        <w:tblW w:w="5000" w:type="pct"/>
        <w:tblLook w:val="0420" w:firstRow="1" w:lastRow="0" w:firstColumn="0" w:lastColumn="0" w:noHBand="0" w:noVBand="1"/>
      </w:tblPr>
      <w:tblGrid>
        <w:gridCol w:w="3586"/>
        <w:gridCol w:w="1151"/>
        <w:gridCol w:w="1152"/>
        <w:gridCol w:w="1151"/>
        <w:gridCol w:w="1152"/>
        <w:gridCol w:w="1152"/>
      </w:tblGrid>
      <w:tr w:rsidR="007303EE" w:rsidRPr="00797379" w14:paraId="29205F65" w14:textId="77777777" w:rsidTr="00132A03">
        <w:trPr>
          <w:cnfStyle w:val="100000000000" w:firstRow="1" w:lastRow="0" w:firstColumn="0" w:lastColumn="0" w:oddVBand="0" w:evenVBand="0" w:oddHBand="0" w:evenHBand="0" w:firstRowFirstColumn="0" w:firstRowLastColumn="0" w:lastRowFirstColumn="0" w:lastRowLastColumn="0"/>
          <w:tblHeader/>
        </w:trPr>
        <w:tc>
          <w:tcPr>
            <w:tcW w:w="3586" w:type="dxa"/>
            <w:vAlign w:val="center"/>
          </w:tcPr>
          <w:p w14:paraId="0ADB16C2" w14:textId="77777777" w:rsidR="007303EE" w:rsidRPr="00797379" w:rsidRDefault="007303EE" w:rsidP="00F60802">
            <w:pPr>
              <w:pStyle w:val="TableColHeadingCenter"/>
              <w:keepNext/>
              <w:keepLines/>
            </w:pPr>
            <w:r w:rsidRPr="00797379">
              <w:t>Group</w:t>
            </w:r>
          </w:p>
        </w:tc>
        <w:tc>
          <w:tcPr>
            <w:tcW w:w="1151" w:type="dxa"/>
            <w:vAlign w:val="center"/>
          </w:tcPr>
          <w:p w14:paraId="1204C2C2" w14:textId="77777777" w:rsidR="007303EE" w:rsidRPr="00797379" w:rsidRDefault="007303EE" w:rsidP="00F60802">
            <w:pPr>
              <w:pStyle w:val="TableColHeadingCenter"/>
              <w:keepNext/>
              <w:keepLines/>
            </w:pPr>
            <w:r w:rsidRPr="00797379">
              <w:t># Included (2025)</w:t>
            </w:r>
          </w:p>
        </w:tc>
        <w:tc>
          <w:tcPr>
            <w:tcW w:w="1152" w:type="dxa"/>
            <w:vAlign w:val="center"/>
          </w:tcPr>
          <w:p w14:paraId="5BB03B61" w14:textId="77777777" w:rsidR="007303EE" w:rsidRPr="00797379" w:rsidRDefault="007303EE" w:rsidP="00F60802">
            <w:pPr>
              <w:pStyle w:val="TableColHeadingCenter"/>
              <w:keepNext/>
              <w:keepLines/>
            </w:pPr>
            <w:r w:rsidRPr="00797379">
              <w:t>2023</w:t>
            </w:r>
          </w:p>
        </w:tc>
        <w:tc>
          <w:tcPr>
            <w:tcW w:w="1151" w:type="dxa"/>
            <w:vAlign w:val="center"/>
          </w:tcPr>
          <w:p w14:paraId="12E2ED34" w14:textId="77777777" w:rsidR="007303EE" w:rsidRPr="00797379" w:rsidRDefault="007303EE" w:rsidP="00F60802">
            <w:pPr>
              <w:pStyle w:val="TableColHeadingCenter"/>
              <w:keepNext/>
              <w:keepLines/>
            </w:pPr>
            <w:r w:rsidRPr="00797379">
              <w:t>2024</w:t>
            </w:r>
          </w:p>
        </w:tc>
        <w:tc>
          <w:tcPr>
            <w:tcW w:w="1152" w:type="dxa"/>
            <w:vAlign w:val="center"/>
          </w:tcPr>
          <w:p w14:paraId="26B2AC20" w14:textId="77777777" w:rsidR="007303EE" w:rsidRPr="00797379" w:rsidRDefault="007303EE" w:rsidP="00F60802">
            <w:pPr>
              <w:pStyle w:val="TableColHeadingCenter"/>
              <w:keepNext/>
              <w:keepLines/>
            </w:pPr>
            <w:r w:rsidRPr="00797379">
              <w:t>2025</w:t>
            </w:r>
          </w:p>
        </w:tc>
        <w:tc>
          <w:tcPr>
            <w:tcW w:w="1152" w:type="dxa"/>
            <w:vAlign w:val="center"/>
          </w:tcPr>
          <w:p w14:paraId="2F81FF00" w14:textId="77777777" w:rsidR="007303EE" w:rsidRPr="00797379" w:rsidRDefault="007303EE" w:rsidP="00F60802">
            <w:pPr>
              <w:pStyle w:val="TableColHeadingCenter"/>
              <w:keepNext/>
              <w:keepLines/>
            </w:pPr>
            <w:r w:rsidRPr="00797379">
              <w:t>State (2025)</w:t>
            </w:r>
          </w:p>
        </w:tc>
      </w:tr>
      <w:tr w:rsidR="007303EE" w:rsidRPr="00797379" w14:paraId="3C1D210B" w14:textId="77777777" w:rsidTr="00F60802">
        <w:trPr>
          <w:cnfStyle w:val="000000100000" w:firstRow="0" w:lastRow="0" w:firstColumn="0" w:lastColumn="0" w:oddVBand="0" w:evenVBand="0" w:oddHBand="1" w:evenHBand="0" w:firstRowFirstColumn="0" w:firstRowLastColumn="0" w:lastRowFirstColumn="0" w:lastRowLastColumn="0"/>
        </w:trPr>
        <w:tc>
          <w:tcPr>
            <w:tcW w:w="3586" w:type="dxa"/>
          </w:tcPr>
          <w:p w14:paraId="59F8689A" w14:textId="77777777" w:rsidR="007303EE" w:rsidRPr="0059750A" w:rsidRDefault="007303EE" w:rsidP="00F60802">
            <w:pPr>
              <w:pStyle w:val="TableSubheading"/>
              <w:keepNext/>
              <w:keepLines/>
              <w:rPr>
                <w:rFonts w:asciiTheme="minorHAnsi" w:hAnsiTheme="minorHAnsi"/>
              </w:rPr>
            </w:pPr>
            <w:r w:rsidRPr="0059750A">
              <w:rPr>
                <w:rFonts w:asciiTheme="minorHAnsi" w:hAnsiTheme="minorHAnsi"/>
              </w:rPr>
              <w:t>All Students</w:t>
            </w:r>
          </w:p>
        </w:tc>
        <w:tc>
          <w:tcPr>
            <w:tcW w:w="1151" w:type="dxa"/>
          </w:tcPr>
          <w:p w14:paraId="29D1BDA7" w14:textId="77777777" w:rsidR="007303EE" w:rsidRPr="00797379" w:rsidRDefault="007303EE" w:rsidP="00F60802">
            <w:pPr>
              <w:pStyle w:val="TableTextCentered"/>
              <w:keepNext/>
              <w:keepLines/>
            </w:pPr>
            <w:r w:rsidRPr="00797379">
              <w:t>1,612</w:t>
            </w:r>
          </w:p>
        </w:tc>
        <w:tc>
          <w:tcPr>
            <w:tcW w:w="1152" w:type="dxa"/>
          </w:tcPr>
          <w:p w14:paraId="6E65841C" w14:textId="77777777" w:rsidR="007303EE" w:rsidRPr="00797379" w:rsidRDefault="007303EE" w:rsidP="00F60802">
            <w:pPr>
              <w:pStyle w:val="TableTextCentered"/>
              <w:keepNext/>
              <w:keepLines/>
            </w:pPr>
            <w:r w:rsidRPr="00797379">
              <w:t>56</w:t>
            </w:r>
          </w:p>
        </w:tc>
        <w:tc>
          <w:tcPr>
            <w:tcW w:w="1151" w:type="dxa"/>
          </w:tcPr>
          <w:p w14:paraId="478A1B36" w14:textId="77777777" w:rsidR="007303EE" w:rsidRPr="00797379" w:rsidRDefault="007303EE" w:rsidP="00F60802">
            <w:pPr>
              <w:pStyle w:val="TableTextCentered"/>
              <w:keepNext/>
              <w:keepLines/>
            </w:pPr>
            <w:r w:rsidRPr="00797379">
              <w:t>58</w:t>
            </w:r>
          </w:p>
        </w:tc>
        <w:tc>
          <w:tcPr>
            <w:tcW w:w="1152" w:type="dxa"/>
          </w:tcPr>
          <w:p w14:paraId="1842B5F8" w14:textId="77777777" w:rsidR="007303EE" w:rsidRPr="00797379" w:rsidRDefault="007303EE" w:rsidP="00F60802">
            <w:pPr>
              <w:pStyle w:val="TableTextCentered"/>
              <w:keepNext/>
              <w:keepLines/>
            </w:pPr>
            <w:r w:rsidRPr="00797379">
              <w:t>60</w:t>
            </w:r>
          </w:p>
        </w:tc>
        <w:tc>
          <w:tcPr>
            <w:tcW w:w="1152" w:type="dxa"/>
          </w:tcPr>
          <w:p w14:paraId="524BAC48" w14:textId="77777777" w:rsidR="007303EE" w:rsidRPr="00797379" w:rsidRDefault="007303EE" w:rsidP="00F60802">
            <w:pPr>
              <w:pStyle w:val="TableTextCentered"/>
              <w:keepNext/>
              <w:keepLines/>
            </w:pPr>
            <w:r w:rsidRPr="00797379">
              <w:t>50</w:t>
            </w:r>
          </w:p>
        </w:tc>
      </w:tr>
      <w:tr w:rsidR="007303EE" w:rsidRPr="00797379" w14:paraId="3D2793A7" w14:textId="77777777" w:rsidTr="00F60802">
        <w:tc>
          <w:tcPr>
            <w:tcW w:w="3586" w:type="dxa"/>
          </w:tcPr>
          <w:p w14:paraId="4489897F" w14:textId="77777777" w:rsidR="007303EE" w:rsidRPr="0059750A" w:rsidRDefault="007303EE" w:rsidP="00F60802">
            <w:pPr>
              <w:pStyle w:val="TableSubheading"/>
              <w:rPr>
                <w:rFonts w:asciiTheme="minorHAnsi" w:hAnsiTheme="minorHAnsi"/>
              </w:rPr>
            </w:pPr>
            <w:r w:rsidRPr="0059750A">
              <w:rPr>
                <w:rFonts w:asciiTheme="minorHAnsi" w:hAnsiTheme="minorHAnsi"/>
              </w:rPr>
              <w:t>American Indian or Alaskan Native</w:t>
            </w:r>
          </w:p>
        </w:tc>
        <w:tc>
          <w:tcPr>
            <w:tcW w:w="1151" w:type="dxa"/>
          </w:tcPr>
          <w:p w14:paraId="6B6CB98E" w14:textId="1FFEF6F9" w:rsidR="007303EE" w:rsidRPr="00797379" w:rsidRDefault="00220288" w:rsidP="00F60802">
            <w:pPr>
              <w:pStyle w:val="TableTextCentered"/>
            </w:pPr>
            <w:r>
              <w:t>N/A</w:t>
            </w:r>
          </w:p>
        </w:tc>
        <w:tc>
          <w:tcPr>
            <w:tcW w:w="1152" w:type="dxa"/>
          </w:tcPr>
          <w:p w14:paraId="4517766B" w14:textId="50891DBE" w:rsidR="007303EE" w:rsidRPr="00797379" w:rsidRDefault="00220288" w:rsidP="00F60802">
            <w:pPr>
              <w:pStyle w:val="TableTextCentered"/>
            </w:pPr>
            <w:r>
              <w:t>N/A</w:t>
            </w:r>
          </w:p>
        </w:tc>
        <w:tc>
          <w:tcPr>
            <w:tcW w:w="1151" w:type="dxa"/>
          </w:tcPr>
          <w:p w14:paraId="3026CE33" w14:textId="3425A231" w:rsidR="007303EE" w:rsidRPr="00797379" w:rsidRDefault="00220288" w:rsidP="00F60802">
            <w:pPr>
              <w:pStyle w:val="TableTextCentered"/>
            </w:pPr>
            <w:r>
              <w:t>N/A</w:t>
            </w:r>
          </w:p>
        </w:tc>
        <w:tc>
          <w:tcPr>
            <w:tcW w:w="1152" w:type="dxa"/>
          </w:tcPr>
          <w:p w14:paraId="5BC14082" w14:textId="070759DA" w:rsidR="007303EE" w:rsidRPr="00797379" w:rsidRDefault="00220288" w:rsidP="00F60802">
            <w:pPr>
              <w:pStyle w:val="TableTextCentered"/>
            </w:pPr>
            <w:r>
              <w:t>N/A</w:t>
            </w:r>
          </w:p>
        </w:tc>
        <w:tc>
          <w:tcPr>
            <w:tcW w:w="1152" w:type="dxa"/>
          </w:tcPr>
          <w:p w14:paraId="1FD4AE18" w14:textId="77777777" w:rsidR="007303EE" w:rsidRPr="00797379" w:rsidRDefault="007303EE" w:rsidP="00F60802">
            <w:pPr>
              <w:pStyle w:val="TableTextCentered"/>
            </w:pPr>
            <w:r w:rsidRPr="00797379">
              <w:t>48</w:t>
            </w:r>
          </w:p>
        </w:tc>
      </w:tr>
      <w:tr w:rsidR="007303EE" w:rsidRPr="00797379" w14:paraId="22A64A5F" w14:textId="77777777" w:rsidTr="00F60802">
        <w:trPr>
          <w:cnfStyle w:val="000000100000" w:firstRow="0" w:lastRow="0" w:firstColumn="0" w:lastColumn="0" w:oddVBand="0" w:evenVBand="0" w:oddHBand="1" w:evenHBand="0" w:firstRowFirstColumn="0" w:firstRowLastColumn="0" w:lastRowFirstColumn="0" w:lastRowLastColumn="0"/>
        </w:trPr>
        <w:tc>
          <w:tcPr>
            <w:tcW w:w="3586" w:type="dxa"/>
          </w:tcPr>
          <w:p w14:paraId="32584BB4" w14:textId="77777777" w:rsidR="007303EE" w:rsidRPr="0059750A" w:rsidRDefault="007303EE" w:rsidP="00F60802">
            <w:pPr>
              <w:pStyle w:val="TableSubheading"/>
              <w:rPr>
                <w:rFonts w:asciiTheme="minorHAnsi" w:hAnsiTheme="minorHAnsi"/>
              </w:rPr>
            </w:pPr>
            <w:r w:rsidRPr="0059750A">
              <w:rPr>
                <w:rFonts w:asciiTheme="minorHAnsi" w:hAnsiTheme="minorHAnsi"/>
              </w:rPr>
              <w:t>Asian</w:t>
            </w:r>
          </w:p>
        </w:tc>
        <w:tc>
          <w:tcPr>
            <w:tcW w:w="1151" w:type="dxa"/>
          </w:tcPr>
          <w:p w14:paraId="005D10A9" w14:textId="77777777" w:rsidR="007303EE" w:rsidRPr="00797379" w:rsidRDefault="007303EE" w:rsidP="00F60802">
            <w:pPr>
              <w:pStyle w:val="TableTextCentered"/>
            </w:pPr>
            <w:r w:rsidRPr="00797379">
              <w:t>343</w:t>
            </w:r>
          </w:p>
        </w:tc>
        <w:tc>
          <w:tcPr>
            <w:tcW w:w="1152" w:type="dxa"/>
          </w:tcPr>
          <w:p w14:paraId="0D54D5D3" w14:textId="77777777" w:rsidR="007303EE" w:rsidRPr="00797379" w:rsidRDefault="007303EE" w:rsidP="00F60802">
            <w:pPr>
              <w:pStyle w:val="TableTextCentered"/>
            </w:pPr>
            <w:r w:rsidRPr="00797379">
              <w:t>63</w:t>
            </w:r>
          </w:p>
        </w:tc>
        <w:tc>
          <w:tcPr>
            <w:tcW w:w="1151" w:type="dxa"/>
          </w:tcPr>
          <w:p w14:paraId="0A9BBC80" w14:textId="77777777" w:rsidR="007303EE" w:rsidRPr="00797379" w:rsidRDefault="007303EE" w:rsidP="00F60802">
            <w:pPr>
              <w:pStyle w:val="TableTextCentered"/>
            </w:pPr>
            <w:r w:rsidRPr="00797379">
              <w:t>66</w:t>
            </w:r>
          </w:p>
        </w:tc>
        <w:tc>
          <w:tcPr>
            <w:tcW w:w="1152" w:type="dxa"/>
          </w:tcPr>
          <w:p w14:paraId="139B28E0" w14:textId="77777777" w:rsidR="007303EE" w:rsidRPr="00797379" w:rsidRDefault="007303EE" w:rsidP="00F60802">
            <w:pPr>
              <w:pStyle w:val="TableTextCentered"/>
            </w:pPr>
            <w:r w:rsidRPr="00797379">
              <w:t>64</w:t>
            </w:r>
          </w:p>
        </w:tc>
        <w:tc>
          <w:tcPr>
            <w:tcW w:w="1152" w:type="dxa"/>
          </w:tcPr>
          <w:p w14:paraId="427BCE4D" w14:textId="77777777" w:rsidR="007303EE" w:rsidRPr="00797379" w:rsidRDefault="007303EE" w:rsidP="00F60802">
            <w:pPr>
              <w:pStyle w:val="TableTextCentered"/>
            </w:pPr>
            <w:r w:rsidRPr="00797379">
              <w:t>58</w:t>
            </w:r>
          </w:p>
        </w:tc>
      </w:tr>
      <w:tr w:rsidR="007303EE" w:rsidRPr="00797379" w14:paraId="01F2637A" w14:textId="77777777" w:rsidTr="00F60802">
        <w:tc>
          <w:tcPr>
            <w:tcW w:w="3586" w:type="dxa"/>
          </w:tcPr>
          <w:p w14:paraId="607FF5A7" w14:textId="77777777" w:rsidR="007303EE" w:rsidRPr="0059750A" w:rsidRDefault="007303EE" w:rsidP="00F60802">
            <w:pPr>
              <w:pStyle w:val="TableSubheading"/>
              <w:rPr>
                <w:rFonts w:asciiTheme="minorHAnsi" w:hAnsiTheme="minorHAnsi"/>
              </w:rPr>
            </w:pPr>
            <w:r w:rsidRPr="0059750A">
              <w:rPr>
                <w:rFonts w:asciiTheme="minorHAnsi" w:hAnsiTheme="minorHAnsi"/>
              </w:rPr>
              <w:t>Black or African American</w:t>
            </w:r>
          </w:p>
        </w:tc>
        <w:tc>
          <w:tcPr>
            <w:tcW w:w="1151" w:type="dxa"/>
          </w:tcPr>
          <w:p w14:paraId="27FFEB06" w14:textId="77777777" w:rsidR="007303EE" w:rsidRPr="00797379" w:rsidRDefault="007303EE" w:rsidP="00F60802">
            <w:pPr>
              <w:pStyle w:val="TableTextCentered"/>
            </w:pPr>
            <w:r w:rsidRPr="00797379">
              <w:t>21</w:t>
            </w:r>
          </w:p>
        </w:tc>
        <w:tc>
          <w:tcPr>
            <w:tcW w:w="1152" w:type="dxa"/>
          </w:tcPr>
          <w:p w14:paraId="1FE8197A" w14:textId="0EA543F2" w:rsidR="007303EE" w:rsidRPr="00797379" w:rsidRDefault="00220288" w:rsidP="00F60802">
            <w:pPr>
              <w:pStyle w:val="TableTextCentered"/>
            </w:pPr>
            <w:r>
              <w:t>N/A</w:t>
            </w:r>
          </w:p>
        </w:tc>
        <w:tc>
          <w:tcPr>
            <w:tcW w:w="1151" w:type="dxa"/>
          </w:tcPr>
          <w:p w14:paraId="26261E0F" w14:textId="77777777" w:rsidR="007303EE" w:rsidRPr="00797379" w:rsidRDefault="007303EE" w:rsidP="00F60802">
            <w:pPr>
              <w:pStyle w:val="TableTextCentered"/>
            </w:pPr>
            <w:r w:rsidRPr="00797379">
              <w:t>59</w:t>
            </w:r>
          </w:p>
        </w:tc>
        <w:tc>
          <w:tcPr>
            <w:tcW w:w="1152" w:type="dxa"/>
          </w:tcPr>
          <w:p w14:paraId="1F5BFCE5" w14:textId="77777777" w:rsidR="007303EE" w:rsidRPr="00797379" w:rsidRDefault="007303EE" w:rsidP="00F60802">
            <w:pPr>
              <w:pStyle w:val="TableTextCentered"/>
            </w:pPr>
            <w:r w:rsidRPr="00797379">
              <w:t>65</w:t>
            </w:r>
          </w:p>
        </w:tc>
        <w:tc>
          <w:tcPr>
            <w:tcW w:w="1152" w:type="dxa"/>
          </w:tcPr>
          <w:p w14:paraId="27018FB2" w14:textId="77777777" w:rsidR="007303EE" w:rsidRPr="00797379" w:rsidRDefault="007303EE" w:rsidP="00F60802">
            <w:pPr>
              <w:pStyle w:val="TableTextCentered"/>
            </w:pPr>
            <w:r w:rsidRPr="00797379">
              <w:t>49</w:t>
            </w:r>
          </w:p>
        </w:tc>
      </w:tr>
      <w:tr w:rsidR="007303EE" w:rsidRPr="00797379" w14:paraId="7EB4A2E0" w14:textId="77777777" w:rsidTr="00F60802">
        <w:trPr>
          <w:cnfStyle w:val="000000100000" w:firstRow="0" w:lastRow="0" w:firstColumn="0" w:lastColumn="0" w:oddVBand="0" w:evenVBand="0" w:oddHBand="1" w:evenHBand="0" w:firstRowFirstColumn="0" w:firstRowLastColumn="0" w:lastRowFirstColumn="0" w:lastRowLastColumn="0"/>
        </w:trPr>
        <w:tc>
          <w:tcPr>
            <w:tcW w:w="3586" w:type="dxa"/>
          </w:tcPr>
          <w:p w14:paraId="4ADF018E" w14:textId="77777777" w:rsidR="007303EE" w:rsidRPr="0059750A" w:rsidRDefault="007303EE" w:rsidP="00F60802">
            <w:pPr>
              <w:pStyle w:val="TableSubheading"/>
              <w:rPr>
                <w:rFonts w:asciiTheme="minorHAnsi" w:hAnsiTheme="minorHAnsi"/>
              </w:rPr>
            </w:pPr>
            <w:r w:rsidRPr="0059750A">
              <w:rPr>
                <w:rFonts w:asciiTheme="minorHAnsi" w:hAnsiTheme="minorHAnsi"/>
              </w:rPr>
              <w:t>Hispanic or Latino</w:t>
            </w:r>
          </w:p>
        </w:tc>
        <w:tc>
          <w:tcPr>
            <w:tcW w:w="1151" w:type="dxa"/>
          </w:tcPr>
          <w:p w14:paraId="684B944E" w14:textId="77777777" w:rsidR="007303EE" w:rsidRPr="00797379" w:rsidRDefault="007303EE" w:rsidP="00F60802">
            <w:pPr>
              <w:pStyle w:val="TableTextCentered"/>
            </w:pPr>
            <w:r w:rsidRPr="00797379">
              <w:t>53</w:t>
            </w:r>
          </w:p>
        </w:tc>
        <w:tc>
          <w:tcPr>
            <w:tcW w:w="1152" w:type="dxa"/>
          </w:tcPr>
          <w:p w14:paraId="36855E83" w14:textId="77777777" w:rsidR="007303EE" w:rsidRPr="00797379" w:rsidRDefault="007303EE" w:rsidP="00F60802">
            <w:pPr>
              <w:pStyle w:val="TableTextCentered"/>
            </w:pPr>
            <w:r w:rsidRPr="00797379">
              <w:t>55</w:t>
            </w:r>
          </w:p>
        </w:tc>
        <w:tc>
          <w:tcPr>
            <w:tcW w:w="1151" w:type="dxa"/>
          </w:tcPr>
          <w:p w14:paraId="358789D4" w14:textId="77777777" w:rsidR="007303EE" w:rsidRPr="00797379" w:rsidRDefault="007303EE" w:rsidP="00F60802">
            <w:pPr>
              <w:pStyle w:val="TableTextCentered"/>
            </w:pPr>
            <w:r w:rsidRPr="00797379">
              <w:t>56</w:t>
            </w:r>
          </w:p>
        </w:tc>
        <w:tc>
          <w:tcPr>
            <w:tcW w:w="1152" w:type="dxa"/>
          </w:tcPr>
          <w:p w14:paraId="2BBF535F" w14:textId="77777777" w:rsidR="007303EE" w:rsidRPr="00797379" w:rsidRDefault="007303EE" w:rsidP="00F60802">
            <w:pPr>
              <w:pStyle w:val="TableTextCentered"/>
            </w:pPr>
            <w:r w:rsidRPr="00797379">
              <w:t>62</w:t>
            </w:r>
          </w:p>
        </w:tc>
        <w:tc>
          <w:tcPr>
            <w:tcW w:w="1152" w:type="dxa"/>
          </w:tcPr>
          <w:p w14:paraId="65EE36AE" w14:textId="77777777" w:rsidR="007303EE" w:rsidRPr="00797379" w:rsidRDefault="007303EE" w:rsidP="00F60802">
            <w:pPr>
              <w:pStyle w:val="TableTextCentered"/>
            </w:pPr>
            <w:r w:rsidRPr="00797379">
              <w:t>49</w:t>
            </w:r>
          </w:p>
        </w:tc>
      </w:tr>
      <w:tr w:rsidR="007303EE" w:rsidRPr="00797379" w14:paraId="55423D63" w14:textId="77777777" w:rsidTr="00F60802">
        <w:tc>
          <w:tcPr>
            <w:tcW w:w="3586" w:type="dxa"/>
          </w:tcPr>
          <w:p w14:paraId="72D95A44" w14:textId="77777777" w:rsidR="007303EE" w:rsidRPr="0059750A" w:rsidRDefault="007303EE" w:rsidP="00F60802">
            <w:pPr>
              <w:pStyle w:val="TableSubheading"/>
              <w:rPr>
                <w:rFonts w:asciiTheme="minorHAnsi" w:hAnsiTheme="minorHAnsi"/>
              </w:rPr>
            </w:pPr>
            <w:r w:rsidRPr="0059750A">
              <w:rPr>
                <w:rFonts w:asciiTheme="minorHAnsi" w:hAnsiTheme="minorHAnsi"/>
              </w:rPr>
              <w:t>Multi-Race, Not Hispanic or Latino</w:t>
            </w:r>
          </w:p>
        </w:tc>
        <w:tc>
          <w:tcPr>
            <w:tcW w:w="1151" w:type="dxa"/>
          </w:tcPr>
          <w:p w14:paraId="1768DC51" w14:textId="77777777" w:rsidR="007303EE" w:rsidRPr="00797379" w:rsidRDefault="007303EE" w:rsidP="00F60802">
            <w:pPr>
              <w:pStyle w:val="TableTextCentered"/>
            </w:pPr>
            <w:r w:rsidRPr="00797379">
              <w:t>135</w:t>
            </w:r>
          </w:p>
        </w:tc>
        <w:tc>
          <w:tcPr>
            <w:tcW w:w="1152" w:type="dxa"/>
          </w:tcPr>
          <w:p w14:paraId="2CD8BB69" w14:textId="77777777" w:rsidR="007303EE" w:rsidRPr="00797379" w:rsidRDefault="007303EE" w:rsidP="00F60802">
            <w:pPr>
              <w:pStyle w:val="TableTextCentered"/>
            </w:pPr>
            <w:r w:rsidRPr="00797379">
              <w:t>54</w:t>
            </w:r>
          </w:p>
        </w:tc>
        <w:tc>
          <w:tcPr>
            <w:tcW w:w="1151" w:type="dxa"/>
          </w:tcPr>
          <w:p w14:paraId="119A7687" w14:textId="77777777" w:rsidR="007303EE" w:rsidRPr="00797379" w:rsidRDefault="007303EE" w:rsidP="00F60802">
            <w:pPr>
              <w:pStyle w:val="TableTextCentered"/>
            </w:pPr>
            <w:r w:rsidRPr="00797379">
              <w:t>61</w:t>
            </w:r>
          </w:p>
        </w:tc>
        <w:tc>
          <w:tcPr>
            <w:tcW w:w="1152" w:type="dxa"/>
          </w:tcPr>
          <w:p w14:paraId="6DC1C22D" w14:textId="77777777" w:rsidR="007303EE" w:rsidRPr="00797379" w:rsidRDefault="007303EE" w:rsidP="00F60802">
            <w:pPr>
              <w:pStyle w:val="TableTextCentered"/>
            </w:pPr>
            <w:r w:rsidRPr="00797379">
              <w:t>56</w:t>
            </w:r>
          </w:p>
        </w:tc>
        <w:tc>
          <w:tcPr>
            <w:tcW w:w="1152" w:type="dxa"/>
          </w:tcPr>
          <w:p w14:paraId="3D432DD6" w14:textId="77777777" w:rsidR="007303EE" w:rsidRPr="00797379" w:rsidRDefault="007303EE" w:rsidP="00F60802">
            <w:pPr>
              <w:pStyle w:val="TableTextCentered"/>
            </w:pPr>
            <w:r w:rsidRPr="00797379">
              <w:t>51</w:t>
            </w:r>
          </w:p>
        </w:tc>
      </w:tr>
      <w:tr w:rsidR="007303EE" w:rsidRPr="00797379" w14:paraId="4D28F003" w14:textId="77777777" w:rsidTr="00F60802">
        <w:trPr>
          <w:cnfStyle w:val="000000100000" w:firstRow="0" w:lastRow="0" w:firstColumn="0" w:lastColumn="0" w:oddVBand="0" w:evenVBand="0" w:oddHBand="1" w:evenHBand="0" w:firstRowFirstColumn="0" w:firstRowLastColumn="0" w:lastRowFirstColumn="0" w:lastRowLastColumn="0"/>
        </w:trPr>
        <w:tc>
          <w:tcPr>
            <w:tcW w:w="3586" w:type="dxa"/>
          </w:tcPr>
          <w:p w14:paraId="6939E637" w14:textId="77777777" w:rsidR="007303EE" w:rsidRPr="0059750A" w:rsidRDefault="007303EE" w:rsidP="00F60802">
            <w:pPr>
              <w:pStyle w:val="TableSubheading"/>
              <w:rPr>
                <w:rFonts w:asciiTheme="minorHAnsi" w:hAnsiTheme="minorHAnsi"/>
                <w:spacing w:val="-4"/>
              </w:rPr>
            </w:pPr>
            <w:r w:rsidRPr="0059750A">
              <w:rPr>
                <w:rFonts w:asciiTheme="minorHAnsi" w:hAnsiTheme="minorHAnsi"/>
              </w:rPr>
              <w:t>Native Hawaiian or Other Pacific Islander</w:t>
            </w:r>
          </w:p>
        </w:tc>
        <w:tc>
          <w:tcPr>
            <w:tcW w:w="1151" w:type="dxa"/>
          </w:tcPr>
          <w:p w14:paraId="6D41B15B" w14:textId="3F918675" w:rsidR="007303EE" w:rsidRPr="00797379" w:rsidRDefault="00220288" w:rsidP="00F60802">
            <w:pPr>
              <w:pStyle w:val="TableTextCentered"/>
            </w:pPr>
            <w:r>
              <w:t>N/A</w:t>
            </w:r>
          </w:p>
        </w:tc>
        <w:tc>
          <w:tcPr>
            <w:tcW w:w="1152" w:type="dxa"/>
          </w:tcPr>
          <w:p w14:paraId="0C3DE70C" w14:textId="4B0DCF92" w:rsidR="007303EE" w:rsidRPr="00797379" w:rsidRDefault="00220288" w:rsidP="00F60802">
            <w:pPr>
              <w:pStyle w:val="TableTextCentered"/>
            </w:pPr>
            <w:r>
              <w:t>N/A</w:t>
            </w:r>
          </w:p>
        </w:tc>
        <w:tc>
          <w:tcPr>
            <w:tcW w:w="1151" w:type="dxa"/>
          </w:tcPr>
          <w:p w14:paraId="3DD57BEB" w14:textId="309F5090" w:rsidR="007303EE" w:rsidRPr="00797379" w:rsidRDefault="00220288" w:rsidP="00F60802">
            <w:pPr>
              <w:pStyle w:val="TableTextCentered"/>
            </w:pPr>
            <w:r>
              <w:t>N/A</w:t>
            </w:r>
          </w:p>
        </w:tc>
        <w:tc>
          <w:tcPr>
            <w:tcW w:w="1152" w:type="dxa"/>
          </w:tcPr>
          <w:p w14:paraId="41FFC7EE" w14:textId="0EFFE4FB" w:rsidR="007303EE" w:rsidRPr="00797379" w:rsidRDefault="00220288" w:rsidP="00F60802">
            <w:pPr>
              <w:pStyle w:val="TableTextCentered"/>
            </w:pPr>
            <w:r>
              <w:t>N/A</w:t>
            </w:r>
          </w:p>
        </w:tc>
        <w:tc>
          <w:tcPr>
            <w:tcW w:w="1152" w:type="dxa"/>
          </w:tcPr>
          <w:p w14:paraId="0CA5BBF9" w14:textId="77777777" w:rsidR="007303EE" w:rsidRPr="00797379" w:rsidRDefault="007303EE" w:rsidP="00F60802">
            <w:pPr>
              <w:pStyle w:val="TableTextCentered"/>
            </w:pPr>
            <w:r w:rsidRPr="00797379">
              <w:t>53</w:t>
            </w:r>
          </w:p>
        </w:tc>
      </w:tr>
      <w:tr w:rsidR="007303EE" w:rsidRPr="00797379" w14:paraId="20608403" w14:textId="77777777" w:rsidTr="00F60802">
        <w:tc>
          <w:tcPr>
            <w:tcW w:w="3586" w:type="dxa"/>
          </w:tcPr>
          <w:p w14:paraId="368C718A" w14:textId="77777777" w:rsidR="007303EE" w:rsidRPr="0059750A" w:rsidRDefault="007303EE" w:rsidP="00F60802">
            <w:pPr>
              <w:pStyle w:val="TableSubheading"/>
              <w:rPr>
                <w:rFonts w:asciiTheme="minorHAnsi" w:hAnsiTheme="minorHAnsi"/>
              </w:rPr>
            </w:pPr>
            <w:r w:rsidRPr="0059750A">
              <w:rPr>
                <w:rFonts w:asciiTheme="minorHAnsi" w:hAnsiTheme="minorHAnsi"/>
              </w:rPr>
              <w:t>White</w:t>
            </w:r>
          </w:p>
        </w:tc>
        <w:tc>
          <w:tcPr>
            <w:tcW w:w="1151" w:type="dxa"/>
          </w:tcPr>
          <w:p w14:paraId="44EC9BCA" w14:textId="77777777" w:rsidR="007303EE" w:rsidRPr="00797379" w:rsidRDefault="007303EE" w:rsidP="00F60802">
            <w:pPr>
              <w:pStyle w:val="TableTextCentered"/>
            </w:pPr>
            <w:r w:rsidRPr="00797379">
              <w:t>1,060</w:t>
            </w:r>
          </w:p>
        </w:tc>
        <w:tc>
          <w:tcPr>
            <w:tcW w:w="1152" w:type="dxa"/>
          </w:tcPr>
          <w:p w14:paraId="44217A5C" w14:textId="77777777" w:rsidR="007303EE" w:rsidRPr="00797379" w:rsidRDefault="007303EE" w:rsidP="00F60802">
            <w:pPr>
              <w:pStyle w:val="TableTextCentered"/>
            </w:pPr>
            <w:r w:rsidRPr="00797379">
              <w:t>54</w:t>
            </w:r>
          </w:p>
        </w:tc>
        <w:tc>
          <w:tcPr>
            <w:tcW w:w="1151" w:type="dxa"/>
          </w:tcPr>
          <w:p w14:paraId="535FFD6D" w14:textId="77777777" w:rsidR="007303EE" w:rsidRPr="00797379" w:rsidRDefault="007303EE" w:rsidP="00F60802">
            <w:pPr>
              <w:pStyle w:val="TableTextCentered"/>
            </w:pPr>
            <w:r w:rsidRPr="00797379">
              <w:t>55</w:t>
            </w:r>
          </w:p>
        </w:tc>
        <w:tc>
          <w:tcPr>
            <w:tcW w:w="1152" w:type="dxa"/>
          </w:tcPr>
          <w:p w14:paraId="248A2EEB" w14:textId="77777777" w:rsidR="007303EE" w:rsidRPr="00797379" w:rsidRDefault="007303EE" w:rsidP="00F60802">
            <w:pPr>
              <w:pStyle w:val="TableTextCentered"/>
            </w:pPr>
            <w:r w:rsidRPr="00797379">
              <w:t>59</w:t>
            </w:r>
          </w:p>
        </w:tc>
        <w:tc>
          <w:tcPr>
            <w:tcW w:w="1152" w:type="dxa"/>
          </w:tcPr>
          <w:p w14:paraId="6436AB8F" w14:textId="77777777" w:rsidR="007303EE" w:rsidRPr="00797379" w:rsidRDefault="007303EE" w:rsidP="00F60802">
            <w:pPr>
              <w:pStyle w:val="TableTextCentered"/>
            </w:pPr>
            <w:r w:rsidRPr="00797379">
              <w:t>50</w:t>
            </w:r>
          </w:p>
        </w:tc>
      </w:tr>
      <w:tr w:rsidR="007303EE" w:rsidRPr="00797379" w14:paraId="48B8CBE0" w14:textId="77777777" w:rsidTr="00F60802">
        <w:trPr>
          <w:cnfStyle w:val="000000100000" w:firstRow="0" w:lastRow="0" w:firstColumn="0" w:lastColumn="0" w:oddVBand="0" w:evenVBand="0" w:oddHBand="1" w:evenHBand="0" w:firstRowFirstColumn="0" w:firstRowLastColumn="0" w:lastRowFirstColumn="0" w:lastRowLastColumn="0"/>
        </w:trPr>
        <w:tc>
          <w:tcPr>
            <w:tcW w:w="3586" w:type="dxa"/>
          </w:tcPr>
          <w:p w14:paraId="31B5329E" w14:textId="77777777" w:rsidR="007303EE" w:rsidRPr="0059750A" w:rsidRDefault="007303EE" w:rsidP="00F60802">
            <w:pPr>
              <w:pStyle w:val="TableSubheading"/>
              <w:rPr>
                <w:rFonts w:asciiTheme="minorHAnsi" w:hAnsiTheme="minorHAnsi"/>
              </w:rPr>
            </w:pPr>
            <w:r w:rsidRPr="0059750A">
              <w:rPr>
                <w:rFonts w:asciiTheme="minorHAnsi" w:hAnsiTheme="minorHAnsi"/>
              </w:rPr>
              <w:t>High Needs</w:t>
            </w:r>
          </w:p>
        </w:tc>
        <w:tc>
          <w:tcPr>
            <w:tcW w:w="1151" w:type="dxa"/>
          </w:tcPr>
          <w:p w14:paraId="0F63B4D6" w14:textId="77777777" w:rsidR="007303EE" w:rsidRPr="00797379" w:rsidRDefault="007303EE" w:rsidP="00F60802">
            <w:pPr>
              <w:pStyle w:val="TableTextCentered"/>
            </w:pPr>
            <w:r w:rsidRPr="00797379">
              <w:t>502</w:t>
            </w:r>
          </w:p>
        </w:tc>
        <w:tc>
          <w:tcPr>
            <w:tcW w:w="1152" w:type="dxa"/>
          </w:tcPr>
          <w:p w14:paraId="7F1D3C9F" w14:textId="77777777" w:rsidR="007303EE" w:rsidRPr="00797379" w:rsidRDefault="007303EE" w:rsidP="00F60802">
            <w:pPr>
              <w:pStyle w:val="TableTextCentered"/>
            </w:pPr>
            <w:r w:rsidRPr="00797379">
              <w:t>54</w:t>
            </w:r>
          </w:p>
        </w:tc>
        <w:tc>
          <w:tcPr>
            <w:tcW w:w="1151" w:type="dxa"/>
          </w:tcPr>
          <w:p w14:paraId="1FAB9986" w14:textId="77777777" w:rsidR="007303EE" w:rsidRPr="00797379" w:rsidRDefault="007303EE" w:rsidP="00F60802">
            <w:pPr>
              <w:pStyle w:val="TableTextCentered"/>
            </w:pPr>
            <w:r w:rsidRPr="00797379">
              <w:t>58</w:t>
            </w:r>
          </w:p>
        </w:tc>
        <w:tc>
          <w:tcPr>
            <w:tcW w:w="1152" w:type="dxa"/>
          </w:tcPr>
          <w:p w14:paraId="152D639A" w14:textId="77777777" w:rsidR="007303EE" w:rsidRPr="00797379" w:rsidRDefault="007303EE" w:rsidP="00F60802">
            <w:pPr>
              <w:pStyle w:val="TableTextCentered"/>
            </w:pPr>
            <w:r w:rsidRPr="00797379">
              <w:t>59</w:t>
            </w:r>
          </w:p>
        </w:tc>
        <w:tc>
          <w:tcPr>
            <w:tcW w:w="1152" w:type="dxa"/>
          </w:tcPr>
          <w:p w14:paraId="0952CE16" w14:textId="77777777" w:rsidR="007303EE" w:rsidRPr="00797379" w:rsidRDefault="007303EE" w:rsidP="00F60802">
            <w:pPr>
              <w:pStyle w:val="TableTextCentered"/>
            </w:pPr>
            <w:r w:rsidRPr="00797379">
              <w:t>48</w:t>
            </w:r>
          </w:p>
        </w:tc>
      </w:tr>
      <w:tr w:rsidR="007303EE" w:rsidRPr="00797379" w14:paraId="4DC41976" w14:textId="77777777" w:rsidTr="00F60802">
        <w:tc>
          <w:tcPr>
            <w:tcW w:w="3586" w:type="dxa"/>
          </w:tcPr>
          <w:p w14:paraId="74723ED1" w14:textId="77777777" w:rsidR="007303EE" w:rsidRPr="0059750A" w:rsidRDefault="007303EE" w:rsidP="00F60802">
            <w:pPr>
              <w:pStyle w:val="TableSubheading"/>
              <w:rPr>
                <w:rFonts w:asciiTheme="minorHAnsi" w:hAnsiTheme="minorHAnsi"/>
              </w:rPr>
            </w:pPr>
            <w:r w:rsidRPr="0059750A">
              <w:rPr>
                <w:rFonts w:asciiTheme="minorHAnsi" w:hAnsiTheme="minorHAnsi"/>
              </w:rPr>
              <w:t>English Learners</w:t>
            </w:r>
          </w:p>
        </w:tc>
        <w:tc>
          <w:tcPr>
            <w:tcW w:w="1151" w:type="dxa"/>
          </w:tcPr>
          <w:p w14:paraId="5DE0CE16" w14:textId="77777777" w:rsidR="007303EE" w:rsidRPr="00797379" w:rsidRDefault="007303EE" w:rsidP="00F60802">
            <w:pPr>
              <w:pStyle w:val="TableTextCentered"/>
            </w:pPr>
            <w:r w:rsidRPr="00797379">
              <w:t>128</w:t>
            </w:r>
          </w:p>
        </w:tc>
        <w:tc>
          <w:tcPr>
            <w:tcW w:w="1152" w:type="dxa"/>
          </w:tcPr>
          <w:p w14:paraId="144F0D11" w14:textId="77777777" w:rsidR="007303EE" w:rsidRPr="00797379" w:rsidRDefault="007303EE" w:rsidP="00F60802">
            <w:pPr>
              <w:pStyle w:val="TableTextCentered"/>
            </w:pPr>
            <w:r w:rsidRPr="00797379">
              <w:t>63</w:t>
            </w:r>
          </w:p>
        </w:tc>
        <w:tc>
          <w:tcPr>
            <w:tcW w:w="1151" w:type="dxa"/>
          </w:tcPr>
          <w:p w14:paraId="37B50E4E" w14:textId="77777777" w:rsidR="007303EE" w:rsidRPr="00797379" w:rsidRDefault="007303EE" w:rsidP="00F60802">
            <w:pPr>
              <w:pStyle w:val="TableTextCentered"/>
            </w:pPr>
            <w:r w:rsidRPr="00797379">
              <w:t>65</w:t>
            </w:r>
          </w:p>
        </w:tc>
        <w:tc>
          <w:tcPr>
            <w:tcW w:w="1152" w:type="dxa"/>
          </w:tcPr>
          <w:p w14:paraId="37F2AAF7" w14:textId="77777777" w:rsidR="007303EE" w:rsidRPr="00797379" w:rsidRDefault="007303EE" w:rsidP="00F60802">
            <w:pPr>
              <w:pStyle w:val="TableTextCentered"/>
            </w:pPr>
            <w:r w:rsidRPr="00797379">
              <w:t>63</w:t>
            </w:r>
          </w:p>
        </w:tc>
        <w:tc>
          <w:tcPr>
            <w:tcW w:w="1152" w:type="dxa"/>
          </w:tcPr>
          <w:p w14:paraId="73959D65" w14:textId="77777777" w:rsidR="007303EE" w:rsidRPr="00797379" w:rsidRDefault="007303EE" w:rsidP="00F60802">
            <w:pPr>
              <w:pStyle w:val="TableTextCentered"/>
            </w:pPr>
            <w:r w:rsidRPr="00797379">
              <w:t>51</w:t>
            </w:r>
          </w:p>
        </w:tc>
      </w:tr>
      <w:tr w:rsidR="007303EE" w:rsidRPr="00797379" w14:paraId="41645777" w14:textId="77777777" w:rsidTr="00F60802">
        <w:trPr>
          <w:cnfStyle w:val="000000100000" w:firstRow="0" w:lastRow="0" w:firstColumn="0" w:lastColumn="0" w:oddVBand="0" w:evenVBand="0" w:oddHBand="1" w:evenHBand="0" w:firstRowFirstColumn="0" w:firstRowLastColumn="0" w:lastRowFirstColumn="0" w:lastRowLastColumn="0"/>
        </w:trPr>
        <w:tc>
          <w:tcPr>
            <w:tcW w:w="3586" w:type="dxa"/>
          </w:tcPr>
          <w:p w14:paraId="7711A1C0" w14:textId="77777777" w:rsidR="007303EE" w:rsidRPr="0059750A" w:rsidRDefault="007303EE" w:rsidP="00F60802">
            <w:pPr>
              <w:pStyle w:val="TableSubheading"/>
              <w:rPr>
                <w:rFonts w:asciiTheme="minorHAnsi" w:hAnsiTheme="minorHAnsi"/>
                <w:spacing w:val="-4"/>
              </w:rPr>
            </w:pPr>
            <w:r w:rsidRPr="0059750A">
              <w:rPr>
                <w:rFonts w:asciiTheme="minorHAnsi" w:hAnsiTheme="minorHAnsi"/>
              </w:rPr>
              <w:t>Low Income</w:t>
            </w:r>
          </w:p>
        </w:tc>
        <w:tc>
          <w:tcPr>
            <w:tcW w:w="1151" w:type="dxa"/>
          </w:tcPr>
          <w:p w14:paraId="7A773370" w14:textId="77777777" w:rsidR="007303EE" w:rsidRPr="00797379" w:rsidRDefault="007303EE" w:rsidP="00F60802">
            <w:pPr>
              <w:pStyle w:val="TableTextCentered"/>
            </w:pPr>
            <w:r w:rsidRPr="00797379">
              <w:t>137</w:t>
            </w:r>
          </w:p>
        </w:tc>
        <w:tc>
          <w:tcPr>
            <w:tcW w:w="1152" w:type="dxa"/>
          </w:tcPr>
          <w:p w14:paraId="49FD5715" w14:textId="77777777" w:rsidR="007303EE" w:rsidRPr="00797379" w:rsidRDefault="007303EE" w:rsidP="00F60802">
            <w:pPr>
              <w:pStyle w:val="TableTextCentered"/>
            </w:pPr>
            <w:r w:rsidRPr="00797379">
              <w:t>56</w:t>
            </w:r>
          </w:p>
        </w:tc>
        <w:tc>
          <w:tcPr>
            <w:tcW w:w="1151" w:type="dxa"/>
          </w:tcPr>
          <w:p w14:paraId="1702A32A" w14:textId="77777777" w:rsidR="007303EE" w:rsidRPr="00797379" w:rsidRDefault="007303EE" w:rsidP="00F60802">
            <w:pPr>
              <w:pStyle w:val="TableTextCentered"/>
            </w:pPr>
            <w:r w:rsidRPr="00797379">
              <w:t>59</w:t>
            </w:r>
          </w:p>
        </w:tc>
        <w:tc>
          <w:tcPr>
            <w:tcW w:w="1152" w:type="dxa"/>
          </w:tcPr>
          <w:p w14:paraId="5B3A3043" w14:textId="77777777" w:rsidR="007303EE" w:rsidRPr="00797379" w:rsidRDefault="007303EE" w:rsidP="00F60802">
            <w:pPr>
              <w:pStyle w:val="TableTextCentered"/>
            </w:pPr>
            <w:r w:rsidRPr="00797379">
              <w:t>58</w:t>
            </w:r>
          </w:p>
        </w:tc>
        <w:tc>
          <w:tcPr>
            <w:tcW w:w="1152" w:type="dxa"/>
          </w:tcPr>
          <w:p w14:paraId="625A6868" w14:textId="77777777" w:rsidR="007303EE" w:rsidRPr="00797379" w:rsidRDefault="007303EE" w:rsidP="00F60802">
            <w:pPr>
              <w:pStyle w:val="TableTextCentered"/>
            </w:pPr>
            <w:r w:rsidRPr="00797379">
              <w:t>48</w:t>
            </w:r>
          </w:p>
        </w:tc>
      </w:tr>
      <w:tr w:rsidR="007303EE" w:rsidRPr="00797379" w14:paraId="07D8F9C6" w14:textId="77777777" w:rsidTr="00F60802">
        <w:tc>
          <w:tcPr>
            <w:tcW w:w="3586" w:type="dxa"/>
          </w:tcPr>
          <w:p w14:paraId="417C4978" w14:textId="77777777" w:rsidR="007303EE" w:rsidRPr="0059750A" w:rsidRDefault="007303EE" w:rsidP="00F60802">
            <w:pPr>
              <w:pStyle w:val="TableSubheading"/>
              <w:rPr>
                <w:rFonts w:asciiTheme="minorHAnsi" w:hAnsiTheme="minorHAnsi"/>
              </w:rPr>
            </w:pPr>
            <w:r w:rsidRPr="0059750A">
              <w:rPr>
                <w:rFonts w:asciiTheme="minorHAnsi" w:hAnsiTheme="minorHAnsi"/>
              </w:rPr>
              <w:t>Students with Disabilities</w:t>
            </w:r>
          </w:p>
        </w:tc>
        <w:tc>
          <w:tcPr>
            <w:tcW w:w="1151" w:type="dxa"/>
          </w:tcPr>
          <w:p w14:paraId="581B673F" w14:textId="77777777" w:rsidR="007303EE" w:rsidRPr="00797379" w:rsidRDefault="007303EE" w:rsidP="00F60802">
            <w:pPr>
              <w:pStyle w:val="TableTextCentered"/>
            </w:pPr>
            <w:r w:rsidRPr="00797379">
              <w:t>340</w:t>
            </w:r>
          </w:p>
        </w:tc>
        <w:tc>
          <w:tcPr>
            <w:tcW w:w="1152" w:type="dxa"/>
          </w:tcPr>
          <w:p w14:paraId="2E54AFE2" w14:textId="77777777" w:rsidR="007303EE" w:rsidRPr="00797379" w:rsidRDefault="007303EE" w:rsidP="00F60802">
            <w:pPr>
              <w:pStyle w:val="TableTextCentered"/>
            </w:pPr>
            <w:r w:rsidRPr="00797379">
              <w:t>50</w:t>
            </w:r>
          </w:p>
        </w:tc>
        <w:tc>
          <w:tcPr>
            <w:tcW w:w="1151" w:type="dxa"/>
          </w:tcPr>
          <w:p w14:paraId="01EC3C55" w14:textId="77777777" w:rsidR="007303EE" w:rsidRPr="00797379" w:rsidRDefault="007303EE" w:rsidP="00F60802">
            <w:pPr>
              <w:pStyle w:val="TableTextCentered"/>
            </w:pPr>
            <w:r w:rsidRPr="00797379">
              <w:t>54</w:t>
            </w:r>
          </w:p>
        </w:tc>
        <w:tc>
          <w:tcPr>
            <w:tcW w:w="1152" w:type="dxa"/>
          </w:tcPr>
          <w:p w14:paraId="5ED34A71" w14:textId="77777777" w:rsidR="007303EE" w:rsidRPr="00797379" w:rsidRDefault="007303EE" w:rsidP="00F60802">
            <w:pPr>
              <w:pStyle w:val="TableTextCentered"/>
            </w:pPr>
            <w:r w:rsidRPr="00797379">
              <w:t>57</w:t>
            </w:r>
          </w:p>
        </w:tc>
        <w:tc>
          <w:tcPr>
            <w:tcW w:w="1152" w:type="dxa"/>
          </w:tcPr>
          <w:p w14:paraId="6ADBA86B" w14:textId="77777777" w:rsidR="007303EE" w:rsidRPr="00797379" w:rsidRDefault="007303EE" w:rsidP="00F60802">
            <w:pPr>
              <w:pStyle w:val="TableTextCentered"/>
            </w:pPr>
            <w:r w:rsidRPr="00797379">
              <w:t>46</w:t>
            </w:r>
          </w:p>
        </w:tc>
      </w:tr>
    </w:tbl>
    <w:p w14:paraId="658057CB" w14:textId="125266C6" w:rsidR="007303EE" w:rsidRPr="00797379" w:rsidRDefault="007303EE" w:rsidP="006C2038">
      <w:pPr>
        <w:pStyle w:val="TableETitles"/>
      </w:pPr>
      <w:bookmarkStart w:id="254" w:name="_Toc220933516"/>
      <w:r w:rsidRPr="00797379">
        <w:t>Table E13. MCAS Mathematics Mean Student Growth Percentile by Student Group, Grade</w:t>
      </w:r>
      <w:r w:rsidR="0068153B" w:rsidRPr="00797379">
        <w:t> </w:t>
      </w:r>
      <w:r w:rsidRPr="00797379">
        <w:t>10, 2023-2025</w:t>
      </w:r>
      <w:bookmarkEnd w:id="254"/>
    </w:p>
    <w:tbl>
      <w:tblPr>
        <w:tblStyle w:val="MSVTable1"/>
        <w:tblW w:w="5000" w:type="pct"/>
        <w:tblLook w:val="0420" w:firstRow="1" w:lastRow="0" w:firstColumn="0" w:lastColumn="0" w:noHBand="0" w:noVBand="1"/>
      </w:tblPr>
      <w:tblGrid>
        <w:gridCol w:w="3586"/>
        <w:gridCol w:w="1151"/>
        <w:gridCol w:w="1152"/>
        <w:gridCol w:w="1151"/>
        <w:gridCol w:w="1152"/>
        <w:gridCol w:w="1152"/>
      </w:tblGrid>
      <w:tr w:rsidR="007303EE" w:rsidRPr="00797379" w14:paraId="1A4A8B1A" w14:textId="77777777" w:rsidTr="00132A03">
        <w:trPr>
          <w:cnfStyle w:val="100000000000" w:firstRow="1" w:lastRow="0" w:firstColumn="0" w:lastColumn="0" w:oddVBand="0" w:evenVBand="0" w:oddHBand="0" w:evenHBand="0" w:firstRowFirstColumn="0" w:firstRowLastColumn="0" w:lastRowFirstColumn="0" w:lastRowLastColumn="0"/>
          <w:tblHeader/>
        </w:trPr>
        <w:tc>
          <w:tcPr>
            <w:tcW w:w="3586" w:type="dxa"/>
            <w:vAlign w:val="center"/>
          </w:tcPr>
          <w:p w14:paraId="07B4F9EA" w14:textId="77777777" w:rsidR="007303EE" w:rsidRPr="00797379" w:rsidRDefault="007303EE" w:rsidP="00F60802">
            <w:pPr>
              <w:pStyle w:val="TableColHeadingCenter"/>
            </w:pPr>
            <w:r w:rsidRPr="00797379">
              <w:t>Group</w:t>
            </w:r>
          </w:p>
        </w:tc>
        <w:tc>
          <w:tcPr>
            <w:tcW w:w="1151" w:type="dxa"/>
            <w:vAlign w:val="center"/>
          </w:tcPr>
          <w:p w14:paraId="44E44074" w14:textId="77777777" w:rsidR="007303EE" w:rsidRPr="00797379" w:rsidRDefault="007303EE" w:rsidP="00F60802">
            <w:pPr>
              <w:pStyle w:val="TableColHeadingCenter"/>
            </w:pPr>
            <w:r w:rsidRPr="00797379">
              <w:t># Included (2025)</w:t>
            </w:r>
          </w:p>
        </w:tc>
        <w:tc>
          <w:tcPr>
            <w:tcW w:w="1152" w:type="dxa"/>
            <w:vAlign w:val="center"/>
          </w:tcPr>
          <w:p w14:paraId="03896FB2" w14:textId="77777777" w:rsidR="007303EE" w:rsidRPr="00797379" w:rsidRDefault="007303EE" w:rsidP="00F60802">
            <w:pPr>
              <w:pStyle w:val="TableColHeadingCenter"/>
            </w:pPr>
            <w:r w:rsidRPr="00797379">
              <w:t>2023</w:t>
            </w:r>
          </w:p>
        </w:tc>
        <w:tc>
          <w:tcPr>
            <w:tcW w:w="1151" w:type="dxa"/>
            <w:vAlign w:val="center"/>
          </w:tcPr>
          <w:p w14:paraId="4A8EB311" w14:textId="77777777" w:rsidR="007303EE" w:rsidRPr="00797379" w:rsidRDefault="007303EE" w:rsidP="00F60802">
            <w:pPr>
              <w:pStyle w:val="TableColHeadingCenter"/>
            </w:pPr>
            <w:r w:rsidRPr="00797379">
              <w:t>2024</w:t>
            </w:r>
          </w:p>
        </w:tc>
        <w:tc>
          <w:tcPr>
            <w:tcW w:w="1152" w:type="dxa"/>
            <w:vAlign w:val="center"/>
          </w:tcPr>
          <w:p w14:paraId="5F785DE1" w14:textId="77777777" w:rsidR="007303EE" w:rsidRPr="00797379" w:rsidRDefault="007303EE" w:rsidP="00F60802">
            <w:pPr>
              <w:pStyle w:val="TableColHeadingCenter"/>
            </w:pPr>
            <w:r w:rsidRPr="00797379">
              <w:t>2025</w:t>
            </w:r>
          </w:p>
        </w:tc>
        <w:tc>
          <w:tcPr>
            <w:tcW w:w="1152" w:type="dxa"/>
            <w:vAlign w:val="center"/>
          </w:tcPr>
          <w:p w14:paraId="27B65E40" w14:textId="77777777" w:rsidR="007303EE" w:rsidRPr="00797379" w:rsidRDefault="007303EE" w:rsidP="00F60802">
            <w:pPr>
              <w:pStyle w:val="TableColHeadingCenter"/>
            </w:pPr>
            <w:r w:rsidRPr="00797379">
              <w:t>State (2025)</w:t>
            </w:r>
          </w:p>
        </w:tc>
      </w:tr>
      <w:tr w:rsidR="007303EE" w:rsidRPr="00797379" w14:paraId="57629798" w14:textId="77777777" w:rsidTr="00F60802">
        <w:trPr>
          <w:cnfStyle w:val="000000100000" w:firstRow="0" w:lastRow="0" w:firstColumn="0" w:lastColumn="0" w:oddVBand="0" w:evenVBand="0" w:oddHBand="1" w:evenHBand="0" w:firstRowFirstColumn="0" w:firstRowLastColumn="0" w:lastRowFirstColumn="0" w:lastRowLastColumn="0"/>
        </w:trPr>
        <w:tc>
          <w:tcPr>
            <w:tcW w:w="3586" w:type="dxa"/>
          </w:tcPr>
          <w:p w14:paraId="38C733B8" w14:textId="77777777" w:rsidR="007303EE" w:rsidRPr="0059750A" w:rsidRDefault="007303EE" w:rsidP="00F60802">
            <w:pPr>
              <w:pStyle w:val="TableSubheading"/>
              <w:rPr>
                <w:rFonts w:asciiTheme="minorHAnsi" w:hAnsiTheme="minorHAnsi"/>
              </w:rPr>
            </w:pPr>
            <w:r w:rsidRPr="0059750A">
              <w:rPr>
                <w:rFonts w:asciiTheme="minorHAnsi" w:hAnsiTheme="minorHAnsi"/>
              </w:rPr>
              <w:t>All Students</w:t>
            </w:r>
          </w:p>
        </w:tc>
        <w:tc>
          <w:tcPr>
            <w:tcW w:w="1151" w:type="dxa"/>
          </w:tcPr>
          <w:p w14:paraId="4D17FA6D" w14:textId="77777777" w:rsidR="007303EE" w:rsidRPr="00797379" w:rsidRDefault="007303EE" w:rsidP="00F60802">
            <w:pPr>
              <w:pStyle w:val="TableTextCentered"/>
            </w:pPr>
            <w:r w:rsidRPr="00797379">
              <w:t>307</w:t>
            </w:r>
          </w:p>
        </w:tc>
        <w:tc>
          <w:tcPr>
            <w:tcW w:w="1152" w:type="dxa"/>
          </w:tcPr>
          <w:p w14:paraId="2BEF069C" w14:textId="77777777" w:rsidR="007303EE" w:rsidRPr="00797379" w:rsidRDefault="007303EE" w:rsidP="00F60802">
            <w:pPr>
              <w:pStyle w:val="TableTextCentered"/>
            </w:pPr>
            <w:r w:rsidRPr="00797379">
              <w:t>67</w:t>
            </w:r>
          </w:p>
        </w:tc>
        <w:tc>
          <w:tcPr>
            <w:tcW w:w="1151" w:type="dxa"/>
          </w:tcPr>
          <w:p w14:paraId="0BDD4E70" w14:textId="77777777" w:rsidR="007303EE" w:rsidRPr="00797379" w:rsidRDefault="007303EE" w:rsidP="00F60802">
            <w:pPr>
              <w:pStyle w:val="TableTextCentered"/>
            </w:pPr>
            <w:r w:rsidRPr="00797379">
              <w:t>65</w:t>
            </w:r>
          </w:p>
        </w:tc>
        <w:tc>
          <w:tcPr>
            <w:tcW w:w="1152" w:type="dxa"/>
          </w:tcPr>
          <w:p w14:paraId="4416E844" w14:textId="77777777" w:rsidR="007303EE" w:rsidRPr="00797379" w:rsidRDefault="007303EE" w:rsidP="00F60802">
            <w:pPr>
              <w:pStyle w:val="TableTextCentered"/>
            </w:pPr>
            <w:r w:rsidRPr="00797379">
              <w:t>62</w:t>
            </w:r>
          </w:p>
        </w:tc>
        <w:tc>
          <w:tcPr>
            <w:tcW w:w="1152" w:type="dxa"/>
          </w:tcPr>
          <w:p w14:paraId="3DD960C7" w14:textId="77777777" w:rsidR="007303EE" w:rsidRPr="00797379" w:rsidRDefault="007303EE" w:rsidP="00F60802">
            <w:pPr>
              <w:pStyle w:val="TableTextCentered"/>
            </w:pPr>
            <w:r w:rsidRPr="00797379">
              <w:t>50</w:t>
            </w:r>
          </w:p>
        </w:tc>
      </w:tr>
      <w:tr w:rsidR="007303EE" w:rsidRPr="00797379" w14:paraId="5AE4322B" w14:textId="77777777" w:rsidTr="00F60802">
        <w:tc>
          <w:tcPr>
            <w:tcW w:w="3586" w:type="dxa"/>
          </w:tcPr>
          <w:p w14:paraId="7C5E923C" w14:textId="77777777" w:rsidR="007303EE" w:rsidRPr="0059750A" w:rsidRDefault="007303EE" w:rsidP="00F60802">
            <w:pPr>
              <w:pStyle w:val="TableSubheading"/>
              <w:rPr>
                <w:rFonts w:asciiTheme="minorHAnsi" w:hAnsiTheme="minorHAnsi"/>
              </w:rPr>
            </w:pPr>
            <w:r w:rsidRPr="0059750A">
              <w:rPr>
                <w:rFonts w:asciiTheme="minorHAnsi" w:hAnsiTheme="minorHAnsi"/>
              </w:rPr>
              <w:t>American Indian or Alaskan Native</w:t>
            </w:r>
          </w:p>
        </w:tc>
        <w:tc>
          <w:tcPr>
            <w:tcW w:w="1151" w:type="dxa"/>
          </w:tcPr>
          <w:p w14:paraId="531CF6D7" w14:textId="425D3B23" w:rsidR="007303EE" w:rsidRPr="00797379" w:rsidRDefault="00220288" w:rsidP="00F60802">
            <w:pPr>
              <w:pStyle w:val="TableTextCentered"/>
            </w:pPr>
            <w:r>
              <w:t>N/A</w:t>
            </w:r>
          </w:p>
        </w:tc>
        <w:tc>
          <w:tcPr>
            <w:tcW w:w="1152" w:type="dxa"/>
          </w:tcPr>
          <w:p w14:paraId="19367771" w14:textId="1357F7A9" w:rsidR="007303EE" w:rsidRPr="00797379" w:rsidRDefault="00220288" w:rsidP="00F60802">
            <w:pPr>
              <w:pStyle w:val="TableTextCentered"/>
            </w:pPr>
            <w:r>
              <w:t>N/A</w:t>
            </w:r>
          </w:p>
        </w:tc>
        <w:tc>
          <w:tcPr>
            <w:tcW w:w="1151" w:type="dxa"/>
          </w:tcPr>
          <w:p w14:paraId="5990DBA7" w14:textId="07E3D2F6" w:rsidR="007303EE" w:rsidRPr="00797379" w:rsidRDefault="00220288" w:rsidP="00F60802">
            <w:pPr>
              <w:pStyle w:val="TableTextCentered"/>
            </w:pPr>
            <w:r>
              <w:t>N/A</w:t>
            </w:r>
          </w:p>
        </w:tc>
        <w:tc>
          <w:tcPr>
            <w:tcW w:w="1152" w:type="dxa"/>
          </w:tcPr>
          <w:p w14:paraId="254778F3" w14:textId="6BC8877F" w:rsidR="007303EE" w:rsidRPr="00797379" w:rsidRDefault="00220288" w:rsidP="00F60802">
            <w:pPr>
              <w:pStyle w:val="TableTextCentered"/>
            </w:pPr>
            <w:r>
              <w:t>N/A</w:t>
            </w:r>
          </w:p>
        </w:tc>
        <w:tc>
          <w:tcPr>
            <w:tcW w:w="1152" w:type="dxa"/>
          </w:tcPr>
          <w:p w14:paraId="41F7CF9B" w14:textId="77777777" w:rsidR="007303EE" w:rsidRPr="00797379" w:rsidRDefault="007303EE" w:rsidP="00F60802">
            <w:pPr>
              <w:pStyle w:val="TableTextCentered"/>
            </w:pPr>
            <w:r w:rsidRPr="00797379">
              <w:t>52</w:t>
            </w:r>
          </w:p>
        </w:tc>
      </w:tr>
      <w:tr w:rsidR="007303EE" w:rsidRPr="00797379" w14:paraId="5A66C2A0" w14:textId="77777777" w:rsidTr="00F60802">
        <w:trPr>
          <w:cnfStyle w:val="000000100000" w:firstRow="0" w:lastRow="0" w:firstColumn="0" w:lastColumn="0" w:oddVBand="0" w:evenVBand="0" w:oddHBand="1" w:evenHBand="0" w:firstRowFirstColumn="0" w:firstRowLastColumn="0" w:lastRowFirstColumn="0" w:lastRowLastColumn="0"/>
        </w:trPr>
        <w:tc>
          <w:tcPr>
            <w:tcW w:w="3586" w:type="dxa"/>
          </w:tcPr>
          <w:p w14:paraId="7F6572AF" w14:textId="77777777" w:rsidR="007303EE" w:rsidRPr="0059750A" w:rsidRDefault="007303EE" w:rsidP="00F60802">
            <w:pPr>
              <w:pStyle w:val="TableSubheading"/>
              <w:rPr>
                <w:rFonts w:asciiTheme="minorHAnsi" w:hAnsiTheme="minorHAnsi"/>
              </w:rPr>
            </w:pPr>
            <w:r w:rsidRPr="0059750A">
              <w:rPr>
                <w:rFonts w:asciiTheme="minorHAnsi" w:hAnsiTheme="minorHAnsi"/>
              </w:rPr>
              <w:t>Asian</w:t>
            </w:r>
          </w:p>
        </w:tc>
        <w:tc>
          <w:tcPr>
            <w:tcW w:w="1151" w:type="dxa"/>
          </w:tcPr>
          <w:p w14:paraId="71EDA652" w14:textId="77777777" w:rsidR="007303EE" w:rsidRPr="00797379" w:rsidRDefault="007303EE" w:rsidP="00F60802">
            <w:pPr>
              <w:pStyle w:val="TableTextCentered"/>
            </w:pPr>
            <w:r w:rsidRPr="00797379">
              <w:t>61</w:t>
            </w:r>
          </w:p>
        </w:tc>
        <w:tc>
          <w:tcPr>
            <w:tcW w:w="1152" w:type="dxa"/>
          </w:tcPr>
          <w:p w14:paraId="451296A5" w14:textId="77777777" w:rsidR="007303EE" w:rsidRPr="00797379" w:rsidRDefault="007303EE" w:rsidP="00F60802">
            <w:pPr>
              <w:pStyle w:val="TableTextCentered"/>
            </w:pPr>
            <w:r w:rsidRPr="00797379">
              <w:t>67</w:t>
            </w:r>
          </w:p>
        </w:tc>
        <w:tc>
          <w:tcPr>
            <w:tcW w:w="1151" w:type="dxa"/>
          </w:tcPr>
          <w:p w14:paraId="7529FF58" w14:textId="77777777" w:rsidR="007303EE" w:rsidRPr="00797379" w:rsidRDefault="007303EE" w:rsidP="00F60802">
            <w:pPr>
              <w:pStyle w:val="TableTextCentered"/>
            </w:pPr>
            <w:r w:rsidRPr="00797379">
              <w:t>69</w:t>
            </w:r>
          </w:p>
        </w:tc>
        <w:tc>
          <w:tcPr>
            <w:tcW w:w="1152" w:type="dxa"/>
          </w:tcPr>
          <w:p w14:paraId="6735D724" w14:textId="77777777" w:rsidR="007303EE" w:rsidRPr="00797379" w:rsidRDefault="007303EE" w:rsidP="00F60802">
            <w:pPr>
              <w:pStyle w:val="TableTextCentered"/>
            </w:pPr>
            <w:r w:rsidRPr="00797379">
              <w:t>60</w:t>
            </w:r>
          </w:p>
        </w:tc>
        <w:tc>
          <w:tcPr>
            <w:tcW w:w="1152" w:type="dxa"/>
          </w:tcPr>
          <w:p w14:paraId="178B69CE" w14:textId="77777777" w:rsidR="007303EE" w:rsidRPr="00797379" w:rsidRDefault="007303EE" w:rsidP="00F60802">
            <w:pPr>
              <w:pStyle w:val="TableTextCentered"/>
            </w:pPr>
            <w:r w:rsidRPr="00797379">
              <w:t>56</w:t>
            </w:r>
          </w:p>
        </w:tc>
      </w:tr>
      <w:tr w:rsidR="007303EE" w:rsidRPr="00797379" w14:paraId="352DE65C" w14:textId="77777777" w:rsidTr="00F60802">
        <w:tc>
          <w:tcPr>
            <w:tcW w:w="3586" w:type="dxa"/>
          </w:tcPr>
          <w:p w14:paraId="33455635" w14:textId="77777777" w:rsidR="007303EE" w:rsidRPr="0059750A" w:rsidRDefault="007303EE" w:rsidP="00F60802">
            <w:pPr>
              <w:pStyle w:val="TableSubheading"/>
              <w:rPr>
                <w:rFonts w:asciiTheme="minorHAnsi" w:hAnsiTheme="minorHAnsi"/>
              </w:rPr>
            </w:pPr>
            <w:r w:rsidRPr="0059750A">
              <w:rPr>
                <w:rFonts w:asciiTheme="minorHAnsi" w:hAnsiTheme="minorHAnsi"/>
              </w:rPr>
              <w:t>Black or African American</w:t>
            </w:r>
          </w:p>
        </w:tc>
        <w:tc>
          <w:tcPr>
            <w:tcW w:w="1151" w:type="dxa"/>
          </w:tcPr>
          <w:p w14:paraId="0609002E" w14:textId="77777777" w:rsidR="007303EE" w:rsidRPr="00797379" w:rsidRDefault="007303EE" w:rsidP="00F60802">
            <w:pPr>
              <w:pStyle w:val="TableTextCentered"/>
            </w:pPr>
            <w:r w:rsidRPr="00797379">
              <w:t>6</w:t>
            </w:r>
          </w:p>
        </w:tc>
        <w:tc>
          <w:tcPr>
            <w:tcW w:w="1152" w:type="dxa"/>
          </w:tcPr>
          <w:p w14:paraId="22589EC8" w14:textId="1B3ACBAB" w:rsidR="007303EE" w:rsidRPr="00797379" w:rsidRDefault="00220288" w:rsidP="00F60802">
            <w:pPr>
              <w:pStyle w:val="TableTextCentered"/>
            </w:pPr>
            <w:r>
              <w:t>N/A</w:t>
            </w:r>
          </w:p>
        </w:tc>
        <w:tc>
          <w:tcPr>
            <w:tcW w:w="1151" w:type="dxa"/>
          </w:tcPr>
          <w:p w14:paraId="3CD02FBB" w14:textId="65DD6F97" w:rsidR="007303EE" w:rsidRPr="00797379" w:rsidRDefault="00220288" w:rsidP="00F60802">
            <w:pPr>
              <w:pStyle w:val="TableTextCentered"/>
            </w:pPr>
            <w:r>
              <w:t>N/A</w:t>
            </w:r>
          </w:p>
        </w:tc>
        <w:tc>
          <w:tcPr>
            <w:tcW w:w="1152" w:type="dxa"/>
          </w:tcPr>
          <w:p w14:paraId="19C3E0F1" w14:textId="0368C6A8" w:rsidR="007303EE" w:rsidRPr="00797379" w:rsidRDefault="00220288" w:rsidP="00F60802">
            <w:pPr>
              <w:pStyle w:val="TableTextCentered"/>
            </w:pPr>
            <w:r>
              <w:t>N/A</w:t>
            </w:r>
          </w:p>
        </w:tc>
        <w:tc>
          <w:tcPr>
            <w:tcW w:w="1152" w:type="dxa"/>
          </w:tcPr>
          <w:p w14:paraId="0A994662" w14:textId="77777777" w:rsidR="007303EE" w:rsidRPr="00797379" w:rsidRDefault="007303EE" w:rsidP="00F60802">
            <w:pPr>
              <w:pStyle w:val="TableTextCentered"/>
            </w:pPr>
            <w:r w:rsidRPr="00797379">
              <w:t>50</w:t>
            </w:r>
          </w:p>
        </w:tc>
      </w:tr>
      <w:tr w:rsidR="007303EE" w:rsidRPr="00797379" w14:paraId="5D9B5635" w14:textId="77777777" w:rsidTr="00F60802">
        <w:trPr>
          <w:cnfStyle w:val="000000100000" w:firstRow="0" w:lastRow="0" w:firstColumn="0" w:lastColumn="0" w:oddVBand="0" w:evenVBand="0" w:oddHBand="1" w:evenHBand="0" w:firstRowFirstColumn="0" w:firstRowLastColumn="0" w:lastRowFirstColumn="0" w:lastRowLastColumn="0"/>
        </w:trPr>
        <w:tc>
          <w:tcPr>
            <w:tcW w:w="3586" w:type="dxa"/>
          </w:tcPr>
          <w:p w14:paraId="3CEB1936" w14:textId="77777777" w:rsidR="007303EE" w:rsidRPr="0059750A" w:rsidRDefault="007303EE" w:rsidP="00F60802">
            <w:pPr>
              <w:pStyle w:val="TableSubheading"/>
              <w:rPr>
                <w:rFonts w:asciiTheme="minorHAnsi" w:hAnsiTheme="minorHAnsi"/>
              </w:rPr>
            </w:pPr>
            <w:r w:rsidRPr="0059750A">
              <w:rPr>
                <w:rFonts w:asciiTheme="minorHAnsi" w:hAnsiTheme="minorHAnsi"/>
              </w:rPr>
              <w:t>Hispanic or Latino</w:t>
            </w:r>
          </w:p>
        </w:tc>
        <w:tc>
          <w:tcPr>
            <w:tcW w:w="1151" w:type="dxa"/>
          </w:tcPr>
          <w:p w14:paraId="2232F287" w14:textId="77777777" w:rsidR="007303EE" w:rsidRPr="00797379" w:rsidRDefault="007303EE" w:rsidP="00F60802">
            <w:pPr>
              <w:pStyle w:val="TableTextCentered"/>
            </w:pPr>
            <w:r w:rsidRPr="00797379">
              <w:t>17</w:t>
            </w:r>
          </w:p>
        </w:tc>
        <w:tc>
          <w:tcPr>
            <w:tcW w:w="1152" w:type="dxa"/>
          </w:tcPr>
          <w:p w14:paraId="178EEA94" w14:textId="59579A1A" w:rsidR="007303EE" w:rsidRPr="00797379" w:rsidRDefault="00220288" w:rsidP="00F60802">
            <w:pPr>
              <w:pStyle w:val="TableTextCentered"/>
            </w:pPr>
            <w:r>
              <w:t>N/A</w:t>
            </w:r>
          </w:p>
        </w:tc>
        <w:tc>
          <w:tcPr>
            <w:tcW w:w="1151" w:type="dxa"/>
          </w:tcPr>
          <w:p w14:paraId="60C9F8D2" w14:textId="28EF21EE" w:rsidR="007303EE" w:rsidRPr="00797379" w:rsidRDefault="00220288" w:rsidP="00F60802">
            <w:pPr>
              <w:pStyle w:val="TableTextCentered"/>
            </w:pPr>
            <w:r>
              <w:t>N/A</w:t>
            </w:r>
          </w:p>
        </w:tc>
        <w:tc>
          <w:tcPr>
            <w:tcW w:w="1152" w:type="dxa"/>
          </w:tcPr>
          <w:p w14:paraId="3F5B6DF3" w14:textId="79ED60FE" w:rsidR="007303EE" w:rsidRPr="00797379" w:rsidRDefault="00220288" w:rsidP="00F60802">
            <w:pPr>
              <w:pStyle w:val="TableTextCentered"/>
            </w:pPr>
            <w:r>
              <w:t>N/A</w:t>
            </w:r>
          </w:p>
        </w:tc>
        <w:tc>
          <w:tcPr>
            <w:tcW w:w="1152" w:type="dxa"/>
          </w:tcPr>
          <w:p w14:paraId="3195DF11" w14:textId="77777777" w:rsidR="007303EE" w:rsidRPr="00797379" w:rsidRDefault="007303EE" w:rsidP="00F60802">
            <w:pPr>
              <w:pStyle w:val="TableTextCentered"/>
            </w:pPr>
            <w:r w:rsidRPr="00797379">
              <w:t>47</w:t>
            </w:r>
          </w:p>
        </w:tc>
      </w:tr>
      <w:tr w:rsidR="007303EE" w:rsidRPr="00797379" w14:paraId="0AB97B0A" w14:textId="77777777" w:rsidTr="00F60802">
        <w:tc>
          <w:tcPr>
            <w:tcW w:w="3586" w:type="dxa"/>
          </w:tcPr>
          <w:p w14:paraId="2B471096" w14:textId="77777777" w:rsidR="007303EE" w:rsidRPr="0059750A" w:rsidRDefault="007303EE" w:rsidP="00F60802">
            <w:pPr>
              <w:pStyle w:val="TableSubheading"/>
              <w:rPr>
                <w:rFonts w:asciiTheme="minorHAnsi" w:hAnsiTheme="minorHAnsi"/>
              </w:rPr>
            </w:pPr>
            <w:r w:rsidRPr="0059750A">
              <w:rPr>
                <w:rFonts w:asciiTheme="minorHAnsi" w:hAnsiTheme="minorHAnsi"/>
              </w:rPr>
              <w:t>Multi-Race, Not Hispanic or Latino</w:t>
            </w:r>
          </w:p>
        </w:tc>
        <w:tc>
          <w:tcPr>
            <w:tcW w:w="1151" w:type="dxa"/>
          </w:tcPr>
          <w:p w14:paraId="60542275" w14:textId="77777777" w:rsidR="007303EE" w:rsidRPr="00797379" w:rsidRDefault="007303EE" w:rsidP="00F60802">
            <w:pPr>
              <w:pStyle w:val="TableTextCentered"/>
            </w:pPr>
            <w:r w:rsidRPr="00797379">
              <w:t>14</w:t>
            </w:r>
          </w:p>
        </w:tc>
        <w:tc>
          <w:tcPr>
            <w:tcW w:w="1152" w:type="dxa"/>
          </w:tcPr>
          <w:p w14:paraId="16BAC5C9" w14:textId="2977EAA9" w:rsidR="007303EE" w:rsidRPr="00797379" w:rsidRDefault="00220288" w:rsidP="00F60802">
            <w:pPr>
              <w:pStyle w:val="TableTextCentered"/>
            </w:pPr>
            <w:r>
              <w:t>N/A</w:t>
            </w:r>
          </w:p>
        </w:tc>
        <w:tc>
          <w:tcPr>
            <w:tcW w:w="1151" w:type="dxa"/>
          </w:tcPr>
          <w:p w14:paraId="16427D59" w14:textId="77777777" w:rsidR="007303EE" w:rsidRPr="00797379" w:rsidRDefault="007303EE" w:rsidP="00F60802">
            <w:pPr>
              <w:pStyle w:val="TableTextCentered"/>
            </w:pPr>
            <w:r w:rsidRPr="00797379">
              <w:t>58</w:t>
            </w:r>
          </w:p>
        </w:tc>
        <w:tc>
          <w:tcPr>
            <w:tcW w:w="1152" w:type="dxa"/>
          </w:tcPr>
          <w:p w14:paraId="0FCF8432" w14:textId="4B2CB4C7" w:rsidR="007303EE" w:rsidRPr="00797379" w:rsidRDefault="00220288" w:rsidP="00F60802">
            <w:pPr>
              <w:pStyle w:val="TableTextCentered"/>
            </w:pPr>
            <w:r>
              <w:t>N/A</w:t>
            </w:r>
          </w:p>
        </w:tc>
        <w:tc>
          <w:tcPr>
            <w:tcW w:w="1152" w:type="dxa"/>
          </w:tcPr>
          <w:p w14:paraId="270F22DF" w14:textId="77777777" w:rsidR="007303EE" w:rsidRPr="00797379" w:rsidRDefault="007303EE" w:rsidP="00F60802">
            <w:pPr>
              <w:pStyle w:val="TableTextCentered"/>
            </w:pPr>
            <w:r w:rsidRPr="00797379">
              <w:t>50</w:t>
            </w:r>
          </w:p>
        </w:tc>
      </w:tr>
      <w:tr w:rsidR="007303EE" w:rsidRPr="00797379" w14:paraId="32EA9A0C" w14:textId="77777777" w:rsidTr="00F60802">
        <w:trPr>
          <w:cnfStyle w:val="000000100000" w:firstRow="0" w:lastRow="0" w:firstColumn="0" w:lastColumn="0" w:oddVBand="0" w:evenVBand="0" w:oddHBand="1" w:evenHBand="0" w:firstRowFirstColumn="0" w:firstRowLastColumn="0" w:lastRowFirstColumn="0" w:lastRowLastColumn="0"/>
        </w:trPr>
        <w:tc>
          <w:tcPr>
            <w:tcW w:w="3586" w:type="dxa"/>
          </w:tcPr>
          <w:p w14:paraId="08B1E0B0" w14:textId="77777777" w:rsidR="007303EE" w:rsidRPr="0059750A" w:rsidRDefault="007303EE" w:rsidP="00F60802">
            <w:pPr>
              <w:pStyle w:val="TableSubheading"/>
              <w:rPr>
                <w:rFonts w:asciiTheme="minorHAnsi" w:hAnsiTheme="minorHAnsi"/>
                <w:spacing w:val="-4"/>
              </w:rPr>
            </w:pPr>
            <w:r w:rsidRPr="0059750A">
              <w:rPr>
                <w:rFonts w:asciiTheme="minorHAnsi" w:hAnsiTheme="minorHAnsi"/>
              </w:rPr>
              <w:t>Native Hawaiian or Other Pacific Islander</w:t>
            </w:r>
          </w:p>
        </w:tc>
        <w:tc>
          <w:tcPr>
            <w:tcW w:w="1151" w:type="dxa"/>
          </w:tcPr>
          <w:p w14:paraId="2B05804D" w14:textId="20D008C5" w:rsidR="007303EE" w:rsidRPr="00797379" w:rsidRDefault="00220288" w:rsidP="00F60802">
            <w:pPr>
              <w:pStyle w:val="TableTextCentered"/>
            </w:pPr>
            <w:r>
              <w:t>N/A</w:t>
            </w:r>
          </w:p>
        </w:tc>
        <w:tc>
          <w:tcPr>
            <w:tcW w:w="1152" w:type="dxa"/>
          </w:tcPr>
          <w:p w14:paraId="0D17E4F0" w14:textId="10726527" w:rsidR="007303EE" w:rsidRPr="00797379" w:rsidRDefault="00220288" w:rsidP="00F60802">
            <w:pPr>
              <w:pStyle w:val="TableTextCentered"/>
            </w:pPr>
            <w:r>
              <w:t>N/A</w:t>
            </w:r>
          </w:p>
        </w:tc>
        <w:tc>
          <w:tcPr>
            <w:tcW w:w="1151" w:type="dxa"/>
          </w:tcPr>
          <w:p w14:paraId="68B6924B" w14:textId="6B761125" w:rsidR="007303EE" w:rsidRPr="00797379" w:rsidRDefault="00220288" w:rsidP="00F60802">
            <w:pPr>
              <w:pStyle w:val="TableTextCentered"/>
            </w:pPr>
            <w:r>
              <w:t>N/A</w:t>
            </w:r>
          </w:p>
        </w:tc>
        <w:tc>
          <w:tcPr>
            <w:tcW w:w="1152" w:type="dxa"/>
          </w:tcPr>
          <w:p w14:paraId="3F172F8C" w14:textId="6890FD09" w:rsidR="007303EE" w:rsidRPr="00797379" w:rsidRDefault="00220288" w:rsidP="00F60802">
            <w:pPr>
              <w:pStyle w:val="TableTextCentered"/>
            </w:pPr>
            <w:r>
              <w:t>N/A</w:t>
            </w:r>
          </w:p>
        </w:tc>
        <w:tc>
          <w:tcPr>
            <w:tcW w:w="1152" w:type="dxa"/>
          </w:tcPr>
          <w:p w14:paraId="7787E1B3" w14:textId="77777777" w:rsidR="007303EE" w:rsidRPr="00797379" w:rsidRDefault="007303EE" w:rsidP="00F60802">
            <w:pPr>
              <w:pStyle w:val="TableTextCentered"/>
            </w:pPr>
            <w:r w:rsidRPr="00797379">
              <w:t>46</w:t>
            </w:r>
          </w:p>
        </w:tc>
      </w:tr>
      <w:tr w:rsidR="007303EE" w:rsidRPr="00797379" w14:paraId="66A0E338" w14:textId="77777777" w:rsidTr="00F60802">
        <w:tc>
          <w:tcPr>
            <w:tcW w:w="3586" w:type="dxa"/>
          </w:tcPr>
          <w:p w14:paraId="6D248850" w14:textId="77777777" w:rsidR="007303EE" w:rsidRPr="0059750A" w:rsidRDefault="007303EE" w:rsidP="00F60802">
            <w:pPr>
              <w:pStyle w:val="TableSubheading"/>
              <w:rPr>
                <w:rFonts w:asciiTheme="minorHAnsi" w:hAnsiTheme="minorHAnsi"/>
              </w:rPr>
            </w:pPr>
            <w:r w:rsidRPr="0059750A">
              <w:rPr>
                <w:rFonts w:asciiTheme="minorHAnsi" w:hAnsiTheme="minorHAnsi"/>
              </w:rPr>
              <w:t>White</w:t>
            </w:r>
          </w:p>
        </w:tc>
        <w:tc>
          <w:tcPr>
            <w:tcW w:w="1151" w:type="dxa"/>
          </w:tcPr>
          <w:p w14:paraId="2D8E499E" w14:textId="77777777" w:rsidR="007303EE" w:rsidRPr="00797379" w:rsidRDefault="007303EE" w:rsidP="00F60802">
            <w:pPr>
              <w:pStyle w:val="TableTextCentered"/>
            </w:pPr>
            <w:r w:rsidRPr="00797379">
              <w:t>209</w:t>
            </w:r>
          </w:p>
        </w:tc>
        <w:tc>
          <w:tcPr>
            <w:tcW w:w="1152" w:type="dxa"/>
          </w:tcPr>
          <w:p w14:paraId="46AB033F" w14:textId="77777777" w:rsidR="007303EE" w:rsidRPr="00797379" w:rsidRDefault="007303EE" w:rsidP="00F60802">
            <w:pPr>
              <w:pStyle w:val="TableTextCentered"/>
            </w:pPr>
            <w:r w:rsidRPr="00797379">
              <w:t>67</w:t>
            </w:r>
          </w:p>
        </w:tc>
        <w:tc>
          <w:tcPr>
            <w:tcW w:w="1151" w:type="dxa"/>
          </w:tcPr>
          <w:p w14:paraId="29A8615A" w14:textId="77777777" w:rsidR="007303EE" w:rsidRPr="00797379" w:rsidRDefault="007303EE" w:rsidP="00F60802">
            <w:pPr>
              <w:pStyle w:val="TableTextCentered"/>
            </w:pPr>
            <w:r w:rsidRPr="00797379">
              <w:t>65</w:t>
            </w:r>
          </w:p>
        </w:tc>
        <w:tc>
          <w:tcPr>
            <w:tcW w:w="1152" w:type="dxa"/>
          </w:tcPr>
          <w:p w14:paraId="3BAB8EE4" w14:textId="77777777" w:rsidR="007303EE" w:rsidRPr="00797379" w:rsidRDefault="007303EE" w:rsidP="00F60802">
            <w:pPr>
              <w:pStyle w:val="TableTextCentered"/>
            </w:pPr>
            <w:r w:rsidRPr="00797379">
              <w:t>62</w:t>
            </w:r>
          </w:p>
        </w:tc>
        <w:tc>
          <w:tcPr>
            <w:tcW w:w="1152" w:type="dxa"/>
          </w:tcPr>
          <w:p w14:paraId="3F958876" w14:textId="77777777" w:rsidR="007303EE" w:rsidRPr="00797379" w:rsidRDefault="007303EE" w:rsidP="00F60802">
            <w:pPr>
              <w:pStyle w:val="TableTextCentered"/>
            </w:pPr>
            <w:r w:rsidRPr="00797379">
              <w:t>50</w:t>
            </w:r>
          </w:p>
        </w:tc>
      </w:tr>
      <w:tr w:rsidR="007303EE" w:rsidRPr="00797379" w14:paraId="7FE63117" w14:textId="77777777" w:rsidTr="00F60802">
        <w:trPr>
          <w:cnfStyle w:val="000000100000" w:firstRow="0" w:lastRow="0" w:firstColumn="0" w:lastColumn="0" w:oddVBand="0" w:evenVBand="0" w:oddHBand="1" w:evenHBand="0" w:firstRowFirstColumn="0" w:firstRowLastColumn="0" w:lastRowFirstColumn="0" w:lastRowLastColumn="0"/>
        </w:trPr>
        <w:tc>
          <w:tcPr>
            <w:tcW w:w="3586" w:type="dxa"/>
          </w:tcPr>
          <w:p w14:paraId="4539B8B4" w14:textId="77777777" w:rsidR="007303EE" w:rsidRPr="0059750A" w:rsidRDefault="007303EE" w:rsidP="00F60802">
            <w:pPr>
              <w:pStyle w:val="TableSubheading"/>
              <w:rPr>
                <w:rFonts w:asciiTheme="minorHAnsi" w:hAnsiTheme="minorHAnsi"/>
              </w:rPr>
            </w:pPr>
            <w:r w:rsidRPr="0059750A">
              <w:rPr>
                <w:rFonts w:asciiTheme="minorHAnsi" w:hAnsiTheme="minorHAnsi"/>
              </w:rPr>
              <w:t>High Needs</w:t>
            </w:r>
          </w:p>
        </w:tc>
        <w:tc>
          <w:tcPr>
            <w:tcW w:w="1151" w:type="dxa"/>
          </w:tcPr>
          <w:p w14:paraId="526FB7AB" w14:textId="77777777" w:rsidR="007303EE" w:rsidRPr="00797379" w:rsidRDefault="007303EE" w:rsidP="00F60802">
            <w:pPr>
              <w:pStyle w:val="TableTextCentered"/>
            </w:pPr>
            <w:r w:rsidRPr="00797379">
              <w:t>58</w:t>
            </w:r>
          </w:p>
        </w:tc>
        <w:tc>
          <w:tcPr>
            <w:tcW w:w="1152" w:type="dxa"/>
          </w:tcPr>
          <w:p w14:paraId="22E5F2A4" w14:textId="77777777" w:rsidR="007303EE" w:rsidRPr="00797379" w:rsidRDefault="007303EE" w:rsidP="00F60802">
            <w:pPr>
              <w:pStyle w:val="TableTextCentered"/>
            </w:pPr>
            <w:r w:rsidRPr="00797379">
              <w:t>58</w:t>
            </w:r>
          </w:p>
        </w:tc>
        <w:tc>
          <w:tcPr>
            <w:tcW w:w="1151" w:type="dxa"/>
          </w:tcPr>
          <w:p w14:paraId="6A9A370C" w14:textId="77777777" w:rsidR="007303EE" w:rsidRPr="00797379" w:rsidRDefault="007303EE" w:rsidP="00F60802">
            <w:pPr>
              <w:pStyle w:val="TableTextCentered"/>
            </w:pPr>
            <w:r w:rsidRPr="00797379">
              <w:t>64</w:t>
            </w:r>
          </w:p>
        </w:tc>
        <w:tc>
          <w:tcPr>
            <w:tcW w:w="1152" w:type="dxa"/>
          </w:tcPr>
          <w:p w14:paraId="393EAD6A" w14:textId="77777777" w:rsidR="007303EE" w:rsidRPr="00797379" w:rsidRDefault="007303EE" w:rsidP="00F60802">
            <w:pPr>
              <w:pStyle w:val="TableTextCentered"/>
            </w:pPr>
            <w:r w:rsidRPr="00797379">
              <w:t>51</w:t>
            </w:r>
          </w:p>
        </w:tc>
        <w:tc>
          <w:tcPr>
            <w:tcW w:w="1152" w:type="dxa"/>
          </w:tcPr>
          <w:p w14:paraId="348F7E1F" w14:textId="77777777" w:rsidR="007303EE" w:rsidRPr="00797379" w:rsidRDefault="007303EE" w:rsidP="00F60802">
            <w:pPr>
              <w:pStyle w:val="TableTextCentered"/>
            </w:pPr>
            <w:r w:rsidRPr="00797379">
              <w:t>48</w:t>
            </w:r>
          </w:p>
        </w:tc>
      </w:tr>
      <w:tr w:rsidR="007303EE" w:rsidRPr="00797379" w14:paraId="0B7A30DF" w14:textId="77777777" w:rsidTr="00F60802">
        <w:tc>
          <w:tcPr>
            <w:tcW w:w="3586" w:type="dxa"/>
          </w:tcPr>
          <w:p w14:paraId="3CF64AA6" w14:textId="77777777" w:rsidR="007303EE" w:rsidRPr="0059750A" w:rsidRDefault="007303EE" w:rsidP="00F60802">
            <w:pPr>
              <w:pStyle w:val="TableSubheading"/>
              <w:rPr>
                <w:rFonts w:asciiTheme="minorHAnsi" w:hAnsiTheme="minorHAnsi"/>
              </w:rPr>
            </w:pPr>
            <w:r w:rsidRPr="0059750A">
              <w:rPr>
                <w:rFonts w:asciiTheme="minorHAnsi" w:hAnsiTheme="minorHAnsi"/>
              </w:rPr>
              <w:t>English Learners</w:t>
            </w:r>
          </w:p>
        </w:tc>
        <w:tc>
          <w:tcPr>
            <w:tcW w:w="1151" w:type="dxa"/>
          </w:tcPr>
          <w:p w14:paraId="4F9A8F8E" w14:textId="77777777" w:rsidR="007303EE" w:rsidRPr="00797379" w:rsidRDefault="007303EE" w:rsidP="00F60802">
            <w:pPr>
              <w:pStyle w:val="TableTextCentered"/>
            </w:pPr>
            <w:r w:rsidRPr="00797379">
              <w:t>4</w:t>
            </w:r>
          </w:p>
        </w:tc>
        <w:tc>
          <w:tcPr>
            <w:tcW w:w="1152" w:type="dxa"/>
          </w:tcPr>
          <w:p w14:paraId="77821ED6" w14:textId="73B5C0F8" w:rsidR="007303EE" w:rsidRPr="00797379" w:rsidRDefault="00220288" w:rsidP="00F60802">
            <w:pPr>
              <w:pStyle w:val="TableTextCentered"/>
            </w:pPr>
            <w:r>
              <w:t>N/A</w:t>
            </w:r>
          </w:p>
        </w:tc>
        <w:tc>
          <w:tcPr>
            <w:tcW w:w="1151" w:type="dxa"/>
          </w:tcPr>
          <w:p w14:paraId="55E5F94B" w14:textId="34E7AF77" w:rsidR="007303EE" w:rsidRPr="00797379" w:rsidRDefault="00220288" w:rsidP="00F60802">
            <w:pPr>
              <w:pStyle w:val="TableTextCentered"/>
            </w:pPr>
            <w:r>
              <w:t>N/A</w:t>
            </w:r>
          </w:p>
        </w:tc>
        <w:tc>
          <w:tcPr>
            <w:tcW w:w="1152" w:type="dxa"/>
          </w:tcPr>
          <w:p w14:paraId="72998E55" w14:textId="2ABA992B" w:rsidR="007303EE" w:rsidRPr="00797379" w:rsidRDefault="00220288" w:rsidP="00F60802">
            <w:pPr>
              <w:pStyle w:val="TableTextCentered"/>
            </w:pPr>
            <w:r>
              <w:t>N/A</w:t>
            </w:r>
          </w:p>
        </w:tc>
        <w:tc>
          <w:tcPr>
            <w:tcW w:w="1152" w:type="dxa"/>
          </w:tcPr>
          <w:p w14:paraId="07F635CA" w14:textId="77777777" w:rsidR="007303EE" w:rsidRPr="00797379" w:rsidRDefault="007303EE" w:rsidP="00F60802">
            <w:pPr>
              <w:pStyle w:val="TableTextCentered"/>
            </w:pPr>
            <w:r w:rsidRPr="00797379">
              <w:t>49</w:t>
            </w:r>
          </w:p>
        </w:tc>
      </w:tr>
      <w:tr w:rsidR="007303EE" w:rsidRPr="00797379" w14:paraId="7F308E0A" w14:textId="77777777" w:rsidTr="00F60802">
        <w:trPr>
          <w:cnfStyle w:val="000000100000" w:firstRow="0" w:lastRow="0" w:firstColumn="0" w:lastColumn="0" w:oddVBand="0" w:evenVBand="0" w:oddHBand="1" w:evenHBand="0" w:firstRowFirstColumn="0" w:firstRowLastColumn="0" w:lastRowFirstColumn="0" w:lastRowLastColumn="0"/>
        </w:trPr>
        <w:tc>
          <w:tcPr>
            <w:tcW w:w="3586" w:type="dxa"/>
          </w:tcPr>
          <w:p w14:paraId="69B18E1C" w14:textId="77777777" w:rsidR="007303EE" w:rsidRPr="0059750A" w:rsidRDefault="007303EE" w:rsidP="00F60802">
            <w:pPr>
              <w:pStyle w:val="TableSubheading"/>
              <w:rPr>
                <w:rFonts w:asciiTheme="minorHAnsi" w:hAnsiTheme="minorHAnsi"/>
                <w:spacing w:val="-4"/>
              </w:rPr>
            </w:pPr>
            <w:r w:rsidRPr="0059750A">
              <w:rPr>
                <w:rFonts w:asciiTheme="minorHAnsi" w:hAnsiTheme="minorHAnsi"/>
              </w:rPr>
              <w:t>Low Income</w:t>
            </w:r>
          </w:p>
        </w:tc>
        <w:tc>
          <w:tcPr>
            <w:tcW w:w="1151" w:type="dxa"/>
          </w:tcPr>
          <w:p w14:paraId="5BA5C3BA" w14:textId="77777777" w:rsidR="007303EE" w:rsidRPr="00797379" w:rsidRDefault="007303EE" w:rsidP="00F60802">
            <w:pPr>
              <w:pStyle w:val="TableTextCentered"/>
            </w:pPr>
            <w:r w:rsidRPr="00797379">
              <w:t>23</w:t>
            </w:r>
          </w:p>
        </w:tc>
        <w:tc>
          <w:tcPr>
            <w:tcW w:w="1152" w:type="dxa"/>
          </w:tcPr>
          <w:p w14:paraId="0152A492" w14:textId="4391CDDC" w:rsidR="007303EE" w:rsidRPr="00797379" w:rsidRDefault="00220288" w:rsidP="00F60802">
            <w:pPr>
              <w:pStyle w:val="TableTextCentered"/>
            </w:pPr>
            <w:r>
              <w:t>N/A</w:t>
            </w:r>
          </w:p>
        </w:tc>
        <w:tc>
          <w:tcPr>
            <w:tcW w:w="1151" w:type="dxa"/>
          </w:tcPr>
          <w:p w14:paraId="5A801B07" w14:textId="77777777" w:rsidR="007303EE" w:rsidRPr="00797379" w:rsidRDefault="007303EE" w:rsidP="00F60802">
            <w:pPr>
              <w:pStyle w:val="TableTextCentered"/>
            </w:pPr>
            <w:r w:rsidRPr="00797379">
              <w:t>62</w:t>
            </w:r>
          </w:p>
        </w:tc>
        <w:tc>
          <w:tcPr>
            <w:tcW w:w="1152" w:type="dxa"/>
          </w:tcPr>
          <w:p w14:paraId="7F99B8E7" w14:textId="77777777" w:rsidR="007303EE" w:rsidRPr="00797379" w:rsidRDefault="007303EE" w:rsidP="00F60802">
            <w:pPr>
              <w:pStyle w:val="TableTextCentered"/>
            </w:pPr>
            <w:r w:rsidRPr="00797379">
              <w:t>55</w:t>
            </w:r>
          </w:p>
        </w:tc>
        <w:tc>
          <w:tcPr>
            <w:tcW w:w="1152" w:type="dxa"/>
          </w:tcPr>
          <w:p w14:paraId="475767A9" w14:textId="77777777" w:rsidR="007303EE" w:rsidRPr="00797379" w:rsidRDefault="007303EE" w:rsidP="00F60802">
            <w:pPr>
              <w:pStyle w:val="TableTextCentered"/>
            </w:pPr>
            <w:r w:rsidRPr="00797379">
              <w:t>47</w:t>
            </w:r>
          </w:p>
        </w:tc>
      </w:tr>
      <w:tr w:rsidR="007303EE" w:rsidRPr="00797379" w14:paraId="325FD69A" w14:textId="77777777" w:rsidTr="00F60802">
        <w:tc>
          <w:tcPr>
            <w:tcW w:w="3586" w:type="dxa"/>
          </w:tcPr>
          <w:p w14:paraId="04C61910" w14:textId="77777777" w:rsidR="007303EE" w:rsidRPr="0059750A" w:rsidRDefault="007303EE" w:rsidP="00F60802">
            <w:pPr>
              <w:pStyle w:val="TableSubheading"/>
              <w:rPr>
                <w:rFonts w:asciiTheme="minorHAnsi" w:hAnsiTheme="minorHAnsi"/>
              </w:rPr>
            </w:pPr>
            <w:r w:rsidRPr="0059750A">
              <w:rPr>
                <w:rFonts w:asciiTheme="minorHAnsi" w:hAnsiTheme="minorHAnsi"/>
              </w:rPr>
              <w:t>Students with Disabilities</w:t>
            </w:r>
          </w:p>
        </w:tc>
        <w:tc>
          <w:tcPr>
            <w:tcW w:w="1151" w:type="dxa"/>
          </w:tcPr>
          <w:p w14:paraId="3EBC1F01" w14:textId="77777777" w:rsidR="007303EE" w:rsidRPr="00797379" w:rsidRDefault="007303EE" w:rsidP="00F60802">
            <w:pPr>
              <w:pStyle w:val="TableTextCentered"/>
            </w:pPr>
            <w:r w:rsidRPr="00797379">
              <w:t>39</w:t>
            </w:r>
          </w:p>
        </w:tc>
        <w:tc>
          <w:tcPr>
            <w:tcW w:w="1152" w:type="dxa"/>
          </w:tcPr>
          <w:p w14:paraId="51FE38F0" w14:textId="77777777" w:rsidR="007303EE" w:rsidRPr="00797379" w:rsidRDefault="007303EE" w:rsidP="00F60802">
            <w:pPr>
              <w:pStyle w:val="TableTextCentered"/>
            </w:pPr>
            <w:r w:rsidRPr="00797379">
              <w:t>57</w:t>
            </w:r>
          </w:p>
        </w:tc>
        <w:tc>
          <w:tcPr>
            <w:tcW w:w="1151" w:type="dxa"/>
          </w:tcPr>
          <w:p w14:paraId="20DB2548" w14:textId="77777777" w:rsidR="007303EE" w:rsidRPr="00797379" w:rsidRDefault="007303EE" w:rsidP="00F60802">
            <w:pPr>
              <w:pStyle w:val="TableTextCentered"/>
            </w:pPr>
            <w:r w:rsidRPr="00797379">
              <w:t>61</w:t>
            </w:r>
          </w:p>
        </w:tc>
        <w:tc>
          <w:tcPr>
            <w:tcW w:w="1152" w:type="dxa"/>
          </w:tcPr>
          <w:p w14:paraId="123209AF" w14:textId="77777777" w:rsidR="007303EE" w:rsidRPr="00797379" w:rsidRDefault="007303EE" w:rsidP="00F60802">
            <w:pPr>
              <w:pStyle w:val="TableTextCentered"/>
            </w:pPr>
            <w:r w:rsidRPr="00797379">
              <w:t>47</w:t>
            </w:r>
          </w:p>
        </w:tc>
        <w:tc>
          <w:tcPr>
            <w:tcW w:w="1152" w:type="dxa"/>
          </w:tcPr>
          <w:p w14:paraId="24AA3FD7" w14:textId="77777777" w:rsidR="007303EE" w:rsidRPr="00797379" w:rsidRDefault="007303EE" w:rsidP="00F60802">
            <w:pPr>
              <w:pStyle w:val="TableTextCentered"/>
            </w:pPr>
            <w:r w:rsidRPr="00797379">
              <w:t>47</w:t>
            </w:r>
          </w:p>
        </w:tc>
      </w:tr>
    </w:tbl>
    <w:p w14:paraId="0237617F" w14:textId="77777777" w:rsidR="003842C0" w:rsidRDefault="003842C0" w:rsidP="0094024A">
      <w:pPr>
        <w:pStyle w:val="TableETitles"/>
        <w:keepLines/>
      </w:pPr>
      <w:bookmarkStart w:id="255" w:name="_Toc220933517"/>
    </w:p>
    <w:p w14:paraId="28F8C28F" w14:textId="77777777" w:rsidR="003842C0" w:rsidRDefault="003842C0">
      <w:pPr>
        <w:spacing w:line="240" w:lineRule="auto"/>
        <w:rPr>
          <w:rFonts w:ascii="Franklin Gothic Demi" w:hAnsi="Franklin Gothic Demi"/>
        </w:rPr>
      </w:pPr>
      <w:r>
        <w:br w:type="page"/>
      </w:r>
    </w:p>
    <w:p w14:paraId="5CC797EF" w14:textId="21A3EE46" w:rsidR="007303EE" w:rsidRPr="00797379" w:rsidRDefault="007303EE" w:rsidP="0094024A">
      <w:pPr>
        <w:pStyle w:val="TableETitles"/>
        <w:keepLines/>
      </w:pPr>
      <w:r w:rsidRPr="00797379">
        <w:t>Table E14. MCAS ELA Mean Student Growth Percentile by Grade, 2023-2025</w:t>
      </w:r>
      <w:bookmarkEnd w:id="255"/>
    </w:p>
    <w:tbl>
      <w:tblPr>
        <w:tblStyle w:val="MSVTable1"/>
        <w:tblW w:w="5000" w:type="pct"/>
        <w:tblLook w:val="0420" w:firstRow="1" w:lastRow="0" w:firstColumn="0" w:lastColumn="0" w:noHBand="0" w:noVBand="1"/>
      </w:tblPr>
      <w:tblGrid>
        <w:gridCol w:w="1135"/>
        <w:gridCol w:w="1725"/>
        <w:gridCol w:w="1641"/>
        <w:gridCol w:w="1640"/>
        <w:gridCol w:w="1527"/>
        <w:gridCol w:w="1676"/>
      </w:tblGrid>
      <w:tr w:rsidR="007303EE" w:rsidRPr="00797379" w14:paraId="13A6C16F" w14:textId="77777777" w:rsidTr="007D4050">
        <w:trPr>
          <w:cnfStyle w:val="100000000000" w:firstRow="1" w:lastRow="0" w:firstColumn="0" w:lastColumn="0" w:oddVBand="0" w:evenVBand="0" w:oddHBand="0" w:evenHBand="0" w:firstRowFirstColumn="0" w:firstRowLastColumn="0" w:lastRowFirstColumn="0" w:lastRowLastColumn="0"/>
          <w:tblHeader/>
        </w:trPr>
        <w:tc>
          <w:tcPr>
            <w:tcW w:w="1135" w:type="dxa"/>
          </w:tcPr>
          <w:p w14:paraId="701C9552" w14:textId="3393F973" w:rsidR="007303EE" w:rsidRPr="00797379" w:rsidRDefault="007303EE" w:rsidP="0094024A">
            <w:pPr>
              <w:pStyle w:val="TableColHeadingCenter"/>
              <w:keepNext/>
              <w:keepLines/>
            </w:pPr>
            <w:r w:rsidRPr="00797379">
              <w:t>Grade</w:t>
            </w:r>
          </w:p>
        </w:tc>
        <w:tc>
          <w:tcPr>
            <w:tcW w:w="1725" w:type="dxa"/>
          </w:tcPr>
          <w:p w14:paraId="13996167" w14:textId="77777777" w:rsidR="007303EE" w:rsidRPr="00797379" w:rsidRDefault="007303EE" w:rsidP="0094024A">
            <w:pPr>
              <w:pStyle w:val="TableColHeadingCenter"/>
              <w:keepNext/>
              <w:keepLines/>
            </w:pPr>
            <w:r w:rsidRPr="00797379">
              <w:t># Included (2025)</w:t>
            </w:r>
          </w:p>
        </w:tc>
        <w:tc>
          <w:tcPr>
            <w:tcW w:w="1641" w:type="dxa"/>
          </w:tcPr>
          <w:p w14:paraId="7E3A7492" w14:textId="77777777" w:rsidR="007303EE" w:rsidRPr="00797379" w:rsidRDefault="007303EE" w:rsidP="0094024A">
            <w:pPr>
              <w:pStyle w:val="TableColHeadingCenter"/>
              <w:keepNext/>
              <w:keepLines/>
            </w:pPr>
            <w:r w:rsidRPr="00797379">
              <w:t>2023</w:t>
            </w:r>
          </w:p>
        </w:tc>
        <w:tc>
          <w:tcPr>
            <w:tcW w:w="1640" w:type="dxa"/>
          </w:tcPr>
          <w:p w14:paraId="2397022C" w14:textId="77777777" w:rsidR="007303EE" w:rsidRPr="00797379" w:rsidRDefault="007303EE" w:rsidP="0094024A">
            <w:pPr>
              <w:pStyle w:val="TableColHeadingCenter"/>
              <w:keepNext/>
              <w:keepLines/>
            </w:pPr>
            <w:r w:rsidRPr="00797379">
              <w:t>2024</w:t>
            </w:r>
          </w:p>
        </w:tc>
        <w:tc>
          <w:tcPr>
            <w:tcW w:w="1527" w:type="dxa"/>
          </w:tcPr>
          <w:p w14:paraId="733B12A5" w14:textId="77777777" w:rsidR="007303EE" w:rsidRPr="00797379" w:rsidRDefault="007303EE" w:rsidP="0094024A">
            <w:pPr>
              <w:pStyle w:val="TableColHeadingCenter"/>
              <w:keepNext/>
              <w:keepLines/>
            </w:pPr>
            <w:r w:rsidRPr="00797379">
              <w:t>2025</w:t>
            </w:r>
          </w:p>
        </w:tc>
        <w:tc>
          <w:tcPr>
            <w:tcW w:w="1676" w:type="dxa"/>
          </w:tcPr>
          <w:p w14:paraId="3C473AC7" w14:textId="77777777" w:rsidR="007303EE" w:rsidRPr="00797379" w:rsidRDefault="007303EE" w:rsidP="0094024A">
            <w:pPr>
              <w:pStyle w:val="TableColHeadingCenter"/>
              <w:keepNext/>
              <w:keepLines/>
            </w:pPr>
            <w:r w:rsidRPr="00797379">
              <w:t>State (2025)</w:t>
            </w:r>
          </w:p>
        </w:tc>
      </w:tr>
      <w:tr w:rsidR="007303EE" w:rsidRPr="00797379" w14:paraId="5B9FB40D" w14:textId="77777777" w:rsidTr="0034431B">
        <w:trPr>
          <w:cnfStyle w:val="000000100000" w:firstRow="0" w:lastRow="0" w:firstColumn="0" w:lastColumn="0" w:oddVBand="0" w:evenVBand="0" w:oddHBand="1" w:evenHBand="0" w:firstRowFirstColumn="0" w:firstRowLastColumn="0" w:lastRowFirstColumn="0" w:lastRowLastColumn="0"/>
        </w:trPr>
        <w:tc>
          <w:tcPr>
            <w:tcW w:w="1135" w:type="dxa"/>
            <w:vAlign w:val="center"/>
          </w:tcPr>
          <w:p w14:paraId="7F576A54" w14:textId="77777777" w:rsidR="007303EE" w:rsidRPr="0059750A" w:rsidRDefault="007303EE" w:rsidP="0034431B">
            <w:pPr>
              <w:pStyle w:val="TableSubheading"/>
              <w:keepNext/>
              <w:keepLines/>
              <w:jc w:val="center"/>
              <w:rPr>
                <w:rFonts w:asciiTheme="minorHAnsi" w:hAnsiTheme="minorHAnsi"/>
              </w:rPr>
            </w:pPr>
            <w:r w:rsidRPr="0059750A">
              <w:rPr>
                <w:rFonts w:asciiTheme="minorHAnsi" w:hAnsiTheme="minorHAnsi"/>
              </w:rPr>
              <w:t>3</w:t>
            </w:r>
          </w:p>
        </w:tc>
        <w:tc>
          <w:tcPr>
            <w:tcW w:w="1725" w:type="dxa"/>
          </w:tcPr>
          <w:p w14:paraId="579722C2" w14:textId="6CF58904" w:rsidR="007303EE" w:rsidRPr="00797379" w:rsidRDefault="00220288" w:rsidP="0094024A">
            <w:pPr>
              <w:pStyle w:val="TableTextCentered"/>
              <w:keepNext/>
              <w:keepLines/>
            </w:pPr>
            <w:r>
              <w:t>N/A</w:t>
            </w:r>
          </w:p>
        </w:tc>
        <w:tc>
          <w:tcPr>
            <w:tcW w:w="1641" w:type="dxa"/>
          </w:tcPr>
          <w:p w14:paraId="5C1D4B42" w14:textId="7E3B7EE1" w:rsidR="007303EE" w:rsidRPr="00797379" w:rsidRDefault="00220288" w:rsidP="0094024A">
            <w:pPr>
              <w:pStyle w:val="TableTextCentered"/>
              <w:keepNext/>
              <w:keepLines/>
            </w:pPr>
            <w:r>
              <w:t>N/A</w:t>
            </w:r>
          </w:p>
        </w:tc>
        <w:tc>
          <w:tcPr>
            <w:tcW w:w="1640" w:type="dxa"/>
          </w:tcPr>
          <w:p w14:paraId="6ADD1A8F" w14:textId="75F26E27" w:rsidR="007303EE" w:rsidRPr="00797379" w:rsidRDefault="00220288" w:rsidP="0094024A">
            <w:pPr>
              <w:pStyle w:val="TableTextCentered"/>
              <w:keepNext/>
              <w:keepLines/>
            </w:pPr>
            <w:r>
              <w:t>N/A</w:t>
            </w:r>
          </w:p>
        </w:tc>
        <w:tc>
          <w:tcPr>
            <w:tcW w:w="1527" w:type="dxa"/>
          </w:tcPr>
          <w:p w14:paraId="3F50DC41" w14:textId="64CB8D41" w:rsidR="007303EE" w:rsidRPr="00797379" w:rsidRDefault="00220288" w:rsidP="0094024A">
            <w:pPr>
              <w:pStyle w:val="TableTextCentered"/>
              <w:keepNext/>
              <w:keepLines/>
            </w:pPr>
            <w:r>
              <w:t>N/A</w:t>
            </w:r>
          </w:p>
        </w:tc>
        <w:tc>
          <w:tcPr>
            <w:tcW w:w="1676" w:type="dxa"/>
          </w:tcPr>
          <w:p w14:paraId="1C1E90A4" w14:textId="6F0E911D" w:rsidR="007303EE" w:rsidRPr="00797379" w:rsidRDefault="00220288" w:rsidP="0094024A">
            <w:pPr>
              <w:pStyle w:val="TableTextCentered"/>
              <w:keepNext/>
              <w:keepLines/>
            </w:pPr>
            <w:r>
              <w:t>N/A</w:t>
            </w:r>
          </w:p>
        </w:tc>
      </w:tr>
      <w:tr w:rsidR="007303EE" w:rsidRPr="00797379" w14:paraId="37E42094" w14:textId="77777777" w:rsidTr="0034431B">
        <w:tc>
          <w:tcPr>
            <w:tcW w:w="1135" w:type="dxa"/>
            <w:vAlign w:val="center"/>
          </w:tcPr>
          <w:p w14:paraId="18CB33B6" w14:textId="77777777" w:rsidR="007303EE" w:rsidRPr="0059750A" w:rsidRDefault="007303EE" w:rsidP="0034431B">
            <w:pPr>
              <w:pStyle w:val="TableSubheading"/>
              <w:keepNext/>
              <w:keepLines/>
              <w:jc w:val="center"/>
              <w:rPr>
                <w:rFonts w:asciiTheme="minorHAnsi" w:hAnsiTheme="minorHAnsi"/>
              </w:rPr>
            </w:pPr>
            <w:r w:rsidRPr="0059750A">
              <w:rPr>
                <w:rFonts w:asciiTheme="minorHAnsi" w:hAnsiTheme="minorHAnsi"/>
              </w:rPr>
              <w:t>4</w:t>
            </w:r>
          </w:p>
        </w:tc>
        <w:tc>
          <w:tcPr>
            <w:tcW w:w="1725" w:type="dxa"/>
          </w:tcPr>
          <w:p w14:paraId="468B908D" w14:textId="77777777" w:rsidR="007303EE" w:rsidRPr="00797379" w:rsidRDefault="007303EE" w:rsidP="0094024A">
            <w:pPr>
              <w:pStyle w:val="TableTextCentered"/>
              <w:keepNext/>
              <w:keepLines/>
            </w:pPr>
            <w:r w:rsidRPr="00797379">
              <w:t>275</w:t>
            </w:r>
          </w:p>
        </w:tc>
        <w:tc>
          <w:tcPr>
            <w:tcW w:w="1641" w:type="dxa"/>
          </w:tcPr>
          <w:p w14:paraId="73355D57" w14:textId="77777777" w:rsidR="007303EE" w:rsidRPr="00797379" w:rsidRDefault="007303EE" w:rsidP="0094024A">
            <w:pPr>
              <w:pStyle w:val="TableTextCentered"/>
              <w:keepNext/>
              <w:keepLines/>
            </w:pPr>
            <w:r w:rsidRPr="00797379">
              <w:t>50</w:t>
            </w:r>
          </w:p>
        </w:tc>
        <w:tc>
          <w:tcPr>
            <w:tcW w:w="1640" w:type="dxa"/>
          </w:tcPr>
          <w:p w14:paraId="614AD6ED" w14:textId="77777777" w:rsidR="007303EE" w:rsidRPr="00797379" w:rsidRDefault="007303EE" w:rsidP="0094024A">
            <w:pPr>
              <w:pStyle w:val="TableTextCentered"/>
              <w:keepNext/>
              <w:keepLines/>
            </w:pPr>
            <w:r w:rsidRPr="00797379">
              <w:t>53</w:t>
            </w:r>
          </w:p>
        </w:tc>
        <w:tc>
          <w:tcPr>
            <w:tcW w:w="1527" w:type="dxa"/>
          </w:tcPr>
          <w:p w14:paraId="0F2439E9" w14:textId="77777777" w:rsidR="007303EE" w:rsidRPr="00797379" w:rsidRDefault="007303EE" w:rsidP="0094024A">
            <w:pPr>
              <w:pStyle w:val="TableTextCentered"/>
              <w:keepNext/>
              <w:keepLines/>
            </w:pPr>
            <w:r w:rsidRPr="00797379">
              <w:t>60</w:t>
            </w:r>
          </w:p>
        </w:tc>
        <w:tc>
          <w:tcPr>
            <w:tcW w:w="1676" w:type="dxa"/>
          </w:tcPr>
          <w:p w14:paraId="7BCE6420" w14:textId="77777777" w:rsidR="007303EE" w:rsidRPr="00797379" w:rsidRDefault="007303EE" w:rsidP="0094024A">
            <w:pPr>
              <w:pStyle w:val="TableTextCentered"/>
              <w:keepNext/>
              <w:keepLines/>
            </w:pPr>
            <w:r w:rsidRPr="00797379">
              <w:t>50</w:t>
            </w:r>
          </w:p>
        </w:tc>
      </w:tr>
      <w:tr w:rsidR="007303EE" w:rsidRPr="00797379" w14:paraId="1D2AB72F" w14:textId="77777777" w:rsidTr="0034431B">
        <w:trPr>
          <w:cnfStyle w:val="000000100000" w:firstRow="0" w:lastRow="0" w:firstColumn="0" w:lastColumn="0" w:oddVBand="0" w:evenVBand="0" w:oddHBand="1" w:evenHBand="0" w:firstRowFirstColumn="0" w:firstRowLastColumn="0" w:lastRowFirstColumn="0" w:lastRowLastColumn="0"/>
        </w:trPr>
        <w:tc>
          <w:tcPr>
            <w:tcW w:w="1135" w:type="dxa"/>
            <w:vAlign w:val="center"/>
          </w:tcPr>
          <w:p w14:paraId="45C29878" w14:textId="77777777" w:rsidR="007303EE" w:rsidRPr="0059750A" w:rsidRDefault="007303EE" w:rsidP="0034431B">
            <w:pPr>
              <w:pStyle w:val="TableSubheading"/>
              <w:jc w:val="center"/>
              <w:rPr>
                <w:rFonts w:asciiTheme="minorHAnsi" w:hAnsiTheme="minorHAnsi"/>
              </w:rPr>
            </w:pPr>
            <w:r w:rsidRPr="0059750A">
              <w:rPr>
                <w:rFonts w:asciiTheme="minorHAnsi" w:hAnsiTheme="minorHAnsi"/>
              </w:rPr>
              <w:t>5</w:t>
            </w:r>
          </w:p>
        </w:tc>
        <w:tc>
          <w:tcPr>
            <w:tcW w:w="1725" w:type="dxa"/>
          </w:tcPr>
          <w:p w14:paraId="5560111A" w14:textId="77777777" w:rsidR="007303EE" w:rsidRPr="00797379" w:rsidRDefault="007303EE" w:rsidP="007D4050">
            <w:pPr>
              <w:pStyle w:val="TableTextCentered"/>
            </w:pPr>
            <w:r w:rsidRPr="00797379">
              <w:t>357</w:t>
            </w:r>
          </w:p>
        </w:tc>
        <w:tc>
          <w:tcPr>
            <w:tcW w:w="1641" w:type="dxa"/>
          </w:tcPr>
          <w:p w14:paraId="617D06A8" w14:textId="77777777" w:rsidR="007303EE" w:rsidRPr="00797379" w:rsidRDefault="007303EE" w:rsidP="007D4050">
            <w:pPr>
              <w:pStyle w:val="TableTextCentered"/>
            </w:pPr>
            <w:r w:rsidRPr="00797379">
              <w:t>59</w:t>
            </w:r>
          </w:p>
        </w:tc>
        <w:tc>
          <w:tcPr>
            <w:tcW w:w="1640" w:type="dxa"/>
          </w:tcPr>
          <w:p w14:paraId="147550AC" w14:textId="77777777" w:rsidR="007303EE" w:rsidRPr="00797379" w:rsidRDefault="007303EE" w:rsidP="007D4050">
            <w:pPr>
              <w:pStyle w:val="TableTextCentered"/>
            </w:pPr>
            <w:r w:rsidRPr="00797379">
              <w:t>64</w:t>
            </w:r>
          </w:p>
        </w:tc>
        <w:tc>
          <w:tcPr>
            <w:tcW w:w="1527" w:type="dxa"/>
          </w:tcPr>
          <w:p w14:paraId="73A490B3" w14:textId="77777777" w:rsidR="007303EE" w:rsidRPr="00797379" w:rsidRDefault="007303EE" w:rsidP="007D4050">
            <w:pPr>
              <w:pStyle w:val="TableTextCentered"/>
            </w:pPr>
            <w:r w:rsidRPr="00797379">
              <w:t>65</w:t>
            </w:r>
          </w:p>
        </w:tc>
        <w:tc>
          <w:tcPr>
            <w:tcW w:w="1676" w:type="dxa"/>
          </w:tcPr>
          <w:p w14:paraId="0B502867" w14:textId="77777777" w:rsidR="007303EE" w:rsidRPr="00797379" w:rsidRDefault="007303EE" w:rsidP="007D4050">
            <w:pPr>
              <w:pStyle w:val="TableTextCentered"/>
            </w:pPr>
            <w:r w:rsidRPr="00797379">
              <w:t>50</w:t>
            </w:r>
          </w:p>
        </w:tc>
      </w:tr>
      <w:tr w:rsidR="007303EE" w:rsidRPr="00797379" w14:paraId="0CFE0E79" w14:textId="77777777" w:rsidTr="0034431B">
        <w:tc>
          <w:tcPr>
            <w:tcW w:w="1135" w:type="dxa"/>
            <w:vAlign w:val="center"/>
          </w:tcPr>
          <w:p w14:paraId="0AC24FA8" w14:textId="77777777" w:rsidR="007303EE" w:rsidRPr="0059750A" w:rsidRDefault="007303EE" w:rsidP="0034431B">
            <w:pPr>
              <w:pStyle w:val="TableSubheading"/>
              <w:jc w:val="center"/>
              <w:rPr>
                <w:rFonts w:asciiTheme="minorHAnsi" w:hAnsiTheme="minorHAnsi"/>
              </w:rPr>
            </w:pPr>
            <w:r w:rsidRPr="0059750A">
              <w:rPr>
                <w:rFonts w:asciiTheme="minorHAnsi" w:hAnsiTheme="minorHAnsi"/>
              </w:rPr>
              <w:t>6</w:t>
            </w:r>
          </w:p>
        </w:tc>
        <w:tc>
          <w:tcPr>
            <w:tcW w:w="1725" w:type="dxa"/>
          </w:tcPr>
          <w:p w14:paraId="5B76A1BE" w14:textId="77777777" w:rsidR="007303EE" w:rsidRPr="00797379" w:rsidRDefault="007303EE" w:rsidP="007D4050">
            <w:pPr>
              <w:pStyle w:val="TableTextCentered"/>
            </w:pPr>
            <w:r w:rsidRPr="00797379">
              <w:t>325</w:t>
            </w:r>
          </w:p>
        </w:tc>
        <w:tc>
          <w:tcPr>
            <w:tcW w:w="1641" w:type="dxa"/>
          </w:tcPr>
          <w:p w14:paraId="7127DB53" w14:textId="77777777" w:rsidR="007303EE" w:rsidRPr="00797379" w:rsidRDefault="007303EE" w:rsidP="007D4050">
            <w:pPr>
              <w:pStyle w:val="TableTextCentered"/>
            </w:pPr>
            <w:r w:rsidRPr="00797379">
              <w:t>42</w:t>
            </w:r>
          </w:p>
        </w:tc>
        <w:tc>
          <w:tcPr>
            <w:tcW w:w="1640" w:type="dxa"/>
          </w:tcPr>
          <w:p w14:paraId="2115EF2C" w14:textId="77777777" w:rsidR="007303EE" w:rsidRPr="00797379" w:rsidRDefault="007303EE" w:rsidP="007D4050">
            <w:pPr>
              <w:pStyle w:val="TableTextCentered"/>
            </w:pPr>
            <w:r w:rsidRPr="00797379">
              <w:t>42</w:t>
            </w:r>
          </w:p>
        </w:tc>
        <w:tc>
          <w:tcPr>
            <w:tcW w:w="1527" w:type="dxa"/>
          </w:tcPr>
          <w:p w14:paraId="618533BD" w14:textId="77777777" w:rsidR="007303EE" w:rsidRPr="00797379" w:rsidRDefault="007303EE" w:rsidP="007D4050">
            <w:pPr>
              <w:pStyle w:val="TableTextCentered"/>
            </w:pPr>
            <w:r w:rsidRPr="00797379">
              <w:t>42</w:t>
            </w:r>
          </w:p>
        </w:tc>
        <w:tc>
          <w:tcPr>
            <w:tcW w:w="1676" w:type="dxa"/>
          </w:tcPr>
          <w:p w14:paraId="4E1EC1CF" w14:textId="77777777" w:rsidR="007303EE" w:rsidRPr="00797379" w:rsidRDefault="007303EE" w:rsidP="007D4050">
            <w:pPr>
              <w:pStyle w:val="TableTextCentered"/>
            </w:pPr>
            <w:r w:rsidRPr="00797379">
              <w:t>50</w:t>
            </w:r>
          </w:p>
        </w:tc>
      </w:tr>
      <w:tr w:rsidR="007303EE" w:rsidRPr="00797379" w14:paraId="0B9D1B50" w14:textId="77777777" w:rsidTr="0034431B">
        <w:trPr>
          <w:cnfStyle w:val="000000100000" w:firstRow="0" w:lastRow="0" w:firstColumn="0" w:lastColumn="0" w:oddVBand="0" w:evenVBand="0" w:oddHBand="1" w:evenHBand="0" w:firstRowFirstColumn="0" w:firstRowLastColumn="0" w:lastRowFirstColumn="0" w:lastRowLastColumn="0"/>
        </w:trPr>
        <w:tc>
          <w:tcPr>
            <w:tcW w:w="1135" w:type="dxa"/>
            <w:vAlign w:val="center"/>
          </w:tcPr>
          <w:p w14:paraId="097DFD7F" w14:textId="77777777" w:rsidR="007303EE" w:rsidRPr="0059750A" w:rsidRDefault="007303EE" w:rsidP="0034431B">
            <w:pPr>
              <w:pStyle w:val="TableSubheading"/>
              <w:jc w:val="center"/>
              <w:rPr>
                <w:rFonts w:asciiTheme="minorHAnsi" w:hAnsiTheme="minorHAnsi"/>
              </w:rPr>
            </w:pPr>
            <w:r w:rsidRPr="0059750A">
              <w:rPr>
                <w:rFonts w:asciiTheme="minorHAnsi" w:hAnsiTheme="minorHAnsi"/>
              </w:rPr>
              <w:t>7</w:t>
            </w:r>
          </w:p>
        </w:tc>
        <w:tc>
          <w:tcPr>
            <w:tcW w:w="1725" w:type="dxa"/>
          </w:tcPr>
          <w:p w14:paraId="417293D4" w14:textId="77777777" w:rsidR="007303EE" w:rsidRPr="00797379" w:rsidRDefault="007303EE" w:rsidP="007D4050">
            <w:pPr>
              <w:pStyle w:val="TableTextCentered"/>
            </w:pPr>
            <w:r w:rsidRPr="00797379">
              <w:t>327</w:t>
            </w:r>
          </w:p>
        </w:tc>
        <w:tc>
          <w:tcPr>
            <w:tcW w:w="1641" w:type="dxa"/>
          </w:tcPr>
          <w:p w14:paraId="639E09AD" w14:textId="77777777" w:rsidR="007303EE" w:rsidRPr="00797379" w:rsidRDefault="007303EE" w:rsidP="007D4050">
            <w:pPr>
              <w:pStyle w:val="TableTextCentered"/>
            </w:pPr>
            <w:r w:rsidRPr="00797379">
              <w:t>53</w:t>
            </w:r>
          </w:p>
        </w:tc>
        <w:tc>
          <w:tcPr>
            <w:tcW w:w="1640" w:type="dxa"/>
          </w:tcPr>
          <w:p w14:paraId="40E60DA3" w14:textId="77777777" w:rsidR="007303EE" w:rsidRPr="00797379" w:rsidRDefault="007303EE" w:rsidP="007D4050">
            <w:pPr>
              <w:pStyle w:val="TableTextCentered"/>
            </w:pPr>
            <w:r w:rsidRPr="00797379">
              <w:t>58</w:t>
            </w:r>
          </w:p>
        </w:tc>
        <w:tc>
          <w:tcPr>
            <w:tcW w:w="1527" w:type="dxa"/>
          </w:tcPr>
          <w:p w14:paraId="54A5ED3F" w14:textId="77777777" w:rsidR="007303EE" w:rsidRPr="00797379" w:rsidRDefault="007303EE" w:rsidP="007D4050">
            <w:pPr>
              <w:pStyle w:val="TableTextCentered"/>
            </w:pPr>
            <w:r w:rsidRPr="00797379">
              <w:t>57</w:t>
            </w:r>
          </w:p>
        </w:tc>
        <w:tc>
          <w:tcPr>
            <w:tcW w:w="1676" w:type="dxa"/>
          </w:tcPr>
          <w:p w14:paraId="7C8B6B37" w14:textId="77777777" w:rsidR="007303EE" w:rsidRPr="00797379" w:rsidRDefault="007303EE" w:rsidP="007D4050">
            <w:pPr>
              <w:pStyle w:val="TableTextCentered"/>
            </w:pPr>
            <w:r w:rsidRPr="00797379">
              <w:t>50</w:t>
            </w:r>
          </w:p>
        </w:tc>
      </w:tr>
      <w:tr w:rsidR="007303EE" w:rsidRPr="00797379" w14:paraId="09F6B07F" w14:textId="77777777" w:rsidTr="0034431B">
        <w:tc>
          <w:tcPr>
            <w:tcW w:w="1135" w:type="dxa"/>
            <w:vAlign w:val="center"/>
          </w:tcPr>
          <w:p w14:paraId="252D8922" w14:textId="77777777" w:rsidR="007303EE" w:rsidRPr="0059750A" w:rsidRDefault="007303EE" w:rsidP="0034431B">
            <w:pPr>
              <w:pStyle w:val="TableSubheading"/>
              <w:jc w:val="center"/>
              <w:rPr>
                <w:rFonts w:asciiTheme="minorHAnsi" w:hAnsiTheme="minorHAnsi"/>
              </w:rPr>
            </w:pPr>
            <w:r w:rsidRPr="0059750A">
              <w:rPr>
                <w:rFonts w:asciiTheme="minorHAnsi" w:hAnsiTheme="minorHAnsi"/>
              </w:rPr>
              <w:t>8</w:t>
            </w:r>
          </w:p>
        </w:tc>
        <w:tc>
          <w:tcPr>
            <w:tcW w:w="1725" w:type="dxa"/>
          </w:tcPr>
          <w:p w14:paraId="5EF29240" w14:textId="77777777" w:rsidR="007303EE" w:rsidRPr="00797379" w:rsidRDefault="007303EE" w:rsidP="007D4050">
            <w:pPr>
              <w:pStyle w:val="TableTextCentered"/>
            </w:pPr>
            <w:r w:rsidRPr="00797379">
              <w:t>322</w:t>
            </w:r>
          </w:p>
        </w:tc>
        <w:tc>
          <w:tcPr>
            <w:tcW w:w="1641" w:type="dxa"/>
          </w:tcPr>
          <w:p w14:paraId="1AE1843C" w14:textId="77777777" w:rsidR="007303EE" w:rsidRPr="00797379" w:rsidRDefault="007303EE" w:rsidP="007D4050">
            <w:pPr>
              <w:pStyle w:val="TableTextCentered"/>
            </w:pPr>
            <w:r w:rsidRPr="00797379">
              <w:t>68</w:t>
            </w:r>
          </w:p>
        </w:tc>
        <w:tc>
          <w:tcPr>
            <w:tcW w:w="1640" w:type="dxa"/>
          </w:tcPr>
          <w:p w14:paraId="589AA340" w14:textId="77777777" w:rsidR="007303EE" w:rsidRPr="00797379" w:rsidRDefault="007303EE" w:rsidP="007D4050">
            <w:pPr>
              <w:pStyle w:val="TableTextCentered"/>
            </w:pPr>
            <w:r w:rsidRPr="00797379">
              <w:t>65</w:t>
            </w:r>
          </w:p>
        </w:tc>
        <w:tc>
          <w:tcPr>
            <w:tcW w:w="1527" w:type="dxa"/>
          </w:tcPr>
          <w:p w14:paraId="3F75A398" w14:textId="77777777" w:rsidR="007303EE" w:rsidRPr="00797379" w:rsidRDefault="007303EE" w:rsidP="007D4050">
            <w:pPr>
              <w:pStyle w:val="TableTextCentered"/>
            </w:pPr>
            <w:r w:rsidRPr="00797379">
              <w:t>64</w:t>
            </w:r>
          </w:p>
        </w:tc>
        <w:tc>
          <w:tcPr>
            <w:tcW w:w="1676" w:type="dxa"/>
          </w:tcPr>
          <w:p w14:paraId="1F11D3CA" w14:textId="77777777" w:rsidR="007303EE" w:rsidRPr="00797379" w:rsidRDefault="007303EE" w:rsidP="007D4050">
            <w:pPr>
              <w:pStyle w:val="TableTextCentered"/>
            </w:pPr>
            <w:r w:rsidRPr="00797379">
              <w:t>50</w:t>
            </w:r>
          </w:p>
        </w:tc>
      </w:tr>
      <w:tr w:rsidR="007303EE" w:rsidRPr="00797379" w14:paraId="0EB0C3CB" w14:textId="77777777" w:rsidTr="0034431B">
        <w:trPr>
          <w:cnfStyle w:val="000000100000" w:firstRow="0" w:lastRow="0" w:firstColumn="0" w:lastColumn="0" w:oddVBand="0" w:evenVBand="0" w:oddHBand="1" w:evenHBand="0" w:firstRowFirstColumn="0" w:firstRowLastColumn="0" w:lastRowFirstColumn="0" w:lastRowLastColumn="0"/>
        </w:trPr>
        <w:tc>
          <w:tcPr>
            <w:tcW w:w="1135" w:type="dxa"/>
            <w:vAlign w:val="center"/>
          </w:tcPr>
          <w:p w14:paraId="57DDAFE2" w14:textId="77777777" w:rsidR="007303EE" w:rsidRPr="0059750A" w:rsidRDefault="007303EE" w:rsidP="0034431B">
            <w:pPr>
              <w:pStyle w:val="TableSubheading"/>
              <w:jc w:val="center"/>
              <w:rPr>
                <w:rFonts w:asciiTheme="minorHAnsi" w:hAnsiTheme="minorHAnsi"/>
              </w:rPr>
            </w:pPr>
            <w:r w:rsidRPr="0059750A">
              <w:rPr>
                <w:rFonts w:asciiTheme="minorHAnsi" w:hAnsiTheme="minorHAnsi"/>
              </w:rPr>
              <w:t>3-8</w:t>
            </w:r>
          </w:p>
        </w:tc>
        <w:tc>
          <w:tcPr>
            <w:tcW w:w="1725" w:type="dxa"/>
          </w:tcPr>
          <w:p w14:paraId="6EB15055" w14:textId="77777777" w:rsidR="007303EE" w:rsidRPr="00797379" w:rsidRDefault="007303EE" w:rsidP="007D4050">
            <w:pPr>
              <w:pStyle w:val="TableTextCentered"/>
            </w:pPr>
            <w:r w:rsidRPr="00797379">
              <w:t>1,606</w:t>
            </w:r>
          </w:p>
        </w:tc>
        <w:tc>
          <w:tcPr>
            <w:tcW w:w="1641" w:type="dxa"/>
          </w:tcPr>
          <w:p w14:paraId="2363C7EA" w14:textId="77777777" w:rsidR="007303EE" w:rsidRPr="00797379" w:rsidRDefault="007303EE" w:rsidP="007D4050">
            <w:pPr>
              <w:pStyle w:val="TableTextCentered"/>
            </w:pPr>
            <w:r w:rsidRPr="00797379">
              <w:t>54</w:t>
            </w:r>
          </w:p>
        </w:tc>
        <w:tc>
          <w:tcPr>
            <w:tcW w:w="1640" w:type="dxa"/>
          </w:tcPr>
          <w:p w14:paraId="45F91960" w14:textId="77777777" w:rsidR="007303EE" w:rsidRPr="00797379" w:rsidRDefault="007303EE" w:rsidP="007D4050">
            <w:pPr>
              <w:pStyle w:val="TableTextCentered"/>
            </w:pPr>
            <w:r w:rsidRPr="00797379">
              <w:t>56</w:t>
            </w:r>
          </w:p>
        </w:tc>
        <w:tc>
          <w:tcPr>
            <w:tcW w:w="1527" w:type="dxa"/>
          </w:tcPr>
          <w:p w14:paraId="004F48A7" w14:textId="77777777" w:rsidR="007303EE" w:rsidRPr="00797379" w:rsidRDefault="007303EE" w:rsidP="007D4050">
            <w:pPr>
              <w:pStyle w:val="TableTextCentered"/>
            </w:pPr>
            <w:r w:rsidRPr="00797379">
              <w:t>58</w:t>
            </w:r>
          </w:p>
        </w:tc>
        <w:tc>
          <w:tcPr>
            <w:tcW w:w="1676" w:type="dxa"/>
          </w:tcPr>
          <w:p w14:paraId="7CA2DACC" w14:textId="77777777" w:rsidR="007303EE" w:rsidRPr="00797379" w:rsidRDefault="007303EE" w:rsidP="007D4050">
            <w:pPr>
              <w:pStyle w:val="TableTextCentered"/>
            </w:pPr>
            <w:r w:rsidRPr="00797379">
              <w:t>50</w:t>
            </w:r>
          </w:p>
        </w:tc>
      </w:tr>
      <w:tr w:rsidR="007303EE" w:rsidRPr="00797379" w14:paraId="55275B29" w14:textId="77777777" w:rsidTr="0034431B">
        <w:tc>
          <w:tcPr>
            <w:tcW w:w="1135" w:type="dxa"/>
            <w:vAlign w:val="center"/>
          </w:tcPr>
          <w:p w14:paraId="2E53F207" w14:textId="77777777" w:rsidR="007303EE" w:rsidRPr="0059750A" w:rsidRDefault="007303EE" w:rsidP="0034431B">
            <w:pPr>
              <w:pStyle w:val="TableSubheading"/>
              <w:jc w:val="center"/>
              <w:rPr>
                <w:rFonts w:asciiTheme="minorHAnsi" w:hAnsiTheme="minorHAnsi"/>
              </w:rPr>
            </w:pPr>
            <w:r w:rsidRPr="0059750A">
              <w:rPr>
                <w:rFonts w:asciiTheme="minorHAnsi" w:hAnsiTheme="minorHAnsi"/>
              </w:rPr>
              <w:t>10</w:t>
            </w:r>
          </w:p>
        </w:tc>
        <w:tc>
          <w:tcPr>
            <w:tcW w:w="1725" w:type="dxa"/>
          </w:tcPr>
          <w:p w14:paraId="6578C19F" w14:textId="77777777" w:rsidR="007303EE" w:rsidRPr="00797379" w:rsidRDefault="007303EE" w:rsidP="007D4050">
            <w:pPr>
              <w:pStyle w:val="TableTextCentered"/>
            </w:pPr>
            <w:r w:rsidRPr="00797379">
              <w:t>309</w:t>
            </w:r>
          </w:p>
        </w:tc>
        <w:tc>
          <w:tcPr>
            <w:tcW w:w="1641" w:type="dxa"/>
          </w:tcPr>
          <w:p w14:paraId="64A8CAC0" w14:textId="77777777" w:rsidR="007303EE" w:rsidRPr="00797379" w:rsidRDefault="007303EE" w:rsidP="007D4050">
            <w:pPr>
              <w:pStyle w:val="TableTextCentered"/>
            </w:pPr>
            <w:r w:rsidRPr="00797379">
              <w:t>58</w:t>
            </w:r>
          </w:p>
        </w:tc>
        <w:tc>
          <w:tcPr>
            <w:tcW w:w="1640" w:type="dxa"/>
          </w:tcPr>
          <w:p w14:paraId="3A77075C" w14:textId="77777777" w:rsidR="007303EE" w:rsidRPr="00797379" w:rsidRDefault="007303EE" w:rsidP="007D4050">
            <w:pPr>
              <w:pStyle w:val="TableTextCentered"/>
            </w:pPr>
            <w:r w:rsidRPr="00797379">
              <w:t>57</w:t>
            </w:r>
          </w:p>
        </w:tc>
        <w:tc>
          <w:tcPr>
            <w:tcW w:w="1527" w:type="dxa"/>
          </w:tcPr>
          <w:p w14:paraId="03622593" w14:textId="77777777" w:rsidR="007303EE" w:rsidRPr="00797379" w:rsidRDefault="007303EE" w:rsidP="007D4050">
            <w:pPr>
              <w:pStyle w:val="TableTextCentered"/>
            </w:pPr>
            <w:r w:rsidRPr="00797379">
              <w:t>58</w:t>
            </w:r>
          </w:p>
        </w:tc>
        <w:tc>
          <w:tcPr>
            <w:tcW w:w="1676" w:type="dxa"/>
          </w:tcPr>
          <w:p w14:paraId="67482103" w14:textId="77777777" w:rsidR="007303EE" w:rsidRPr="00797379" w:rsidRDefault="007303EE" w:rsidP="007D4050">
            <w:pPr>
              <w:pStyle w:val="TableTextCentered"/>
            </w:pPr>
            <w:r w:rsidRPr="00797379">
              <w:t>50</w:t>
            </w:r>
          </w:p>
        </w:tc>
      </w:tr>
    </w:tbl>
    <w:p w14:paraId="15177199" w14:textId="77777777" w:rsidR="007303EE" w:rsidRPr="00797379" w:rsidRDefault="007303EE" w:rsidP="006C2038">
      <w:pPr>
        <w:pStyle w:val="TableETitles"/>
      </w:pPr>
      <w:bookmarkStart w:id="256" w:name="_Toc220933518"/>
      <w:r w:rsidRPr="00797379">
        <w:t>Table E15. MCAS Mathematics Mean Student Growth Percentile by Grade, 2023-2025</w:t>
      </w:r>
      <w:bookmarkEnd w:id="256"/>
    </w:p>
    <w:tbl>
      <w:tblPr>
        <w:tblStyle w:val="MSVTable1"/>
        <w:tblW w:w="5000" w:type="pct"/>
        <w:tblLook w:val="0420" w:firstRow="1" w:lastRow="0" w:firstColumn="0" w:lastColumn="0" w:noHBand="0" w:noVBand="1"/>
      </w:tblPr>
      <w:tblGrid>
        <w:gridCol w:w="1135"/>
        <w:gridCol w:w="1725"/>
        <w:gridCol w:w="1641"/>
        <w:gridCol w:w="1640"/>
        <w:gridCol w:w="1527"/>
        <w:gridCol w:w="1676"/>
      </w:tblGrid>
      <w:tr w:rsidR="007303EE" w:rsidRPr="00797379" w14:paraId="6B66734E" w14:textId="77777777" w:rsidTr="0094024A">
        <w:trPr>
          <w:cnfStyle w:val="100000000000" w:firstRow="1" w:lastRow="0" w:firstColumn="0" w:lastColumn="0" w:oddVBand="0" w:evenVBand="0" w:oddHBand="0" w:evenHBand="0" w:firstRowFirstColumn="0" w:firstRowLastColumn="0" w:lastRowFirstColumn="0" w:lastRowLastColumn="0"/>
          <w:tblHeader/>
        </w:trPr>
        <w:tc>
          <w:tcPr>
            <w:tcW w:w="1135" w:type="dxa"/>
          </w:tcPr>
          <w:p w14:paraId="3F6DABE3" w14:textId="77777777" w:rsidR="007303EE" w:rsidRPr="00797379" w:rsidRDefault="007303EE" w:rsidP="0094024A">
            <w:pPr>
              <w:pStyle w:val="TableColHeadingCenter"/>
            </w:pPr>
            <w:r w:rsidRPr="00797379">
              <w:t>Grade</w:t>
            </w:r>
          </w:p>
        </w:tc>
        <w:tc>
          <w:tcPr>
            <w:tcW w:w="1725" w:type="dxa"/>
          </w:tcPr>
          <w:p w14:paraId="6D67EADE" w14:textId="77777777" w:rsidR="007303EE" w:rsidRPr="00797379" w:rsidRDefault="007303EE" w:rsidP="0094024A">
            <w:pPr>
              <w:pStyle w:val="TableColHeadingCenter"/>
            </w:pPr>
            <w:r w:rsidRPr="00797379">
              <w:t># Included (2025)</w:t>
            </w:r>
          </w:p>
        </w:tc>
        <w:tc>
          <w:tcPr>
            <w:tcW w:w="1641" w:type="dxa"/>
          </w:tcPr>
          <w:p w14:paraId="46AA4AD2" w14:textId="77777777" w:rsidR="007303EE" w:rsidRPr="00797379" w:rsidRDefault="007303EE" w:rsidP="0094024A">
            <w:pPr>
              <w:pStyle w:val="TableColHeadingCenter"/>
            </w:pPr>
            <w:r w:rsidRPr="00797379">
              <w:t>2023</w:t>
            </w:r>
          </w:p>
        </w:tc>
        <w:tc>
          <w:tcPr>
            <w:tcW w:w="1640" w:type="dxa"/>
          </w:tcPr>
          <w:p w14:paraId="0E054404" w14:textId="77777777" w:rsidR="007303EE" w:rsidRPr="00797379" w:rsidRDefault="007303EE" w:rsidP="0094024A">
            <w:pPr>
              <w:pStyle w:val="TableColHeadingCenter"/>
            </w:pPr>
            <w:r w:rsidRPr="00797379">
              <w:t>2024</w:t>
            </w:r>
          </w:p>
        </w:tc>
        <w:tc>
          <w:tcPr>
            <w:tcW w:w="1527" w:type="dxa"/>
          </w:tcPr>
          <w:p w14:paraId="7B0F0C3D" w14:textId="77777777" w:rsidR="007303EE" w:rsidRPr="00797379" w:rsidRDefault="007303EE" w:rsidP="0094024A">
            <w:pPr>
              <w:pStyle w:val="TableColHeadingCenter"/>
            </w:pPr>
            <w:r w:rsidRPr="00797379">
              <w:t>2025</w:t>
            </w:r>
          </w:p>
        </w:tc>
        <w:tc>
          <w:tcPr>
            <w:tcW w:w="1676" w:type="dxa"/>
          </w:tcPr>
          <w:p w14:paraId="0B55889C" w14:textId="77777777" w:rsidR="007303EE" w:rsidRPr="00797379" w:rsidRDefault="007303EE" w:rsidP="0094024A">
            <w:pPr>
              <w:pStyle w:val="TableColHeadingCenter"/>
            </w:pPr>
            <w:r w:rsidRPr="00797379">
              <w:t>State (2025)</w:t>
            </w:r>
          </w:p>
        </w:tc>
      </w:tr>
      <w:tr w:rsidR="007303EE" w:rsidRPr="00797379" w14:paraId="596E6198" w14:textId="77777777" w:rsidTr="0034431B">
        <w:trPr>
          <w:cnfStyle w:val="000000100000" w:firstRow="0" w:lastRow="0" w:firstColumn="0" w:lastColumn="0" w:oddVBand="0" w:evenVBand="0" w:oddHBand="1" w:evenHBand="0" w:firstRowFirstColumn="0" w:firstRowLastColumn="0" w:lastRowFirstColumn="0" w:lastRowLastColumn="0"/>
        </w:trPr>
        <w:tc>
          <w:tcPr>
            <w:tcW w:w="1135" w:type="dxa"/>
            <w:vAlign w:val="center"/>
          </w:tcPr>
          <w:p w14:paraId="54625EBC" w14:textId="77777777" w:rsidR="007303EE" w:rsidRPr="0059750A" w:rsidRDefault="007303EE" w:rsidP="0034431B">
            <w:pPr>
              <w:pStyle w:val="TableSubheading"/>
              <w:jc w:val="center"/>
              <w:rPr>
                <w:rFonts w:asciiTheme="minorHAnsi" w:hAnsiTheme="minorHAnsi"/>
              </w:rPr>
            </w:pPr>
            <w:r w:rsidRPr="0059750A">
              <w:rPr>
                <w:rFonts w:asciiTheme="minorHAnsi" w:hAnsiTheme="minorHAnsi"/>
              </w:rPr>
              <w:t>3</w:t>
            </w:r>
          </w:p>
        </w:tc>
        <w:tc>
          <w:tcPr>
            <w:tcW w:w="1725" w:type="dxa"/>
          </w:tcPr>
          <w:p w14:paraId="5CD9459C" w14:textId="25567D2B" w:rsidR="007303EE" w:rsidRPr="00797379" w:rsidRDefault="00220288" w:rsidP="0094024A">
            <w:pPr>
              <w:pStyle w:val="TableTextCentered"/>
            </w:pPr>
            <w:r>
              <w:t>N/A</w:t>
            </w:r>
          </w:p>
        </w:tc>
        <w:tc>
          <w:tcPr>
            <w:tcW w:w="1641" w:type="dxa"/>
          </w:tcPr>
          <w:p w14:paraId="1650606B" w14:textId="3A3D9E04" w:rsidR="007303EE" w:rsidRPr="00797379" w:rsidRDefault="00220288" w:rsidP="0094024A">
            <w:pPr>
              <w:pStyle w:val="TableTextCentered"/>
            </w:pPr>
            <w:r>
              <w:t>N/A</w:t>
            </w:r>
          </w:p>
        </w:tc>
        <w:tc>
          <w:tcPr>
            <w:tcW w:w="1640" w:type="dxa"/>
          </w:tcPr>
          <w:p w14:paraId="248FAE2F" w14:textId="08F150F7" w:rsidR="007303EE" w:rsidRPr="00797379" w:rsidRDefault="00220288" w:rsidP="0094024A">
            <w:pPr>
              <w:pStyle w:val="TableTextCentered"/>
            </w:pPr>
            <w:r>
              <w:t>N/A</w:t>
            </w:r>
          </w:p>
        </w:tc>
        <w:tc>
          <w:tcPr>
            <w:tcW w:w="1527" w:type="dxa"/>
          </w:tcPr>
          <w:p w14:paraId="3719F53A" w14:textId="3D992E1D" w:rsidR="007303EE" w:rsidRPr="00797379" w:rsidRDefault="00220288" w:rsidP="0094024A">
            <w:pPr>
              <w:pStyle w:val="TableTextCentered"/>
            </w:pPr>
            <w:r>
              <w:t>N/A</w:t>
            </w:r>
          </w:p>
        </w:tc>
        <w:tc>
          <w:tcPr>
            <w:tcW w:w="1676" w:type="dxa"/>
          </w:tcPr>
          <w:p w14:paraId="79E175BA" w14:textId="417D9984" w:rsidR="007303EE" w:rsidRPr="00797379" w:rsidRDefault="00220288" w:rsidP="0094024A">
            <w:pPr>
              <w:pStyle w:val="TableTextCentered"/>
            </w:pPr>
            <w:r>
              <w:t>N/A</w:t>
            </w:r>
          </w:p>
        </w:tc>
      </w:tr>
      <w:tr w:rsidR="007303EE" w:rsidRPr="00797379" w14:paraId="15F2D4DA" w14:textId="77777777" w:rsidTr="0034431B">
        <w:tc>
          <w:tcPr>
            <w:tcW w:w="1135" w:type="dxa"/>
            <w:vAlign w:val="center"/>
          </w:tcPr>
          <w:p w14:paraId="7AA2FC53" w14:textId="77777777" w:rsidR="007303EE" w:rsidRPr="0059750A" w:rsidRDefault="007303EE" w:rsidP="0034431B">
            <w:pPr>
              <w:pStyle w:val="TableSubheading"/>
              <w:jc w:val="center"/>
              <w:rPr>
                <w:rFonts w:asciiTheme="minorHAnsi" w:hAnsiTheme="minorHAnsi"/>
              </w:rPr>
            </w:pPr>
            <w:r w:rsidRPr="0059750A">
              <w:rPr>
                <w:rFonts w:asciiTheme="minorHAnsi" w:hAnsiTheme="minorHAnsi"/>
              </w:rPr>
              <w:t>4</w:t>
            </w:r>
          </w:p>
        </w:tc>
        <w:tc>
          <w:tcPr>
            <w:tcW w:w="1725" w:type="dxa"/>
          </w:tcPr>
          <w:p w14:paraId="59B702DF" w14:textId="77777777" w:rsidR="007303EE" w:rsidRPr="00797379" w:rsidRDefault="007303EE" w:rsidP="0094024A">
            <w:pPr>
              <w:pStyle w:val="TableTextCentered"/>
            </w:pPr>
            <w:r w:rsidRPr="00797379">
              <w:t>278</w:t>
            </w:r>
          </w:p>
        </w:tc>
        <w:tc>
          <w:tcPr>
            <w:tcW w:w="1641" w:type="dxa"/>
          </w:tcPr>
          <w:p w14:paraId="5CF615A1" w14:textId="77777777" w:rsidR="007303EE" w:rsidRPr="00797379" w:rsidRDefault="007303EE" w:rsidP="0094024A">
            <w:pPr>
              <w:pStyle w:val="TableTextCentered"/>
            </w:pPr>
            <w:r w:rsidRPr="00797379">
              <w:t>54</w:t>
            </w:r>
          </w:p>
        </w:tc>
        <w:tc>
          <w:tcPr>
            <w:tcW w:w="1640" w:type="dxa"/>
          </w:tcPr>
          <w:p w14:paraId="67A89B8D" w14:textId="77777777" w:rsidR="007303EE" w:rsidRPr="00797379" w:rsidRDefault="007303EE" w:rsidP="0094024A">
            <w:pPr>
              <w:pStyle w:val="TableTextCentered"/>
            </w:pPr>
            <w:r w:rsidRPr="00797379">
              <w:t>50</w:t>
            </w:r>
          </w:p>
        </w:tc>
        <w:tc>
          <w:tcPr>
            <w:tcW w:w="1527" w:type="dxa"/>
          </w:tcPr>
          <w:p w14:paraId="4A6456CD" w14:textId="77777777" w:rsidR="007303EE" w:rsidRPr="00797379" w:rsidRDefault="007303EE" w:rsidP="0094024A">
            <w:pPr>
              <w:pStyle w:val="TableTextCentered"/>
            </w:pPr>
            <w:r w:rsidRPr="00797379">
              <w:t>54</w:t>
            </w:r>
          </w:p>
        </w:tc>
        <w:tc>
          <w:tcPr>
            <w:tcW w:w="1676" w:type="dxa"/>
          </w:tcPr>
          <w:p w14:paraId="0662C381" w14:textId="77777777" w:rsidR="007303EE" w:rsidRPr="00797379" w:rsidRDefault="007303EE" w:rsidP="0094024A">
            <w:pPr>
              <w:pStyle w:val="TableTextCentered"/>
            </w:pPr>
            <w:r w:rsidRPr="00797379">
              <w:t>50</w:t>
            </w:r>
          </w:p>
        </w:tc>
      </w:tr>
      <w:tr w:rsidR="007303EE" w:rsidRPr="00797379" w14:paraId="27B5C74F" w14:textId="77777777" w:rsidTr="0034431B">
        <w:trPr>
          <w:cnfStyle w:val="000000100000" w:firstRow="0" w:lastRow="0" w:firstColumn="0" w:lastColumn="0" w:oddVBand="0" w:evenVBand="0" w:oddHBand="1" w:evenHBand="0" w:firstRowFirstColumn="0" w:firstRowLastColumn="0" w:lastRowFirstColumn="0" w:lastRowLastColumn="0"/>
        </w:trPr>
        <w:tc>
          <w:tcPr>
            <w:tcW w:w="1135" w:type="dxa"/>
            <w:vAlign w:val="center"/>
          </w:tcPr>
          <w:p w14:paraId="1FDC7063" w14:textId="77777777" w:rsidR="007303EE" w:rsidRPr="0059750A" w:rsidRDefault="007303EE" w:rsidP="0034431B">
            <w:pPr>
              <w:pStyle w:val="TableSubheading"/>
              <w:jc w:val="center"/>
              <w:rPr>
                <w:rFonts w:asciiTheme="minorHAnsi" w:hAnsiTheme="minorHAnsi"/>
              </w:rPr>
            </w:pPr>
            <w:r w:rsidRPr="0059750A">
              <w:rPr>
                <w:rFonts w:asciiTheme="minorHAnsi" w:hAnsiTheme="minorHAnsi"/>
              </w:rPr>
              <w:t>5</w:t>
            </w:r>
          </w:p>
        </w:tc>
        <w:tc>
          <w:tcPr>
            <w:tcW w:w="1725" w:type="dxa"/>
          </w:tcPr>
          <w:p w14:paraId="66D03A7D" w14:textId="77777777" w:rsidR="007303EE" w:rsidRPr="00797379" w:rsidRDefault="007303EE" w:rsidP="0094024A">
            <w:pPr>
              <w:pStyle w:val="TableTextCentered"/>
            </w:pPr>
            <w:r w:rsidRPr="00797379">
              <w:t>356</w:t>
            </w:r>
          </w:p>
        </w:tc>
        <w:tc>
          <w:tcPr>
            <w:tcW w:w="1641" w:type="dxa"/>
          </w:tcPr>
          <w:p w14:paraId="5D60B3E9" w14:textId="77777777" w:rsidR="007303EE" w:rsidRPr="00797379" w:rsidRDefault="007303EE" w:rsidP="0094024A">
            <w:pPr>
              <w:pStyle w:val="TableTextCentered"/>
            </w:pPr>
            <w:r w:rsidRPr="00797379">
              <w:t>64</w:t>
            </w:r>
          </w:p>
        </w:tc>
        <w:tc>
          <w:tcPr>
            <w:tcW w:w="1640" w:type="dxa"/>
          </w:tcPr>
          <w:p w14:paraId="61E2DE10" w14:textId="77777777" w:rsidR="007303EE" w:rsidRPr="00797379" w:rsidRDefault="007303EE" w:rsidP="0094024A">
            <w:pPr>
              <w:pStyle w:val="TableTextCentered"/>
            </w:pPr>
            <w:r w:rsidRPr="00797379">
              <w:t>67</w:t>
            </w:r>
          </w:p>
        </w:tc>
        <w:tc>
          <w:tcPr>
            <w:tcW w:w="1527" w:type="dxa"/>
          </w:tcPr>
          <w:p w14:paraId="576E05A5" w14:textId="77777777" w:rsidR="007303EE" w:rsidRPr="00797379" w:rsidRDefault="007303EE" w:rsidP="0094024A">
            <w:pPr>
              <w:pStyle w:val="TableTextCentered"/>
            </w:pPr>
            <w:r w:rsidRPr="00797379">
              <w:t>68</w:t>
            </w:r>
          </w:p>
        </w:tc>
        <w:tc>
          <w:tcPr>
            <w:tcW w:w="1676" w:type="dxa"/>
          </w:tcPr>
          <w:p w14:paraId="32DB721E" w14:textId="77777777" w:rsidR="007303EE" w:rsidRPr="00797379" w:rsidRDefault="007303EE" w:rsidP="0094024A">
            <w:pPr>
              <w:pStyle w:val="TableTextCentered"/>
            </w:pPr>
            <w:r w:rsidRPr="00797379">
              <w:t>50</w:t>
            </w:r>
          </w:p>
        </w:tc>
      </w:tr>
      <w:tr w:rsidR="007303EE" w:rsidRPr="00797379" w14:paraId="3C79FE6C" w14:textId="77777777" w:rsidTr="0034431B">
        <w:tc>
          <w:tcPr>
            <w:tcW w:w="1135" w:type="dxa"/>
            <w:vAlign w:val="center"/>
          </w:tcPr>
          <w:p w14:paraId="03ABF672" w14:textId="77777777" w:rsidR="007303EE" w:rsidRPr="0059750A" w:rsidRDefault="007303EE" w:rsidP="0034431B">
            <w:pPr>
              <w:pStyle w:val="TableSubheading"/>
              <w:jc w:val="center"/>
              <w:rPr>
                <w:rFonts w:asciiTheme="minorHAnsi" w:hAnsiTheme="minorHAnsi"/>
              </w:rPr>
            </w:pPr>
            <w:r w:rsidRPr="0059750A">
              <w:rPr>
                <w:rFonts w:asciiTheme="minorHAnsi" w:hAnsiTheme="minorHAnsi"/>
              </w:rPr>
              <w:t>6</w:t>
            </w:r>
          </w:p>
        </w:tc>
        <w:tc>
          <w:tcPr>
            <w:tcW w:w="1725" w:type="dxa"/>
          </w:tcPr>
          <w:p w14:paraId="771A3799" w14:textId="77777777" w:rsidR="007303EE" w:rsidRPr="00797379" w:rsidRDefault="007303EE" w:rsidP="0094024A">
            <w:pPr>
              <w:pStyle w:val="TableTextCentered"/>
            </w:pPr>
            <w:r w:rsidRPr="00797379">
              <w:t>327</w:t>
            </w:r>
          </w:p>
        </w:tc>
        <w:tc>
          <w:tcPr>
            <w:tcW w:w="1641" w:type="dxa"/>
          </w:tcPr>
          <w:p w14:paraId="43D3CDA9" w14:textId="77777777" w:rsidR="007303EE" w:rsidRPr="00797379" w:rsidRDefault="007303EE" w:rsidP="0094024A">
            <w:pPr>
              <w:pStyle w:val="TableTextCentered"/>
            </w:pPr>
            <w:r w:rsidRPr="00797379">
              <w:t>46</w:t>
            </w:r>
          </w:p>
        </w:tc>
        <w:tc>
          <w:tcPr>
            <w:tcW w:w="1640" w:type="dxa"/>
          </w:tcPr>
          <w:p w14:paraId="2F85A795" w14:textId="77777777" w:rsidR="007303EE" w:rsidRPr="00797379" w:rsidRDefault="007303EE" w:rsidP="0094024A">
            <w:pPr>
              <w:pStyle w:val="TableTextCentered"/>
            </w:pPr>
            <w:r w:rsidRPr="00797379">
              <w:t>53</w:t>
            </w:r>
          </w:p>
        </w:tc>
        <w:tc>
          <w:tcPr>
            <w:tcW w:w="1527" w:type="dxa"/>
          </w:tcPr>
          <w:p w14:paraId="357ADB24" w14:textId="77777777" w:rsidR="007303EE" w:rsidRPr="00797379" w:rsidRDefault="007303EE" w:rsidP="0094024A">
            <w:pPr>
              <w:pStyle w:val="TableTextCentered"/>
            </w:pPr>
            <w:r w:rsidRPr="00797379">
              <w:t>50</w:t>
            </w:r>
          </w:p>
        </w:tc>
        <w:tc>
          <w:tcPr>
            <w:tcW w:w="1676" w:type="dxa"/>
          </w:tcPr>
          <w:p w14:paraId="4535D004" w14:textId="77777777" w:rsidR="007303EE" w:rsidRPr="00797379" w:rsidRDefault="007303EE" w:rsidP="0094024A">
            <w:pPr>
              <w:pStyle w:val="TableTextCentered"/>
            </w:pPr>
            <w:r w:rsidRPr="00797379">
              <w:t>50</w:t>
            </w:r>
          </w:p>
        </w:tc>
      </w:tr>
      <w:tr w:rsidR="007303EE" w:rsidRPr="00797379" w14:paraId="107E8F6E" w14:textId="77777777" w:rsidTr="0034431B">
        <w:trPr>
          <w:cnfStyle w:val="000000100000" w:firstRow="0" w:lastRow="0" w:firstColumn="0" w:lastColumn="0" w:oddVBand="0" w:evenVBand="0" w:oddHBand="1" w:evenHBand="0" w:firstRowFirstColumn="0" w:firstRowLastColumn="0" w:lastRowFirstColumn="0" w:lastRowLastColumn="0"/>
        </w:trPr>
        <w:tc>
          <w:tcPr>
            <w:tcW w:w="1135" w:type="dxa"/>
            <w:vAlign w:val="center"/>
          </w:tcPr>
          <w:p w14:paraId="2F224E53" w14:textId="77777777" w:rsidR="007303EE" w:rsidRPr="0059750A" w:rsidRDefault="007303EE" w:rsidP="0034431B">
            <w:pPr>
              <w:pStyle w:val="TableSubheading"/>
              <w:jc w:val="center"/>
              <w:rPr>
                <w:rFonts w:asciiTheme="minorHAnsi" w:hAnsiTheme="minorHAnsi"/>
              </w:rPr>
            </w:pPr>
            <w:r w:rsidRPr="0059750A">
              <w:rPr>
                <w:rFonts w:asciiTheme="minorHAnsi" w:hAnsiTheme="minorHAnsi"/>
              </w:rPr>
              <w:t>7</w:t>
            </w:r>
          </w:p>
        </w:tc>
        <w:tc>
          <w:tcPr>
            <w:tcW w:w="1725" w:type="dxa"/>
          </w:tcPr>
          <w:p w14:paraId="52239EDE" w14:textId="77777777" w:rsidR="007303EE" w:rsidRPr="00797379" w:rsidRDefault="007303EE" w:rsidP="0094024A">
            <w:pPr>
              <w:pStyle w:val="TableTextCentered"/>
            </w:pPr>
            <w:r w:rsidRPr="00797379">
              <w:t>325</w:t>
            </w:r>
          </w:p>
        </w:tc>
        <w:tc>
          <w:tcPr>
            <w:tcW w:w="1641" w:type="dxa"/>
          </w:tcPr>
          <w:p w14:paraId="3B9286E3" w14:textId="77777777" w:rsidR="007303EE" w:rsidRPr="00797379" w:rsidRDefault="007303EE" w:rsidP="0094024A">
            <w:pPr>
              <w:pStyle w:val="TableTextCentered"/>
            </w:pPr>
            <w:r w:rsidRPr="00797379">
              <w:t>52</w:t>
            </w:r>
          </w:p>
        </w:tc>
        <w:tc>
          <w:tcPr>
            <w:tcW w:w="1640" w:type="dxa"/>
          </w:tcPr>
          <w:p w14:paraId="7F4D7CF1" w14:textId="77777777" w:rsidR="007303EE" w:rsidRPr="00797379" w:rsidRDefault="007303EE" w:rsidP="0094024A">
            <w:pPr>
              <w:pStyle w:val="TableTextCentered"/>
            </w:pPr>
            <w:r w:rsidRPr="00797379">
              <w:t>49</w:t>
            </w:r>
          </w:p>
        </w:tc>
        <w:tc>
          <w:tcPr>
            <w:tcW w:w="1527" w:type="dxa"/>
          </w:tcPr>
          <w:p w14:paraId="5ABF1885" w14:textId="77777777" w:rsidR="007303EE" w:rsidRPr="00797379" w:rsidRDefault="007303EE" w:rsidP="0094024A">
            <w:pPr>
              <w:pStyle w:val="TableTextCentered"/>
            </w:pPr>
            <w:r w:rsidRPr="00797379">
              <w:t>56</w:t>
            </w:r>
          </w:p>
        </w:tc>
        <w:tc>
          <w:tcPr>
            <w:tcW w:w="1676" w:type="dxa"/>
          </w:tcPr>
          <w:p w14:paraId="701C809A" w14:textId="77777777" w:rsidR="007303EE" w:rsidRPr="00797379" w:rsidRDefault="007303EE" w:rsidP="0094024A">
            <w:pPr>
              <w:pStyle w:val="TableTextCentered"/>
            </w:pPr>
            <w:r w:rsidRPr="00797379">
              <w:t>50</w:t>
            </w:r>
          </w:p>
        </w:tc>
      </w:tr>
      <w:tr w:rsidR="007303EE" w:rsidRPr="00797379" w14:paraId="742E805D" w14:textId="77777777" w:rsidTr="0034431B">
        <w:tc>
          <w:tcPr>
            <w:tcW w:w="1135" w:type="dxa"/>
            <w:vAlign w:val="center"/>
          </w:tcPr>
          <w:p w14:paraId="62512F9F" w14:textId="77777777" w:rsidR="007303EE" w:rsidRPr="0059750A" w:rsidRDefault="007303EE" w:rsidP="0034431B">
            <w:pPr>
              <w:pStyle w:val="TableSubheading"/>
              <w:jc w:val="center"/>
              <w:rPr>
                <w:rFonts w:asciiTheme="minorHAnsi" w:hAnsiTheme="minorHAnsi"/>
              </w:rPr>
            </w:pPr>
            <w:r w:rsidRPr="0059750A">
              <w:rPr>
                <w:rFonts w:asciiTheme="minorHAnsi" w:hAnsiTheme="minorHAnsi"/>
              </w:rPr>
              <w:t>8</w:t>
            </w:r>
          </w:p>
        </w:tc>
        <w:tc>
          <w:tcPr>
            <w:tcW w:w="1725" w:type="dxa"/>
          </w:tcPr>
          <w:p w14:paraId="5F9CDD99" w14:textId="77777777" w:rsidR="007303EE" w:rsidRPr="00797379" w:rsidRDefault="007303EE" w:rsidP="0094024A">
            <w:pPr>
              <w:pStyle w:val="TableTextCentered"/>
            </w:pPr>
            <w:r w:rsidRPr="00797379">
              <w:t>326</w:t>
            </w:r>
          </w:p>
        </w:tc>
        <w:tc>
          <w:tcPr>
            <w:tcW w:w="1641" w:type="dxa"/>
          </w:tcPr>
          <w:p w14:paraId="1FEE1392" w14:textId="77777777" w:rsidR="007303EE" w:rsidRPr="00797379" w:rsidRDefault="007303EE" w:rsidP="0094024A">
            <w:pPr>
              <w:pStyle w:val="TableTextCentered"/>
            </w:pPr>
            <w:r w:rsidRPr="00797379">
              <w:t>64</w:t>
            </w:r>
          </w:p>
        </w:tc>
        <w:tc>
          <w:tcPr>
            <w:tcW w:w="1640" w:type="dxa"/>
          </w:tcPr>
          <w:p w14:paraId="0B718B7A" w14:textId="77777777" w:rsidR="007303EE" w:rsidRPr="00797379" w:rsidRDefault="007303EE" w:rsidP="0094024A">
            <w:pPr>
              <w:pStyle w:val="TableTextCentered"/>
            </w:pPr>
            <w:r w:rsidRPr="00797379">
              <w:t>69</w:t>
            </w:r>
          </w:p>
        </w:tc>
        <w:tc>
          <w:tcPr>
            <w:tcW w:w="1527" w:type="dxa"/>
          </w:tcPr>
          <w:p w14:paraId="1E008D15" w14:textId="77777777" w:rsidR="007303EE" w:rsidRPr="00797379" w:rsidRDefault="007303EE" w:rsidP="0094024A">
            <w:pPr>
              <w:pStyle w:val="TableTextCentered"/>
            </w:pPr>
            <w:r w:rsidRPr="00797379">
              <w:t>71</w:t>
            </w:r>
          </w:p>
        </w:tc>
        <w:tc>
          <w:tcPr>
            <w:tcW w:w="1676" w:type="dxa"/>
          </w:tcPr>
          <w:p w14:paraId="1631163B" w14:textId="77777777" w:rsidR="007303EE" w:rsidRPr="00797379" w:rsidRDefault="007303EE" w:rsidP="0094024A">
            <w:pPr>
              <w:pStyle w:val="TableTextCentered"/>
            </w:pPr>
            <w:r w:rsidRPr="00797379">
              <w:t>50</w:t>
            </w:r>
          </w:p>
        </w:tc>
      </w:tr>
      <w:tr w:rsidR="007303EE" w:rsidRPr="00797379" w14:paraId="7E9B978E" w14:textId="77777777" w:rsidTr="0034431B">
        <w:trPr>
          <w:cnfStyle w:val="000000100000" w:firstRow="0" w:lastRow="0" w:firstColumn="0" w:lastColumn="0" w:oddVBand="0" w:evenVBand="0" w:oddHBand="1" w:evenHBand="0" w:firstRowFirstColumn="0" w:firstRowLastColumn="0" w:lastRowFirstColumn="0" w:lastRowLastColumn="0"/>
          <w:trHeight w:val="80"/>
        </w:trPr>
        <w:tc>
          <w:tcPr>
            <w:tcW w:w="1135" w:type="dxa"/>
            <w:vAlign w:val="center"/>
          </w:tcPr>
          <w:p w14:paraId="36FF730F" w14:textId="77777777" w:rsidR="007303EE" w:rsidRPr="0059750A" w:rsidRDefault="007303EE" w:rsidP="0034431B">
            <w:pPr>
              <w:pStyle w:val="TableSubheading"/>
              <w:jc w:val="center"/>
              <w:rPr>
                <w:rFonts w:asciiTheme="minorHAnsi" w:hAnsiTheme="minorHAnsi"/>
              </w:rPr>
            </w:pPr>
            <w:r w:rsidRPr="0059750A">
              <w:rPr>
                <w:rFonts w:asciiTheme="minorHAnsi" w:hAnsiTheme="minorHAnsi"/>
              </w:rPr>
              <w:t>3-8</w:t>
            </w:r>
          </w:p>
        </w:tc>
        <w:tc>
          <w:tcPr>
            <w:tcW w:w="1725" w:type="dxa"/>
          </w:tcPr>
          <w:p w14:paraId="00EDE949" w14:textId="77777777" w:rsidR="007303EE" w:rsidRPr="00797379" w:rsidRDefault="007303EE" w:rsidP="0094024A">
            <w:pPr>
              <w:pStyle w:val="TableTextCentered"/>
            </w:pPr>
            <w:r w:rsidRPr="00797379">
              <w:t>1,612</w:t>
            </w:r>
          </w:p>
        </w:tc>
        <w:tc>
          <w:tcPr>
            <w:tcW w:w="1641" w:type="dxa"/>
          </w:tcPr>
          <w:p w14:paraId="421B3909" w14:textId="77777777" w:rsidR="007303EE" w:rsidRPr="00797379" w:rsidRDefault="007303EE" w:rsidP="0094024A">
            <w:pPr>
              <w:pStyle w:val="TableTextCentered"/>
            </w:pPr>
            <w:r w:rsidRPr="00797379">
              <w:t>56</w:t>
            </w:r>
          </w:p>
        </w:tc>
        <w:tc>
          <w:tcPr>
            <w:tcW w:w="1640" w:type="dxa"/>
          </w:tcPr>
          <w:p w14:paraId="2967EBDC" w14:textId="77777777" w:rsidR="007303EE" w:rsidRPr="00797379" w:rsidRDefault="007303EE" w:rsidP="0094024A">
            <w:pPr>
              <w:pStyle w:val="TableTextCentered"/>
            </w:pPr>
            <w:r w:rsidRPr="00797379">
              <w:t>58</w:t>
            </w:r>
          </w:p>
        </w:tc>
        <w:tc>
          <w:tcPr>
            <w:tcW w:w="1527" w:type="dxa"/>
          </w:tcPr>
          <w:p w14:paraId="12D010D8" w14:textId="77777777" w:rsidR="007303EE" w:rsidRPr="00797379" w:rsidRDefault="007303EE" w:rsidP="0094024A">
            <w:pPr>
              <w:pStyle w:val="TableTextCentered"/>
            </w:pPr>
            <w:r w:rsidRPr="00797379">
              <w:t>60</w:t>
            </w:r>
          </w:p>
        </w:tc>
        <w:tc>
          <w:tcPr>
            <w:tcW w:w="1676" w:type="dxa"/>
          </w:tcPr>
          <w:p w14:paraId="5322F19B" w14:textId="77777777" w:rsidR="007303EE" w:rsidRPr="00797379" w:rsidRDefault="007303EE" w:rsidP="0094024A">
            <w:pPr>
              <w:pStyle w:val="TableTextCentered"/>
            </w:pPr>
            <w:r w:rsidRPr="00797379">
              <w:t>50</w:t>
            </w:r>
          </w:p>
        </w:tc>
      </w:tr>
      <w:tr w:rsidR="007303EE" w:rsidRPr="00797379" w14:paraId="7C038F52" w14:textId="77777777" w:rsidTr="0034431B">
        <w:tc>
          <w:tcPr>
            <w:tcW w:w="1135" w:type="dxa"/>
            <w:vAlign w:val="center"/>
          </w:tcPr>
          <w:p w14:paraId="32121108" w14:textId="77777777" w:rsidR="007303EE" w:rsidRPr="0059750A" w:rsidRDefault="007303EE" w:rsidP="0034431B">
            <w:pPr>
              <w:pStyle w:val="TableSubheading"/>
              <w:jc w:val="center"/>
              <w:rPr>
                <w:rFonts w:asciiTheme="minorHAnsi" w:hAnsiTheme="minorHAnsi"/>
              </w:rPr>
            </w:pPr>
            <w:r w:rsidRPr="0059750A">
              <w:rPr>
                <w:rFonts w:asciiTheme="minorHAnsi" w:hAnsiTheme="minorHAnsi"/>
              </w:rPr>
              <w:t>10</w:t>
            </w:r>
          </w:p>
        </w:tc>
        <w:tc>
          <w:tcPr>
            <w:tcW w:w="1725" w:type="dxa"/>
          </w:tcPr>
          <w:p w14:paraId="7A242FDA" w14:textId="77777777" w:rsidR="007303EE" w:rsidRPr="00797379" w:rsidRDefault="007303EE" w:rsidP="0094024A">
            <w:pPr>
              <w:pStyle w:val="TableTextCentered"/>
            </w:pPr>
            <w:r w:rsidRPr="00797379">
              <w:t>307</w:t>
            </w:r>
          </w:p>
        </w:tc>
        <w:tc>
          <w:tcPr>
            <w:tcW w:w="1641" w:type="dxa"/>
          </w:tcPr>
          <w:p w14:paraId="594CB721" w14:textId="77777777" w:rsidR="007303EE" w:rsidRPr="00797379" w:rsidRDefault="007303EE" w:rsidP="0094024A">
            <w:pPr>
              <w:pStyle w:val="TableTextCentered"/>
            </w:pPr>
            <w:r w:rsidRPr="00797379">
              <w:t>67</w:t>
            </w:r>
          </w:p>
        </w:tc>
        <w:tc>
          <w:tcPr>
            <w:tcW w:w="1640" w:type="dxa"/>
          </w:tcPr>
          <w:p w14:paraId="6F1A4D6B" w14:textId="77777777" w:rsidR="007303EE" w:rsidRPr="00797379" w:rsidRDefault="007303EE" w:rsidP="0094024A">
            <w:pPr>
              <w:pStyle w:val="TableTextCentered"/>
            </w:pPr>
            <w:r w:rsidRPr="00797379">
              <w:t>65</w:t>
            </w:r>
          </w:p>
        </w:tc>
        <w:tc>
          <w:tcPr>
            <w:tcW w:w="1527" w:type="dxa"/>
          </w:tcPr>
          <w:p w14:paraId="5F18F94E" w14:textId="77777777" w:rsidR="007303EE" w:rsidRPr="00797379" w:rsidRDefault="007303EE" w:rsidP="0094024A">
            <w:pPr>
              <w:pStyle w:val="TableTextCentered"/>
            </w:pPr>
            <w:r w:rsidRPr="00797379">
              <w:t>62</w:t>
            </w:r>
          </w:p>
        </w:tc>
        <w:tc>
          <w:tcPr>
            <w:tcW w:w="1676" w:type="dxa"/>
          </w:tcPr>
          <w:p w14:paraId="5C2113DB" w14:textId="77777777" w:rsidR="007303EE" w:rsidRPr="00797379" w:rsidRDefault="007303EE" w:rsidP="0094024A">
            <w:pPr>
              <w:pStyle w:val="TableTextCentered"/>
            </w:pPr>
            <w:r w:rsidRPr="00797379">
              <w:t>50</w:t>
            </w:r>
          </w:p>
        </w:tc>
      </w:tr>
    </w:tbl>
    <w:p w14:paraId="668AD784" w14:textId="77777777" w:rsidR="007303EE" w:rsidRPr="00797379" w:rsidRDefault="007303EE" w:rsidP="006C2038">
      <w:pPr>
        <w:pStyle w:val="TableETitles"/>
      </w:pPr>
      <w:bookmarkStart w:id="257" w:name="_Toc220933519"/>
      <w:r w:rsidRPr="00797379">
        <w:t>Table E16. Four-Year Cohort Graduation Rates by Student Group, 2022-2024</w:t>
      </w:r>
      <w:bookmarkEnd w:id="257"/>
    </w:p>
    <w:tbl>
      <w:tblPr>
        <w:tblStyle w:val="MSVTable1"/>
        <w:tblW w:w="5000" w:type="pct"/>
        <w:tblLook w:val="0420" w:firstRow="1" w:lastRow="0" w:firstColumn="0" w:lastColumn="0" w:noHBand="0" w:noVBand="1"/>
      </w:tblPr>
      <w:tblGrid>
        <w:gridCol w:w="3586"/>
        <w:gridCol w:w="1151"/>
        <w:gridCol w:w="1152"/>
        <w:gridCol w:w="1151"/>
        <w:gridCol w:w="1152"/>
        <w:gridCol w:w="1152"/>
      </w:tblGrid>
      <w:tr w:rsidR="007303EE" w:rsidRPr="00797379" w14:paraId="3B282548" w14:textId="77777777" w:rsidTr="0034431B">
        <w:trPr>
          <w:cnfStyle w:val="100000000000" w:firstRow="1" w:lastRow="0" w:firstColumn="0" w:lastColumn="0" w:oddVBand="0" w:evenVBand="0" w:oddHBand="0" w:evenHBand="0" w:firstRowFirstColumn="0" w:firstRowLastColumn="0" w:lastRowFirstColumn="0" w:lastRowLastColumn="0"/>
          <w:tblHeader/>
        </w:trPr>
        <w:tc>
          <w:tcPr>
            <w:tcW w:w="3586" w:type="dxa"/>
            <w:vAlign w:val="center"/>
          </w:tcPr>
          <w:p w14:paraId="777ACF26" w14:textId="77777777" w:rsidR="007303EE" w:rsidRPr="00797379" w:rsidRDefault="007303EE" w:rsidP="0094024A">
            <w:pPr>
              <w:pStyle w:val="TableColHeadingCenter"/>
            </w:pPr>
            <w:r w:rsidRPr="00797379">
              <w:t>Group</w:t>
            </w:r>
          </w:p>
        </w:tc>
        <w:tc>
          <w:tcPr>
            <w:tcW w:w="1151" w:type="dxa"/>
            <w:vAlign w:val="center"/>
          </w:tcPr>
          <w:p w14:paraId="3D69C9BC" w14:textId="77777777" w:rsidR="007303EE" w:rsidRPr="00797379" w:rsidRDefault="007303EE" w:rsidP="0094024A">
            <w:pPr>
              <w:pStyle w:val="TableColHeadingCenter"/>
            </w:pPr>
            <w:r w:rsidRPr="00797379">
              <w:t># Included (2024)</w:t>
            </w:r>
          </w:p>
        </w:tc>
        <w:tc>
          <w:tcPr>
            <w:tcW w:w="1152" w:type="dxa"/>
            <w:vAlign w:val="center"/>
          </w:tcPr>
          <w:p w14:paraId="1E6CFE8D" w14:textId="77777777" w:rsidR="007303EE" w:rsidRPr="00797379" w:rsidRDefault="007303EE" w:rsidP="0094024A">
            <w:pPr>
              <w:pStyle w:val="TableColHeadingCenter"/>
            </w:pPr>
            <w:r w:rsidRPr="00797379">
              <w:t>2022</w:t>
            </w:r>
          </w:p>
        </w:tc>
        <w:tc>
          <w:tcPr>
            <w:tcW w:w="1151" w:type="dxa"/>
            <w:vAlign w:val="center"/>
          </w:tcPr>
          <w:p w14:paraId="566E251D" w14:textId="77777777" w:rsidR="007303EE" w:rsidRPr="00797379" w:rsidRDefault="007303EE" w:rsidP="0094024A">
            <w:pPr>
              <w:pStyle w:val="TableColHeadingCenter"/>
            </w:pPr>
            <w:r w:rsidRPr="00797379">
              <w:t>2023</w:t>
            </w:r>
          </w:p>
        </w:tc>
        <w:tc>
          <w:tcPr>
            <w:tcW w:w="1152" w:type="dxa"/>
            <w:vAlign w:val="center"/>
          </w:tcPr>
          <w:p w14:paraId="5A92A4B9" w14:textId="77777777" w:rsidR="007303EE" w:rsidRPr="00797379" w:rsidRDefault="007303EE" w:rsidP="0094024A">
            <w:pPr>
              <w:pStyle w:val="TableColHeadingCenter"/>
            </w:pPr>
            <w:r w:rsidRPr="00797379">
              <w:t>2024</w:t>
            </w:r>
          </w:p>
        </w:tc>
        <w:tc>
          <w:tcPr>
            <w:tcW w:w="1152" w:type="dxa"/>
            <w:vAlign w:val="center"/>
          </w:tcPr>
          <w:p w14:paraId="46C62938" w14:textId="77777777" w:rsidR="007303EE" w:rsidRPr="00797379" w:rsidRDefault="007303EE" w:rsidP="0094024A">
            <w:pPr>
              <w:pStyle w:val="TableColHeadingCenter"/>
            </w:pPr>
            <w:r w:rsidRPr="00797379">
              <w:t>State (2024)</w:t>
            </w:r>
          </w:p>
        </w:tc>
      </w:tr>
      <w:tr w:rsidR="007303EE" w:rsidRPr="00797379" w14:paraId="6B4D7B1B" w14:textId="77777777" w:rsidTr="0094024A">
        <w:trPr>
          <w:cnfStyle w:val="000000100000" w:firstRow="0" w:lastRow="0" w:firstColumn="0" w:lastColumn="0" w:oddVBand="0" w:evenVBand="0" w:oddHBand="1" w:evenHBand="0" w:firstRowFirstColumn="0" w:firstRowLastColumn="0" w:lastRowFirstColumn="0" w:lastRowLastColumn="0"/>
        </w:trPr>
        <w:tc>
          <w:tcPr>
            <w:tcW w:w="3586" w:type="dxa"/>
          </w:tcPr>
          <w:p w14:paraId="0E2B1021" w14:textId="77777777" w:rsidR="007303EE" w:rsidRPr="0059750A" w:rsidRDefault="007303EE" w:rsidP="0094024A">
            <w:pPr>
              <w:pStyle w:val="TableSubheading"/>
              <w:rPr>
                <w:rFonts w:asciiTheme="minorHAnsi" w:hAnsiTheme="minorHAnsi"/>
              </w:rPr>
            </w:pPr>
            <w:r w:rsidRPr="0059750A">
              <w:rPr>
                <w:rFonts w:asciiTheme="minorHAnsi" w:hAnsiTheme="minorHAnsi"/>
              </w:rPr>
              <w:t>All Students</w:t>
            </w:r>
          </w:p>
        </w:tc>
        <w:tc>
          <w:tcPr>
            <w:tcW w:w="1151" w:type="dxa"/>
          </w:tcPr>
          <w:p w14:paraId="251674B7" w14:textId="77777777" w:rsidR="007303EE" w:rsidRPr="00797379" w:rsidRDefault="007303EE" w:rsidP="0094024A">
            <w:pPr>
              <w:pStyle w:val="TableTextCentered"/>
            </w:pPr>
            <w:r w:rsidRPr="00797379">
              <w:t>360</w:t>
            </w:r>
          </w:p>
        </w:tc>
        <w:tc>
          <w:tcPr>
            <w:tcW w:w="1152" w:type="dxa"/>
          </w:tcPr>
          <w:p w14:paraId="69886931" w14:textId="77777777" w:rsidR="007303EE" w:rsidRPr="00797379" w:rsidRDefault="007303EE" w:rsidP="0094024A">
            <w:pPr>
              <w:pStyle w:val="TableTextCentered"/>
            </w:pPr>
            <w:r w:rsidRPr="00797379">
              <w:t>93.8</w:t>
            </w:r>
          </w:p>
        </w:tc>
        <w:tc>
          <w:tcPr>
            <w:tcW w:w="1151" w:type="dxa"/>
          </w:tcPr>
          <w:p w14:paraId="31387F67" w14:textId="77777777" w:rsidR="007303EE" w:rsidRPr="00797379" w:rsidRDefault="007303EE" w:rsidP="0094024A">
            <w:pPr>
              <w:pStyle w:val="TableTextCentered"/>
            </w:pPr>
            <w:r w:rsidRPr="00797379">
              <w:t>94.1</w:t>
            </w:r>
          </w:p>
        </w:tc>
        <w:tc>
          <w:tcPr>
            <w:tcW w:w="1152" w:type="dxa"/>
          </w:tcPr>
          <w:p w14:paraId="5F7C5CE5" w14:textId="77777777" w:rsidR="007303EE" w:rsidRPr="00797379" w:rsidRDefault="007303EE" w:rsidP="0094024A">
            <w:pPr>
              <w:pStyle w:val="TableTextCentered"/>
            </w:pPr>
            <w:r w:rsidRPr="00797379">
              <w:t>95.6</w:t>
            </w:r>
          </w:p>
        </w:tc>
        <w:tc>
          <w:tcPr>
            <w:tcW w:w="1152" w:type="dxa"/>
          </w:tcPr>
          <w:p w14:paraId="4104AC29" w14:textId="77777777" w:rsidR="007303EE" w:rsidRPr="00797379" w:rsidRDefault="007303EE" w:rsidP="0094024A">
            <w:pPr>
              <w:pStyle w:val="TableTextCentered"/>
            </w:pPr>
            <w:r w:rsidRPr="00797379">
              <w:t>88.4</w:t>
            </w:r>
          </w:p>
        </w:tc>
      </w:tr>
      <w:tr w:rsidR="007303EE" w:rsidRPr="00797379" w14:paraId="4BEB0ED0" w14:textId="77777777" w:rsidTr="0094024A">
        <w:tc>
          <w:tcPr>
            <w:tcW w:w="3586" w:type="dxa"/>
          </w:tcPr>
          <w:p w14:paraId="1678AF53" w14:textId="77777777" w:rsidR="007303EE" w:rsidRPr="0059750A" w:rsidRDefault="007303EE" w:rsidP="0094024A">
            <w:pPr>
              <w:pStyle w:val="TableSubheading"/>
              <w:rPr>
                <w:rFonts w:asciiTheme="minorHAnsi" w:hAnsiTheme="minorHAnsi"/>
              </w:rPr>
            </w:pPr>
            <w:r w:rsidRPr="0059750A">
              <w:rPr>
                <w:rFonts w:asciiTheme="minorHAnsi" w:hAnsiTheme="minorHAnsi"/>
              </w:rPr>
              <w:t>American Indian or Alaskan Native</w:t>
            </w:r>
          </w:p>
        </w:tc>
        <w:tc>
          <w:tcPr>
            <w:tcW w:w="1151" w:type="dxa"/>
          </w:tcPr>
          <w:p w14:paraId="2EEAC803" w14:textId="77777777" w:rsidR="007303EE" w:rsidRPr="00797379" w:rsidRDefault="007303EE" w:rsidP="0094024A">
            <w:pPr>
              <w:pStyle w:val="TableTextCentered"/>
            </w:pPr>
            <w:r w:rsidRPr="00797379">
              <w:t>2</w:t>
            </w:r>
          </w:p>
        </w:tc>
        <w:tc>
          <w:tcPr>
            <w:tcW w:w="1152" w:type="dxa"/>
          </w:tcPr>
          <w:p w14:paraId="0007F229" w14:textId="1AC8980F" w:rsidR="007303EE" w:rsidRPr="00797379" w:rsidRDefault="00220288" w:rsidP="0094024A">
            <w:pPr>
              <w:pStyle w:val="TableTextCentered"/>
            </w:pPr>
            <w:r>
              <w:t>N/A</w:t>
            </w:r>
          </w:p>
        </w:tc>
        <w:tc>
          <w:tcPr>
            <w:tcW w:w="1151" w:type="dxa"/>
          </w:tcPr>
          <w:p w14:paraId="4BE1C4EB" w14:textId="30610AD7" w:rsidR="007303EE" w:rsidRPr="00797379" w:rsidRDefault="00220288" w:rsidP="0094024A">
            <w:pPr>
              <w:pStyle w:val="TableTextCentered"/>
            </w:pPr>
            <w:r>
              <w:t>N/A</w:t>
            </w:r>
          </w:p>
        </w:tc>
        <w:tc>
          <w:tcPr>
            <w:tcW w:w="1152" w:type="dxa"/>
          </w:tcPr>
          <w:p w14:paraId="2F4C43CA" w14:textId="3D538E82" w:rsidR="007303EE" w:rsidRPr="00797379" w:rsidRDefault="00220288" w:rsidP="0094024A">
            <w:pPr>
              <w:pStyle w:val="TableTextCentered"/>
            </w:pPr>
            <w:r>
              <w:t>N/A</w:t>
            </w:r>
          </w:p>
        </w:tc>
        <w:tc>
          <w:tcPr>
            <w:tcW w:w="1152" w:type="dxa"/>
          </w:tcPr>
          <w:p w14:paraId="1BD16A63" w14:textId="77777777" w:rsidR="007303EE" w:rsidRPr="00797379" w:rsidRDefault="007303EE" w:rsidP="0094024A">
            <w:pPr>
              <w:pStyle w:val="TableTextCentered"/>
            </w:pPr>
            <w:r w:rsidRPr="00797379">
              <w:t>81.6</w:t>
            </w:r>
          </w:p>
        </w:tc>
      </w:tr>
      <w:tr w:rsidR="007303EE" w:rsidRPr="00797379" w14:paraId="2001625E" w14:textId="77777777" w:rsidTr="0094024A">
        <w:trPr>
          <w:cnfStyle w:val="000000100000" w:firstRow="0" w:lastRow="0" w:firstColumn="0" w:lastColumn="0" w:oddVBand="0" w:evenVBand="0" w:oddHBand="1" w:evenHBand="0" w:firstRowFirstColumn="0" w:firstRowLastColumn="0" w:lastRowFirstColumn="0" w:lastRowLastColumn="0"/>
        </w:trPr>
        <w:tc>
          <w:tcPr>
            <w:tcW w:w="3586" w:type="dxa"/>
          </w:tcPr>
          <w:p w14:paraId="13A419E8" w14:textId="77777777" w:rsidR="007303EE" w:rsidRPr="0059750A" w:rsidRDefault="007303EE" w:rsidP="0094024A">
            <w:pPr>
              <w:pStyle w:val="TableSubheading"/>
              <w:rPr>
                <w:rFonts w:asciiTheme="minorHAnsi" w:hAnsiTheme="minorHAnsi"/>
              </w:rPr>
            </w:pPr>
            <w:r w:rsidRPr="0059750A">
              <w:rPr>
                <w:rFonts w:asciiTheme="minorHAnsi" w:hAnsiTheme="minorHAnsi"/>
              </w:rPr>
              <w:t>Asian</w:t>
            </w:r>
          </w:p>
        </w:tc>
        <w:tc>
          <w:tcPr>
            <w:tcW w:w="1151" w:type="dxa"/>
          </w:tcPr>
          <w:p w14:paraId="198292AE" w14:textId="77777777" w:rsidR="007303EE" w:rsidRPr="00797379" w:rsidRDefault="007303EE" w:rsidP="0094024A">
            <w:pPr>
              <w:pStyle w:val="TableTextCentered"/>
            </w:pPr>
            <w:r w:rsidRPr="00797379">
              <w:t>61</w:t>
            </w:r>
          </w:p>
        </w:tc>
        <w:tc>
          <w:tcPr>
            <w:tcW w:w="1152" w:type="dxa"/>
          </w:tcPr>
          <w:p w14:paraId="4141D5EF" w14:textId="77777777" w:rsidR="007303EE" w:rsidRPr="00797379" w:rsidRDefault="007303EE" w:rsidP="0094024A">
            <w:pPr>
              <w:pStyle w:val="TableTextCentered"/>
            </w:pPr>
            <w:r w:rsidRPr="00797379">
              <w:t>98.5</w:t>
            </w:r>
          </w:p>
        </w:tc>
        <w:tc>
          <w:tcPr>
            <w:tcW w:w="1151" w:type="dxa"/>
          </w:tcPr>
          <w:p w14:paraId="15B8F88F" w14:textId="77777777" w:rsidR="007303EE" w:rsidRPr="00797379" w:rsidRDefault="007303EE" w:rsidP="0094024A">
            <w:pPr>
              <w:pStyle w:val="TableTextCentered"/>
            </w:pPr>
            <w:r w:rsidRPr="00797379">
              <w:t>98.5</w:t>
            </w:r>
          </w:p>
        </w:tc>
        <w:tc>
          <w:tcPr>
            <w:tcW w:w="1152" w:type="dxa"/>
          </w:tcPr>
          <w:p w14:paraId="74244B68" w14:textId="77777777" w:rsidR="007303EE" w:rsidRPr="00797379" w:rsidRDefault="007303EE" w:rsidP="0094024A">
            <w:pPr>
              <w:pStyle w:val="TableTextCentered"/>
            </w:pPr>
            <w:r w:rsidRPr="00797379">
              <w:t>96.7</w:t>
            </w:r>
          </w:p>
        </w:tc>
        <w:tc>
          <w:tcPr>
            <w:tcW w:w="1152" w:type="dxa"/>
          </w:tcPr>
          <w:p w14:paraId="2F6DBD3C" w14:textId="77777777" w:rsidR="007303EE" w:rsidRPr="00797379" w:rsidRDefault="007303EE" w:rsidP="0094024A">
            <w:pPr>
              <w:pStyle w:val="TableTextCentered"/>
            </w:pPr>
            <w:r w:rsidRPr="00797379">
              <w:t>95.5</w:t>
            </w:r>
          </w:p>
        </w:tc>
      </w:tr>
      <w:tr w:rsidR="007303EE" w:rsidRPr="00797379" w14:paraId="6F25FA36" w14:textId="77777777" w:rsidTr="0094024A">
        <w:tc>
          <w:tcPr>
            <w:tcW w:w="3586" w:type="dxa"/>
          </w:tcPr>
          <w:p w14:paraId="70277322" w14:textId="77777777" w:rsidR="007303EE" w:rsidRPr="0059750A" w:rsidRDefault="007303EE" w:rsidP="0094024A">
            <w:pPr>
              <w:pStyle w:val="TableSubheading"/>
              <w:rPr>
                <w:rFonts w:asciiTheme="minorHAnsi" w:hAnsiTheme="minorHAnsi"/>
              </w:rPr>
            </w:pPr>
            <w:r w:rsidRPr="0059750A">
              <w:rPr>
                <w:rFonts w:asciiTheme="minorHAnsi" w:hAnsiTheme="minorHAnsi"/>
              </w:rPr>
              <w:t>Black or African American</w:t>
            </w:r>
          </w:p>
        </w:tc>
        <w:tc>
          <w:tcPr>
            <w:tcW w:w="1151" w:type="dxa"/>
          </w:tcPr>
          <w:p w14:paraId="3478C807" w14:textId="77777777" w:rsidR="007303EE" w:rsidRPr="00797379" w:rsidRDefault="007303EE" w:rsidP="0094024A">
            <w:pPr>
              <w:pStyle w:val="TableTextCentered"/>
            </w:pPr>
            <w:r w:rsidRPr="00797379">
              <w:t>9</w:t>
            </w:r>
          </w:p>
        </w:tc>
        <w:tc>
          <w:tcPr>
            <w:tcW w:w="1152" w:type="dxa"/>
          </w:tcPr>
          <w:p w14:paraId="189E84F2" w14:textId="07B7E110" w:rsidR="007303EE" w:rsidRPr="00797379" w:rsidRDefault="00220288" w:rsidP="0094024A">
            <w:pPr>
              <w:pStyle w:val="TableTextCentered"/>
            </w:pPr>
            <w:r>
              <w:t>N/A</w:t>
            </w:r>
          </w:p>
        </w:tc>
        <w:tc>
          <w:tcPr>
            <w:tcW w:w="1151" w:type="dxa"/>
          </w:tcPr>
          <w:p w14:paraId="145EE792" w14:textId="77777777" w:rsidR="007303EE" w:rsidRPr="00797379" w:rsidRDefault="007303EE" w:rsidP="0094024A">
            <w:pPr>
              <w:pStyle w:val="TableTextCentered"/>
            </w:pPr>
            <w:r w:rsidRPr="00797379">
              <w:t>100.0</w:t>
            </w:r>
          </w:p>
        </w:tc>
        <w:tc>
          <w:tcPr>
            <w:tcW w:w="1152" w:type="dxa"/>
          </w:tcPr>
          <w:p w14:paraId="17E69399" w14:textId="77777777" w:rsidR="007303EE" w:rsidRPr="00797379" w:rsidRDefault="007303EE" w:rsidP="0094024A">
            <w:pPr>
              <w:pStyle w:val="TableTextCentered"/>
            </w:pPr>
            <w:r w:rsidRPr="00797379">
              <w:t>88.9</w:t>
            </w:r>
          </w:p>
        </w:tc>
        <w:tc>
          <w:tcPr>
            <w:tcW w:w="1152" w:type="dxa"/>
          </w:tcPr>
          <w:p w14:paraId="03B919F8" w14:textId="77777777" w:rsidR="007303EE" w:rsidRPr="00797379" w:rsidRDefault="007303EE" w:rsidP="0094024A">
            <w:pPr>
              <w:pStyle w:val="TableTextCentered"/>
            </w:pPr>
            <w:r w:rsidRPr="00797379">
              <w:t>82.5</w:t>
            </w:r>
          </w:p>
        </w:tc>
      </w:tr>
      <w:tr w:rsidR="007303EE" w:rsidRPr="00797379" w14:paraId="4127079D" w14:textId="77777777" w:rsidTr="0094024A">
        <w:trPr>
          <w:cnfStyle w:val="000000100000" w:firstRow="0" w:lastRow="0" w:firstColumn="0" w:lastColumn="0" w:oddVBand="0" w:evenVBand="0" w:oddHBand="1" w:evenHBand="0" w:firstRowFirstColumn="0" w:firstRowLastColumn="0" w:lastRowFirstColumn="0" w:lastRowLastColumn="0"/>
        </w:trPr>
        <w:tc>
          <w:tcPr>
            <w:tcW w:w="3586" w:type="dxa"/>
          </w:tcPr>
          <w:p w14:paraId="1EFCCF86" w14:textId="77777777" w:rsidR="007303EE" w:rsidRPr="0059750A" w:rsidRDefault="007303EE" w:rsidP="0094024A">
            <w:pPr>
              <w:pStyle w:val="TableSubheading"/>
              <w:rPr>
                <w:rFonts w:asciiTheme="minorHAnsi" w:hAnsiTheme="minorHAnsi"/>
              </w:rPr>
            </w:pPr>
            <w:r w:rsidRPr="0059750A">
              <w:rPr>
                <w:rFonts w:asciiTheme="minorHAnsi" w:hAnsiTheme="minorHAnsi"/>
              </w:rPr>
              <w:t>Hispanic or Latino</w:t>
            </w:r>
          </w:p>
        </w:tc>
        <w:tc>
          <w:tcPr>
            <w:tcW w:w="1151" w:type="dxa"/>
          </w:tcPr>
          <w:p w14:paraId="63B1FC5A" w14:textId="77777777" w:rsidR="007303EE" w:rsidRPr="00797379" w:rsidRDefault="007303EE" w:rsidP="0094024A">
            <w:pPr>
              <w:pStyle w:val="TableTextCentered"/>
            </w:pPr>
            <w:r w:rsidRPr="00797379">
              <w:t>15</w:t>
            </w:r>
          </w:p>
        </w:tc>
        <w:tc>
          <w:tcPr>
            <w:tcW w:w="1152" w:type="dxa"/>
          </w:tcPr>
          <w:p w14:paraId="3E2AFD22" w14:textId="77777777" w:rsidR="007303EE" w:rsidRPr="00797379" w:rsidRDefault="007303EE" w:rsidP="0094024A">
            <w:pPr>
              <w:pStyle w:val="TableTextCentered"/>
            </w:pPr>
            <w:r w:rsidRPr="00797379">
              <w:t>92.3</w:t>
            </w:r>
          </w:p>
        </w:tc>
        <w:tc>
          <w:tcPr>
            <w:tcW w:w="1151" w:type="dxa"/>
          </w:tcPr>
          <w:p w14:paraId="123DE589" w14:textId="77777777" w:rsidR="007303EE" w:rsidRPr="00797379" w:rsidRDefault="007303EE" w:rsidP="0094024A">
            <w:pPr>
              <w:pStyle w:val="TableTextCentered"/>
            </w:pPr>
            <w:r w:rsidRPr="00797379">
              <w:t>100.0</w:t>
            </w:r>
          </w:p>
        </w:tc>
        <w:tc>
          <w:tcPr>
            <w:tcW w:w="1152" w:type="dxa"/>
          </w:tcPr>
          <w:p w14:paraId="6B9B66A0" w14:textId="77777777" w:rsidR="007303EE" w:rsidRPr="00797379" w:rsidRDefault="007303EE" w:rsidP="0094024A">
            <w:pPr>
              <w:pStyle w:val="TableTextCentered"/>
            </w:pPr>
            <w:r w:rsidRPr="00797379">
              <w:t>80.0</w:t>
            </w:r>
          </w:p>
        </w:tc>
        <w:tc>
          <w:tcPr>
            <w:tcW w:w="1152" w:type="dxa"/>
          </w:tcPr>
          <w:p w14:paraId="43BCE842" w14:textId="77777777" w:rsidR="007303EE" w:rsidRPr="00797379" w:rsidRDefault="007303EE" w:rsidP="0094024A">
            <w:pPr>
              <w:pStyle w:val="TableTextCentered"/>
            </w:pPr>
            <w:r w:rsidRPr="00797379">
              <w:t>78.9</w:t>
            </w:r>
          </w:p>
        </w:tc>
      </w:tr>
      <w:tr w:rsidR="007303EE" w:rsidRPr="00797379" w14:paraId="162DC699" w14:textId="77777777" w:rsidTr="0094024A">
        <w:tc>
          <w:tcPr>
            <w:tcW w:w="3586" w:type="dxa"/>
          </w:tcPr>
          <w:p w14:paraId="115BF17F" w14:textId="77777777" w:rsidR="007303EE" w:rsidRPr="0059750A" w:rsidRDefault="007303EE" w:rsidP="0094024A">
            <w:pPr>
              <w:pStyle w:val="TableSubheading"/>
              <w:rPr>
                <w:rFonts w:asciiTheme="minorHAnsi" w:hAnsiTheme="minorHAnsi"/>
              </w:rPr>
            </w:pPr>
            <w:r w:rsidRPr="0059750A">
              <w:rPr>
                <w:rFonts w:asciiTheme="minorHAnsi" w:hAnsiTheme="minorHAnsi"/>
              </w:rPr>
              <w:t>Multi-Race, Not Hispanic or Latino</w:t>
            </w:r>
          </w:p>
        </w:tc>
        <w:tc>
          <w:tcPr>
            <w:tcW w:w="1151" w:type="dxa"/>
          </w:tcPr>
          <w:p w14:paraId="0F4C585A" w14:textId="77777777" w:rsidR="007303EE" w:rsidRPr="00797379" w:rsidRDefault="007303EE" w:rsidP="0094024A">
            <w:pPr>
              <w:pStyle w:val="TableTextCentered"/>
            </w:pPr>
            <w:r w:rsidRPr="00797379">
              <w:t>14</w:t>
            </w:r>
          </w:p>
        </w:tc>
        <w:tc>
          <w:tcPr>
            <w:tcW w:w="1152" w:type="dxa"/>
          </w:tcPr>
          <w:p w14:paraId="7EE6258C" w14:textId="77777777" w:rsidR="007303EE" w:rsidRPr="00797379" w:rsidRDefault="007303EE" w:rsidP="0094024A">
            <w:pPr>
              <w:pStyle w:val="TableTextCentered"/>
            </w:pPr>
            <w:r w:rsidRPr="00797379">
              <w:t>94.1</w:t>
            </w:r>
          </w:p>
        </w:tc>
        <w:tc>
          <w:tcPr>
            <w:tcW w:w="1151" w:type="dxa"/>
          </w:tcPr>
          <w:p w14:paraId="5E3B562E" w14:textId="77777777" w:rsidR="007303EE" w:rsidRPr="00797379" w:rsidRDefault="007303EE" w:rsidP="0094024A">
            <w:pPr>
              <w:pStyle w:val="TableTextCentered"/>
            </w:pPr>
            <w:r w:rsidRPr="00797379">
              <w:t>90.0</w:t>
            </w:r>
          </w:p>
        </w:tc>
        <w:tc>
          <w:tcPr>
            <w:tcW w:w="1152" w:type="dxa"/>
          </w:tcPr>
          <w:p w14:paraId="25661953" w14:textId="77777777" w:rsidR="007303EE" w:rsidRPr="00797379" w:rsidRDefault="007303EE" w:rsidP="0094024A">
            <w:pPr>
              <w:pStyle w:val="TableTextCentered"/>
            </w:pPr>
            <w:r w:rsidRPr="00797379">
              <w:t>100.0</w:t>
            </w:r>
          </w:p>
        </w:tc>
        <w:tc>
          <w:tcPr>
            <w:tcW w:w="1152" w:type="dxa"/>
          </w:tcPr>
          <w:p w14:paraId="58E64D3B" w14:textId="77777777" w:rsidR="007303EE" w:rsidRPr="00797379" w:rsidRDefault="007303EE" w:rsidP="0094024A">
            <w:pPr>
              <w:pStyle w:val="TableTextCentered"/>
            </w:pPr>
            <w:r w:rsidRPr="00797379">
              <w:t>88.6</w:t>
            </w:r>
          </w:p>
        </w:tc>
      </w:tr>
      <w:tr w:rsidR="007303EE" w:rsidRPr="00797379" w14:paraId="548DBF3B" w14:textId="77777777" w:rsidTr="0094024A">
        <w:trPr>
          <w:cnfStyle w:val="000000100000" w:firstRow="0" w:lastRow="0" w:firstColumn="0" w:lastColumn="0" w:oddVBand="0" w:evenVBand="0" w:oddHBand="1" w:evenHBand="0" w:firstRowFirstColumn="0" w:firstRowLastColumn="0" w:lastRowFirstColumn="0" w:lastRowLastColumn="0"/>
        </w:trPr>
        <w:tc>
          <w:tcPr>
            <w:tcW w:w="3586" w:type="dxa"/>
          </w:tcPr>
          <w:p w14:paraId="7528A037" w14:textId="77777777" w:rsidR="007303EE" w:rsidRPr="0059750A" w:rsidRDefault="007303EE" w:rsidP="0094024A">
            <w:pPr>
              <w:pStyle w:val="TableSubheading"/>
              <w:rPr>
                <w:rFonts w:asciiTheme="minorHAnsi" w:hAnsiTheme="minorHAnsi"/>
                <w:spacing w:val="-4"/>
              </w:rPr>
            </w:pPr>
            <w:r w:rsidRPr="0059750A">
              <w:rPr>
                <w:rFonts w:asciiTheme="minorHAnsi" w:hAnsiTheme="minorHAnsi"/>
              </w:rPr>
              <w:t>Native Hawaiian or Other Pacific Islander</w:t>
            </w:r>
          </w:p>
        </w:tc>
        <w:tc>
          <w:tcPr>
            <w:tcW w:w="1151" w:type="dxa"/>
          </w:tcPr>
          <w:p w14:paraId="32974682" w14:textId="5D286228" w:rsidR="007303EE" w:rsidRPr="00797379" w:rsidRDefault="00220288" w:rsidP="0094024A">
            <w:pPr>
              <w:pStyle w:val="TableTextCentered"/>
            </w:pPr>
            <w:r>
              <w:t>N/A</w:t>
            </w:r>
          </w:p>
        </w:tc>
        <w:tc>
          <w:tcPr>
            <w:tcW w:w="1152" w:type="dxa"/>
          </w:tcPr>
          <w:p w14:paraId="7078ABAF" w14:textId="5200E1F0" w:rsidR="007303EE" w:rsidRPr="00797379" w:rsidRDefault="00220288" w:rsidP="0094024A">
            <w:pPr>
              <w:pStyle w:val="TableTextCentered"/>
            </w:pPr>
            <w:r>
              <w:t>N/A</w:t>
            </w:r>
          </w:p>
        </w:tc>
        <w:tc>
          <w:tcPr>
            <w:tcW w:w="1151" w:type="dxa"/>
          </w:tcPr>
          <w:p w14:paraId="605F5D32" w14:textId="25945213" w:rsidR="007303EE" w:rsidRPr="00797379" w:rsidRDefault="00220288" w:rsidP="0094024A">
            <w:pPr>
              <w:pStyle w:val="TableTextCentered"/>
            </w:pPr>
            <w:r>
              <w:t>N/A</w:t>
            </w:r>
          </w:p>
        </w:tc>
        <w:tc>
          <w:tcPr>
            <w:tcW w:w="1152" w:type="dxa"/>
          </w:tcPr>
          <w:p w14:paraId="4587347C" w14:textId="72252F44" w:rsidR="007303EE" w:rsidRPr="00797379" w:rsidRDefault="00220288" w:rsidP="0094024A">
            <w:pPr>
              <w:pStyle w:val="TableTextCentered"/>
            </w:pPr>
            <w:r>
              <w:t>N/A</w:t>
            </w:r>
          </w:p>
        </w:tc>
        <w:tc>
          <w:tcPr>
            <w:tcW w:w="1152" w:type="dxa"/>
          </w:tcPr>
          <w:p w14:paraId="6EF55368" w14:textId="77777777" w:rsidR="007303EE" w:rsidRPr="00797379" w:rsidRDefault="007303EE" w:rsidP="0094024A">
            <w:pPr>
              <w:pStyle w:val="TableTextCentered"/>
            </w:pPr>
            <w:r w:rsidRPr="00797379">
              <w:t>80.7</w:t>
            </w:r>
          </w:p>
        </w:tc>
      </w:tr>
      <w:tr w:rsidR="007303EE" w:rsidRPr="00797379" w14:paraId="27CD75ED" w14:textId="77777777" w:rsidTr="0094024A">
        <w:tc>
          <w:tcPr>
            <w:tcW w:w="3586" w:type="dxa"/>
          </w:tcPr>
          <w:p w14:paraId="5CEE1D6A" w14:textId="77777777" w:rsidR="007303EE" w:rsidRPr="0059750A" w:rsidRDefault="007303EE" w:rsidP="0094024A">
            <w:pPr>
              <w:pStyle w:val="TableSubheading"/>
              <w:rPr>
                <w:rFonts w:asciiTheme="minorHAnsi" w:hAnsiTheme="minorHAnsi"/>
              </w:rPr>
            </w:pPr>
            <w:r w:rsidRPr="0059750A">
              <w:rPr>
                <w:rFonts w:asciiTheme="minorHAnsi" w:hAnsiTheme="minorHAnsi"/>
              </w:rPr>
              <w:t>White</w:t>
            </w:r>
          </w:p>
        </w:tc>
        <w:tc>
          <w:tcPr>
            <w:tcW w:w="1151" w:type="dxa"/>
          </w:tcPr>
          <w:p w14:paraId="35EB4353" w14:textId="77777777" w:rsidR="007303EE" w:rsidRPr="00797379" w:rsidRDefault="007303EE" w:rsidP="0094024A">
            <w:pPr>
              <w:pStyle w:val="TableTextCentered"/>
            </w:pPr>
            <w:r w:rsidRPr="00797379">
              <w:t>259</w:t>
            </w:r>
          </w:p>
        </w:tc>
        <w:tc>
          <w:tcPr>
            <w:tcW w:w="1152" w:type="dxa"/>
          </w:tcPr>
          <w:p w14:paraId="1D829C80" w14:textId="77777777" w:rsidR="007303EE" w:rsidRPr="00797379" w:rsidRDefault="007303EE" w:rsidP="0094024A">
            <w:pPr>
              <w:pStyle w:val="TableTextCentered"/>
            </w:pPr>
            <w:r w:rsidRPr="00797379">
              <w:t>92.5</w:t>
            </w:r>
          </w:p>
        </w:tc>
        <w:tc>
          <w:tcPr>
            <w:tcW w:w="1151" w:type="dxa"/>
          </w:tcPr>
          <w:p w14:paraId="36BA89B5" w14:textId="77777777" w:rsidR="007303EE" w:rsidRPr="00797379" w:rsidRDefault="007303EE" w:rsidP="0094024A">
            <w:pPr>
              <w:pStyle w:val="TableTextCentered"/>
            </w:pPr>
            <w:r w:rsidRPr="00797379">
              <w:t>92.6</w:t>
            </w:r>
          </w:p>
        </w:tc>
        <w:tc>
          <w:tcPr>
            <w:tcW w:w="1152" w:type="dxa"/>
          </w:tcPr>
          <w:p w14:paraId="2D41A8DD" w14:textId="77777777" w:rsidR="007303EE" w:rsidRPr="00797379" w:rsidRDefault="007303EE" w:rsidP="0094024A">
            <w:pPr>
              <w:pStyle w:val="TableTextCentered"/>
            </w:pPr>
            <w:r w:rsidRPr="00797379">
              <w:t>96.1</w:t>
            </w:r>
          </w:p>
        </w:tc>
        <w:tc>
          <w:tcPr>
            <w:tcW w:w="1152" w:type="dxa"/>
          </w:tcPr>
          <w:p w14:paraId="4AF80465" w14:textId="77777777" w:rsidR="007303EE" w:rsidRPr="00797379" w:rsidRDefault="007303EE" w:rsidP="0094024A">
            <w:pPr>
              <w:pStyle w:val="TableTextCentered"/>
            </w:pPr>
            <w:r w:rsidRPr="00797379">
              <w:t>92.6</w:t>
            </w:r>
          </w:p>
        </w:tc>
      </w:tr>
      <w:tr w:rsidR="007303EE" w:rsidRPr="00797379" w14:paraId="2BED031A" w14:textId="77777777" w:rsidTr="0094024A">
        <w:trPr>
          <w:cnfStyle w:val="000000100000" w:firstRow="0" w:lastRow="0" w:firstColumn="0" w:lastColumn="0" w:oddVBand="0" w:evenVBand="0" w:oddHBand="1" w:evenHBand="0" w:firstRowFirstColumn="0" w:firstRowLastColumn="0" w:lastRowFirstColumn="0" w:lastRowLastColumn="0"/>
        </w:trPr>
        <w:tc>
          <w:tcPr>
            <w:tcW w:w="3586" w:type="dxa"/>
          </w:tcPr>
          <w:p w14:paraId="1031D9C5" w14:textId="77777777" w:rsidR="007303EE" w:rsidRPr="0059750A" w:rsidRDefault="007303EE" w:rsidP="0094024A">
            <w:pPr>
              <w:pStyle w:val="TableSubheading"/>
              <w:rPr>
                <w:rFonts w:asciiTheme="minorHAnsi" w:hAnsiTheme="minorHAnsi"/>
              </w:rPr>
            </w:pPr>
            <w:r w:rsidRPr="0059750A">
              <w:rPr>
                <w:rFonts w:asciiTheme="minorHAnsi" w:hAnsiTheme="minorHAnsi"/>
              </w:rPr>
              <w:t>High Needs</w:t>
            </w:r>
          </w:p>
        </w:tc>
        <w:tc>
          <w:tcPr>
            <w:tcW w:w="1151" w:type="dxa"/>
          </w:tcPr>
          <w:p w14:paraId="637C17C8" w14:textId="77777777" w:rsidR="007303EE" w:rsidRPr="00797379" w:rsidRDefault="007303EE" w:rsidP="0094024A">
            <w:pPr>
              <w:pStyle w:val="TableTextCentered"/>
            </w:pPr>
            <w:r w:rsidRPr="00797379">
              <w:t>99</w:t>
            </w:r>
          </w:p>
        </w:tc>
        <w:tc>
          <w:tcPr>
            <w:tcW w:w="1152" w:type="dxa"/>
          </w:tcPr>
          <w:p w14:paraId="2AA93CDB" w14:textId="77777777" w:rsidR="007303EE" w:rsidRPr="00797379" w:rsidRDefault="007303EE" w:rsidP="0094024A">
            <w:pPr>
              <w:pStyle w:val="TableTextCentered"/>
            </w:pPr>
            <w:r w:rsidRPr="00797379">
              <w:t>80.8</w:t>
            </w:r>
          </w:p>
        </w:tc>
        <w:tc>
          <w:tcPr>
            <w:tcW w:w="1151" w:type="dxa"/>
          </w:tcPr>
          <w:p w14:paraId="3990784C" w14:textId="77777777" w:rsidR="007303EE" w:rsidRPr="00797379" w:rsidRDefault="007303EE" w:rsidP="0094024A">
            <w:pPr>
              <w:pStyle w:val="TableTextCentered"/>
            </w:pPr>
            <w:r w:rsidRPr="00797379">
              <w:t>81.4</w:t>
            </w:r>
          </w:p>
        </w:tc>
        <w:tc>
          <w:tcPr>
            <w:tcW w:w="1152" w:type="dxa"/>
          </w:tcPr>
          <w:p w14:paraId="7663D42C" w14:textId="77777777" w:rsidR="007303EE" w:rsidRPr="00797379" w:rsidRDefault="007303EE" w:rsidP="0094024A">
            <w:pPr>
              <w:pStyle w:val="TableTextCentered"/>
            </w:pPr>
            <w:r w:rsidRPr="00797379">
              <w:t>88.9</w:t>
            </w:r>
          </w:p>
        </w:tc>
        <w:tc>
          <w:tcPr>
            <w:tcW w:w="1152" w:type="dxa"/>
          </w:tcPr>
          <w:p w14:paraId="6ECF90A5" w14:textId="77777777" w:rsidR="007303EE" w:rsidRPr="00797379" w:rsidRDefault="007303EE" w:rsidP="0094024A">
            <w:pPr>
              <w:pStyle w:val="TableTextCentered"/>
            </w:pPr>
            <w:r w:rsidRPr="00797379">
              <w:t>82.2</w:t>
            </w:r>
          </w:p>
        </w:tc>
      </w:tr>
      <w:tr w:rsidR="007303EE" w:rsidRPr="00797379" w14:paraId="0556AED4" w14:textId="77777777" w:rsidTr="0094024A">
        <w:tc>
          <w:tcPr>
            <w:tcW w:w="3586" w:type="dxa"/>
          </w:tcPr>
          <w:p w14:paraId="3E9CCB58" w14:textId="77777777" w:rsidR="007303EE" w:rsidRPr="0059750A" w:rsidRDefault="007303EE" w:rsidP="0094024A">
            <w:pPr>
              <w:pStyle w:val="TableSubheading"/>
              <w:rPr>
                <w:rFonts w:asciiTheme="minorHAnsi" w:hAnsiTheme="minorHAnsi"/>
              </w:rPr>
            </w:pPr>
            <w:r w:rsidRPr="0059750A">
              <w:rPr>
                <w:rFonts w:asciiTheme="minorHAnsi" w:hAnsiTheme="minorHAnsi"/>
              </w:rPr>
              <w:t>English Learners</w:t>
            </w:r>
          </w:p>
        </w:tc>
        <w:tc>
          <w:tcPr>
            <w:tcW w:w="1151" w:type="dxa"/>
          </w:tcPr>
          <w:p w14:paraId="2031D313" w14:textId="77777777" w:rsidR="007303EE" w:rsidRPr="00797379" w:rsidRDefault="007303EE" w:rsidP="0094024A">
            <w:pPr>
              <w:pStyle w:val="TableTextCentered"/>
            </w:pPr>
            <w:r w:rsidRPr="00797379">
              <w:t>1</w:t>
            </w:r>
          </w:p>
        </w:tc>
        <w:tc>
          <w:tcPr>
            <w:tcW w:w="1152" w:type="dxa"/>
          </w:tcPr>
          <w:p w14:paraId="327B4D28" w14:textId="77777777" w:rsidR="007303EE" w:rsidRPr="00797379" w:rsidRDefault="007303EE" w:rsidP="0094024A">
            <w:pPr>
              <w:pStyle w:val="TableTextCentered"/>
            </w:pPr>
            <w:r w:rsidRPr="00797379">
              <w:t>100.0</w:t>
            </w:r>
          </w:p>
        </w:tc>
        <w:tc>
          <w:tcPr>
            <w:tcW w:w="1151" w:type="dxa"/>
          </w:tcPr>
          <w:p w14:paraId="3F4BB56C" w14:textId="042B94DD" w:rsidR="007303EE" w:rsidRPr="00797379" w:rsidRDefault="00220288" w:rsidP="0094024A">
            <w:pPr>
              <w:pStyle w:val="TableTextCentered"/>
            </w:pPr>
            <w:r>
              <w:t>N/A</w:t>
            </w:r>
          </w:p>
        </w:tc>
        <w:tc>
          <w:tcPr>
            <w:tcW w:w="1152" w:type="dxa"/>
          </w:tcPr>
          <w:p w14:paraId="567BCB6C" w14:textId="27C8BA92" w:rsidR="007303EE" w:rsidRPr="00797379" w:rsidRDefault="00220288" w:rsidP="0094024A">
            <w:pPr>
              <w:pStyle w:val="TableTextCentered"/>
            </w:pPr>
            <w:r>
              <w:t>N/A</w:t>
            </w:r>
          </w:p>
        </w:tc>
        <w:tc>
          <w:tcPr>
            <w:tcW w:w="1152" w:type="dxa"/>
          </w:tcPr>
          <w:p w14:paraId="6637CA3F" w14:textId="77777777" w:rsidR="007303EE" w:rsidRPr="00797379" w:rsidRDefault="007303EE" w:rsidP="0094024A">
            <w:pPr>
              <w:pStyle w:val="TableTextCentered"/>
            </w:pPr>
            <w:r w:rsidRPr="00797379">
              <w:t>66.7</w:t>
            </w:r>
          </w:p>
        </w:tc>
      </w:tr>
      <w:tr w:rsidR="007303EE" w:rsidRPr="00797379" w14:paraId="66166840" w14:textId="77777777" w:rsidTr="0094024A">
        <w:trPr>
          <w:cnfStyle w:val="000000100000" w:firstRow="0" w:lastRow="0" w:firstColumn="0" w:lastColumn="0" w:oddVBand="0" w:evenVBand="0" w:oddHBand="1" w:evenHBand="0" w:firstRowFirstColumn="0" w:firstRowLastColumn="0" w:lastRowFirstColumn="0" w:lastRowLastColumn="0"/>
        </w:trPr>
        <w:tc>
          <w:tcPr>
            <w:tcW w:w="3586" w:type="dxa"/>
          </w:tcPr>
          <w:p w14:paraId="697DA99E" w14:textId="77777777" w:rsidR="007303EE" w:rsidRPr="0059750A" w:rsidRDefault="007303EE" w:rsidP="0094024A">
            <w:pPr>
              <w:pStyle w:val="TableSubheading"/>
              <w:rPr>
                <w:rFonts w:asciiTheme="minorHAnsi" w:hAnsiTheme="minorHAnsi"/>
                <w:spacing w:val="-4"/>
              </w:rPr>
            </w:pPr>
            <w:r w:rsidRPr="0059750A">
              <w:rPr>
                <w:rFonts w:asciiTheme="minorHAnsi" w:hAnsiTheme="minorHAnsi"/>
              </w:rPr>
              <w:t>Low Income</w:t>
            </w:r>
          </w:p>
        </w:tc>
        <w:tc>
          <w:tcPr>
            <w:tcW w:w="1151" w:type="dxa"/>
          </w:tcPr>
          <w:p w14:paraId="14E111DB" w14:textId="77777777" w:rsidR="007303EE" w:rsidRPr="00797379" w:rsidRDefault="007303EE" w:rsidP="0094024A">
            <w:pPr>
              <w:pStyle w:val="TableTextCentered"/>
            </w:pPr>
            <w:r w:rsidRPr="00797379">
              <w:t>43</w:t>
            </w:r>
          </w:p>
        </w:tc>
        <w:tc>
          <w:tcPr>
            <w:tcW w:w="1152" w:type="dxa"/>
          </w:tcPr>
          <w:p w14:paraId="1976B0EA" w14:textId="77777777" w:rsidR="007303EE" w:rsidRPr="00797379" w:rsidRDefault="007303EE" w:rsidP="0094024A">
            <w:pPr>
              <w:pStyle w:val="TableTextCentered"/>
            </w:pPr>
            <w:r w:rsidRPr="00797379">
              <w:t>88.2</w:t>
            </w:r>
          </w:p>
        </w:tc>
        <w:tc>
          <w:tcPr>
            <w:tcW w:w="1151" w:type="dxa"/>
          </w:tcPr>
          <w:p w14:paraId="796DB6E1" w14:textId="77777777" w:rsidR="007303EE" w:rsidRPr="00797379" w:rsidRDefault="007303EE" w:rsidP="0094024A">
            <w:pPr>
              <w:pStyle w:val="TableTextCentered"/>
            </w:pPr>
            <w:r w:rsidRPr="00797379">
              <w:t>90.7</w:t>
            </w:r>
          </w:p>
        </w:tc>
        <w:tc>
          <w:tcPr>
            <w:tcW w:w="1152" w:type="dxa"/>
          </w:tcPr>
          <w:p w14:paraId="010DC696" w14:textId="77777777" w:rsidR="007303EE" w:rsidRPr="00797379" w:rsidRDefault="007303EE" w:rsidP="0094024A">
            <w:pPr>
              <w:pStyle w:val="TableTextCentered"/>
            </w:pPr>
            <w:r w:rsidRPr="00797379">
              <w:t>88.4</w:t>
            </w:r>
          </w:p>
        </w:tc>
        <w:tc>
          <w:tcPr>
            <w:tcW w:w="1152" w:type="dxa"/>
          </w:tcPr>
          <w:p w14:paraId="08880AE3" w14:textId="77777777" w:rsidR="007303EE" w:rsidRPr="00797379" w:rsidRDefault="007303EE" w:rsidP="0094024A">
            <w:pPr>
              <w:pStyle w:val="TableTextCentered"/>
            </w:pPr>
            <w:r w:rsidRPr="00797379">
              <w:t>81.6</w:t>
            </w:r>
          </w:p>
        </w:tc>
      </w:tr>
      <w:tr w:rsidR="007303EE" w:rsidRPr="00797379" w14:paraId="22DD4AA7" w14:textId="77777777" w:rsidTr="0094024A">
        <w:tc>
          <w:tcPr>
            <w:tcW w:w="3586" w:type="dxa"/>
          </w:tcPr>
          <w:p w14:paraId="04AA5707" w14:textId="77777777" w:rsidR="007303EE" w:rsidRPr="0059750A" w:rsidRDefault="007303EE" w:rsidP="0094024A">
            <w:pPr>
              <w:pStyle w:val="TableSubheading"/>
              <w:rPr>
                <w:rFonts w:asciiTheme="minorHAnsi" w:hAnsiTheme="minorHAnsi"/>
              </w:rPr>
            </w:pPr>
            <w:r w:rsidRPr="0059750A">
              <w:rPr>
                <w:rFonts w:asciiTheme="minorHAnsi" w:hAnsiTheme="minorHAnsi"/>
              </w:rPr>
              <w:t>Students with Disabilities</w:t>
            </w:r>
          </w:p>
        </w:tc>
        <w:tc>
          <w:tcPr>
            <w:tcW w:w="1151" w:type="dxa"/>
          </w:tcPr>
          <w:p w14:paraId="15D95567" w14:textId="77777777" w:rsidR="007303EE" w:rsidRPr="00797379" w:rsidRDefault="007303EE" w:rsidP="0094024A">
            <w:pPr>
              <w:pStyle w:val="TableTextCentered"/>
            </w:pPr>
            <w:r w:rsidRPr="00797379">
              <w:t>64</w:t>
            </w:r>
          </w:p>
        </w:tc>
        <w:tc>
          <w:tcPr>
            <w:tcW w:w="1152" w:type="dxa"/>
          </w:tcPr>
          <w:p w14:paraId="4DAE0A30" w14:textId="77777777" w:rsidR="007303EE" w:rsidRPr="00797379" w:rsidRDefault="007303EE" w:rsidP="0094024A">
            <w:pPr>
              <w:pStyle w:val="TableTextCentered"/>
            </w:pPr>
            <w:r w:rsidRPr="00797379">
              <w:t>71.0</w:t>
            </w:r>
          </w:p>
        </w:tc>
        <w:tc>
          <w:tcPr>
            <w:tcW w:w="1151" w:type="dxa"/>
          </w:tcPr>
          <w:p w14:paraId="28C9AF00" w14:textId="77777777" w:rsidR="007303EE" w:rsidRPr="00797379" w:rsidRDefault="007303EE" w:rsidP="0094024A">
            <w:pPr>
              <w:pStyle w:val="TableTextCentered"/>
            </w:pPr>
            <w:r w:rsidRPr="00797379">
              <w:t>72.6</w:t>
            </w:r>
          </w:p>
        </w:tc>
        <w:tc>
          <w:tcPr>
            <w:tcW w:w="1152" w:type="dxa"/>
          </w:tcPr>
          <w:p w14:paraId="5C4B6B7D" w14:textId="77777777" w:rsidR="007303EE" w:rsidRPr="00797379" w:rsidRDefault="007303EE" w:rsidP="0094024A">
            <w:pPr>
              <w:pStyle w:val="TableTextCentered"/>
            </w:pPr>
            <w:r w:rsidRPr="00797379">
              <w:t>87.5</w:t>
            </w:r>
          </w:p>
        </w:tc>
        <w:tc>
          <w:tcPr>
            <w:tcW w:w="1152" w:type="dxa"/>
          </w:tcPr>
          <w:p w14:paraId="5467881B" w14:textId="77777777" w:rsidR="007303EE" w:rsidRPr="00797379" w:rsidRDefault="007303EE" w:rsidP="0094024A">
            <w:pPr>
              <w:pStyle w:val="TableTextCentered"/>
            </w:pPr>
            <w:r w:rsidRPr="00797379">
              <w:t>75.4</w:t>
            </w:r>
          </w:p>
        </w:tc>
      </w:tr>
    </w:tbl>
    <w:p w14:paraId="461C4B6D" w14:textId="77777777" w:rsidR="007303EE" w:rsidRPr="00797379" w:rsidRDefault="007303EE" w:rsidP="006C2038">
      <w:pPr>
        <w:pStyle w:val="TableETitles"/>
      </w:pPr>
      <w:bookmarkStart w:id="258" w:name="_Toc220933520"/>
      <w:bookmarkStart w:id="259" w:name="_Hlk138323648"/>
      <w:r w:rsidRPr="00797379">
        <w:t>Table E17. Five-Year Cohort Graduation Rates by Student Group, 2021-2023</w:t>
      </w:r>
      <w:bookmarkEnd w:id="258"/>
    </w:p>
    <w:tbl>
      <w:tblPr>
        <w:tblStyle w:val="MSVTable1"/>
        <w:tblW w:w="5000" w:type="pct"/>
        <w:tblLook w:val="0420" w:firstRow="1" w:lastRow="0" w:firstColumn="0" w:lastColumn="0" w:noHBand="0" w:noVBand="1"/>
      </w:tblPr>
      <w:tblGrid>
        <w:gridCol w:w="3586"/>
        <w:gridCol w:w="1151"/>
        <w:gridCol w:w="1152"/>
        <w:gridCol w:w="1151"/>
        <w:gridCol w:w="1152"/>
        <w:gridCol w:w="1152"/>
      </w:tblGrid>
      <w:tr w:rsidR="007303EE" w:rsidRPr="00797379" w14:paraId="246F6369" w14:textId="77777777" w:rsidTr="0034431B">
        <w:trPr>
          <w:cnfStyle w:val="100000000000" w:firstRow="1" w:lastRow="0" w:firstColumn="0" w:lastColumn="0" w:oddVBand="0" w:evenVBand="0" w:oddHBand="0" w:evenHBand="0" w:firstRowFirstColumn="0" w:firstRowLastColumn="0" w:lastRowFirstColumn="0" w:lastRowLastColumn="0"/>
          <w:tblHeader/>
        </w:trPr>
        <w:tc>
          <w:tcPr>
            <w:tcW w:w="3586" w:type="dxa"/>
            <w:vAlign w:val="center"/>
          </w:tcPr>
          <w:p w14:paraId="46867747" w14:textId="77777777" w:rsidR="007303EE" w:rsidRPr="00797379" w:rsidRDefault="007303EE" w:rsidP="00B45A09">
            <w:pPr>
              <w:pStyle w:val="TableColHeadingCenter"/>
            </w:pPr>
            <w:r w:rsidRPr="00797379">
              <w:t>Group</w:t>
            </w:r>
          </w:p>
        </w:tc>
        <w:tc>
          <w:tcPr>
            <w:tcW w:w="1151" w:type="dxa"/>
            <w:vAlign w:val="center"/>
          </w:tcPr>
          <w:p w14:paraId="2F9AC11A" w14:textId="77777777" w:rsidR="007303EE" w:rsidRPr="00797379" w:rsidRDefault="007303EE" w:rsidP="00B45A09">
            <w:pPr>
              <w:pStyle w:val="TableColHeadingCenter"/>
            </w:pPr>
            <w:r w:rsidRPr="00797379">
              <w:t># Included (2021)</w:t>
            </w:r>
          </w:p>
        </w:tc>
        <w:tc>
          <w:tcPr>
            <w:tcW w:w="1152" w:type="dxa"/>
            <w:vAlign w:val="center"/>
          </w:tcPr>
          <w:p w14:paraId="5EEEC1E8" w14:textId="77777777" w:rsidR="007303EE" w:rsidRPr="00797379" w:rsidRDefault="007303EE" w:rsidP="00B45A09">
            <w:pPr>
              <w:pStyle w:val="TableColHeadingCenter"/>
            </w:pPr>
            <w:r w:rsidRPr="00797379">
              <w:t>2021</w:t>
            </w:r>
          </w:p>
        </w:tc>
        <w:tc>
          <w:tcPr>
            <w:tcW w:w="1151" w:type="dxa"/>
            <w:vAlign w:val="center"/>
          </w:tcPr>
          <w:p w14:paraId="0891DBB8" w14:textId="77777777" w:rsidR="007303EE" w:rsidRPr="00797379" w:rsidRDefault="007303EE" w:rsidP="00B45A09">
            <w:pPr>
              <w:pStyle w:val="TableColHeadingCenter"/>
            </w:pPr>
            <w:r w:rsidRPr="00797379">
              <w:t>2022</w:t>
            </w:r>
          </w:p>
        </w:tc>
        <w:tc>
          <w:tcPr>
            <w:tcW w:w="1152" w:type="dxa"/>
            <w:vAlign w:val="center"/>
          </w:tcPr>
          <w:p w14:paraId="5EA6CDAD" w14:textId="77777777" w:rsidR="007303EE" w:rsidRPr="00797379" w:rsidRDefault="007303EE" w:rsidP="00B45A09">
            <w:pPr>
              <w:pStyle w:val="TableColHeadingCenter"/>
            </w:pPr>
            <w:r w:rsidRPr="00797379">
              <w:t>2023</w:t>
            </w:r>
          </w:p>
        </w:tc>
        <w:tc>
          <w:tcPr>
            <w:tcW w:w="1152" w:type="dxa"/>
            <w:vAlign w:val="center"/>
          </w:tcPr>
          <w:p w14:paraId="402D49A7" w14:textId="77777777" w:rsidR="007303EE" w:rsidRPr="00797379" w:rsidRDefault="007303EE" w:rsidP="00B45A09">
            <w:pPr>
              <w:pStyle w:val="TableColHeadingCenter"/>
            </w:pPr>
            <w:r w:rsidRPr="00797379">
              <w:t>State (2023)</w:t>
            </w:r>
          </w:p>
        </w:tc>
      </w:tr>
      <w:tr w:rsidR="007303EE" w:rsidRPr="00797379" w14:paraId="02F61F44" w14:textId="77777777" w:rsidTr="00B45A09">
        <w:trPr>
          <w:cnfStyle w:val="000000100000" w:firstRow="0" w:lastRow="0" w:firstColumn="0" w:lastColumn="0" w:oddVBand="0" w:evenVBand="0" w:oddHBand="1" w:evenHBand="0" w:firstRowFirstColumn="0" w:firstRowLastColumn="0" w:lastRowFirstColumn="0" w:lastRowLastColumn="0"/>
        </w:trPr>
        <w:tc>
          <w:tcPr>
            <w:tcW w:w="3586" w:type="dxa"/>
          </w:tcPr>
          <w:p w14:paraId="60458185" w14:textId="77777777" w:rsidR="007303EE" w:rsidRPr="0059750A" w:rsidRDefault="007303EE" w:rsidP="00B45A09">
            <w:pPr>
              <w:pStyle w:val="TableSubheading"/>
              <w:rPr>
                <w:rFonts w:asciiTheme="minorHAnsi" w:hAnsiTheme="minorHAnsi"/>
              </w:rPr>
            </w:pPr>
            <w:r w:rsidRPr="0059750A">
              <w:rPr>
                <w:rFonts w:asciiTheme="minorHAnsi" w:hAnsiTheme="minorHAnsi"/>
              </w:rPr>
              <w:t>All Students</w:t>
            </w:r>
          </w:p>
        </w:tc>
        <w:tc>
          <w:tcPr>
            <w:tcW w:w="1151" w:type="dxa"/>
          </w:tcPr>
          <w:p w14:paraId="6586A501" w14:textId="77777777" w:rsidR="007303EE" w:rsidRPr="00797379" w:rsidRDefault="007303EE" w:rsidP="00B45A09">
            <w:pPr>
              <w:pStyle w:val="TableTextCentered"/>
            </w:pPr>
            <w:r w:rsidRPr="00797379">
              <w:t>354</w:t>
            </w:r>
          </w:p>
        </w:tc>
        <w:tc>
          <w:tcPr>
            <w:tcW w:w="1152" w:type="dxa"/>
          </w:tcPr>
          <w:p w14:paraId="79750175" w14:textId="77777777" w:rsidR="007303EE" w:rsidRPr="00797379" w:rsidRDefault="007303EE" w:rsidP="00B45A09">
            <w:pPr>
              <w:pStyle w:val="TableTextCentered"/>
            </w:pPr>
            <w:r w:rsidRPr="00797379">
              <w:t>98.4</w:t>
            </w:r>
          </w:p>
        </w:tc>
        <w:tc>
          <w:tcPr>
            <w:tcW w:w="1151" w:type="dxa"/>
          </w:tcPr>
          <w:p w14:paraId="18C5ED80" w14:textId="77777777" w:rsidR="007303EE" w:rsidRPr="00797379" w:rsidRDefault="007303EE" w:rsidP="00B45A09">
            <w:pPr>
              <w:pStyle w:val="TableTextCentered"/>
            </w:pPr>
            <w:r w:rsidRPr="00797379">
              <w:t>97.3</w:t>
            </w:r>
          </w:p>
        </w:tc>
        <w:tc>
          <w:tcPr>
            <w:tcW w:w="1152" w:type="dxa"/>
          </w:tcPr>
          <w:p w14:paraId="7C35150C" w14:textId="77777777" w:rsidR="007303EE" w:rsidRPr="00797379" w:rsidRDefault="007303EE" w:rsidP="00B45A09">
            <w:pPr>
              <w:pStyle w:val="TableTextCentered"/>
            </w:pPr>
            <w:r w:rsidRPr="00797379">
              <w:t>95.8</w:t>
            </w:r>
          </w:p>
        </w:tc>
        <w:tc>
          <w:tcPr>
            <w:tcW w:w="1152" w:type="dxa"/>
          </w:tcPr>
          <w:p w14:paraId="1B756D7D" w14:textId="77777777" w:rsidR="007303EE" w:rsidRPr="00797379" w:rsidRDefault="007303EE" w:rsidP="00B45A09">
            <w:pPr>
              <w:pStyle w:val="TableTextCentered"/>
            </w:pPr>
            <w:r w:rsidRPr="00797379">
              <w:t>90.9</w:t>
            </w:r>
          </w:p>
        </w:tc>
      </w:tr>
      <w:tr w:rsidR="007303EE" w:rsidRPr="00797379" w14:paraId="3F0AE651" w14:textId="77777777" w:rsidTr="00B45A09">
        <w:tc>
          <w:tcPr>
            <w:tcW w:w="3586" w:type="dxa"/>
          </w:tcPr>
          <w:p w14:paraId="371A38CA" w14:textId="77777777" w:rsidR="007303EE" w:rsidRPr="0059750A" w:rsidRDefault="007303EE" w:rsidP="00B45A09">
            <w:pPr>
              <w:pStyle w:val="TableSubheading"/>
              <w:rPr>
                <w:rFonts w:asciiTheme="minorHAnsi" w:hAnsiTheme="minorHAnsi"/>
              </w:rPr>
            </w:pPr>
            <w:r w:rsidRPr="0059750A">
              <w:rPr>
                <w:rFonts w:asciiTheme="minorHAnsi" w:hAnsiTheme="minorHAnsi"/>
              </w:rPr>
              <w:t>American Indian or Alaskan Native</w:t>
            </w:r>
          </w:p>
        </w:tc>
        <w:tc>
          <w:tcPr>
            <w:tcW w:w="1151" w:type="dxa"/>
          </w:tcPr>
          <w:p w14:paraId="040162FF" w14:textId="77777777" w:rsidR="007303EE" w:rsidRPr="00797379" w:rsidRDefault="007303EE" w:rsidP="00B45A09">
            <w:pPr>
              <w:pStyle w:val="TableTextCentered"/>
            </w:pPr>
            <w:r w:rsidRPr="00797379">
              <w:t>1</w:t>
            </w:r>
          </w:p>
        </w:tc>
        <w:tc>
          <w:tcPr>
            <w:tcW w:w="1152" w:type="dxa"/>
          </w:tcPr>
          <w:p w14:paraId="443F914D" w14:textId="51D88AF8" w:rsidR="007303EE" w:rsidRPr="00797379" w:rsidRDefault="00220288" w:rsidP="00B45A09">
            <w:pPr>
              <w:pStyle w:val="TableTextCentered"/>
            </w:pPr>
            <w:r>
              <w:t>N/A</w:t>
            </w:r>
          </w:p>
        </w:tc>
        <w:tc>
          <w:tcPr>
            <w:tcW w:w="1151" w:type="dxa"/>
          </w:tcPr>
          <w:p w14:paraId="55B60772" w14:textId="03320B48" w:rsidR="007303EE" w:rsidRPr="00797379" w:rsidRDefault="00220288" w:rsidP="00B45A09">
            <w:pPr>
              <w:pStyle w:val="TableTextCentered"/>
            </w:pPr>
            <w:r>
              <w:t>N/A</w:t>
            </w:r>
          </w:p>
        </w:tc>
        <w:tc>
          <w:tcPr>
            <w:tcW w:w="1152" w:type="dxa"/>
          </w:tcPr>
          <w:p w14:paraId="43487D66" w14:textId="163E0034" w:rsidR="007303EE" w:rsidRPr="00797379" w:rsidRDefault="00220288" w:rsidP="00B45A09">
            <w:pPr>
              <w:pStyle w:val="TableTextCentered"/>
            </w:pPr>
            <w:r>
              <w:t>N/A</w:t>
            </w:r>
          </w:p>
        </w:tc>
        <w:tc>
          <w:tcPr>
            <w:tcW w:w="1152" w:type="dxa"/>
          </w:tcPr>
          <w:p w14:paraId="4EFF9BDA" w14:textId="77777777" w:rsidR="007303EE" w:rsidRPr="00797379" w:rsidRDefault="007303EE" w:rsidP="00B45A09">
            <w:pPr>
              <w:pStyle w:val="TableTextCentered"/>
            </w:pPr>
            <w:r w:rsidRPr="00797379">
              <w:t>85.7</w:t>
            </w:r>
          </w:p>
        </w:tc>
      </w:tr>
      <w:tr w:rsidR="007303EE" w:rsidRPr="00797379" w14:paraId="5DB32A61" w14:textId="77777777" w:rsidTr="00B45A09">
        <w:trPr>
          <w:cnfStyle w:val="000000100000" w:firstRow="0" w:lastRow="0" w:firstColumn="0" w:lastColumn="0" w:oddVBand="0" w:evenVBand="0" w:oddHBand="1" w:evenHBand="0" w:firstRowFirstColumn="0" w:firstRowLastColumn="0" w:lastRowFirstColumn="0" w:lastRowLastColumn="0"/>
        </w:trPr>
        <w:tc>
          <w:tcPr>
            <w:tcW w:w="3586" w:type="dxa"/>
          </w:tcPr>
          <w:p w14:paraId="20328F63" w14:textId="77777777" w:rsidR="007303EE" w:rsidRPr="0059750A" w:rsidRDefault="007303EE" w:rsidP="00B45A09">
            <w:pPr>
              <w:pStyle w:val="TableSubheading"/>
              <w:rPr>
                <w:rFonts w:asciiTheme="minorHAnsi" w:hAnsiTheme="minorHAnsi"/>
              </w:rPr>
            </w:pPr>
            <w:r w:rsidRPr="0059750A">
              <w:rPr>
                <w:rFonts w:asciiTheme="minorHAnsi" w:hAnsiTheme="minorHAnsi"/>
              </w:rPr>
              <w:t>Asian</w:t>
            </w:r>
          </w:p>
        </w:tc>
        <w:tc>
          <w:tcPr>
            <w:tcW w:w="1151" w:type="dxa"/>
          </w:tcPr>
          <w:p w14:paraId="4EB39A43" w14:textId="77777777" w:rsidR="007303EE" w:rsidRPr="00797379" w:rsidRDefault="007303EE" w:rsidP="00B45A09">
            <w:pPr>
              <w:pStyle w:val="TableTextCentered"/>
            </w:pPr>
            <w:r w:rsidRPr="00797379">
              <w:t>68</w:t>
            </w:r>
          </w:p>
        </w:tc>
        <w:tc>
          <w:tcPr>
            <w:tcW w:w="1152" w:type="dxa"/>
          </w:tcPr>
          <w:p w14:paraId="5B31D940" w14:textId="77777777" w:rsidR="007303EE" w:rsidRPr="00797379" w:rsidRDefault="007303EE" w:rsidP="00B45A09">
            <w:pPr>
              <w:pStyle w:val="TableTextCentered"/>
            </w:pPr>
            <w:r w:rsidRPr="00797379">
              <w:t>96.6</w:t>
            </w:r>
          </w:p>
        </w:tc>
        <w:tc>
          <w:tcPr>
            <w:tcW w:w="1151" w:type="dxa"/>
          </w:tcPr>
          <w:p w14:paraId="22684F15" w14:textId="77777777" w:rsidR="007303EE" w:rsidRPr="00797379" w:rsidRDefault="007303EE" w:rsidP="00B45A09">
            <w:pPr>
              <w:pStyle w:val="TableTextCentered"/>
            </w:pPr>
            <w:r w:rsidRPr="00797379">
              <w:t>98.5</w:t>
            </w:r>
          </w:p>
        </w:tc>
        <w:tc>
          <w:tcPr>
            <w:tcW w:w="1152" w:type="dxa"/>
          </w:tcPr>
          <w:p w14:paraId="16AEA283" w14:textId="77777777" w:rsidR="007303EE" w:rsidRPr="00797379" w:rsidRDefault="007303EE" w:rsidP="00B45A09">
            <w:pPr>
              <w:pStyle w:val="TableTextCentered"/>
            </w:pPr>
            <w:r w:rsidRPr="00797379">
              <w:t>100.0</w:t>
            </w:r>
          </w:p>
        </w:tc>
        <w:tc>
          <w:tcPr>
            <w:tcW w:w="1152" w:type="dxa"/>
          </w:tcPr>
          <w:p w14:paraId="449D32D0" w14:textId="77777777" w:rsidR="007303EE" w:rsidRPr="00797379" w:rsidRDefault="007303EE" w:rsidP="00B45A09">
            <w:pPr>
              <w:pStyle w:val="TableTextCentered"/>
            </w:pPr>
            <w:r w:rsidRPr="00797379">
              <w:t>96.3</w:t>
            </w:r>
          </w:p>
        </w:tc>
      </w:tr>
      <w:tr w:rsidR="007303EE" w:rsidRPr="00797379" w14:paraId="62A99801" w14:textId="77777777" w:rsidTr="00B45A09">
        <w:tc>
          <w:tcPr>
            <w:tcW w:w="3586" w:type="dxa"/>
          </w:tcPr>
          <w:p w14:paraId="3D6DBCC1" w14:textId="77777777" w:rsidR="007303EE" w:rsidRPr="0059750A" w:rsidRDefault="007303EE" w:rsidP="00B45A09">
            <w:pPr>
              <w:pStyle w:val="TableSubheading"/>
              <w:rPr>
                <w:rFonts w:asciiTheme="minorHAnsi" w:hAnsiTheme="minorHAnsi"/>
              </w:rPr>
            </w:pPr>
            <w:r w:rsidRPr="0059750A">
              <w:rPr>
                <w:rFonts w:asciiTheme="minorHAnsi" w:hAnsiTheme="minorHAnsi"/>
              </w:rPr>
              <w:t>Black or African American</w:t>
            </w:r>
          </w:p>
        </w:tc>
        <w:tc>
          <w:tcPr>
            <w:tcW w:w="1151" w:type="dxa"/>
          </w:tcPr>
          <w:p w14:paraId="35EF1912" w14:textId="77777777" w:rsidR="007303EE" w:rsidRPr="00797379" w:rsidRDefault="007303EE" w:rsidP="00B45A09">
            <w:pPr>
              <w:pStyle w:val="TableTextCentered"/>
            </w:pPr>
            <w:r w:rsidRPr="00797379">
              <w:t>7</w:t>
            </w:r>
          </w:p>
        </w:tc>
        <w:tc>
          <w:tcPr>
            <w:tcW w:w="1152" w:type="dxa"/>
          </w:tcPr>
          <w:p w14:paraId="30A1A307" w14:textId="3C3EA7AB" w:rsidR="007303EE" w:rsidRPr="00797379" w:rsidRDefault="00220288" w:rsidP="00B45A09">
            <w:pPr>
              <w:pStyle w:val="TableTextCentered"/>
            </w:pPr>
            <w:r>
              <w:t>N/A</w:t>
            </w:r>
          </w:p>
        </w:tc>
        <w:tc>
          <w:tcPr>
            <w:tcW w:w="1151" w:type="dxa"/>
          </w:tcPr>
          <w:p w14:paraId="43F81511" w14:textId="57558F40" w:rsidR="007303EE" w:rsidRPr="00797379" w:rsidRDefault="00220288" w:rsidP="00B45A09">
            <w:pPr>
              <w:pStyle w:val="TableTextCentered"/>
            </w:pPr>
            <w:r>
              <w:t>N/A</w:t>
            </w:r>
          </w:p>
        </w:tc>
        <w:tc>
          <w:tcPr>
            <w:tcW w:w="1152" w:type="dxa"/>
          </w:tcPr>
          <w:p w14:paraId="1F4CF8A2" w14:textId="77777777" w:rsidR="007303EE" w:rsidRPr="00797379" w:rsidRDefault="007303EE" w:rsidP="00B45A09">
            <w:pPr>
              <w:pStyle w:val="TableTextCentered"/>
            </w:pPr>
            <w:r w:rsidRPr="00797379">
              <w:t>100.0</w:t>
            </w:r>
          </w:p>
        </w:tc>
        <w:tc>
          <w:tcPr>
            <w:tcW w:w="1152" w:type="dxa"/>
          </w:tcPr>
          <w:p w14:paraId="66EB0EF4" w14:textId="77777777" w:rsidR="007303EE" w:rsidRPr="00797379" w:rsidRDefault="007303EE" w:rsidP="00B45A09">
            <w:pPr>
              <w:pStyle w:val="TableTextCentered"/>
            </w:pPr>
            <w:r w:rsidRPr="00797379">
              <w:t>88.5</w:t>
            </w:r>
          </w:p>
        </w:tc>
      </w:tr>
      <w:tr w:rsidR="007303EE" w:rsidRPr="00797379" w14:paraId="48D066C1" w14:textId="77777777" w:rsidTr="00B45A09">
        <w:trPr>
          <w:cnfStyle w:val="000000100000" w:firstRow="0" w:lastRow="0" w:firstColumn="0" w:lastColumn="0" w:oddVBand="0" w:evenVBand="0" w:oddHBand="1" w:evenHBand="0" w:firstRowFirstColumn="0" w:firstRowLastColumn="0" w:lastRowFirstColumn="0" w:lastRowLastColumn="0"/>
        </w:trPr>
        <w:tc>
          <w:tcPr>
            <w:tcW w:w="3586" w:type="dxa"/>
          </w:tcPr>
          <w:p w14:paraId="1F3957C0" w14:textId="77777777" w:rsidR="007303EE" w:rsidRPr="0059750A" w:rsidRDefault="007303EE" w:rsidP="00B45A09">
            <w:pPr>
              <w:pStyle w:val="TableSubheading"/>
              <w:rPr>
                <w:rFonts w:asciiTheme="minorHAnsi" w:hAnsiTheme="minorHAnsi"/>
              </w:rPr>
            </w:pPr>
            <w:r w:rsidRPr="0059750A">
              <w:rPr>
                <w:rFonts w:asciiTheme="minorHAnsi" w:hAnsiTheme="minorHAnsi"/>
              </w:rPr>
              <w:t>Hispanic or Latino</w:t>
            </w:r>
          </w:p>
        </w:tc>
        <w:tc>
          <w:tcPr>
            <w:tcW w:w="1151" w:type="dxa"/>
          </w:tcPr>
          <w:p w14:paraId="75E81E1D" w14:textId="77777777" w:rsidR="007303EE" w:rsidRPr="00797379" w:rsidRDefault="007303EE" w:rsidP="00B45A09">
            <w:pPr>
              <w:pStyle w:val="TableTextCentered"/>
            </w:pPr>
            <w:r w:rsidRPr="00797379">
              <w:t>10</w:t>
            </w:r>
          </w:p>
        </w:tc>
        <w:tc>
          <w:tcPr>
            <w:tcW w:w="1152" w:type="dxa"/>
          </w:tcPr>
          <w:p w14:paraId="64D835AB" w14:textId="77777777" w:rsidR="007303EE" w:rsidRPr="00797379" w:rsidRDefault="007303EE" w:rsidP="00B45A09">
            <w:pPr>
              <w:pStyle w:val="TableTextCentered"/>
            </w:pPr>
            <w:r w:rsidRPr="00797379">
              <w:t>87.5</w:t>
            </w:r>
          </w:p>
        </w:tc>
        <w:tc>
          <w:tcPr>
            <w:tcW w:w="1151" w:type="dxa"/>
          </w:tcPr>
          <w:p w14:paraId="558FDA21" w14:textId="77777777" w:rsidR="007303EE" w:rsidRPr="00797379" w:rsidRDefault="007303EE" w:rsidP="00B45A09">
            <w:pPr>
              <w:pStyle w:val="TableTextCentered"/>
            </w:pPr>
            <w:r w:rsidRPr="00797379">
              <w:t>100.0</w:t>
            </w:r>
          </w:p>
        </w:tc>
        <w:tc>
          <w:tcPr>
            <w:tcW w:w="1152" w:type="dxa"/>
          </w:tcPr>
          <w:p w14:paraId="0AB00B3E" w14:textId="77777777" w:rsidR="007303EE" w:rsidRPr="00797379" w:rsidRDefault="007303EE" w:rsidP="00B45A09">
            <w:pPr>
              <w:pStyle w:val="TableTextCentered"/>
            </w:pPr>
            <w:r w:rsidRPr="00797379">
              <w:t>100.0</w:t>
            </w:r>
          </w:p>
        </w:tc>
        <w:tc>
          <w:tcPr>
            <w:tcW w:w="1152" w:type="dxa"/>
          </w:tcPr>
          <w:p w14:paraId="1EAC088A" w14:textId="77777777" w:rsidR="007303EE" w:rsidRPr="00797379" w:rsidRDefault="007303EE" w:rsidP="00B45A09">
            <w:pPr>
              <w:pStyle w:val="TableTextCentered"/>
            </w:pPr>
            <w:r w:rsidRPr="00797379">
              <w:t>81.7</w:t>
            </w:r>
          </w:p>
        </w:tc>
      </w:tr>
      <w:tr w:rsidR="007303EE" w:rsidRPr="00797379" w14:paraId="5C5DA0CF" w14:textId="77777777" w:rsidTr="00B45A09">
        <w:tc>
          <w:tcPr>
            <w:tcW w:w="3586" w:type="dxa"/>
          </w:tcPr>
          <w:p w14:paraId="7E02E508" w14:textId="77777777" w:rsidR="007303EE" w:rsidRPr="0059750A" w:rsidRDefault="007303EE" w:rsidP="00B45A09">
            <w:pPr>
              <w:pStyle w:val="TableSubheading"/>
              <w:rPr>
                <w:rFonts w:asciiTheme="minorHAnsi" w:hAnsiTheme="minorHAnsi"/>
              </w:rPr>
            </w:pPr>
            <w:r w:rsidRPr="0059750A">
              <w:rPr>
                <w:rFonts w:asciiTheme="minorHAnsi" w:hAnsiTheme="minorHAnsi"/>
              </w:rPr>
              <w:t>Multi-Race, Not Hispanic or Latino</w:t>
            </w:r>
          </w:p>
        </w:tc>
        <w:tc>
          <w:tcPr>
            <w:tcW w:w="1151" w:type="dxa"/>
          </w:tcPr>
          <w:p w14:paraId="50196BD3" w14:textId="77777777" w:rsidR="007303EE" w:rsidRPr="00797379" w:rsidRDefault="007303EE" w:rsidP="00B45A09">
            <w:pPr>
              <w:pStyle w:val="TableTextCentered"/>
            </w:pPr>
            <w:r w:rsidRPr="00797379">
              <w:t>10</w:t>
            </w:r>
          </w:p>
        </w:tc>
        <w:tc>
          <w:tcPr>
            <w:tcW w:w="1152" w:type="dxa"/>
          </w:tcPr>
          <w:p w14:paraId="7A4A6AAB" w14:textId="77777777" w:rsidR="007303EE" w:rsidRPr="00797379" w:rsidRDefault="007303EE" w:rsidP="00B45A09">
            <w:pPr>
              <w:pStyle w:val="TableTextCentered"/>
            </w:pPr>
            <w:r w:rsidRPr="00797379">
              <w:t>100.0</w:t>
            </w:r>
          </w:p>
        </w:tc>
        <w:tc>
          <w:tcPr>
            <w:tcW w:w="1151" w:type="dxa"/>
          </w:tcPr>
          <w:p w14:paraId="13EB2D57" w14:textId="77777777" w:rsidR="007303EE" w:rsidRPr="00797379" w:rsidRDefault="007303EE" w:rsidP="00B45A09">
            <w:pPr>
              <w:pStyle w:val="TableTextCentered"/>
            </w:pPr>
            <w:r w:rsidRPr="00797379">
              <w:t>94.1</w:t>
            </w:r>
          </w:p>
        </w:tc>
        <w:tc>
          <w:tcPr>
            <w:tcW w:w="1152" w:type="dxa"/>
          </w:tcPr>
          <w:p w14:paraId="403728F7" w14:textId="77777777" w:rsidR="007303EE" w:rsidRPr="00797379" w:rsidRDefault="007303EE" w:rsidP="00B45A09">
            <w:pPr>
              <w:pStyle w:val="TableTextCentered"/>
            </w:pPr>
            <w:r w:rsidRPr="00797379">
              <w:t>90.0</w:t>
            </w:r>
          </w:p>
        </w:tc>
        <w:tc>
          <w:tcPr>
            <w:tcW w:w="1152" w:type="dxa"/>
          </w:tcPr>
          <w:p w14:paraId="1F2B54B7" w14:textId="77777777" w:rsidR="007303EE" w:rsidRPr="00797379" w:rsidRDefault="007303EE" w:rsidP="00B45A09">
            <w:pPr>
              <w:pStyle w:val="TableTextCentered"/>
            </w:pPr>
            <w:r w:rsidRPr="00797379">
              <w:t>91.1</w:t>
            </w:r>
          </w:p>
        </w:tc>
      </w:tr>
      <w:tr w:rsidR="007303EE" w:rsidRPr="00797379" w14:paraId="7895D92A" w14:textId="77777777" w:rsidTr="00B45A09">
        <w:trPr>
          <w:cnfStyle w:val="000000100000" w:firstRow="0" w:lastRow="0" w:firstColumn="0" w:lastColumn="0" w:oddVBand="0" w:evenVBand="0" w:oddHBand="1" w:evenHBand="0" w:firstRowFirstColumn="0" w:firstRowLastColumn="0" w:lastRowFirstColumn="0" w:lastRowLastColumn="0"/>
        </w:trPr>
        <w:tc>
          <w:tcPr>
            <w:tcW w:w="3586" w:type="dxa"/>
          </w:tcPr>
          <w:p w14:paraId="0EEF051C" w14:textId="77777777" w:rsidR="007303EE" w:rsidRPr="0059750A" w:rsidRDefault="007303EE" w:rsidP="00B45A09">
            <w:pPr>
              <w:pStyle w:val="TableSubheading"/>
              <w:rPr>
                <w:rFonts w:asciiTheme="minorHAnsi" w:hAnsiTheme="minorHAnsi"/>
                <w:spacing w:val="-4"/>
              </w:rPr>
            </w:pPr>
            <w:r w:rsidRPr="0059750A">
              <w:rPr>
                <w:rFonts w:asciiTheme="minorHAnsi" w:hAnsiTheme="minorHAnsi"/>
              </w:rPr>
              <w:t>Native Hawaiian or Other Pacific Islander</w:t>
            </w:r>
          </w:p>
        </w:tc>
        <w:tc>
          <w:tcPr>
            <w:tcW w:w="1151" w:type="dxa"/>
          </w:tcPr>
          <w:p w14:paraId="02A3C9D5" w14:textId="37EB136E" w:rsidR="007303EE" w:rsidRPr="00797379" w:rsidRDefault="00220288" w:rsidP="00B45A09">
            <w:pPr>
              <w:pStyle w:val="TableTextCentered"/>
            </w:pPr>
            <w:r>
              <w:t>N/A</w:t>
            </w:r>
          </w:p>
        </w:tc>
        <w:tc>
          <w:tcPr>
            <w:tcW w:w="1152" w:type="dxa"/>
          </w:tcPr>
          <w:p w14:paraId="6082AEDE" w14:textId="6EABD16E" w:rsidR="007303EE" w:rsidRPr="00797379" w:rsidRDefault="00220288" w:rsidP="00B45A09">
            <w:pPr>
              <w:pStyle w:val="TableTextCentered"/>
            </w:pPr>
            <w:r>
              <w:t>N/A</w:t>
            </w:r>
          </w:p>
        </w:tc>
        <w:tc>
          <w:tcPr>
            <w:tcW w:w="1151" w:type="dxa"/>
          </w:tcPr>
          <w:p w14:paraId="107B673A" w14:textId="006878F9" w:rsidR="007303EE" w:rsidRPr="00797379" w:rsidRDefault="00220288" w:rsidP="00B45A09">
            <w:pPr>
              <w:pStyle w:val="TableTextCentered"/>
            </w:pPr>
            <w:r>
              <w:t>N/A</w:t>
            </w:r>
          </w:p>
        </w:tc>
        <w:tc>
          <w:tcPr>
            <w:tcW w:w="1152" w:type="dxa"/>
          </w:tcPr>
          <w:p w14:paraId="6933C7C0" w14:textId="65857950" w:rsidR="007303EE" w:rsidRPr="00797379" w:rsidRDefault="00220288" w:rsidP="00B45A09">
            <w:pPr>
              <w:pStyle w:val="TableTextCentered"/>
            </w:pPr>
            <w:r>
              <w:t>N/A</w:t>
            </w:r>
          </w:p>
        </w:tc>
        <w:tc>
          <w:tcPr>
            <w:tcW w:w="1152" w:type="dxa"/>
          </w:tcPr>
          <w:p w14:paraId="02830CFC" w14:textId="77777777" w:rsidR="007303EE" w:rsidRPr="00797379" w:rsidRDefault="007303EE" w:rsidP="00B45A09">
            <w:pPr>
              <w:pStyle w:val="TableTextCentered"/>
            </w:pPr>
            <w:r w:rsidRPr="00797379">
              <w:t>92.8</w:t>
            </w:r>
          </w:p>
        </w:tc>
      </w:tr>
      <w:tr w:rsidR="007303EE" w:rsidRPr="00797379" w14:paraId="4A0FC4F5" w14:textId="77777777" w:rsidTr="00B45A09">
        <w:tc>
          <w:tcPr>
            <w:tcW w:w="3586" w:type="dxa"/>
          </w:tcPr>
          <w:p w14:paraId="27B91440" w14:textId="77777777" w:rsidR="007303EE" w:rsidRPr="0059750A" w:rsidRDefault="007303EE" w:rsidP="00B45A09">
            <w:pPr>
              <w:pStyle w:val="TableSubheading"/>
              <w:rPr>
                <w:rFonts w:asciiTheme="minorHAnsi" w:hAnsiTheme="minorHAnsi"/>
              </w:rPr>
            </w:pPr>
            <w:r w:rsidRPr="0059750A">
              <w:rPr>
                <w:rFonts w:asciiTheme="minorHAnsi" w:hAnsiTheme="minorHAnsi"/>
              </w:rPr>
              <w:t>White</w:t>
            </w:r>
          </w:p>
        </w:tc>
        <w:tc>
          <w:tcPr>
            <w:tcW w:w="1151" w:type="dxa"/>
          </w:tcPr>
          <w:p w14:paraId="024AACB3" w14:textId="77777777" w:rsidR="007303EE" w:rsidRPr="00797379" w:rsidRDefault="007303EE" w:rsidP="00B45A09">
            <w:pPr>
              <w:pStyle w:val="TableTextCentered"/>
            </w:pPr>
            <w:r w:rsidRPr="00797379">
              <w:t>258</w:t>
            </w:r>
          </w:p>
        </w:tc>
        <w:tc>
          <w:tcPr>
            <w:tcW w:w="1152" w:type="dxa"/>
          </w:tcPr>
          <w:p w14:paraId="05D01384" w14:textId="77777777" w:rsidR="007303EE" w:rsidRPr="00797379" w:rsidRDefault="007303EE" w:rsidP="00B45A09">
            <w:pPr>
              <w:pStyle w:val="TableTextCentered"/>
            </w:pPr>
            <w:r w:rsidRPr="00797379">
              <w:t>99.3</w:t>
            </w:r>
          </w:p>
        </w:tc>
        <w:tc>
          <w:tcPr>
            <w:tcW w:w="1151" w:type="dxa"/>
          </w:tcPr>
          <w:p w14:paraId="1A89632F" w14:textId="77777777" w:rsidR="007303EE" w:rsidRPr="00797379" w:rsidRDefault="007303EE" w:rsidP="00B45A09">
            <w:pPr>
              <w:pStyle w:val="TableTextCentered"/>
            </w:pPr>
            <w:r w:rsidRPr="00797379">
              <w:t>97.1</w:t>
            </w:r>
          </w:p>
        </w:tc>
        <w:tc>
          <w:tcPr>
            <w:tcW w:w="1152" w:type="dxa"/>
          </w:tcPr>
          <w:p w14:paraId="23AEBD56" w14:textId="77777777" w:rsidR="007303EE" w:rsidRPr="00797379" w:rsidRDefault="007303EE" w:rsidP="00B45A09">
            <w:pPr>
              <w:pStyle w:val="TableTextCentered"/>
            </w:pPr>
            <w:r w:rsidRPr="00797379">
              <w:t>94.6</w:t>
            </w:r>
          </w:p>
        </w:tc>
        <w:tc>
          <w:tcPr>
            <w:tcW w:w="1152" w:type="dxa"/>
          </w:tcPr>
          <w:p w14:paraId="01A24A79" w14:textId="77777777" w:rsidR="007303EE" w:rsidRPr="00797379" w:rsidRDefault="007303EE" w:rsidP="00B45A09">
            <w:pPr>
              <w:pStyle w:val="TableTextCentered"/>
            </w:pPr>
            <w:r w:rsidRPr="00797379">
              <w:t>94.2</w:t>
            </w:r>
          </w:p>
        </w:tc>
      </w:tr>
      <w:tr w:rsidR="007303EE" w:rsidRPr="00797379" w14:paraId="5B340545" w14:textId="77777777" w:rsidTr="00B45A09">
        <w:trPr>
          <w:cnfStyle w:val="000000100000" w:firstRow="0" w:lastRow="0" w:firstColumn="0" w:lastColumn="0" w:oddVBand="0" w:evenVBand="0" w:oddHBand="1" w:evenHBand="0" w:firstRowFirstColumn="0" w:firstRowLastColumn="0" w:lastRowFirstColumn="0" w:lastRowLastColumn="0"/>
        </w:trPr>
        <w:tc>
          <w:tcPr>
            <w:tcW w:w="3586" w:type="dxa"/>
          </w:tcPr>
          <w:p w14:paraId="5A03C7A7" w14:textId="77777777" w:rsidR="007303EE" w:rsidRPr="0059750A" w:rsidRDefault="007303EE" w:rsidP="00B45A09">
            <w:pPr>
              <w:pStyle w:val="TableSubheading"/>
              <w:rPr>
                <w:rFonts w:asciiTheme="minorHAnsi" w:hAnsiTheme="minorHAnsi"/>
              </w:rPr>
            </w:pPr>
            <w:r w:rsidRPr="0059750A">
              <w:rPr>
                <w:rFonts w:asciiTheme="minorHAnsi" w:hAnsiTheme="minorHAnsi"/>
              </w:rPr>
              <w:t>High Needs</w:t>
            </w:r>
          </w:p>
        </w:tc>
        <w:tc>
          <w:tcPr>
            <w:tcW w:w="1151" w:type="dxa"/>
          </w:tcPr>
          <w:p w14:paraId="5E0F3ACA" w14:textId="77777777" w:rsidR="007303EE" w:rsidRPr="00797379" w:rsidRDefault="007303EE" w:rsidP="00B45A09">
            <w:pPr>
              <w:pStyle w:val="TableTextCentered"/>
            </w:pPr>
            <w:r w:rsidRPr="00797379">
              <w:t>97</w:t>
            </w:r>
          </w:p>
        </w:tc>
        <w:tc>
          <w:tcPr>
            <w:tcW w:w="1152" w:type="dxa"/>
          </w:tcPr>
          <w:p w14:paraId="094F5185" w14:textId="77777777" w:rsidR="007303EE" w:rsidRPr="00797379" w:rsidRDefault="007303EE" w:rsidP="00B45A09">
            <w:pPr>
              <w:pStyle w:val="TableTextCentered"/>
            </w:pPr>
            <w:r w:rsidRPr="00797379">
              <w:t>94.3</w:t>
            </w:r>
          </w:p>
        </w:tc>
        <w:tc>
          <w:tcPr>
            <w:tcW w:w="1151" w:type="dxa"/>
          </w:tcPr>
          <w:p w14:paraId="42F711A4" w14:textId="77777777" w:rsidR="007303EE" w:rsidRPr="00797379" w:rsidRDefault="007303EE" w:rsidP="00B45A09">
            <w:pPr>
              <w:pStyle w:val="TableTextCentered"/>
            </w:pPr>
            <w:r w:rsidRPr="00797379">
              <w:t>91.3</w:t>
            </w:r>
          </w:p>
        </w:tc>
        <w:tc>
          <w:tcPr>
            <w:tcW w:w="1152" w:type="dxa"/>
          </w:tcPr>
          <w:p w14:paraId="1B6C8E82" w14:textId="77777777" w:rsidR="007303EE" w:rsidRPr="00797379" w:rsidRDefault="007303EE" w:rsidP="00B45A09">
            <w:pPr>
              <w:pStyle w:val="TableTextCentered"/>
            </w:pPr>
            <w:r w:rsidRPr="00797379">
              <w:t>87.6</w:t>
            </w:r>
          </w:p>
        </w:tc>
        <w:tc>
          <w:tcPr>
            <w:tcW w:w="1152" w:type="dxa"/>
          </w:tcPr>
          <w:p w14:paraId="2EA3C11B" w14:textId="77777777" w:rsidR="007303EE" w:rsidRPr="00797379" w:rsidRDefault="007303EE" w:rsidP="00B45A09">
            <w:pPr>
              <w:pStyle w:val="TableTextCentered"/>
            </w:pPr>
            <w:r w:rsidRPr="00797379">
              <w:t>85.5</w:t>
            </w:r>
          </w:p>
        </w:tc>
      </w:tr>
      <w:tr w:rsidR="007303EE" w:rsidRPr="00797379" w14:paraId="0E2A4356" w14:textId="77777777" w:rsidTr="00B45A09">
        <w:tc>
          <w:tcPr>
            <w:tcW w:w="3586" w:type="dxa"/>
          </w:tcPr>
          <w:p w14:paraId="75BB0772" w14:textId="77777777" w:rsidR="007303EE" w:rsidRPr="0059750A" w:rsidRDefault="007303EE" w:rsidP="00B45A09">
            <w:pPr>
              <w:pStyle w:val="TableSubheading"/>
              <w:rPr>
                <w:rFonts w:asciiTheme="minorHAnsi" w:hAnsiTheme="minorHAnsi"/>
              </w:rPr>
            </w:pPr>
            <w:r w:rsidRPr="0059750A">
              <w:rPr>
                <w:rFonts w:asciiTheme="minorHAnsi" w:hAnsiTheme="minorHAnsi"/>
              </w:rPr>
              <w:t>English Learners</w:t>
            </w:r>
          </w:p>
        </w:tc>
        <w:tc>
          <w:tcPr>
            <w:tcW w:w="1151" w:type="dxa"/>
          </w:tcPr>
          <w:p w14:paraId="2319A963" w14:textId="77777777" w:rsidR="007303EE" w:rsidRPr="00797379" w:rsidRDefault="007303EE" w:rsidP="00B45A09">
            <w:pPr>
              <w:pStyle w:val="TableTextCentered"/>
            </w:pPr>
            <w:r w:rsidRPr="00797379">
              <w:t>5</w:t>
            </w:r>
          </w:p>
        </w:tc>
        <w:tc>
          <w:tcPr>
            <w:tcW w:w="1152" w:type="dxa"/>
          </w:tcPr>
          <w:p w14:paraId="2A83EFF1" w14:textId="77777777" w:rsidR="007303EE" w:rsidRPr="00797379" w:rsidRDefault="007303EE" w:rsidP="00B45A09">
            <w:pPr>
              <w:pStyle w:val="TableTextCentered"/>
            </w:pPr>
            <w:r w:rsidRPr="00797379">
              <w:t>100.0</w:t>
            </w:r>
          </w:p>
        </w:tc>
        <w:tc>
          <w:tcPr>
            <w:tcW w:w="1151" w:type="dxa"/>
          </w:tcPr>
          <w:p w14:paraId="2298B423" w14:textId="77777777" w:rsidR="007303EE" w:rsidRPr="00797379" w:rsidRDefault="007303EE" w:rsidP="00B45A09">
            <w:pPr>
              <w:pStyle w:val="TableTextCentered"/>
            </w:pPr>
            <w:r w:rsidRPr="00797379">
              <w:t>100.0</w:t>
            </w:r>
          </w:p>
        </w:tc>
        <w:tc>
          <w:tcPr>
            <w:tcW w:w="1152" w:type="dxa"/>
          </w:tcPr>
          <w:p w14:paraId="57437669" w14:textId="2BAF7C5B" w:rsidR="007303EE" w:rsidRPr="00797379" w:rsidRDefault="00220288" w:rsidP="00B45A09">
            <w:pPr>
              <w:pStyle w:val="TableTextCentered"/>
            </w:pPr>
            <w:r>
              <w:t>N/A</w:t>
            </w:r>
          </w:p>
        </w:tc>
        <w:tc>
          <w:tcPr>
            <w:tcW w:w="1152" w:type="dxa"/>
          </w:tcPr>
          <w:p w14:paraId="52226FDD" w14:textId="77777777" w:rsidR="007303EE" w:rsidRPr="00797379" w:rsidRDefault="007303EE" w:rsidP="00B45A09">
            <w:pPr>
              <w:pStyle w:val="TableTextCentered"/>
            </w:pPr>
            <w:r w:rsidRPr="00797379">
              <w:t>71.5</w:t>
            </w:r>
          </w:p>
        </w:tc>
      </w:tr>
      <w:tr w:rsidR="007303EE" w:rsidRPr="00797379" w14:paraId="423EB6C5" w14:textId="77777777" w:rsidTr="00B45A09">
        <w:trPr>
          <w:cnfStyle w:val="000000100000" w:firstRow="0" w:lastRow="0" w:firstColumn="0" w:lastColumn="0" w:oddVBand="0" w:evenVBand="0" w:oddHBand="1" w:evenHBand="0" w:firstRowFirstColumn="0" w:firstRowLastColumn="0" w:lastRowFirstColumn="0" w:lastRowLastColumn="0"/>
        </w:trPr>
        <w:tc>
          <w:tcPr>
            <w:tcW w:w="3586" w:type="dxa"/>
          </w:tcPr>
          <w:p w14:paraId="0665E9C0" w14:textId="77777777" w:rsidR="007303EE" w:rsidRPr="0059750A" w:rsidRDefault="007303EE" w:rsidP="00B45A09">
            <w:pPr>
              <w:pStyle w:val="TableSubheading"/>
              <w:rPr>
                <w:rFonts w:asciiTheme="minorHAnsi" w:hAnsiTheme="minorHAnsi"/>
                <w:spacing w:val="-4"/>
              </w:rPr>
            </w:pPr>
            <w:r w:rsidRPr="0059750A">
              <w:rPr>
                <w:rFonts w:asciiTheme="minorHAnsi" w:hAnsiTheme="minorHAnsi"/>
              </w:rPr>
              <w:t>Low Income</w:t>
            </w:r>
          </w:p>
        </w:tc>
        <w:tc>
          <w:tcPr>
            <w:tcW w:w="1151" w:type="dxa"/>
          </w:tcPr>
          <w:p w14:paraId="0EC52460" w14:textId="77777777" w:rsidR="007303EE" w:rsidRPr="00797379" w:rsidRDefault="007303EE" w:rsidP="00B45A09">
            <w:pPr>
              <w:pStyle w:val="TableTextCentered"/>
            </w:pPr>
            <w:r w:rsidRPr="00797379">
              <w:t>43</w:t>
            </w:r>
          </w:p>
        </w:tc>
        <w:tc>
          <w:tcPr>
            <w:tcW w:w="1152" w:type="dxa"/>
          </w:tcPr>
          <w:p w14:paraId="3C111E23" w14:textId="77777777" w:rsidR="007303EE" w:rsidRPr="00797379" w:rsidRDefault="007303EE" w:rsidP="00B45A09">
            <w:pPr>
              <w:pStyle w:val="TableTextCentered"/>
            </w:pPr>
            <w:r w:rsidRPr="00797379">
              <w:t>91.1</w:t>
            </w:r>
          </w:p>
        </w:tc>
        <w:tc>
          <w:tcPr>
            <w:tcW w:w="1151" w:type="dxa"/>
          </w:tcPr>
          <w:p w14:paraId="77BE0572" w14:textId="77777777" w:rsidR="007303EE" w:rsidRPr="00797379" w:rsidRDefault="007303EE" w:rsidP="00B45A09">
            <w:pPr>
              <w:pStyle w:val="TableTextCentered"/>
            </w:pPr>
            <w:r w:rsidRPr="00797379">
              <w:t>94.1</w:t>
            </w:r>
          </w:p>
        </w:tc>
        <w:tc>
          <w:tcPr>
            <w:tcW w:w="1152" w:type="dxa"/>
          </w:tcPr>
          <w:p w14:paraId="4FE3D35C" w14:textId="77777777" w:rsidR="007303EE" w:rsidRPr="00797379" w:rsidRDefault="007303EE" w:rsidP="00B45A09">
            <w:pPr>
              <w:pStyle w:val="TableTextCentered"/>
            </w:pPr>
            <w:r w:rsidRPr="00797379">
              <w:t>93.0</w:t>
            </w:r>
          </w:p>
        </w:tc>
        <w:tc>
          <w:tcPr>
            <w:tcW w:w="1152" w:type="dxa"/>
          </w:tcPr>
          <w:p w14:paraId="72304E74" w14:textId="77777777" w:rsidR="007303EE" w:rsidRPr="00797379" w:rsidRDefault="007303EE" w:rsidP="00B45A09">
            <w:pPr>
              <w:pStyle w:val="TableTextCentered"/>
            </w:pPr>
            <w:r w:rsidRPr="00797379">
              <w:t>84.8</w:t>
            </w:r>
          </w:p>
        </w:tc>
      </w:tr>
      <w:tr w:rsidR="007303EE" w:rsidRPr="00797379" w14:paraId="431A7449" w14:textId="77777777" w:rsidTr="00B45A09">
        <w:tc>
          <w:tcPr>
            <w:tcW w:w="3586" w:type="dxa"/>
          </w:tcPr>
          <w:p w14:paraId="7AF67C81" w14:textId="77777777" w:rsidR="007303EE" w:rsidRPr="0059750A" w:rsidRDefault="007303EE" w:rsidP="00B45A09">
            <w:pPr>
              <w:pStyle w:val="TableSubheading"/>
              <w:rPr>
                <w:rFonts w:asciiTheme="minorHAnsi" w:hAnsiTheme="minorHAnsi"/>
              </w:rPr>
            </w:pPr>
            <w:r w:rsidRPr="0059750A">
              <w:rPr>
                <w:rFonts w:asciiTheme="minorHAnsi" w:hAnsiTheme="minorHAnsi"/>
              </w:rPr>
              <w:t>Students with Disabilities</w:t>
            </w:r>
          </w:p>
        </w:tc>
        <w:tc>
          <w:tcPr>
            <w:tcW w:w="1151" w:type="dxa"/>
          </w:tcPr>
          <w:p w14:paraId="5D135201" w14:textId="77777777" w:rsidR="007303EE" w:rsidRPr="00797379" w:rsidRDefault="007303EE" w:rsidP="00B45A09">
            <w:pPr>
              <w:pStyle w:val="TableTextCentered"/>
            </w:pPr>
            <w:r w:rsidRPr="00797379">
              <w:t>62</w:t>
            </w:r>
          </w:p>
        </w:tc>
        <w:tc>
          <w:tcPr>
            <w:tcW w:w="1152" w:type="dxa"/>
          </w:tcPr>
          <w:p w14:paraId="493DD4FE" w14:textId="77777777" w:rsidR="007303EE" w:rsidRPr="00797379" w:rsidRDefault="007303EE" w:rsidP="00B45A09">
            <w:pPr>
              <w:pStyle w:val="TableTextCentered"/>
            </w:pPr>
            <w:r w:rsidRPr="00797379">
              <w:t>92.6</w:t>
            </w:r>
          </w:p>
        </w:tc>
        <w:tc>
          <w:tcPr>
            <w:tcW w:w="1151" w:type="dxa"/>
          </w:tcPr>
          <w:p w14:paraId="6420EBF0" w14:textId="77777777" w:rsidR="007303EE" w:rsidRPr="00797379" w:rsidRDefault="007303EE" w:rsidP="00B45A09">
            <w:pPr>
              <w:pStyle w:val="TableTextCentered"/>
            </w:pPr>
            <w:r w:rsidRPr="00797379">
              <w:t>87.0</w:t>
            </w:r>
          </w:p>
        </w:tc>
        <w:tc>
          <w:tcPr>
            <w:tcW w:w="1152" w:type="dxa"/>
          </w:tcPr>
          <w:p w14:paraId="5E0843F5" w14:textId="77777777" w:rsidR="007303EE" w:rsidRPr="00797379" w:rsidRDefault="007303EE" w:rsidP="00B45A09">
            <w:pPr>
              <w:pStyle w:val="TableTextCentered"/>
            </w:pPr>
            <w:r w:rsidRPr="00797379">
              <w:t>82.3</w:t>
            </w:r>
          </w:p>
        </w:tc>
        <w:tc>
          <w:tcPr>
            <w:tcW w:w="1152" w:type="dxa"/>
          </w:tcPr>
          <w:p w14:paraId="7E23EBD0" w14:textId="77777777" w:rsidR="007303EE" w:rsidRPr="00797379" w:rsidRDefault="007303EE" w:rsidP="00B45A09">
            <w:pPr>
              <w:pStyle w:val="TableTextCentered"/>
            </w:pPr>
            <w:r w:rsidRPr="00797379">
              <w:t>80.0</w:t>
            </w:r>
          </w:p>
        </w:tc>
      </w:tr>
    </w:tbl>
    <w:p w14:paraId="3FD8FD70" w14:textId="77777777" w:rsidR="007303EE" w:rsidRPr="00797379" w:rsidRDefault="007303EE" w:rsidP="006C2038">
      <w:pPr>
        <w:pStyle w:val="TableETitles"/>
      </w:pPr>
      <w:bookmarkStart w:id="260" w:name="_Toc220933521"/>
      <w:r w:rsidRPr="00797379">
        <w:t>Table E18. Annual Dropout Rates by Student Group, 2022-2024</w:t>
      </w:r>
      <w:bookmarkEnd w:id="260"/>
    </w:p>
    <w:tbl>
      <w:tblPr>
        <w:tblStyle w:val="MSVTable1"/>
        <w:tblW w:w="5000" w:type="pct"/>
        <w:tblLook w:val="0420" w:firstRow="1" w:lastRow="0" w:firstColumn="0" w:lastColumn="0" w:noHBand="0" w:noVBand="1"/>
      </w:tblPr>
      <w:tblGrid>
        <w:gridCol w:w="3586"/>
        <w:gridCol w:w="1151"/>
        <w:gridCol w:w="1152"/>
        <w:gridCol w:w="1151"/>
        <w:gridCol w:w="1152"/>
        <w:gridCol w:w="1152"/>
      </w:tblGrid>
      <w:tr w:rsidR="007303EE" w:rsidRPr="00797379" w14:paraId="6931EBCD" w14:textId="77777777" w:rsidTr="0034431B">
        <w:trPr>
          <w:cnfStyle w:val="100000000000" w:firstRow="1" w:lastRow="0" w:firstColumn="0" w:lastColumn="0" w:oddVBand="0" w:evenVBand="0" w:oddHBand="0" w:evenHBand="0" w:firstRowFirstColumn="0" w:firstRowLastColumn="0" w:lastRowFirstColumn="0" w:lastRowLastColumn="0"/>
          <w:tblHeader/>
        </w:trPr>
        <w:tc>
          <w:tcPr>
            <w:tcW w:w="3586" w:type="dxa"/>
            <w:vAlign w:val="center"/>
          </w:tcPr>
          <w:p w14:paraId="027F7E7E" w14:textId="77777777" w:rsidR="007303EE" w:rsidRPr="00797379" w:rsidRDefault="007303EE" w:rsidP="00B45A09">
            <w:pPr>
              <w:pStyle w:val="TableColHeadingCenter"/>
            </w:pPr>
            <w:r w:rsidRPr="00797379">
              <w:t>Group</w:t>
            </w:r>
          </w:p>
        </w:tc>
        <w:tc>
          <w:tcPr>
            <w:tcW w:w="1151" w:type="dxa"/>
            <w:vAlign w:val="center"/>
          </w:tcPr>
          <w:p w14:paraId="70246237" w14:textId="77777777" w:rsidR="007303EE" w:rsidRPr="00797379" w:rsidRDefault="007303EE" w:rsidP="00B45A09">
            <w:pPr>
              <w:pStyle w:val="TableColHeadingCenter"/>
            </w:pPr>
            <w:r w:rsidRPr="00797379">
              <w:t># Included (2024)</w:t>
            </w:r>
          </w:p>
        </w:tc>
        <w:tc>
          <w:tcPr>
            <w:tcW w:w="1152" w:type="dxa"/>
            <w:vAlign w:val="center"/>
          </w:tcPr>
          <w:p w14:paraId="3ED8CBE6" w14:textId="77777777" w:rsidR="007303EE" w:rsidRPr="00797379" w:rsidRDefault="007303EE" w:rsidP="00B45A09">
            <w:pPr>
              <w:pStyle w:val="TableColHeadingCenter"/>
            </w:pPr>
            <w:r w:rsidRPr="00797379">
              <w:t>2022</w:t>
            </w:r>
          </w:p>
        </w:tc>
        <w:tc>
          <w:tcPr>
            <w:tcW w:w="1151" w:type="dxa"/>
            <w:vAlign w:val="center"/>
          </w:tcPr>
          <w:p w14:paraId="1E1300F6" w14:textId="77777777" w:rsidR="007303EE" w:rsidRPr="00797379" w:rsidRDefault="007303EE" w:rsidP="00B45A09">
            <w:pPr>
              <w:pStyle w:val="TableColHeadingCenter"/>
            </w:pPr>
            <w:r w:rsidRPr="00797379">
              <w:t>2023</w:t>
            </w:r>
          </w:p>
        </w:tc>
        <w:tc>
          <w:tcPr>
            <w:tcW w:w="1152" w:type="dxa"/>
            <w:vAlign w:val="center"/>
          </w:tcPr>
          <w:p w14:paraId="5A189F01" w14:textId="77777777" w:rsidR="007303EE" w:rsidRPr="00797379" w:rsidRDefault="007303EE" w:rsidP="00B45A09">
            <w:pPr>
              <w:pStyle w:val="TableColHeadingCenter"/>
            </w:pPr>
            <w:r w:rsidRPr="00797379">
              <w:t>2024</w:t>
            </w:r>
          </w:p>
        </w:tc>
        <w:tc>
          <w:tcPr>
            <w:tcW w:w="1152" w:type="dxa"/>
            <w:vAlign w:val="center"/>
          </w:tcPr>
          <w:p w14:paraId="7D98C7B2" w14:textId="77777777" w:rsidR="007303EE" w:rsidRPr="00797379" w:rsidRDefault="007303EE" w:rsidP="00B45A09">
            <w:pPr>
              <w:pStyle w:val="TableColHeadingCenter"/>
            </w:pPr>
            <w:r w:rsidRPr="00797379">
              <w:t>State (2024)</w:t>
            </w:r>
          </w:p>
        </w:tc>
      </w:tr>
      <w:tr w:rsidR="007303EE" w:rsidRPr="00797379" w14:paraId="24D4C44F" w14:textId="77777777" w:rsidTr="00B45A09">
        <w:trPr>
          <w:cnfStyle w:val="000000100000" w:firstRow="0" w:lastRow="0" w:firstColumn="0" w:lastColumn="0" w:oddVBand="0" w:evenVBand="0" w:oddHBand="1" w:evenHBand="0" w:firstRowFirstColumn="0" w:firstRowLastColumn="0" w:lastRowFirstColumn="0" w:lastRowLastColumn="0"/>
        </w:trPr>
        <w:tc>
          <w:tcPr>
            <w:tcW w:w="3586" w:type="dxa"/>
          </w:tcPr>
          <w:p w14:paraId="3B30064B" w14:textId="77777777" w:rsidR="007303EE" w:rsidRPr="0059750A" w:rsidRDefault="007303EE" w:rsidP="00B45A09">
            <w:pPr>
              <w:pStyle w:val="TableSubheading"/>
              <w:rPr>
                <w:rFonts w:asciiTheme="minorHAnsi" w:hAnsiTheme="minorHAnsi"/>
              </w:rPr>
            </w:pPr>
            <w:r w:rsidRPr="0059750A">
              <w:rPr>
                <w:rFonts w:asciiTheme="minorHAnsi" w:hAnsiTheme="minorHAnsi"/>
              </w:rPr>
              <w:t>All Students</w:t>
            </w:r>
          </w:p>
        </w:tc>
        <w:tc>
          <w:tcPr>
            <w:tcW w:w="1151" w:type="dxa"/>
          </w:tcPr>
          <w:p w14:paraId="3C6E3786" w14:textId="77777777" w:rsidR="007303EE" w:rsidRPr="00797379" w:rsidRDefault="007303EE" w:rsidP="00B45A09">
            <w:pPr>
              <w:pStyle w:val="TableTextCentered"/>
            </w:pPr>
            <w:r w:rsidRPr="00797379">
              <w:t>1,367</w:t>
            </w:r>
          </w:p>
        </w:tc>
        <w:tc>
          <w:tcPr>
            <w:tcW w:w="1152" w:type="dxa"/>
          </w:tcPr>
          <w:p w14:paraId="6B54E612" w14:textId="77777777" w:rsidR="007303EE" w:rsidRPr="00797379" w:rsidRDefault="007303EE" w:rsidP="00B45A09">
            <w:pPr>
              <w:pStyle w:val="TableTextCentered"/>
            </w:pPr>
            <w:r w:rsidRPr="00797379">
              <w:t>0.4</w:t>
            </w:r>
          </w:p>
        </w:tc>
        <w:tc>
          <w:tcPr>
            <w:tcW w:w="1151" w:type="dxa"/>
          </w:tcPr>
          <w:p w14:paraId="330B2AF0" w14:textId="77777777" w:rsidR="007303EE" w:rsidRPr="00797379" w:rsidRDefault="007303EE" w:rsidP="00B45A09">
            <w:pPr>
              <w:pStyle w:val="TableTextCentered"/>
            </w:pPr>
            <w:r w:rsidRPr="00797379">
              <w:t>1.2</w:t>
            </w:r>
          </w:p>
        </w:tc>
        <w:tc>
          <w:tcPr>
            <w:tcW w:w="1152" w:type="dxa"/>
          </w:tcPr>
          <w:p w14:paraId="4E7B1054" w14:textId="77777777" w:rsidR="007303EE" w:rsidRPr="00797379" w:rsidRDefault="007303EE" w:rsidP="00B45A09">
            <w:pPr>
              <w:pStyle w:val="TableTextCentered"/>
            </w:pPr>
            <w:r w:rsidRPr="00797379">
              <w:t>0.1</w:t>
            </w:r>
          </w:p>
        </w:tc>
        <w:tc>
          <w:tcPr>
            <w:tcW w:w="1152" w:type="dxa"/>
          </w:tcPr>
          <w:p w14:paraId="622E49DE" w14:textId="77777777" w:rsidR="007303EE" w:rsidRPr="00797379" w:rsidRDefault="007303EE" w:rsidP="00B45A09">
            <w:pPr>
              <w:pStyle w:val="TableTextCentered"/>
            </w:pPr>
            <w:r w:rsidRPr="00797379">
              <w:t>2.0</w:t>
            </w:r>
          </w:p>
        </w:tc>
      </w:tr>
      <w:tr w:rsidR="007303EE" w:rsidRPr="00797379" w14:paraId="1C704FBE" w14:textId="77777777" w:rsidTr="00B45A09">
        <w:tc>
          <w:tcPr>
            <w:tcW w:w="3586" w:type="dxa"/>
          </w:tcPr>
          <w:p w14:paraId="117BCB71" w14:textId="77777777" w:rsidR="007303EE" w:rsidRPr="0059750A" w:rsidRDefault="007303EE" w:rsidP="00B45A09">
            <w:pPr>
              <w:pStyle w:val="TableSubheading"/>
              <w:rPr>
                <w:rFonts w:asciiTheme="minorHAnsi" w:hAnsiTheme="minorHAnsi"/>
              </w:rPr>
            </w:pPr>
            <w:r w:rsidRPr="0059750A">
              <w:rPr>
                <w:rFonts w:asciiTheme="minorHAnsi" w:hAnsiTheme="minorHAnsi"/>
              </w:rPr>
              <w:t>American Indian or Alaskan Native</w:t>
            </w:r>
          </w:p>
        </w:tc>
        <w:tc>
          <w:tcPr>
            <w:tcW w:w="1151" w:type="dxa"/>
          </w:tcPr>
          <w:p w14:paraId="55385F21" w14:textId="77777777" w:rsidR="007303EE" w:rsidRPr="00797379" w:rsidRDefault="007303EE" w:rsidP="00B45A09">
            <w:pPr>
              <w:pStyle w:val="TableTextCentered"/>
            </w:pPr>
            <w:r w:rsidRPr="00797379">
              <w:t>3</w:t>
            </w:r>
          </w:p>
        </w:tc>
        <w:tc>
          <w:tcPr>
            <w:tcW w:w="1152" w:type="dxa"/>
          </w:tcPr>
          <w:p w14:paraId="6EA64DDA" w14:textId="40A1DBB4" w:rsidR="007303EE" w:rsidRPr="00797379" w:rsidRDefault="00220288" w:rsidP="00B45A09">
            <w:pPr>
              <w:pStyle w:val="TableTextCentered"/>
            </w:pPr>
            <w:r>
              <w:t>N/A</w:t>
            </w:r>
          </w:p>
        </w:tc>
        <w:tc>
          <w:tcPr>
            <w:tcW w:w="1151" w:type="dxa"/>
          </w:tcPr>
          <w:p w14:paraId="7D058E5E" w14:textId="02DA37AC" w:rsidR="007303EE" w:rsidRPr="00797379" w:rsidRDefault="00220288" w:rsidP="00B45A09">
            <w:pPr>
              <w:pStyle w:val="TableTextCentered"/>
            </w:pPr>
            <w:r>
              <w:t>N/A</w:t>
            </w:r>
          </w:p>
        </w:tc>
        <w:tc>
          <w:tcPr>
            <w:tcW w:w="1152" w:type="dxa"/>
          </w:tcPr>
          <w:p w14:paraId="593394D2" w14:textId="0F766E85" w:rsidR="007303EE" w:rsidRPr="00797379" w:rsidRDefault="00220288" w:rsidP="00B45A09">
            <w:pPr>
              <w:pStyle w:val="TableTextCentered"/>
            </w:pPr>
            <w:r>
              <w:t>N/A</w:t>
            </w:r>
          </w:p>
        </w:tc>
        <w:tc>
          <w:tcPr>
            <w:tcW w:w="1152" w:type="dxa"/>
          </w:tcPr>
          <w:p w14:paraId="2AE1330D" w14:textId="77777777" w:rsidR="007303EE" w:rsidRPr="00797379" w:rsidRDefault="007303EE" w:rsidP="00B45A09">
            <w:pPr>
              <w:pStyle w:val="TableTextCentered"/>
            </w:pPr>
            <w:r w:rsidRPr="00797379">
              <w:t>4.1</w:t>
            </w:r>
          </w:p>
        </w:tc>
      </w:tr>
      <w:tr w:rsidR="007303EE" w:rsidRPr="00797379" w14:paraId="3CD3E503" w14:textId="77777777" w:rsidTr="00B45A09">
        <w:trPr>
          <w:cnfStyle w:val="000000100000" w:firstRow="0" w:lastRow="0" w:firstColumn="0" w:lastColumn="0" w:oddVBand="0" w:evenVBand="0" w:oddHBand="1" w:evenHBand="0" w:firstRowFirstColumn="0" w:firstRowLastColumn="0" w:lastRowFirstColumn="0" w:lastRowLastColumn="0"/>
        </w:trPr>
        <w:tc>
          <w:tcPr>
            <w:tcW w:w="3586" w:type="dxa"/>
          </w:tcPr>
          <w:p w14:paraId="1BAFF395" w14:textId="77777777" w:rsidR="007303EE" w:rsidRPr="0059750A" w:rsidRDefault="007303EE" w:rsidP="00B45A09">
            <w:pPr>
              <w:pStyle w:val="TableSubheading"/>
              <w:rPr>
                <w:rFonts w:asciiTheme="minorHAnsi" w:hAnsiTheme="minorHAnsi"/>
              </w:rPr>
            </w:pPr>
            <w:r w:rsidRPr="0059750A">
              <w:rPr>
                <w:rFonts w:asciiTheme="minorHAnsi" w:hAnsiTheme="minorHAnsi"/>
              </w:rPr>
              <w:t>Asian</w:t>
            </w:r>
          </w:p>
        </w:tc>
        <w:tc>
          <w:tcPr>
            <w:tcW w:w="1151" w:type="dxa"/>
          </w:tcPr>
          <w:p w14:paraId="48206083" w14:textId="77777777" w:rsidR="007303EE" w:rsidRPr="00797379" w:rsidRDefault="007303EE" w:rsidP="00B45A09">
            <w:pPr>
              <w:pStyle w:val="TableTextCentered"/>
            </w:pPr>
            <w:r w:rsidRPr="00797379">
              <w:t>271</w:t>
            </w:r>
          </w:p>
        </w:tc>
        <w:tc>
          <w:tcPr>
            <w:tcW w:w="1152" w:type="dxa"/>
          </w:tcPr>
          <w:p w14:paraId="1D236313" w14:textId="77777777" w:rsidR="007303EE" w:rsidRPr="00797379" w:rsidRDefault="007303EE" w:rsidP="00B45A09">
            <w:pPr>
              <w:pStyle w:val="TableTextCentered"/>
            </w:pPr>
            <w:r w:rsidRPr="00797379">
              <w:t>0.0</w:t>
            </w:r>
          </w:p>
        </w:tc>
        <w:tc>
          <w:tcPr>
            <w:tcW w:w="1151" w:type="dxa"/>
          </w:tcPr>
          <w:p w14:paraId="719C8F70" w14:textId="77777777" w:rsidR="007303EE" w:rsidRPr="00797379" w:rsidRDefault="007303EE" w:rsidP="00B45A09">
            <w:pPr>
              <w:pStyle w:val="TableTextCentered"/>
            </w:pPr>
            <w:r w:rsidRPr="00797379">
              <w:t>0.7</w:t>
            </w:r>
          </w:p>
        </w:tc>
        <w:tc>
          <w:tcPr>
            <w:tcW w:w="1152" w:type="dxa"/>
          </w:tcPr>
          <w:p w14:paraId="1E37BD17" w14:textId="77777777" w:rsidR="007303EE" w:rsidRPr="00797379" w:rsidRDefault="007303EE" w:rsidP="00B45A09">
            <w:pPr>
              <w:pStyle w:val="TableTextCentered"/>
            </w:pPr>
            <w:r w:rsidRPr="00797379">
              <w:t>0.0</w:t>
            </w:r>
          </w:p>
        </w:tc>
        <w:tc>
          <w:tcPr>
            <w:tcW w:w="1152" w:type="dxa"/>
          </w:tcPr>
          <w:p w14:paraId="5B5DE981" w14:textId="77777777" w:rsidR="007303EE" w:rsidRPr="00797379" w:rsidRDefault="007303EE" w:rsidP="00B45A09">
            <w:pPr>
              <w:pStyle w:val="TableTextCentered"/>
            </w:pPr>
            <w:r w:rsidRPr="00797379">
              <w:t>0.5</w:t>
            </w:r>
          </w:p>
        </w:tc>
      </w:tr>
      <w:tr w:rsidR="007303EE" w:rsidRPr="00797379" w14:paraId="105CDA81" w14:textId="77777777" w:rsidTr="00B45A09">
        <w:tc>
          <w:tcPr>
            <w:tcW w:w="3586" w:type="dxa"/>
          </w:tcPr>
          <w:p w14:paraId="28057431" w14:textId="77777777" w:rsidR="007303EE" w:rsidRPr="0059750A" w:rsidRDefault="007303EE" w:rsidP="00B45A09">
            <w:pPr>
              <w:pStyle w:val="TableSubheading"/>
              <w:rPr>
                <w:rFonts w:asciiTheme="minorHAnsi" w:hAnsiTheme="minorHAnsi"/>
              </w:rPr>
            </w:pPr>
            <w:r w:rsidRPr="0059750A">
              <w:rPr>
                <w:rFonts w:asciiTheme="minorHAnsi" w:hAnsiTheme="minorHAnsi"/>
              </w:rPr>
              <w:t>Black or African American</w:t>
            </w:r>
          </w:p>
        </w:tc>
        <w:tc>
          <w:tcPr>
            <w:tcW w:w="1151" w:type="dxa"/>
          </w:tcPr>
          <w:p w14:paraId="744735F1" w14:textId="77777777" w:rsidR="007303EE" w:rsidRPr="00797379" w:rsidRDefault="007303EE" w:rsidP="00B45A09">
            <w:pPr>
              <w:pStyle w:val="TableTextCentered"/>
            </w:pPr>
            <w:r w:rsidRPr="00797379">
              <w:t>31</w:t>
            </w:r>
          </w:p>
        </w:tc>
        <w:tc>
          <w:tcPr>
            <w:tcW w:w="1152" w:type="dxa"/>
          </w:tcPr>
          <w:p w14:paraId="6AED5CF4" w14:textId="77777777" w:rsidR="007303EE" w:rsidRPr="00797379" w:rsidRDefault="007303EE" w:rsidP="00B45A09">
            <w:pPr>
              <w:pStyle w:val="TableTextCentered"/>
            </w:pPr>
            <w:r w:rsidRPr="00797379">
              <w:t>0.0</w:t>
            </w:r>
          </w:p>
        </w:tc>
        <w:tc>
          <w:tcPr>
            <w:tcW w:w="1151" w:type="dxa"/>
          </w:tcPr>
          <w:p w14:paraId="2F13E6F7" w14:textId="77777777" w:rsidR="007303EE" w:rsidRPr="00797379" w:rsidRDefault="007303EE" w:rsidP="00B45A09">
            <w:pPr>
              <w:pStyle w:val="TableTextCentered"/>
            </w:pPr>
            <w:r w:rsidRPr="00797379">
              <w:t>0.0</w:t>
            </w:r>
          </w:p>
        </w:tc>
        <w:tc>
          <w:tcPr>
            <w:tcW w:w="1152" w:type="dxa"/>
          </w:tcPr>
          <w:p w14:paraId="299061FB" w14:textId="77777777" w:rsidR="007303EE" w:rsidRPr="00797379" w:rsidRDefault="007303EE" w:rsidP="00B45A09">
            <w:pPr>
              <w:pStyle w:val="TableTextCentered"/>
            </w:pPr>
            <w:r w:rsidRPr="00797379">
              <w:t>0.0</w:t>
            </w:r>
          </w:p>
        </w:tc>
        <w:tc>
          <w:tcPr>
            <w:tcW w:w="1152" w:type="dxa"/>
          </w:tcPr>
          <w:p w14:paraId="230BA244" w14:textId="77777777" w:rsidR="007303EE" w:rsidRPr="00797379" w:rsidRDefault="007303EE" w:rsidP="00B45A09">
            <w:pPr>
              <w:pStyle w:val="TableTextCentered"/>
            </w:pPr>
            <w:r w:rsidRPr="00797379">
              <w:t>2.5</w:t>
            </w:r>
          </w:p>
        </w:tc>
      </w:tr>
      <w:tr w:rsidR="007303EE" w:rsidRPr="00797379" w14:paraId="1A614E31" w14:textId="77777777" w:rsidTr="00B45A09">
        <w:trPr>
          <w:cnfStyle w:val="000000100000" w:firstRow="0" w:lastRow="0" w:firstColumn="0" w:lastColumn="0" w:oddVBand="0" w:evenVBand="0" w:oddHBand="1" w:evenHBand="0" w:firstRowFirstColumn="0" w:firstRowLastColumn="0" w:lastRowFirstColumn="0" w:lastRowLastColumn="0"/>
        </w:trPr>
        <w:tc>
          <w:tcPr>
            <w:tcW w:w="3586" w:type="dxa"/>
          </w:tcPr>
          <w:p w14:paraId="55374B7F" w14:textId="77777777" w:rsidR="007303EE" w:rsidRPr="0059750A" w:rsidRDefault="007303EE" w:rsidP="00B45A09">
            <w:pPr>
              <w:pStyle w:val="TableSubheading"/>
              <w:rPr>
                <w:rFonts w:asciiTheme="minorHAnsi" w:hAnsiTheme="minorHAnsi"/>
              </w:rPr>
            </w:pPr>
            <w:r w:rsidRPr="0059750A">
              <w:rPr>
                <w:rFonts w:asciiTheme="minorHAnsi" w:hAnsiTheme="minorHAnsi"/>
              </w:rPr>
              <w:t>Hispanic or Latino</w:t>
            </w:r>
          </w:p>
        </w:tc>
        <w:tc>
          <w:tcPr>
            <w:tcW w:w="1151" w:type="dxa"/>
          </w:tcPr>
          <w:p w14:paraId="45582FA9" w14:textId="77777777" w:rsidR="007303EE" w:rsidRPr="00797379" w:rsidRDefault="007303EE" w:rsidP="00B45A09">
            <w:pPr>
              <w:pStyle w:val="TableTextCentered"/>
            </w:pPr>
            <w:r w:rsidRPr="00797379">
              <w:t>61</w:t>
            </w:r>
          </w:p>
        </w:tc>
        <w:tc>
          <w:tcPr>
            <w:tcW w:w="1152" w:type="dxa"/>
          </w:tcPr>
          <w:p w14:paraId="63294F24" w14:textId="77777777" w:rsidR="007303EE" w:rsidRPr="00797379" w:rsidRDefault="007303EE" w:rsidP="00B45A09">
            <w:pPr>
              <w:pStyle w:val="TableTextCentered"/>
            </w:pPr>
            <w:r w:rsidRPr="00797379">
              <w:t>0.0</w:t>
            </w:r>
          </w:p>
        </w:tc>
        <w:tc>
          <w:tcPr>
            <w:tcW w:w="1151" w:type="dxa"/>
          </w:tcPr>
          <w:p w14:paraId="42CE15BC" w14:textId="77777777" w:rsidR="007303EE" w:rsidRPr="00797379" w:rsidRDefault="007303EE" w:rsidP="00B45A09">
            <w:pPr>
              <w:pStyle w:val="TableTextCentered"/>
            </w:pPr>
            <w:r w:rsidRPr="00797379">
              <w:t>4.1</w:t>
            </w:r>
          </w:p>
        </w:tc>
        <w:tc>
          <w:tcPr>
            <w:tcW w:w="1152" w:type="dxa"/>
          </w:tcPr>
          <w:p w14:paraId="77249839" w14:textId="77777777" w:rsidR="007303EE" w:rsidRPr="00797379" w:rsidRDefault="007303EE" w:rsidP="00B45A09">
            <w:pPr>
              <w:pStyle w:val="TableTextCentered"/>
            </w:pPr>
            <w:r w:rsidRPr="00797379">
              <w:t>1.6</w:t>
            </w:r>
          </w:p>
        </w:tc>
        <w:tc>
          <w:tcPr>
            <w:tcW w:w="1152" w:type="dxa"/>
          </w:tcPr>
          <w:p w14:paraId="51F0B51F" w14:textId="77777777" w:rsidR="007303EE" w:rsidRPr="00797379" w:rsidRDefault="007303EE" w:rsidP="00B45A09">
            <w:pPr>
              <w:pStyle w:val="TableTextCentered"/>
            </w:pPr>
            <w:r w:rsidRPr="00797379">
              <w:t>4.4</w:t>
            </w:r>
          </w:p>
        </w:tc>
      </w:tr>
      <w:tr w:rsidR="007303EE" w:rsidRPr="00797379" w14:paraId="5D357315" w14:textId="77777777" w:rsidTr="00B45A09">
        <w:tc>
          <w:tcPr>
            <w:tcW w:w="3586" w:type="dxa"/>
          </w:tcPr>
          <w:p w14:paraId="22015ECE" w14:textId="77777777" w:rsidR="007303EE" w:rsidRPr="0059750A" w:rsidRDefault="007303EE" w:rsidP="00B45A09">
            <w:pPr>
              <w:pStyle w:val="TableSubheading"/>
              <w:rPr>
                <w:rFonts w:asciiTheme="minorHAnsi" w:hAnsiTheme="minorHAnsi"/>
              </w:rPr>
            </w:pPr>
            <w:r w:rsidRPr="0059750A">
              <w:rPr>
                <w:rFonts w:asciiTheme="minorHAnsi" w:hAnsiTheme="minorHAnsi"/>
              </w:rPr>
              <w:t>Multi-Race, Not Hispanic or Latino</w:t>
            </w:r>
          </w:p>
        </w:tc>
        <w:tc>
          <w:tcPr>
            <w:tcW w:w="1151" w:type="dxa"/>
          </w:tcPr>
          <w:p w14:paraId="299ED6BC" w14:textId="77777777" w:rsidR="007303EE" w:rsidRPr="00797379" w:rsidRDefault="007303EE" w:rsidP="00B45A09">
            <w:pPr>
              <w:pStyle w:val="TableTextCentered"/>
            </w:pPr>
            <w:r w:rsidRPr="00797379">
              <w:t>83</w:t>
            </w:r>
          </w:p>
        </w:tc>
        <w:tc>
          <w:tcPr>
            <w:tcW w:w="1152" w:type="dxa"/>
          </w:tcPr>
          <w:p w14:paraId="4DA0B23A" w14:textId="77777777" w:rsidR="007303EE" w:rsidRPr="00797379" w:rsidRDefault="007303EE" w:rsidP="00B45A09">
            <w:pPr>
              <w:pStyle w:val="TableTextCentered"/>
            </w:pPr>
            <w:r w:rsidRPr="00797379">
              <w:t>0.0</w:t>
            </w:r>
          </w:p>
        </w:tc>
        <w:tc>
          <w:tcPr>
            <w:tcW w:w="1151" w:type="dxa"/>
          </w:tcPr>
          <w:p w14:paraId="28E2434C" w14:textId="77777777" w:rsidR="007303EE" w:rsidRPr="00797379" w:rsidRDefault="007303EE" w:rsidP="00B45A09">
            <w:pPr>
              <w:pStyle w:val="TableTextCentered"/>
            </w:pPr>
            <w:r w:rsidRPr="00797379">
              <w:t>1.3</w:t>
            </w:r>
          </w:p>
        </w:tc>
        <w:tc>
          <w:tcPr>
            <w:tcW w:w="1152" w:type="dxa"/>
          </w:tcPr>
          <w:p w14:paraId="0B3C877D" w14:textId="77777777" w:rsidR="007303EE" w:rsidRPr="00797379" w:rsidRDefault="007303EE" w:rsidP="00B45A09">
            <w:pPr>
              <w:pStyle w:val="TableTextCentered"/>
            </w:pPr>
            <w:r w:rsidRPr="00797379">
              <w:t>0.0</w:t>
            </w:r>
          </w:p>
        </w:tc>
        <w:tc>
          <w:tcPr>
            <w:tcW w:w="1152" w:type="dxa"/>
          </w:tcPr>
          <w:p w14:paraId="2C2687D3" w14:textId="77777777" w:rsidR="007303EE" w:rsidRPr="00797379" w:rsidRDefault="007303EE" w:rsidP="00B45A09">
            <w:pPr>
              <w:pStyle w:val="TableTextCentered"/>
            </w:pPr>
            <w:r w:rsidRPr="00797379">
              <w:t>1.9</w:t>
            </w:r>
          </w:p>
        </w:tc>
      </w:tr>
      <w:tr w:rsidR="007303EE" w:rsidRPr="00797379" w14:paraId="397EEA95" w14:textId="77777777" w:rsidTr="00B45A09">
        <w:trPr>
          <w:cnfStyle w:val="000000100000" w:firstRow="0" w:lastRow="0" w:firstColumn="0" w:lastColumn="0" w:oddVBand="0" w:evenVBand="0" w:oddHBand="1" w:evenHBand="0" w:firstRowFirstColumn="0" w:firstRowLastColumn="0" w:lastRowFirstColumn="0" w:lastRowLastColumn="0"/>
        </w:trPr>
        <w:tc>
          <w:tcPr>
            <w:tcW w:w="3586" w:type="dxa"/>
          </w:tcPr>
          <w:p w14:paraId="668CC6C4" w14:textId="77777777" w:rsidR="007303EE" w:rsidRPr="0059750A" w:rsidRDefault="007303EE" w:rsidP="00B45A09">
            <w:pPr>
              <w:pStyle w:val="TableSubheading"/>
              <w:rPr>
                <w:rFonts w:asciiTheme="minorHAnsi" w:hAnsiTheme="minorHAnsi"/>
                <w:spacing w:val="-4"/>
              </w:rPr>
            </w:pPr>
            <w:r w:rsidRPr="0059750A">
              <w:rPr>
                <w:rFonts w:asciiTheme="minorHAnsi" w:hAnsiTheme="minorHAnsi"/>
              </w:rPr>
              <w:t>Native Hawaiian or Other Pacific Islander</w:t>
            </w:r>
          </w:p>
        </w:tc>
        <w:tc>
          <w:tcPr>
            <w:tcW w:w="1151" w:type="dxa"/>
          </w:tcPr>
          <w:p w14:paraId="41B23AC0" w14:textId="7220C7D2" w:rsidR="007303EE" w:rsidRPr="00797379" w:rsidRDefault="00220288" w:rsidP="00B45A09">
            <w:pPr>
              <w:pStyle w:val="TableTextCentered"/>
            </w:pPr>
            <w:r>
              <w:t>N/A</w:t>
            </w:r>
          </w:p>
        </w:tc>
        <w:tc>
          <w:tcPr>
            <w:tcW w:w="1152" w:type="dxa"/>
          </w:tcPr>
          <w:p w14:paraId="6D84A0A7" w14:textId="5B9EEBDE" w:rsidR="007303EE" w:rsidRPr="00797379" w:rsidRDefault="00220288" w:rsidP="00B45A09">
            <w:pPr>
              <w:pStyle w:val="TableTextCentered"/>
            </w:pPr>
            <w:r>
              <w:t>N/A</w:t>
            </w:r>
          </w:p>
        </w:tc>
        <w:tc>
          <w:tcPr>
            <w:tcW w:w="1151" w:type="dxa"/>
          </w:tcPr>
          <w:p w14:paraId="14141CC2" w14:textId="6C96EAB3" w:rsidR="007303EE" w:rsidRPr="00797379" w:rsidRDefault="00220288" w:rsidP="00B45A09">
            <w:pPr>
              <w:pStyle w:val="TableTextCentered"/>
            </w:pPr>
            <w:r>
              <w:t>N/A</w:t>
            </w:r>
          </w:p>
        </w:tc>
        <w:tc>
          <w:tcPr>
            <w:tcW w:w="1152" w:type="dxa"/>
          </w:tcPr>
          <w:p w14:paraId="629FFC24" w14:textId="2278A8B4" w:rsidR="007303EE" w:rsidRPr="00797379" w:rsidRDefault="00220288" w:rsidP="00B45A09">
            <w:pPr>
              <w:pStyle w:val="TableTextCentered"/>
            </w:pPr>
            <w:r>
              <w:t>N/A</w:t>
            </w:r>
          </w:p>
        </w:tc>
        <w:tc>
          <w:tcPr>
            <w:tcW w:w="1152" w:type="dxa"/>
          </w:tcPr>
          <w:p w14:paraId="2E98DDBA" w14:textId="77777777" w:rsidR="007303EE" w:rsidRPr="00797379" w:rsidRDefault="007303EE" w:rsidP="00B45A09">
            <w:pPr>
              <w:pStyle w:val="TableTextCentered"/>
            </w:pPr>
            <w:r w:rsidRPr="00797379">
              <w:t>1.9</w:t>
            </w:r>
          </w:p>
        </w:tc>
      </w:tr>
      <w:tr w:rsidR="007303EE" w:rsidRPr="00797379" w14:paraId="7967635C" w14:textId="77777777" w:rsidTr="00B45A09">
        <w:tc>
          <w:tcPr>
            <w:tcW w:w="3586" w:type="dxa"/>
          </w:tcPr>
          <w:p w14:paraId="54FA30F1" w14:textId="77777777" w:rsidR="007303EE" w:rsidRPr="0059750A" w:rsidRDefault="007303EE" w:rsidP="00B45A09">
            <w:pPr>
              <w:pStyle w:val="TableSubheading"/>
              <w:rPr>
                <w:rFonts w:asciiTheme="minorHAnsi" w:hAnsiTheme="minorHAnsi"/>
              </w:rPr>
            </w:pPr>
            <w:r w:rsidRPr="0059750A">
              <w:rPr>
                <w:rFonts w:asciiTheme="minorHAnsi" w:hAnsiTheme="minorHAnsi"/>
              </w:rPr>
              <w:t>White</w:t>
            </w:r>
          </w:p>
        </w:tc>
        <w:tc>
          <w:tcPr>
            <w:tcW w:w="1151" w:type="dxa"/>
          </w:tcPr>
          <w:p w14:paraId="1D346D16" w14:textId="77777777" w:rsidR="007303EE" w:rsidRPr="00797379" w:rsidRDefault="007303EE" w:rsidP="00B45A09">
            <w:pPr>
              <w:pStyle w:val="TableTextCentered"/>
            </w:pPr>
            <w:r w:rsidRPr="00797379">
              <w:t>918</w:t>
            </w:r>
          </w:p>
        </w:tc>
        <w:tc>
          <w:tcPr>
            <w:tcW w:w="1152" w:type="dxa"/>
          </w:tcPr>
          <w:p w14:paraId="7F49AF2B" w14:textId="77777777" w:rsidR="007303EE" w:rsidRPr="00797379" w:rsidRDefault="007303EE" w:rsidP="00B45A09">
            <w:pPr>
              <w:pStyle w:val="TableTextCentered"/>
            </w:pPr>
            <w:r w:rsidRPr="00797379">
              <w:t>0.6</w:t>
            </w:r>
          </w:p>
        </w:tc>
        <w:tc>
          <w:tcPr>
            <w:tcW w:w="1151" w:type="dxa"/>
          </w:tcPr>
          <w:p w14:paraId="48D1FE14" w14:textId="77777777" w:rsidR="007303EE" w:rsidRPr="00797379" w:rsidRDefault="007303EE" w:rsidP="00B45A09">
            <w:pPr>
              <w:pStyle w:val="TableTextCentered"/>
            </w:pPr>
            <w:r w:rsidRPr="00797379">
              <w:t>1.3</w:t>
            </w:r>
          </w:p>
        </w:tc>
        <w:tc>
          <w:tcPr>
            <w:tcW w:w="1152" w:type="dxa"/>
          </w:tcPr>
          <w:p w14:paraId="3B0D300A" w14:textId="77777777" w:rsidR="007303EE" w:rsidRPr="00797379" w:rsidRDefault="007303EE" w:rsidP="00B45A09">
            <w:pPr>
              <w:pStyle w:val="TableTextCentered"/>
            </w:pPr>
            <w:r w:rsidRPr="00797379">
              <w:t>0.1</w:t>
            </w:r>
          </w:p>
        </w:tc>
        <w:tc>
          <w:tcPr>
            <w:tcW w:w="1152" w:type="dxa"/>
          </w:tcPr>
          <w:p w14:paraId="03F8C342" w14:textId="77777777" w:rsidR="007303EE" w:rsidRPr="00797379" w:rsidRDefault="007303EE" w:rsidP="00B45A09">
            <w:pPr>
              <w:pStyle w:val="TableTextCentered"/>
            </w:pPr>
            <w:r w:rsidRPr="00797379">
              <w:t>1.1</w:t>
            </w:r>
          </w:p>
        </w:tc>
      </w:tr>
      <w:tr w:rsidR="007303EE" w:rsidRPr="00797379" w14:paraId="3AD73685" w14:textId="77777777" w:rsidTr="00B45A09">
        <w:trPr>
          <w:cnfStyle w:val="000000100000" w:firstRow="0" w:lastRow="0" w:firstColumn="0" w:lastColumn="0" w:oddVBand="0" w:evenVBand="0" w:oddHBand="1" w:evenHBand="0" w:firstRowFirstColumn="0" w:firstRowLastColumn="0" w:lastRowFirstColumn="0" w:lastRowLastColumn="0"/>
        </w:trPr>
        <w:tc>
          <w:tcPr>
            <w:tcW w:w="3586" w:type="dxa"/>
          </w:tcPr>
          <w:p w14:paraId="0E5BBCF5" w14:textId="77777777" w:rsidR="007303EE" w:rsidRPr="0059750A" w:rsidRDefault="007303EE" w:rsidP="00B45A09">
            <w:pPr>
              <w:pStyle w:val="TableSubheading"/>
              <w:rPr>
                <w:rFonts w:asciiTheme="minorHAnsi" w:hAnsiTheme="minorHAnsi"/>
              </w:rPr>
            </w:pPr>
            <w:r w:rsidRPr="0059750A">
              <w:rPr>
                <w:rFonts w:asciiTheme="minorHAnsi" w:hAnsiTheme="minorHAnsi"/>
              </w:rPr>
              <w:t>High Needs</w:t>
            </w:r>
          </w:p>
        </w:tc>
        <w:tc>
          <w:tcPr>
            <w:tcW w:w="1151" w:type="dxa"/>
          </w:tcPr>
          <w:p w14:paraId="706CB248" w14:textId="77777777" w:rsidR="007303EE" w:rsidRPr="00797379" w:rsidRDefault="007303EE" w:rsidP="00B45A09">
            <w:pPr>
              <w:pStyle w:val="TableTextCentered"/>
            </w:pPr>
            <w:r w:rsidRPr="00797379">
              <w:t>285</w:t>
            </w:r>
          </w:p>
        </w:tc>
        <w:tc>
          <w:tcPr>
            <w:tcW w:w="1152" w:type="dxa"/>
          </w:tcPr>
          <w:p w14:paraId="1500659A" w14:textId="77777777" w:rsidR="007303EE" w:rsidRPr="00797379" w:rsidRDefault="007303EE" w:rsidP="00B45A09">
            <w:pPr>
              <w:pStyle w:val="TableTextCentered"/>
            </w:pPr>
            <w:r w:rsidRPr="00797379">
              <w:t>1.5</w:t>
            </w:r>
          </w:p>
        </w:tc>
        <w:tc>
          <w:tcPr>
            <w:tcW w:w="1151" w:type="dxa"/>
          </w:tcPr>
          <w:p w14:paraId="4B4678B8" w14:textId="77777777" w:rsidR="007303EE" w:rsidRPr="00797379" w:rsidRDefault="007303EE" w:rsidP="00B45A09">
            <w:pPr>
              <w:pStyle w:val="TableTextCentered"/>
            </w:pPr>
            <w:r w:rsidRPr="00797379">
              <w:t>2.3</w:t>
            </w:r>
          </w:p>
        </w:tc>
        <w:tc>
          <w:tcPr>
            <w:tcW w:w="1152" w:type="dxa"/>
          </w:tcPr>
          <w:p w14:paraId="69921863" w14:textId="77777777" w:rsidR="007303EE" w:rsidRPr="00797379" w:rsidRDefault="007303EE" w:rsidP="00B45A09">
            <w:pPr>
              <w:pStyle w:val="TableTextCentered"/>
            </w:pPr>
            <w:r w:rsidRPr="00797379">
              <w:t>0.4</w:t>
            </w:r>
          </w:p>
        </w:tc>
        <w:tc>
          <w:tcPr>
            <w:tcW w:w="1152" w:type="dxa"/>
          </w:tcPr>
          <w:p w14:paraId="24BE7D3C" w14:textId="77777777" w:rsidR="007303EE" w:rsidRPr="00797379" w:rsidRDefault="007303EE" w:rsidP="00B45A09">
            <w:pPr>
              <w:pStyle w:val="TableTextCentered"/>
            </w:pPr>
            <w:r w:rsidRPr="00797379">
              <w:t>3.4</w:t>
            </w:r>
          </w:p>
        </w:tc>
      </w:tr>
      <w:tr w:rsidR="007303EE" w:rsidRPr="00797379" w14:paraId="7F0B25C3" w14:textId="77777777" w:rsidTr="00B45A09">
        <w:tc>
          <w:tcPr>
            <w:tcW w:w="3586" w:type="dxa"/>
          </w:tcPr>
          <w:p w14:paraId="6D537058" w14:textId="77777777" w:rsidR="007303EE" w:rsidRPr="0059750A" w:rsidRDefault="007303EE" w:rsidP="00B45A09">
            <w:pPr>
              <w:pStyle w:val="TableSubheading"/>
              <w:rPr>
                <w:rFonts w:asciiTheme="minorHAnsi" w:hAnsiTheme="minorHAnsi"/>
              </w:rPr>
            </w:pPr>
            <w:r w:rsidRPr="0059750A">
              <w:rPr>
                <w:rFonts w:asciiTheme="minorHAnsi" w:hAnsiTheme="minorHAnsi"/>
              </w:rPr>
              <w:t>English Learners</w:t>
            </w:r>
          </w:p>
        </w:tc>
        <w:tc>
          <w:tcPr>
            <w:tcW w:w="1151" w:type="dxa"/>
          </w:tcPr>
          <w:p w14:paraId="3509CC9E" w14:textId="77777777" w:rsidR="007303EE" w:rsidRPr="00797379" w:rsidRDefault="007303EE" w:rsidP="00B45A09">
            <w:pPr>
              <w:pStyle w:val="TableTextCentered"/>
            </w:pPr>
            <w:r w:rsidRPr="00797379">
              <w:t>16</w:t>
            </w:r>
          </w:p>
        </w:tc>
        <w:tc>
          <w:tcPr>
            <w:tcW w:w="1152" w:type="dxa"/>
          </w:tcPr>
          <w:p w14:paraId="53FB8B8F" w14:textId="77777777" w:rsidR="007303EE" w:rsidRPr="00797379" w:rsidRDefault="007303EE" w:rsidP="00B45A09">
            <w:pPr>
              <w:pStyle w:val="TableTextCentered"/>
            </w:pPr>
            <w:r w:rsidRPr="00797379">
              <w:t>0.0</w:t>
            </w:r>
          </w:p>
        </w:tc>
        <w:tc>
          <w:tcPr>
            <w:tcW w:w="1151" w:type="dxa"/>
          </w:tcPr>
          <w:p w14:paraId="7425D5B2" w14:textId="77777777" w:rsidR="007303EE" w:rsidRPr="00797379" w:rsidRDefault="007303EE" w:rsidP="00B45A09">
            <w:pPr>
              <w:pStyle w:val="TableTextCentered"/>
            </w:pPr>
            <w:r w:rsidRPr="00797379">
              <w:t>7.1</w:t>
            </w:r>
          </w:p>
        </w:tc>
        <w:tc>
          <w:tcPr>
            <w:tcW w:w="1152" w:type="dxa"/>
          </w:tcPr>
          <w:p w14:paraId="6A840B51" w14:textId="77777777" w:rsidR="007303EE" w:rsidRPr="00797379" w:rsidRDefault="007303EE" w:rsidP="00B45A09">
            <w:pPr>
              <w:pStyle w:val="TableTextCentered"/>
            </w:pPr>
            <w:r w:rsidRPr="00797379">
              <w:t>0.0</w:t>
            </w:r>
          </w:p>
        </w:tc>
        <w:tc>
          <w:tcPr>
            <w:tcW w:w="1152" w:type="dxa"/>
          </w:tcPr>
          <w:p w14:paraId="66B313CA" w14:textId="77777777" w:rsidR="007303EE" w:rsidRPr="00797379" w:rsidRDefault="007303EE" w:rsidP="00B45A09">
            <w:pPr>
              <w:pStyle w:val="TableTextCentered"/>
            </w:pPr>
            <w:r w:rsidRPr="00797379">
              <w:t>7.7</w:t>
            </w:r>
          </w:p>
        </w:tc>
      </w:tr>
      <w:tr w:rsidR="007303EE" w:rsidRPr="00797379" w14:paraId="2370EA9E" w14:textId="77777777" w:rsidTr="00B45A09">
        <w:trPr>
          <w:cnfStyle w:val="000000100000" w:firstRow="0" w:lastRow="0" w:firstColumn="0" w:lastColumn="0" w:oddVBand="0" w:evenVBand="0" w:oddHBand="1" w:evenHBand="0" w:firstRowFirstColumn="0" w:firstRowLastColumn="0" w:lastRowFirstColumn="0" w:lastRowLastColumn="0"/>
        </w:trPr>
        <w:tc>
          <w:tcPr>
            <w:tcW w:w="3586" w:type="dxa"/>
          </w:tcPr>
          <w:p w14:paraId="69B4B3EE" w14:textId="77777777" w:rsidR="007303EE" w:rsidRPr="0059750A" w:rsidRDefault="007303EE" w:rsidP="00B45A09">
            <w:pPr>
              <w:pStyle w:val="TableSubheading"/>
              <w:rPr>
                <w:rFonts w:asciiTheme="minorHAnsi" w:hAnsiTheme="minorHAnsi"/>
                <w:spacing w:val="-4"/>
              </w:rPr>
            </w:pPr>
            <w:r w:rsidRPr="0059750A">
              <w:rPr>
                <w:rFonts w:asciiTheme="minorHAnsi" w:hAnsiTheme="minorHAnsi"/>
              </w:rPr>
              <w:t>Low Income</w:t>
            </w:r>
          </w:p>
        </w:tc>
        <w:tc>
          <w:tcPr>
            <w:tcW w:w="1151" w:type="dxa"/>
          </w:tcPr>
          <w:p w14:paraId="5467A8AC" w14:textId="77777777" w:rsidR="007303EE" w:rsidRPr="00797379" w:rsidRDefault="007303EE" w:rsidP="00B45A09">
            <w:pPr>
              <w:pStyle w:val="TableTextCentered"/>
            </w:pPr>
            <w:r w:rsidRPr="00797379">
              <w:t>91</w:t>
            </w:r>
          </w:p>
        </w:tc>
        <w:tc>
          <w:tcPr>
            <w:tcW w:w="1152" w:type="dxa"/>
          </w:tcPr>
          <w:p w14:paraId="27BEA7F3" w14:textId="77777777" w:rsidR="007303EE" w:rsidRPr="00797379" w:rsidRDefault="007303EE" w:rsidP="00B45A09">
            <w:pPr>
              <w:pStyle w:val="TableTextCentered"/>
            </w:pPr>
            <w:r w:rsidRPr="00797379">
              <w:t>0.0</w:t>
            </w:r>
          </w:p>
        </w:tc>
        <w:tc>
          <w:tcPr>
            <w:tcW w:w="1151" w:type="dxa"/>
          </w:tcPr>
          <w:p w14:paraId="583DEA78" w14:textId="77777777" w:rsidR="007303EE" w:rsidRPr="00797379" w:rsidRDefault="007303EE" w:rsidP="00B45A09">
            <w:pPr>
              <w:pStyle w:val="TableTextCentered"/>
            </w:pPr>
            <w:r w:rsidRPr="00797379">
              <w:t>0.9</w:t>
            </w:r>
          </w:p>
        </w:tc>
        <w:tc>
          <w:tcPr>
            <w:tcW w:w="1152" w:type="dxa"/>
          </w:tcPr>
          <w:p w14:paraId="5A58EB96" w14:textId="77777777" w:rsidR="007303EE" w:rsidRPr="00797379" w:rsidRDefault="007303EE" w:rsidP="00B45A09">
            <w:pPr>
              <w:pStyle w:val="TableTextCentered"/>
            </w:pPr>
            <w:r w:rsidRPr="00797379">
              <w:t>0.0</w:t>
            </w:r>
          </w:p>
        </w:tc>
        <w:tc>
          <w:tcPr>
            <w:tcW w:w="1152" w:type="dxa"/>
          </w:tcPr>
          <w:p w14:paraId="2052CC36" w14:textId="77777777" w:rsidR="007303EE" w:rsidRPr="00797379" w:rsidRDefault="007303EE" w:rsidP="00B45A09">
            <w:pPr>
              <w:pStyle w:val="TableTextCentered"/>
            </w:pPr>
            <w:r w:rsidRPr="00797379">
              <w:t>3.6</w:t>
            </w:r>
          </w:p>
        </w:tc>
      </w:tr>
      <w:tr w:rsidR="007303EE" w:rsidRPr="00797379" w14:paraId="21F11D8B" w14:textId="77777777" w:rsidTr="00B45A09">
        <w:tc>
          <w:tcPr>
            <w:tcW w:w="3586" w:type="dxa"/>
          </w:tcPr>
          <w:p w14:paraId="3DE56F50" w14:textId="77777777" w:rsidR="007303EE" w:rsidRPr="0059750A" w:rsidRDefault="007303EE" w:rsidP="00B45A09">
            <w:pPr>
              <w:pStyle w:val="TableSubheading"/>
              <w:rPr>
                <w:rFonts w:asciiTheme="minorHAnsi" w:hAnsiTheme="minorHAnsi"/>
              </w:rPr>
            </w:pPr>
            <w:r w:rsidRPr="0059750A">
              <w:rPr>
                <w:rFonts w:asciiTheme="minorHAnsi" w:hAnsiTheme="minorHAnsi"/>
              </w:rPr>
              <w:t>Students with Disabilities</w:t>
            </w:r>
          </w:p>
        </w:tc>
        <w:tc>
          <w:tcPr>
            <w:tcW w:w="1151" w:type="dxa"/>
          </w:tcPr>
          <w:p w14:paraId="25EC2795" w14:textId="77777777" w:rsidR="007303EE" w:rsidRPr="00797379" w:rsidRDefault="007303EE" w:rsidP="00B45A09">
            <w:pPr>
              <w:pStyle w:val="TableTextCentered"/>
            </w:pPr>
            <w:r w:rsidRPr="00797379">
              <w:t>194</w:t>
            </w:r>
          </w:p>
        </w:tc>
        <w:tc>
          <w:tcPr>
            <w:tcW w:w="1152" w:type="dxa"/>
          </w:tcPr>
          <w:p w14:paraId="6FB73899" w14:textId="77777777" w:rsidR="007303EE" w:rsidRPr="00797379" w:rsidRDefault="007303EE" w:rsidP="00B45A09">
            <w:pPr>
              <w:pStyle w:val="TableTextCentered"/>
            </w:pPr>
            <w:r w:rsidRPr="00797379">
              <w:t>2.3</w:t>
            </w:r>
          </w:p>
        </w:tc>
        <w:tc>
          <w:tcPr>
            <w:tcW w:w="1151" w:type="dxa"/>
          </w:tcPr>
          <w:p w14:paraId="63032BA2" w14:textId="77777777" w:rsidR="007303EE" w:rsidRPr="00797379" w:rsidRDefault="007303EE" w:rsidP="00B45A09">
            <w:pPr>
              <w:pStyle w:val="TableTextCentered"/>
            </w:pPr>
            <w:r w:rsidRPr="00797379">
              <w:t>2.9</w:t>
            </w:r>
          </w:p>
        </w:tc>
        <w:tc>
          <w:tcPr>
            <w:tcW w:w="1152" w:type="dxa"/>
          </w:tcPr>
          <w:p w14:paraId="0BADCEFB" w14:textId="77777777" w:rsidR="007303EE" w:rsidRPr="00797379" w:rsidRDefault="007303EE" w:rsidP="00B45A09">
            <w:pPr>
              <w:pStyle w:val="TableTextCentered"/>
            </w:pPr>
            <w:r w:rsidRPr="00797379">
              <w:t>0.5</w:t>
            </w:r>
          </w:p>
        </w:tc>
        <w:tc>
          <w:tcPr>
            <w:tcW w:w="1152" w:type="dxa"/>
          </w:tcPr>
          <w:p w14:paraId="25EA2098" w14:textId="77777777" w:rsidR="007303EE" w:rsidRPr="00797379" w:rsidRDefault="007303EE" w:rsidP="00B45A09">
            <w:pPr>
              <w:pStyle w:val="TableTextCentered"/>
            </w:pPr>
            <w:r w:rsidRPr="00797379">
              <w:t>2.9</w:t>
            </w:r>
          </w:p>
        </w:tc>
      </w:tr>
    </w:tbl>
    <w:p w14:paraId="58CC7CAE" w14:textId="77777777" w:rsidR="003842C0" w:rsidRDefault="003842C0" w:rsidP="00B45A09">
      <w:pPr>
        <w:pStyle w:val="TableETitles"/>
        <w:keepLines/>
      </w:pPr>
      <w:bookmarkStart w:id="261" w:name="_Toc220933522"/>
      <w:bookmarkEnd w:id="259"/>
    </w:p>
    <w:p w14:paraId="7603DC2A" w14:textId="77777777" w:rsidR="003842C0" w:rsidRDefault="003842C0">
      <w:pPr>
        <w:spacing w:line="240" w:lineRule="auto"/>
        <w:rPr>
          <w:rFonts w:ascii="Franklin Gothic Demi" w:hAnsi="Franklin Gothic Demi"/>
        </w:rPr>
      </w:pPr>
      <w:r>
        <w:br w:type="page"/>
      </w:r>
    </w:p>
    <w:p w14:paraId="28E1BA8F" w14:textId="37D809FC" w:rsidR="007303EE" w:rsidRPr="00797379" w:rsidRDefault="007303EE" w:rsidP="00B45A09">
      <w:pPr>
        <w:pStyle w:val="TableETitles"/>
        <w:keepLines/>
      </w:pPr>
      <w:r w:rsidRPr="00797379">
        <w:t>Table E19. In-School Suspension Rates by Student Group, 2022-2024</w:t>
      </w:r>
      <w:bookmarkEnd w:id="261"/>
    </w:p>
    <w:tbl>
      <w:tblPr>
        <w:tblStyle w:val="MSVTable1"/>
        <w:tblW w:w="5000" w:type="pct"/>
        <w:tblLook w:val="0420" w:firstRow="1" w:lastRow="0" w:firstColumn="0" w:lastColumn="0" w:noHBand="0" w:noVBand="1"/>
      </w:tblPr>
      <w:tblGrid>
        <w:gridCol w:w="3586"/>
        <w:gridCol w:w="1151"/>
        <w:gridCol w:w="1152"/>
        <w:gridCol w:w="1151"/>
        <w:gridCol w:w="1152"/>
        <w:gridCol w:w="1152"/>
      </w:tblGrid>
      <w:tr w:rsidR="007303EE" w:rsidRPr="00797379" w14:paraId="1071DBFC" w14:textId="77777777" w:rsidTr="0034431B">
        <w:trPr>
          <w:cnfStyle w:val="100000000000" w:firstRow="1" w:lastRow="0" w:firstColumn="0" w:lastColumn="0" w:oddVBand="0" w:evenVBand="0" w:oddHBand="0" w:evenHBand="0" w:firstRowFirstColumn="0" w:firstRowLastColumn="0" w:lastRowFirstColumn="0" w:lastRowLastColumn="0"/>
          <w:tblHeader/>
        </w:trPr>
        <w:tc>
          <w:tcPr>
            <w:tcW w:w="3586" w:type="dxa"/>
            <w:vAlign w:val="center"/>
          </w:tcPr>
          <w:p w14:paraId="76BED18B" w14:textId="77777777" w:rsidR="007303EE" w:rsidRPr="00797379" w:rsidRDefault="007303EE" w:rsidP="00B45A09">
            <w:pPr>
              <w:pStyle w:val="TableColHeadingCenter"/>
              <w:keepNext/>
              <w:keepLines/>
            </w:pPr>
            <w:r w:rsidRPr="00797379">
              <w:t>Group</w:t>
            </w:r>
          </w:p>
        </w:tc>
        <w:tc>
          <w:tcPr>
            <w:tcW w:w="1151" w:type="dxa"/>
            <w:vAlign w:val="center"/>
          </w:tcPr>
          <w:p w14:paraId="1179BA49" w14:textId="77777777" w:rsidR="007303EE" w:rsidRPr="00797379" w:rsidRDefault="007303EE" w:rsidP="00B45A09">
            <w:pPr>
              <w:pStyle w:val="TableColHeadingCenter"/>
              <w:keepNext/>
              <w:keepLines/>
            </w:pPr>
            <w:r w:rsidRPr="00797379">
              <w:t># Included (2024)</w:t>
            </w:r>
          </w:p>
        </w:tc>
        <w:tc>
          <w:tcPr>
            <w:tcW w:w="1152" w:type="dxa"/>
            <w:vAlign w:val="center"/>
          </w:tcPr>
          <w:p w14:paraId="05EC2E82" w14:textId="77777777" w:rsidR="007303EE" w:rsidRPr="00797379" w:rsidRDefault="007303EE" w:rsidP="00B45A09">
            <w:pPr>
              <w:pStyle w:val="TableColHeadingCenter"/>
              <w:keepNext/>
              <w:keepLines/>
            </w:pPr>
            <w:r w:rsidRPr="00797379">
              <w:t>2022</w:t>
            </w:r>
          </w:p>
        </w:tc>
        <w:tc>
          <w:tcPr>
            <w:tcW w:w="1151" w:type="dxa"/>
            <w:vAlign w:val="center"/>
          </w:tcPr>
          <w:p w14:paraId="50C0D63E" w14:textId="77777777" w:rsidR="007303EE" w:rsidRPr="00797379" w:rsidRDefault="007303EE" w:rsidP="00B45A09">
            <w:pPr>
              <w:pStyle w:val="TableColHeadingCenter"/>
              <w:keepNext/>
              <w:keepLines/>
            </w:pPr>
            <w:r w:rsidRPr="00797379">
              <w:t>2023</w:t>
            </w:r>
          </w:p>
        </w:tc>
        <w:tc>
          <w:tcPr>
            <w:tcW w:w="1152" w:type="dxa"/>
            <w:vAlign w:val="center"/>
          </w:tcPr>
          <w:p w14:paraId="10E7D807" w14:textId="77777777" w:rsidR="007303EE" w:rsidRPr="00797379" w:rsidRDefault="007303EE" w:rsidP="00B45A09">
            <w:pPr>
              <w:pStyle w:val="TableColHeadingCenter"/>
              <w:keepNext/>
              <w:keepLines/>
            </w:pPr>
            <w:r w:rsidRPr="00797379">
              <w:t>2024</w:t>
            </w:r>
          </w:p>
        </w:tc>
        <w:tc>
          <w:tcPr>
            <w:tcW w:w="1152" w:type="dxa"/>
            <w:vAlign w:val="center"/>
          </w:tcPr>
          <w:p w14:paraId="29572D4E" w14:textId="77777777" w:rsidR="007303EE" w:rsidRPr="00797379" w:rsidRDefault="007303EE" w:rsidP="00B45A09">
            <w:pPr>
              <w:pStyle w:val="TableColHeadingCenter"/>
              <w:keepNext/>
              <w:keepLines/>
            </w:pPr>
            <w:r w:rsidRPr="00797379">
              <w:t>State (2024)</w:t>
            </w:r>
          </w:p>
        </w:tc>
      </w:tr>
      <w:tr w:rsidR="007303EE" w:rsidRPr="00797379" w14:paraId="04A2B1DA" w14:textId="77777777" w:rsidTr="00B45A09">
        <w:trPr>
          <w:cnfStyle w:val="000000100000" w:firstRow="0" w:lastRow="0" w:firstColumn="0" w:lastColumn="0" w:oddVBand="0" w:evenVBand="0" w:oddHBand="1" w:evenHBand="0" w:firstRowFirstColumn="0" w:firstRowLastColumn="0" w:lastRowFirstColumn="0" w:lastRowLastColumn="0"/>
        </w:trPr>
        <w:tc>
          <w:tcPr>
            <w:tcW w:w="3586" w:type="dxa"/>
          </w:tcPr>
          <w:p w14:paraId="7B11136E" w14:textId="77777777" w:rsidR="007303EE" w:rsidRPr="0059750A" w:rsidRDefault="007303EE" w:rsidP="00B45A09">
            <w:pPr>
              <w:pStyle w:val="TableSubheading"/>
              <w:keepNext/>
              <w:keepLines/>
              <w:rPr>
                <w:rFonts w:asciiTheme="minorHAnsi" w:hAnsiTheme="minorHAnsi"/>
              </w:rPr>
            </w:pPr>
            <w:r w:rsidRPr="0059750A">
              <w:rPr>
                <w:rFonts w:asciiTheme="minorHAnsi" w:hAnsiTheme="minorHAnsi"/>
              </w:rPr>
              <w:t>All Students</w:t>
            </w:r>
          </w:p>
        </w:tc>
        <w:tc>
          <w:tcPr>
            <w:tcW w:w="1151" w:type="dxa"/>
          </w:tcPr>
          <w:p w14:paraId="59236EB3" w14:textId="77777777" w:rsidR="007303EE" w:rsidRPr="00797379" w:rsidRDefault="007303EE" w:rsidP="00B45A09">
            <w:pPr>
              <w:pStyle w:val="TableTextCentered"/>
              <w:keepNext/>
              <w:keepLines/>
            </w:pPr>
            <w:r w:rsidRPr="00797379">
              <w:t>4,376</w:t>
            </w:r>
          </w:p>
        </w:tc>
        <w:tc>
          <w:tcPr>
            <w:tcW w:w="1152" w:type="dxa"/>
          </w:tcPr>
          <w:p w14:paraId="3F5AC017" w14:textId="77777777" w:rsidR="007303EE" w:rsidRPr="00797379" w:rsidRDefault="007303EE" w:rsidP="00B45A09">
            <w:pPr>
              <w:pStyle w:val="TableTextCentered"/>
              <w:keepNext/>
              <w:keepLines/>
            </w:pPr>
            <w:r w:rsidRPr="00797379">
              <w:t>0.4</w:t>
            </w:r>
          </w:p>
        </w:tc>
        <w:tc>
          <w:tcPr>
            <w:tcW w:w="1151" w:type="dxa"/>
          </w:tcPr>
          <w:p w14:paraId="1787FDE3" w14:textId="77777777" w:rsidR="007303EE" w:rsidRPr="00797379" w:rsidRDefault="007303EE" w:rsidP="00B45A09">
            <w:pPr>
              <w:pStyle w:val="TableTextCentered"/>
              <w:keepNext/>
              <w:keepLines/>
            </w:pPr>
            <w:r w:rsidRPr="00797379">
              <w:t>0.2</w:t>
            </w:r>
          </w:p>
        </w:tc>
        <w:tc>
          <w:tcPr>
            <w:tcW w:w="1152" w:type="dxa"/>
          </w:tcPr>
          <w:p w14:paraId="5723A489" w14:textId="77777777" w:rsidR="007303EE" w:rsidRPr="00797379" w:rsidRDefault="007303EE" w:rsidP="00B45A09">
            <w:pPr>
              <w:pStyle w:val="TableTextCentered"/>
              <w:keepNext/>
              <w:keepLines/>
            </w:pPr>
            <w:r w:rsidRPr="00797379">
              <w:t>0.3</w:t>
            </w:r>
          </w:p>
        </w:tc>
        <w:tc>
          <w:tcPr>
            <w:tcW w:w="1152" w:type="dxa"/>
          </w:tcPr>
          <w:p w14:paraId="0D6C0905" w14:textId="77777777" w:rsidR="007303EE" w:rsidRPr="00797379" w:rsidRDefault="007303EE" w:rsidP="00B45A09">
            <w:pPr>
              <w:pStyle w:val="TableTextCentered"/>
              <w:keepNext/>
              <w:keepLines/>
            </w:pPr>
            <w:r w:rsidRPr="00797379">
              <w:t>1.4</w:t>
            </w:r>
          </w:p>
        </w:tc>
      </w:tr>
      <w:tr w:rsidR="007303EE" w:rsidRPr="00797379" w14:paraId="6A05308A" w14:textId="77777777" w:rsidTr="00B45A09">
        <w:tc>
          <w:tcPr>
            <w:tcW w:w="3586" w:type="dxa"/>
          </w:tcPr>
          <w:p w14:paraId="708DB20A" w14:textId="77777777" w:rsidR="007303EE" w:rsidRPr="0059750A" w:rsidRDefault="007303EE" w:rsidP="00B45A09">
            <w:pPr>
              <w:pStyle w:val="TableSubheading"/>
              <w:keepNext/>
              <w:keepLines/>
              <w:rPr>
                <w:rFonts w:asciiTheme="minorHAnsi" w:hAnsiTheme="minorHAnsi"/>
              </w:rPr>
            </w:pPr>
            <w:r w:rsidRPr="0059750A">
              <w:rPr>
                <w:rFonts w:asciiTheme="minorHAnsi" w:hAnsiTheme="minorHAnsi"/>
              </w:rPr>
              <w:t>American Indian or Alaskan Native</w:t>
            </w:r>
          </w:p>
        </w:tc>
        <w:tc>
          <w:tcPr>
            <w:tcW w:w="1151" w:type="dxa"/>
          </w:tcPr>
          <w:p w14:paraId="06F40C2B" w14:textId="77777777" w:rsidR="007303EE" w:rsidRPr="00797379" w:rsidRDefault="007303EE" w:rsidP="00B45A09">
            <w:pPr>
              <w:pStyle w:val="TableTextCentered"/>
              <w:keepNext/>
              <w:keepLines/>
            </w:pPr>
            <w:r w:rsidRPr="00797379">
              <w:t>5</w:t>
            </w:r>
          </w:p>
        </w:tc>
        <w:tc>
          <w:tcPr>
            <w:tcW w:w="1152" w:type="dxa"/>
          </w:tcPr>
          <w:p w14:paraId="5B837BB3" w14:textId="5BE5D7A9" w:rsidR="007303EE" w:rsidRPr="00797379" w:rsidRDefault="00220288" w:rsidP="00B45A09">
            <w:pPr>
              <w:pStyle w:val="TableTextCentered"/>
              <w:keepNext/>
              <w:keepLines/>
            </w:pPr>
            <w:r>
              <w:t>N/A</w:t>
            </w:r>
          </w:p>
        </w:tc>
        <w:tc>
          <w:tcPr>
            <w:tcW w:w="1151" w:type="dxa"/>
          </w:tcPr>
          <w:p w14:paraId="5E2D7710" w14:textId="63F82A47" w:rsidR="007303EE" w:rsidRPr="00797379" w:rsidRDefault="00220288" w:rsidP="00B45A09">
            <w:pPr>
              <w:pStyle w:val="TableTextCentered"/>
              <w:keepNext/>
              <w:keepLines/>
            </w:pPr>
            <w:r>
              <w:t>N/A</w:t>
            </w:r>
          </w:p>
        </w:tc>
        <w:tc>
          <w:tcPr>
            <w:tcW w:w="1152" w:type="dxa"/>
          </w:tcPr>
          <w:p w14:paraId="113D9661" w14:textId="7A447973" w:rsidR="007303EE" w:rsidRPr="00797379" w:rsidRDefault="00220288" w:rsidP="00B45A09">
            <w:pPr>
              <w:pStyle w:val="TableTextCentered"/>
              <w:keepNext/>
              <w:keepLines/>
            </w:pPr>
            <w:r>
              <w:t>N/A</w:t>
            </w:r>
          </w:p>
        </w:tc>
        <w:tc>
          <w:tcPr>
            <w:tcW w:w="1152" w:type="dxa"/>
          </w:tcPr>
          <w:p w14:paraId="02BEBA7E" w14:textId="77777777" w:rsidR="007303EE" w:rsidRPr="00797379" w:rsidRDefault="007303EE" w:rsidP="00B45A09">
            <w:pPr>
              <w:pStyle w:val="TableTextCentered"/>
              <w:keepNext/>
              <w:keepLines/>
            </w:pPr>
            <w:r w:rsidRPr="00797379">
              <w:t>1.8</w:t>
            </w:r>
          </w:p>
        </w:tc>
      </w:tr>
      <w:tr w:rsidR="007303EE" w:rsidRPr="00797379" w14:paraId="31B32466" w14:textId="77777777" w:rsidTr="00B45A09">
        <w:trPr>
          <w:cnfStyle w:val="000000100000" w:firstRow="0" w:lastRow="0" w:firstColumn="0" w:lastColumn="0" w:oddVBand="0" w:evenVBand="0" w:oddHBand="1" w:evenHBand="0" w:firstRowFirstColumn="0" w:firstRowLastColumn="0" w:lastRowFirstColumn="0" w:lastRowLastColumn="0"/>
        </w:trPr>
        <w:tc>
          <w:tcPr>
            <w:tcW w:w="3586" w:type="dxa"/>
          </w:tcPr>
          <w:p w14:paraId="642403E3" w14:textId="77777777" w:rsidR="007303EE" w:rsidRPr="0059750A" w:rsidRDefault="007303EE" w:rsidP="00B45A09">
            <w:pPr>
              <w:pStyle w:val="TableSubheading"/>
              <w:rPr>
                <w:rFonts w:asciiTheme="minorHAnsi" w:hAnsiTheme="minorHAnsi"/>
              </w:rPr>
            </w:pPr>
            <w:r w:rsidRPr="0059750A">
              <w:rPr>
                <w:rFonts w:asciiTheme="minorHAnsi" w:hAnsiTheme="minorHAnsi"/>
              </w:rPr>
              <w:t>Asian</w:t>
            </w:r>
          </w:p>
        </w:tc>
        <w:tc>
          <w:tcPr>
            <w:tcW w:w="1151" w:type="dxa"/>
          </w:tcPr>
          <w:p w14:paraId="54B5FF91" w14:textId="77777777" w:rsidR="007303EE" w:rsidRPr="00797379" w:rsidRDefault="007303EE" w:rsidP="00B45A09">
            <w:pPr>
              <w:pStyle w:val="TableTextCentered"/>
            </w:pPr>
            <w:r w:rsidRPr="00797379">
              <w:t>876</w:t>
            </w:r>
          </w:p>
        </w:tc>
        <w:tc>
          <w:tcPr>
            <w:tcW w:w="1152" w:type="dxa"/>
          </w:tcPr>
          <w:p w14:paraId="651A514A" w14:textId="47948D15" w:rsidR="007303EE" w:rsidRPr="00797379" w:rsidRDefault="00220288" w:rsidP="00B45A09">
            <w:pPr>
              <w:pStyle w:val="TableTextCentered"/>
            </w:pPr>
            <w:r>
              <w:t>N/A</w:t>
            </w:r>
          </w:p>
        </w:tc>
        <w:tc>
          <w:tcPr>
            <w:tcW w:w="1151" w:type="dxa"/>
          </w:tcPr>
          <w:p w14:paraId="3DAD6823" w14:textId="6480EE5F" w:rsidR="007303EE" w:rsidRPr="00797379" w:rsidRDefault="00220288" w:rsidP="00B45A09">
            <w:pPr>
              <w:pStyle w:val="TableTextCentered"/>
            </w:pPr>
            <w:r>
              <w:t>N/A</w:t>
            </w:r>
          </w:p>
        </w:tc>
        <w:tc>
          <w:tcPr>
            <w:tcW w:w="1152" w:type="dxa"/>
          </w:tcPr>
          <w:p w14:paraId="4080E1E7" w14:textId="29C089D6" w:rsidR="007303EE" w:rsidRPr="00797379" w:rsidRDefault="00220288" w:rsidP="00B45A09">
            <w:pPr>
              <w:pStyle w:val="TableTextCentered"/>
            </w:pPr>
            <w:r>
              <w:t>N/A</w:t>
            </w:r>
          </w:p>
        </w:tc>
        <w:tc>
          <w:tcPr>
            <w:tcW w:w="1152" w:type="dxa"/>
          </w:tcPr>
          <w:p w14:paraId="2B6736EE" w14:textId="77777777" w:rsidR="007303EE" w:rsidRPr="00797379" w:rsidRDefault="007303EE" w:rsidP="00B45A09">
            <w:pPr>
              <w:pStyle w:val="TableTextCentered"/>
            </w:pPr>
            <w:r w:rsidRPr="00797379">
              <w:t>0.3</w:t>
            </w:r>
          </w:p>
        </w:tc>
      </w:tr>
      <w:tr w:rsidR="007303EE" w:rsidRPr="00797379" w14:paraId="54B51475" w14:textId="77777777" w:rsidTr="00B45A09">
        <w:tc>
          <w:tcPr>
            <w:tcW w:w="3586" w:type="dxa"/>
          </w:tcPr>
          <w:p w14:paraId="40883206" w14:textId="77777777" w:rsidR="007303EE" w:rsidRPr="0059750A" w:rsidRDefault="007303EE" w:rsidP="00B45A09">
            <w:pPr>
              <w:pStyle w:val="TableSubheading"/>
              <w:rPr>
                <w:rFonts w:asciiTheme="minorHAnsi" w:hAnsiTheme="minorHAnsi"/>
              </w:rPr>
            </w:pPr>
            <w:r w:rsidRPr="0059750A">
              <w:rPr>
                <w:rFonts w:asciiTheme="minorHAnsi" w:hAnsiTheme="minorHAnsi"/>
              </w:rPr>
              <w:t>Black or African American</w:t>
            </w:r>
          </w:p>
        </w:tc>
        <w:tc>
          <w:tcPr>
            <w:tcW w:w="1151" w:type="dxa"/>
          </w:tcPr>
          <w:p w14:paraId="43F3E945" w14:textId="77777777" w:rsidR="007303EE" w:rsidRPr="00797379" w:rsidRDefault="007303EE" w:rsidP="00B45A09">
            <w:pPr>
              <w:pStyle w:val="TableTextCentered"/>
            </w:pPr>
            <w:r w:rsidRPr="00797379">
              <w:t>68</w:t>
            </w:r>
          </w:p>
        </w:tc>
        <w:tc>
          <w:tcPr>
            <w:tcW w:w="1152" w:type="dxa"/>
          </w:tcPr>
          <w:p w14:paraId="7F48D4C7" w14:textId="461D9E8A" w:rsidR="007303EE" w:rsidRPr="00797379" w:rsidRDefault="00220288" w:rsidP="00B45A09">
            <w:pPr>
              <w:pStyle w:val="TableTextCentered"/>
            </w:pPr>
            <w:r>
              <w:t>N/A</w:t>
            </w:r>
          </w:p>
        </w:tc>
        <w:tc>
          <w:tcPr>
            <w:tcW w:w="1151" w:type="dxa"/>
          </w:tcPr>
          <w:p w14:paraId="2817D8E5" w14:textId="3C5166A4" w:rsidR="007303EE" w:rsidRPr="00797379" w:rsidRDefault="00220288" w:rsidP="00B45A09">
            <w:pPr>
              <w:pStyle w:val="TableTextCentered"/>
            </w:pPr>
            <w:r>
              <w:t>N/A</w:t>
            </w:r>
          </w:p>
        </w:tc>
        <w:tc>
          <w:tcPr>
            <w:tcW w:w="1152" w:type="dxa"/>
          </w:tcPr>
          <w:p w14:paraId="35E893BF" w14:textId="1185674B" w:rsidR="007303EE" w:rsidRPr="00797379" w:rsidRDefault="00220288" w:rsidP="00B45A09">
            <w:pPr>
              <w:pStyle w:val="TableTextCentered"/>
            </w:pPr>
            <w:r>
              <w:t>N/A</w:t>
            </w:r>
          </w:p>
        </w:tc>
        <w:tc>
          <w:tcPr>
            <w:tcW w:w="1152" w:type="dxa"/>
          </w:tcPr>
          <w:p w14:paraId="3678D5F6" w14:textId="77777777" w:rsidR="007303EE" w:rsidRPr="00797379" w:rsidRDefault="007303EE" w:rsidP="00B45A09">
            <w:pPr>
              <w:pStyle w:val="TableTextCentered"/>
            </w:pPr>
            <w:r w:rsidRPr="00797379">
              <w:t>2.1</w:t>
            </w:r>
          </w:p>
        </w:tc>
      </w:tr>
      <w:tr w:rsidR="007303EE" w:rsidRPr="00797379" w14:paraId="1DB3BE9A" w14:textId="77777777" w:rsidTr="00B45A09">
        <w:trPr>
          <w:cnfStyle w:val="000000100000" w:firstRow="0" w:lastRow="0" w:firstColumn="0" w:lastColumn="0" w:oddVBand="0" w:evenVBand="0" w:oddHBand="1" w:evenHBand="0" w:firstRowFirstColumn="0" w:firstRowLastColumn="0" w:lastRowFirstColumn="0" w:lastRowLastColumn="0"/>
        </w:trPr>
        <w:tc>
          <w:tcPr>
            <w:tcW w:w="3586" w:type="dxa"/>
          </w:tcPr>
          <w:p w14:paraId="41DEC164" w14:textId="77777777" w:rsidR="007303EE" w:rsidRPr="0059750A" w:rsidRDefault="007303EE" w:rsidP="00B45A09">
            <w:pPr>
              <w:pStyle w:val="TableSubheading"/>
              <w:rPr>
                <w:rFonts w:asciiTheme="minorHAnsi" w:hAnsiTheme="minorHAnsi"/>
              </w:rPr>
            </w:pPr>
            <w:r w:rsidRPr="0059750A">
              <w:rPr>
                <w:rFonts w:asciiTheme="minorHAnsi" w:hAnsiTheme="minorHAnsi"/>
              </w:rPr>
              <w:t>Hispanic or Latino</w:t>
            </w:r>
          </w:p>
        </w:tc>
        <w:tc>
          <w:tcPr>
            <w:tcW w:w="1151" w:type="dxa"/>
          </w:tcPr>
          <w:p w14:paraId="19AE00F5" w14:textId="77777777" w:rsidR="007303EE" w:rsidRPr="00797379" w:rsidRDefault="007303EE" w:rsidP="00B45A09">
            <w:pPr>
              <w:pStyle w:val="TableTextCentered"/>
            </w:pPr>
            <w:r w:rsidRPr="00797379">
              <w:t>174</w:t>
            </w:r>
          </w:p>
        </w:tc>
        <w:tc>
          <w:tcPr>
            <w:tcW w:w="1152" w:type="dxa"/>
          </w:tcPr>
          <w:p w14:paraId="4367727F" w14:textId="16832E0E" w:rsidR="007303EE" w:rsidRPr="00797379" w:rsidRDefault="00220288" w:rsidP="00B45A09">
            <w:pPr>
              <w:pStyle w:val="TableTextCentered"/>
            </w:pPr>
            <w:r>
              <w:t>N/A</w:t>
            </w:r>
          </w:p>
        </w:tc>
        <w:tc>
          <w:tcPr>
            <w:tcW w:w="1151" w:type="dxa"/>
          </w:tcPr>
          <w:p w14:paraId="72A05484" w14:textId="7E09AE94" w:rsidR="007303EE" w:rsidRPr="00797379" w:rsidRDefault="00220288" w:rsidP="00B45A09">
            <w:pPr>
              <w:pStyle w:val="TableTextCentered"/>
            </w:pPr>
            <w:r>
              <w:t>N/A</w:t>
            </w:r>
          </w:p>
        </w:tc>
        <w:tc>
          <w:tcPr>
            <w:tcW w:w="1152" w:type="dxa"/>
          </w:tcPr>
          <w:p w14:paraId="0BD738C1" w14:textId="1C71F5F2" w:rsidR="007303EE" w:rsidRPr="00797379" w:rsidRDefault="00220288" w:rsidP="00B45A09">
            <w:pPr>
              <w:pStyle w:val="TableTextCentered"/>
            </w:pPr>
            <w:r>
              <w:t>N/A</w:t>
            </w:r>
          </w:p>
        </w:tc>
        <w:tc>
          <w:tcPr>
            <w:tcW w:w="1152" w:type="dxa"/>
          </w:tcPr>
          <w:p w14:paraId="5AA8EDB2" w14:textId="77777777" w:rsidR="007303EE" w:rsidRPr="00797379" w:rsidRDefault="007303EE" w:rsidP="00B45A09">
            <w:pPr>
              <w:pStyle w:val="TableTextCentered"/>
            </w:pPr>
            <w:r w:rsidRPr="00797379">
              <w:t>1.9</w:t>
            </w:r>
          </w:p>
        </w:tc>
      </w:tr>
      <w:tr w:rsidR="007303EE" w:rsidRPr="00797379" w14:paraId="4FCE6513" w14:textId="77777777" w:rsidTr="00B45A09">
        <w:tc>
          <w:tcPr>
            <w:tcW w:w="3586" w:type="dxa"/>
          </w:tcPr>
          <w:p w14:paraId="13A3D3DE" w14:textId="77777777" w:rsidR="007303EE" w:rsidRPr="0059750A" w:rsidRDefault="007303EE" w:rsidP="00B45A09">
            <w:pPr>
              <w:pStyle w:val="TableSubheading"/>
              <w:rPr>
                <w:rFonts w:asciiTheme="minorHAnsi" w:hAnsiTheme="minorHAnsi"/>
              </w:rPr>
            </w:pPr>
            <w:r w:rsidRPr="0059750A">
              <w:rPr>
                <w:rFonts w:asciiTheme="minorHAnsi" w:hAnsiTheme="minorHAnsi"/>
              </w:rPr>
              <w:t>Multi-Race, Not Hispanic or Latino</w:t>
            </w:r>
          </w:p>
        </w:tc>
        <w:tc>
          <w:tcPr>
            <w:tcW w:w="1151" w:type="dxa"/>
          </w:tcPr>
          <w:p w14:paraId="0F03AECA" w14:textId="77777777" w:rsidR="007303EE" w:rsidRPr="00797379" w:rsidRDefault="007303EE" w:rsidP="00B45A09">
            <w:pPr>
              <w:pStyle w:val="TableTextCentered"/>
            </w:pPr>
            <w:r w:rsidRPr="00797379">
              <w:t>324</w:t>
            </w:r>
          </w:p>
        </w:tc>
        <w:tc>
          <w:tcPr>
            <w:tcW w:w="1152" w:type="dxa"/>
          </w:tcPr>
          <w:p w14:paraId="1B552545" w14:textId="0736D479" w:rsidR="007303EE" w:rsidRPr="00797379" w:rsidRDefault="00220288" w:rsidP="00B45A09">
            <w:pPr>
              <w:pStyle w:val="TableTextCentered"/>
            </w:pPr>
            <w:r>
              <w:t>N/A</w:t>
            </w:r>
          </w:p>
        </w:tc>
        <w:tc>
          <w:tcPr>
            <w:tcW w:w="1151" w:type="dxa"/>
          </w:tcPr>
          <w:p w14:paraId="2C839026" w14:textId="589C3336" w:rsidR="007303EE" w:rsidRPr="00797379" w:rsidRDefault="00220288" w:rsidP="00B45A09">
            <w:pPr>
              <w:pStyle w:val="TableTextCentered"/>
            </w:pPr>
            <w:r>
              <w:t>N/A</w:t>
            </w:r>
          </w:p>
        </w:tc>
        <w:tc>
          <w:tcPr>
            <w:tcW w:w="1152" w:type="dxa"/>
          </w:tcPr>
          <w:p w14:paraId="4E3DD19A" w14:textId="018572C1" w:rsidR="007303EE" w:rsidRPr="00797379" w:rsidRDefault="00220288" w:rsidP="00B45A09">
            <w:pPr>
              <w:pStyle w:val="TableTextCentered"/>
            </w:pPr>
            <w:r>
              <w:t>N/A</w:t>
            </w:r>
          </w:p>
        </w:tc>
        <w:tc>
          <w:tcPr>
            <w:tcW w:w="1152" w:type="dxa"/>
          </w:tcPr>
          <w:p w14:paraId="349EEBF2" w14:textId="77777777" w:rsidR="007303EE" w:rsidRPr="00797379" w:rsidRDefault="007303EE" w:rsidP="00B45A09">
            <w:pPr>
              <w:pStyle w:val="TableTextCentered"/>
            </w:pPr>
            <w:r w:rsidRPr="00797379">
              <w:t>1.6</w:t>
            </w:r>
          </w:p>
        </w:tc>
      </w:tr>
      <w:tr w:rsidR="007303EE" w:rsidRPr="00797379" w14:paraId="4086848A" w14:textId="77777777" w:rsidTr="00B45A09">
        <w:trPr>
          <w:cnfStyle w:val="000000100000" w:firstRow="0" w:lastRow="0" w:firstColumn="0" w:lastColumn="0" w:oddVBand="0" w:evenVBand="0" w:oddHBand="1" w:evenHBand="0" w:firstRowFirstColumn="0" w:firstRowLastColumn="0" w:lastRowFirstColumn="0" w:lastRowLastColumn="0"/>
        </w:trPr>
        <w:tc>
          <w:tcPr>
            <w:tcW w:w="3586" w:type="dxa"/>
          </w:tcPr>
          <w:p w14:paraId="3C0872A7" w14:textId="77777777" w:rsidR="007303EE" w:rsidRPr="0059750A" w:rsidRDefault="007303EE" w:rsidP="00B45A09">
            <w:pPr>
              <w:pStyle w:val="TableSubheading"/>
              <w:rPr>
                <w:rFonts w:asciiTheme="minorHAnsi" w:hAnsiTheme="minorHAnsi"/>
                <w:spacing w:val="-4"/>
              </w:rPr>
            </w:pPr>
            <w:r w:rsidRPr="0059750A">
              <w:rPr>
                <w:rFonts w:asciiTheme="minorHAnsi" w:hAnsiTheme="minorHAnsi"/>
              </w:rPr>
              <w:t>Native Hawaiian or Other Pacific Islander</w:t>
            </w:r>
          </w:p>
        </w:tc>
        <w:tc>
          <w:tcPr>
            <w:tcW w:w="1151" w:type="dxa"/>
          </w:tcPr>
          <w:p w14:paraId="2B2347F6" w14:textId="77777777" w:rsidR="007303EE" w:rsidRPr="00797379" w:rsidRDefault="007303EE" w:rsidP="00B45A09">
            <w:pPr>
              <w:pStyle w:val="TableTextCentered"/>
            </w:pPr>
            <w:r w:rsidRPr="00797379">
              <w:t>0</w:t>
            </w:r>
          </w:p>
        </w:tc>
        <w:tc>
          <w:tcPr>
            <w:tcW w:w="1152" w:type="dxa"/>
          </w:tcPr>
          <w:p w14:paraId="038C734D" w14:textId="6B25FF07" w:rsidR="007303EE" w:rsidRPr="00797379" w:rsidRDefault="00220288" w:rsidP="00B45A09">
            <w:pPr>
              <w:pStyle w:val="TableTextCentered"/>
            </w:pPr>
            <w:r>
              <w:t>N/A</w:t>
            </w:r>
          </w:p>
        </w:tc>
        <w:tc>
          <w:tcPr>
            <w:tcW w:w="1151" w:type="dxa"/>
          </w:tcPr>
          <w:p w14:paraId="3E2FF6A9" w14:textId="7160E3F2" w:rsidR="007303EE" w:rsidRPr="00797379" w:rsidRDefault="00220288" w:rsidP="00B45A09">
            <w:pPr>
              <w:pStyle w:val="TableTextCentered"/>
            </w:pPr>
            <w:r>
              <w:t>N/A</w:t>
            </w:r>
          </w:p>
        </w:tc>
        <w:tc>
          <w:tcPr>
            <w:tcW w:w="1152" w:type="dxa"/>
          </w:tcPr>
          <w:p w14:paraId="5116993F" w14:textId="33653A58" w:rsidR="007303EE" w:rsidRPr="00797379" w:rsidRDefault="00220288" w:rsidP="00B45A09">
            <w:pPr>
              <w:pStyle w:val="TableTextCentered"/>
            </w:pPr>
            <w:r>
              <w:t>N/A</w:t>
            </w:r>
          </w:p>
        </w:tc>
        <w:tc>
          <w:tcPr>
            <w:tcW w:w="1152" w:type="dxa"/>
          </w:tcPr>
          <w:p w14:paraId="6B01D648" w14:textId="77777777" w:rsidR="007303EE" w:rsidRPr="00797379" w:rsidRDefault="007303EE" w:rsidP="00B45A09">
            <w:pPr>
              <w:pStyle w:val="TableTextCentered"/>
            </w:pPr>
            <w:r w:rsidRPr="00797379">
              <w:t>1.9</w:t>
            </w:r>
          </w:p>
        </w:tc>
      </w:tr>
      <w:tr w:rsidR="007303EE" w:rsidRPr="00797379" w14:paraId="1EF12DBF" w14:textId="77777777" w:rsidTr="00B45A09">
        <w:tc>
          <w:tcPr>
            <w:tcW w:w="3586" w:type="dxa"/>
          </w:tcPr>
          <w:p w14:paraId="039769B1" w14:textId="77777777" w:rsidR="007303EE" w:rsidRPr="0059750A" w:rsidRDefault="007303EE" w:rsidP="00B45A09">
            <w:pPr>
              <w:pStyle w:val="TableSubheading"/>
              <w:rPr>
                <w:rFonts w:asciiTheme="minorHAnsi" w:hAnsiTheme="minorHAnsi"/>
              </w:rPr>
            </w:pPr>
            <w:r w:rsidRPr="0059750A">
              <w:rPr>
                <w:rFonts w:asciiTheme="minorHAnsi" w:hAnsiTheme="minorHAnsi"/>
              </w:rPr>
              <w:t>White</w:t>
            </w:r>
          </w:p>
        </w:tc>
        <w:tc>
          <w:tcPr>
            <w:tcW w:w="1151" w:type="dxa"/>
          </w:tcPr>
          <w:p w14:paraId="62BE70AF" w14:textId="77777777" w:rsidR="007303EE" w:rsidRPr="00797379" w:rsidRDefault="007303EE" w:rsidP="00B45A09">
            <w:pPr>
              <w:pStyle w:val="TableTextCentered"/>
            </w:pPr>
            <w:r w:rsidRPr="00797379">
              <w:t>2,929</w:t>
            </w:r>
          </w:p>
        </w:tc>
        <w:tc>
          <w:tcPr>
            <w:tcW w:w="1152" w:type="dxa"/>
          </w:tcPr>
          <w:p w14:paraId="3EF5CB0E" w14:textId="77777777" w:rsidR="007303EE" w:rsidRPr="00797379" w:rsidRDefault="007303EE" w:rsidP="00B45A09">
            <w:pPr>
              <w:pStyle w:val="TableTextCentered"/>
            </w:pPr>
            <w:r w:rsidRPr="00797379">
              <w:t>0.3</w:t>
            </w:r>
          </w:p>
        </w:tc>
        <w:tc>
          <w:tcPr>
            <w:tcW w:w="1151" w:type="dxa"/>
          </w:tcPr>
          <w:p w14:paraId="767BBDFC" w14:textId="77777777" w:rsidR="007303EE" w:rsidRPr="00797379" w:rsidRDefault="007303EE" w:rsidP="00B45A09">
            <w:pPr>
              <w:pStyle w:val="TableTextCentered"/>
            </w:pPr>
            <w:r w:rsidRPr="00797379">
              <w:t>0.2</w:t>
            </w:r>
          </w:p>
        </w:tc>
        <w:tc>
          <w:tcPr>
            <w:tcW w:w="1152" w:type="dxa"/>
          </w:tcPr>
          <w:p w14:paraId="04346DF4" w14:textId="77777777" w:rsidR="007303EE" w:rsidRPr="00797379" w:rsidRDefault="007303EE" w:rsidP="00B45A09">
            <w:pPr>
              <w:pStyle w:val="TableTextCentered"/>
            </w:pPr>
            <w:r w:rsidRPr="00797379">
              <w:t>0.4</w:t>
            </w:r>
          </w:p>
        </w:tc>
        <w:tc>
          <w:tcPr>
            <w:tcW w:w="1152" w:type="dxa"/>
          </w:tcPr>
          <w:p w14:paraId="6A6AD16D" w14:textId="77777777" w:rsidR="007303EE" w:rsidRPr="00797379" w:rsidRDefault="007303EE" w:rsidP="00B45A09">
            <w:pPr>
              <w:pStyle w:val="TableTextCentered"/>
            </w:pPr>
            <w:r w:rsidRPr="00797379">
              <w:t>1.1</w:t>
            </w:r>
          </w:p>
        </w:tc>
      </w:tr>
      <w:tr w:rsidR="007303EE" w:rsidRPr="00797379" w14:paraId="0B2FEF9D" w14:textId="77777777" w:rsidTr="00B45A09">
        <w:trPr>
          <w:cnfStyle w:val="000000100000" w:firstRow="0" w:lastRow="0" w:firstColumn="0" w:lastColumn="0" w:oddVBand="0" w:evenVBand="0" w:oddHBand="1" w:evenHBand="0" w:firstRowFirstColumn="0" w:firstRowLastColumn="0" w:lastRowFirstColumn="0" w:lastRowLastColumn="0"/>
        </w:trPr>
        <w:tc>
          <w:tcPr>
            <w:tcW w:w="3586" w:type="dxa"/>
          </w:tcPr>
          <w:p w14:paraId="2574C87D" w14:textId="77777777" w:rsidR="007303EE" w:rsidRPr="0059750A" w:rsidRDefault="007303EE" w:rsidP="00B45A09">
            <w:pPr>
              <w:pStyle w:val="TableSubheading"/>
              <w:rPr>
                <w:rFonts w:asciiTheme="minorHAnsi" w:hAnsiTheme="minorHAnsi"/>
              </w:rPr>
            </w:pPr>
            <w:r w:rsidRPr="0059750A">
              <w:rPr>
                <w:rFonts w:asciiTheme="minorHAnsi" w:hAnsiTheme="minorHAnsi"/>
              </w:rPr>
              <w:t>High Needs</w:t>
            </w:r>
          </w:p>
        </w:tc>
        <w:tc>
          <w:tcPr>
            <w:tcW w:w="1151" w:type="dxa"/>
          </w:tcPr>
          <w:p w14:paraId="0C3C1D8F" w14:textId="77777777" w:rsidR="007303EE" w:rsidRPr="00797379" w:rsidRDefault="007303EE" w:rsidP="00B45A09">
            <w:pPr>
              <w:pStyle w:val="TableTextCentered"/>
            </w:pPr>
            <w:r w:rsidRPr="00797379">
              <w:t>1,327</w:t>
            </w:r>
          </w:p>
        </w:tc>
        <w:tc>
          <w:tcPr>
            <w:tcW w:w="1152" w:type="dxa"/>
          </w:tcPr>
          <w:p w14:paraId="7946A8A0" w14:textId="77777777" w:rsidR="007303EE" w:rsidRPr="00797379" w:rsidRDefault="007303EE" w:rsidP="00B45A09">
            <w:pPr>
              <w:pStyle w:val="TableTextCentered"/>
            </w:pPr>
            <w:r w:rsidRPr="00797379">
              <w:t>0.9</w:t>
            </w:r>
          </w:p>
        </w:tc>
        <w:tc>
          <w:tcPr>
            <w:tcW w:w="1151" w:type="dxa"/>
          </w:tcPr>
          <w:p w14:paraId="26BFEC60" w14:textId="28CE7937" w:rsidR="007303EE" w:rsidRPr="00797379" w:rsidRDefault="00220288" w:rsidP="00B45A09">
            <w:pPr>
              <w:pStyle w:val="TableTextCentered"/>
            </w:pPr>
            <w:r>
              <w:t>N/A</w:t>
            </w:r>
          </w:p>
        </w:tc>
        <w:tc>
          <w:tcPr>
            <w:tcW w:w="1152" w:type="dxa"/>
          </w:tcPr>
          <w:p w14:paraId="2BDBE83B" w14:textId="77777777" w:rsidR="007303EE" w:rsidRPr="00797379" w:rsidRDefault="007303EE" w:rsidP="00B45A09">
            <w:pPr>
              <w:pStyle w:val="TableTextCentered"/>
            </w:pPr>
            <w:r w:rsidRPr="00797379">
              <w:t>0.3</w:t>
            </w:r>
          </w:p>
        </w:tc>
        <w:tc>
          <w:tcPr>
            <w:tcW w:w="1152" w:type="dxa"/>
          </w:tcPr>
          <w:p w14:paraId="2E68F29B" w14:textId="77777777" w:rsidR="007303EE" w:rsidRPr="00797379" w:rsidRDefault="007303EE" w:rsidP="00B45A09">
            <w:pPr>
              <w:pStyle w:val="TableTextCentered"/>
            </w:pPr>
            <w:r w:rsidRPr="00797379">
              <w:t>1.9</w:t>
            </w:r>
          </w:p>
        </w:tc>
      </w:tr>
      <w:tr w:rsidR="007303EE" w:rsidRPr="00797379" w14:paraId="5B6CB584" w14:textId="77777777" w:rsidTr="00B45A09">
        <w:tc>
          <w:tcPr>
            <w:tcW w:w="3586" w:type="dxa"/>
          </w:tcPr>
          <w:p w14:paraId="49082291" w14:textId="77777777" w:rsidR="007303EE" w:rsidRPr="0059750A" w:rsidRDefault="007303EE" w:rsidP="00B45A09">
            <w:pPr>
              <w:pStyle w:val="TableSubheading"/>
              <w:rPr>
                <w:rFonts w:asciiTheme="minorHAnsi" w:hAnsiTheme="minorHAnsi"/>
              </w:rPr>
            </w:pPr>
            <w:r w:rsidRPr="0059750A">
              <w:rPr>
                <w:rFonts w:asciiTheme="minorHAnsi" w:hAnsiTheme="minorHAnsi"/>
              </w:rPr>
              <w:t>English Learners</w:t>
            </w:r>
          </w:p>
        </w:tc>
        <w:tc>
          <w:tcPr>
            <w:tcW w:w="1151" w:type="dxa"/>
          </w:tcPr>
          <w:p w14:paraId="5822E7EC" w14:textId="77777777" w:rsidR="007303EE" w:rsidRPr="00797379" w:rsidRDefault="007303EE" w:rsidP="00B45A09">
            <w:pPr>
              <w:pStyle w:val="TableTextCentered"/>
            </w:pPr>
            <w:r w:rsidRPr="00797379">
              <w:t>153</w:t>
            </w:r>
          </w:p>
        </w:tc>
        <w:tc>
          <w:tcPr>
            <w:tcW w:w="1152" w:type="dxa"/>
          </w:tcPr>
          <w:p w14:paraId="4E281B01" w14:textId="51981E25" w:rsidR="007303EE" w:rsidRPr="00797379" w:rsidRDefault="00220288" w:rsidP="00B45A09">
            <w:pPr>
              <w:pStyle w:val="TableTextCentered"/>
            </w:pPr>
            <w:r>
              <w:t>N/A</w:t>
            </w:r>
          </w:p>
        </w:tc>
        <w:tc>
          <w:tcPr>
            <w:tcW w:w="1151" w:type="dxa"/>
          </w:tcPr>
          <w:p w14:paraId="73A0E022" w14:textId="6CC9F5C8" w:rsidR="007303EE" w:rsidRPr="00797379" w:rsidRDefault="00220288" w:rsidP="00B45A09">
            <w:pPr>
              <w:pStyle w:val="TableTextCentered"/>
            </w:pPr>
            <w:r>
              <w:t>N/A</w:t>
            </w:r>
          </w:p>
        </w:tc>
        <w:tc>
          <w:tcPr>
            <w:tcW w:w="1152" w:type="dxa"/>
          </w:tcPr>
          <w:p w14:paraId="7DC37255" w14:textId="28E42BEA" w:rsidR="007303EE" w:rsidRPr="00797379" w:rsidRDefault="00220288" w:rsidP="00B45A09">
            <w:pPr>
              <w:pStyle w:val="TableTextCentered"/>
            </w:pPr>
            <w:r>
              <w:t>N/A</w:t>
            </w:r>
          </w:p>
        </w:tc>
        <w:tc>
          <w:tcPr>
            <w:tcW w:w="1152" w:type="dxa"/>
          </w:tcPr>
          <w:p w14:paraId="4E061BFE" w14:textId="77777777" w:rsidR="007303EE" w:rsidRPr="00797379" w:rsidRDefault="007303EE" w:rsidP="00B45A09">
            <w:pPr>
              <w:pStyle w:val="TableTextCentered"/>
            </w:pPr>
            <w:r w:rsidRPr="00797379">
              <w:t>1.4</w:t>
            </w:r>
          </w:p>
        </w:tc>
      </w:tr>
      <w:tr w:rsidR="007303EE" w:rsidRPr="00797379" w14:paraId="0E2BBAD9" w14:textId="77777777" w:rsidTr="00B45A09">
        <w:trPr>
          <w:cnfStyle w:val="000000100000" w:firstRow="0" w:lastRow="0" w:firstColumn="0" w:lastColumn="0" w:oddVBand="0" w:evenVBand="0" w:oddHBand="1" w:evenHBand="0" w:firstRowFirstColumn="0" w:firstRowLastColumn="0" w:lastRowFirstColumn="0" w:lastRowLastColumn="0"/>
        </w:trPr>
        <w:tc>
          <w:tcPr>
            <w:tcW w:w="3586" w:type="dxa"/>
          </w:tcPr>
          <w:p w14:paraId="747C6569" w14:textId="77777777" w:rsidR="007303EE" w:rsidRPr="0059750A" w:rsidRDefault="007303EE" w:rsidP="00B45A09">
            <w:pPr>
              <w:pStyle w:val="TableSubheading"/>
              <w:rPr>
                <w:rFonts w:asciiTheme="minorHAnsi" w:hAnsiTheme="minorHAnsi"/>
                <w:spacing w:val="-4"/>
              </w:rPr>
            </w:pPr>
            <w:r w:rsidRPr="0059750A">
              <w:rPr>
                <w:rFonts w:asciiTheme="minorHAnsi" w:hAnsiTheme="minorHAnsi"/>
              </w:rPr>
              <w:t>Low Income</w:t>
            </w:r>
          </w:p>
        </w:tc>
        <w:tc>
          <w:tcPr>
            <w:tcW w:w="1151" w:type="dxa"/>
          </w:tcPr>
          <w:p w14:paraId="634B72E4" w14:textId="77777777" w:rsidR="007303EE" w:rsidRPr="00797379" w:rsidRDefault="007303EE" w:rsidP="00B45A09">
            <w:pPr>
              <w:pStyle w:val="TableTextCentered"/>
            </w:pPr>
            <w:r w:rsidRPr="00797379">
              <w:t>378</w:t>
            </w:r>
          </w:p>
        </w:tc>
        <w:tc>
          <w:tcPr>
            <w:tcW w:w="1152" w:type="dxa"/>
          </w:tcPr>
          <w:p w14:paraId="60837782" w14:textId="77777777" w:rsidR="007303EE" w:rsidRPr="00797379" w:rsidRDefault="007303EE" w:rsidP="00B45A09">
            <w:pPr>
              <w:pStyle w:val="TableTextCentered"/>
            </w:pPr>
            <w:r w:rsidRPr="00797379">
              <w:t>1.6</w:t>
            </w:r>
          </w:p>
        </w:tc>
        <w:tc>
          <w:tcPr>
            <w:tcW w:w="1151" w:type="dxa"/>
          </w:tcPr>
          <w:p w14:paraId="2E8C9889" w14:textId="3C83B803" w:rsidR="007303EE" w:rsidRPr="00797379" w:rsidRDefault="00220288" w:rsidP="00B45A09">
            <w:pPr>
              <w:pStyle w:val="TableTextCentered"/>
            </w:pPr>
            <w:r>
              <w:t>N/A</w:t>
            </w:r>
          </w:p>
        </w:tc>
        <w:tc>
          <w:tcPr>
            <w:tcW w:w="1152" w:type="dxa"/>
          </w:tcPr>
          <w:p w14:paraId="62C47F3B" w14:textId="7311EA4F" w:rsidR="007303EE" w:rsidRPr="00797379" w:rsidRDefault="00220288" w:rsidP="00B45A09">
            <w:pPr>
              <w:pStyle w:val="TableTextCentered"/>
            </w:pPr>
            <w:r>
              <w:t>N/A</w:t>
            </w:r>
          </w:p>
        </w:tc>
        <w:tc>
          <w:tcPr>
            <w:tcW w:w="1152" w:type="dxa"/>
          </w:tcPr>
          <w:p w14:paraId="2751F4DE" w14:textId="77777777" w:rsidR="007303EE" w:rsidRPr="00797379" w:rsidRDefault="007303EE" w:rsidP="00B45A09">
            <w:pPr>
              <w:pStyle w:val="TableTextCentered"/>
            </w:pPr>
            <w:r w:rsidRPr="00797379">
              <w:t>2.1</w:t>
            </w:r>
          </w:p>
        </w:tc>
      </w:tr>
      <w:tr w:rsidR="007303EE" w:rsidRPr="00797379" w14:paraId="5FCCCE80" w14:textId="77777777" w:rsidTr="00B45A09">
        <w:tc>
          <w:tcPr>
            <w:tcW w:w="3586" w:type="dxa"/>
          </w:tcPr>
          <w:p w14:paraId="3EABD446" w14:textId="77777777" w:rsidR="007303EE" w:rsidRPr="0059750A" w:rsidRDefault="007303EE" w:rsidP="00B45A09">
            <w:pPr>
              <w:pStyle w:val="TableSubheading"/>
              <w:rPr>
                <w:rFonts w:asciiTheme="minorHAnsi" w:hAnsiTheme="minorHAnsi"/>
              </w:rPr>
            </w:pPr>
            <w:r w:rsidRPr="0059750A">
              <w:rPr>
                <w:rFonts w:asciiTheme="minorHAnsi" w:hAnsiTheme="minorHAnsi"/>
              </w:rPr>
              <w:t>Students with Disabilities</w:t>
            </w:r>
          </w:p>
        </w:tc>
        <w:tc>
          <w:tcPr>
            <w:tcW w:w="1151" w:type="dxa"/>
          </w:tcPr>
          <w:p w14:paraId="60FB592B" w14:textId="77777777" w:rsidR="007303EE" w:rsidRPr="00797379" w:rsidRDefault="007303EE" w:rsidP="00B45A09">
            <w:pPr>
              <w:pStyle w:val="TableTextCentered"/>
            </w:pPr>
            <w:r w:rsidRPr="00797379">
              <w:t>898</w:t>
            </w:r>
          </w:p>
        </w:tc>
        <w:tc>
          <w:tcPr>
            <w:tcW w:w="1152" w:type="dxa"/>
          </w:tcPr>
          <w:p w14:paraId="2598BB5C" w14:textId="77777777" w:rsidR="007303EE" w:rsidRPr="00797379" w:rsidRDefault="007303EE" w:rsidP="00B45A09">
            <w:pPr>
              <w:pStyle w:val="TableTextCentered"/>
            </w:pPr>
            <w:r w:rsidRPr="00797379">
              <w:t>1.1</w:t>
            </w:r>
          </w:p>
        </w:tc>
        <w:tc>
          <w:tcPr>
            <w:tcW w:w="1151" w:type="dxa"/>
          </w:tcPr>
          <w:p w14:paraId="6F58921C" w14:textId="4CAEFD86" w:rsidR="007303EE" w:rsidRPr="00797379" w:rsidRDefault="00220288" w:rsidP="00B45A09">
            <w:pPr>
              <w:pStyle w:val="TableTextCentered"/>
            </w:pPr>
            <w:r>
              <w:t>N/A</w:t>
            </w:r>
          </w:p>
        </w:tc>
        <w:tc>
          <w:tcPr>
            <w:tcW w:w="1152" w:type="dxa"/>
          </w:tcPr>
          <w:p w14:paraId="33EA2645" w14:textId="77777777" w:rsidR="007303EE" w:rsidRPr="00797379" w:rsidRDefault="007303EE" w:rsidP="00B45A09">
            <w:pPr>
              <w:pStyle w:val="TableTextCentered"/>
            </w:pPr>
            <w:r w:rsidRPr="00797379">
              <w:t>0.4</w:t>
            </w:r>
          </w:p>
        </w:tc>
        <w:tc>
          <w:tcPr>
            <w:tcW w:w="1152" w:type="dxa"/>
          </w:tcPr>
          <w:p w14:paraId="38CB06B3" w14:textId="77777777" w:rsidR="007303EE" w:rsidRPr="00797379" w:rsidRDefault="007303EE" w:rsidP="00B45A09">
            <w:pPr>
              <w:pStyle w:val="TableTextCentered"/>
            </w:pPr>
            <w:r w:rsidRPr="00797379">
              <w:t>2.4</w:t>
            </w:r>
          </w:p>
        </w:tc>
      </w:tr>
    </w:tbl>
    <w:p w14:paraId="59820B38" w14:textId="77777777" w:rsidR="007303EE" w:rsidRPr="00797379" w:rsidRDefault="007303EE" w:rsidP="006C2038">
      <w:pPr>
        <w:pStyle w:val="TableETitles"/>
      </w:pPr>
      <w:bookmarkStart w:id="262" w:name="_Toc220933523"/>
      <w:r w:rsidRPr="00797379">
        <w:t>Table E20. Out-of-School Suspension Rates by Student Group, 2022-2024</w:t>
      </w:r>
      <w:bookmarkEnd w:id="262"/>
    </w:p>
    <w:tbl>
      <w:tblPr>
        <w:tblStyle w:val="MSVTable1"/>
        <w:tblW w:w="5000" w:type="pct"/>
        <w:tblLook w:val="0420" w:firstRow="1" w:lastRow="0" w:firstColumn="0" w:lastColumn="0" w:noHBand="0" w:noVBand="1"/>
      </w:tblPr>
      <w:tblGrid>
        <w:gridCol w:w="3586"/>
        <w:gridCol w:w="1151"/>
        <w:gridCol w:w="1152"/>
        <w:gridCol w:w="1151"/>
        <w:gridCol w:w="1152"/>
        <w:gridCol w:w="1152"/>
      </w:tblGrid>
      <w:tr w:rsidR="007303EE" w:rsidRPr="00797379" w14:paraId="6046BB26" w14:textId="77777777" w:rsidTr="0034431B">
        <w:trPr>
          <w:cnfStyle w:val="100000000000" w:firstRow="1" w:lastRow="0" w:firstColumn="0" w:lastColumn="0" w:oddVBand="0" w:evenVBand="0" w:oddHBand="0" w:evenHBand="0" w:firstRowFirstColumn="0" w:firstRowLastColumn="0" w:lastRowFirstColumn="0" w:lastRowLastColumn="0"/>
          <w:tblHeader/>
        </w:trPr>
        <w:tc>
          <w:tcPr>
            <w:tcW w:w="3586" w:type="dxa"/>
            <w:vAlign w:val="center"/>
          </w:tcPr>
          <w:p w14:paraId="6CF5407A" w14:textId="77777777" w:rsidR="007303EE" w:rsidRPr="00797379" w:rsidRDefault="007303EE" w:rsidP="00B45A09">
            <w:pPr>
              <w:pStyle w:val="TableColHeadingCenter"/>
            </w:pPr>
            <w:r w:rsidRPr="00797379">
              <w:t>Group</w:t>
            </w:r>
          </w:p>
        </w:tc>
        <w:tc>
          <w:tcPr>
            <w:tcW w:w="1151" w:type="dxa"/>
            <w:vAlign w:val="center"/>
          </w:tcPr>
          <w:p w14:paraId="17B7800F" w14:textId="77777777" w:rsidR="007303EE" w:rsidRPr="00797379" w:rsidRDefault="007303EE" w:rsidP="00B45A09">
            <w:pPr>
              <w:pStyle w:val="TableColHeadingCenter"/>
            </w:pPr>
            <w:r w:rsidRPr="00797379">
              <w:t># Included (2024)</w:t>
            </w:r>
          </w:p>
        </w:tc>
        <w:tc>
          <w:tcPr>
            <w:tcW w:w="1152" w:type="dxa"/>
            <w:vAlign w:val="center"/>
          </w:tcPr>
          <w:p w14:paraId="75B87D1D" w14:textId="77777777" w:rsidR="007303EE" w:rsidRPr="00797379" w:rsidRDefault="007303EE" w:rsidP="00B45A09">
            <w:pPr>
              <w:pStyle w:val="TableColHeadingCenter"/>
            </w:pPr>
            <w:r w:rsidRPr="00797379">
              <w:t>2022</w:t>
            </w:r>
          </w:p>
        </w:tc>
        <w:tc>
          <w:tcPr>
            <w:tcW w:w="1151" w:type="dxa"/>
            <w:vAlign w:val="center"/>
          </w:tcPr>
          <w:p w14:paraId="41A4AE2E" w14:textId="77777777" w:rsidR="007303EE" w:rsidRPr="00797379" w:rsidRDefault="007303EE" w:rsidP="00B45A09">
            <w:pPr>
              <w:pStyle w:val="TableColHeadingCenter"/>
            </w:pPr>
            <w:r w:rsidRPr="00797379">
              <w:t>2023</w:t>
            </w:r>
          </w:p>
        </w:tc>
        <w:tc>
          <w:tcPr>
            <w:tcW w:w="1152" w:type="dxa"/>
            <w:vAlign w:val="center"/>
          </w:tcPr>
          <w:p w14:paraId="65BB033C" w14:textId="77777777" w:rsidR="007303EE" w:rsidRPr="00797379" w:rsidRDefault="007303EE" w:rsidP="00B45A09">
            <w:pPr>
              <w:pStyle w:val="TableColHeadingCenter"/>
            </w:pPr>
            <w:r w:rsidRPr="00797379">
              <w:t>2024</w:t>
            </w:r>
          </w:p>
        </w:tc>
        <w:tc>
          <w:tcPr>
            <w:tcW w:w="1152" w:type="dxa"/>
            <w:vAlign w:val="center"/>
          </w:tcPr>
          <w:p w14:paraId="5277FD8C" w14:textId="77777777" w:rsidR="007303EE" w:rsidRPr="00797379" w:rsidRDefault="007303EE" w:rsidP="00B45A09">
            <w:pPr>
              <w:pStyle w:val="TableColHeadingCenter"/>
            </w:pPr>
            <w:r w:rsidRPr="00797379">
              <w:t>State (2024)</w:t>
            </w:r>
          </w:p>
        </w:tc>
      </w:tr>
      <w:tr w:rsidR="007303EE" w:rsidRPr="00797379" w14:paraId="20B302B5" w14:textId="77777777" w:rsidTr="00B45A09">
        <w:trPr>
          <w:cnfStyle w:val="000000100000" w:firstRow="0" w:lastRow="0" w:firstColumn="0" w:lastColumn="0" w:oddVBand="0" w:evenVBand="0" w:oddHBand="1" w:evenHBand="0" w:firstRowFirstColumn="0" w:firstRowLastColumn="0" w:lastRowFirstColumn="0" w:lastRowLastColumn="0"/>
        </w:trPr>
        <w:tc>
          <w:tcPr>
            <w:tcW w:w="3586" w:type="dxa"/>
          </w:tcPr>
          <w:p w14:paraId="14869219" w14:textId="77777777" w:rsidR="007303EE" w:rsidRPr="0059750A" w:rsidRDefault="007303EE" w:rsidP="00B45A09">
            <w:pPr>
              <w:pStyle w:val="TableSubheading"/>
              <w:rPr>
                <w:rFonts w:asciiTheme="minorHAnsi" w:hAnsiTheme="minorHAnsi"/>
              </w:rPr>
            </w:pPr>
            <w:r w:rsidRPr="0059750A">
              <w:rPr>
                <w:rFonts w:asciiTheme="minorHAnsi" w:hAnsiTheme="minorHAnsi"/>
              </w:rPr>
              <w:t>All Students</w:t>
            </w:r>
          </w:p>
        </w:tc>
        <w:tc>
          <w:tcPr>
            <w:tcW w:w="1151" w:type="dxa"/>
          </w:tcPr>
          <w:p w14:paraId="099F9523" w14:textId="77777777" w:rsidR="007303EE" w:rsidRPr="00797379" w:rsidRDefault="007303EE" w:rsidP="00B45A09">
            <w:pPr>
              <w:pStyle w:val="TableTextCentered"/>
            </w:pPr>
            <w:r w:rsidRPr="00797379">
              <w:t>4,376</w:t>
            </w:r>
          </w:p>
        </w:tc>
        <w:tc>
          <w:tcPr>
            <w:tcW w:w="1152" w:type="dxa"/>
          </w:tcPr>
          <w:p w14:paraId="4A292134" w14:textId="77777777" w:rsidR="007303EE" w:rsidRPr="00797379" w:rsidRDefault="007303EE" w:rsidP="00B45A09">
            <w:pPr>
              <w:pStyle w:val="TableTextCentered"/>
            </w:pPr>
            <w:r w:rsidRPr="00797379">
              <w:t>0.5</w:t>
            </w:r>
          </w:p>
        </w:tc>
        <w:tc>
          <w:tcPr>
            <w:tcW w:w="1151" w:type="dxa"/>
          </w:tcPr>
          <w:p w14:paraId="26EB984A" w14:textId="77777777" w:rsidR="007303EE" w:rsidRPr="00797379" w:rsidRDefault="007303EE" w:rsidP="00B45A09">
            <w:pPr>
              <w:pStyle w:val="TableTextCentered"/>
            </w:pPr>
            <w:r w:rsidRPr="00797379">
              <w:t>0.1</w:t>
            </w:r>
          </w:p>
        </w:tc>
        <w:tc>
          <w:tcPr>
            <w:tcW w:w="1152" w:type="dxa"/>
          </w:tcPr>
          <w:p w14:paraId="373E24E7" w14:textId="77777777" w:rsidR="007303EE" w:rsidRPr="00797379" w:rsidRDefault="007303EE" w:rsidP="00B45A09">
            <w:pPr>
              <w:pStyle w:val="TableTextCentered"/>
            </w:pPr>
            <w:r w:rsidRPr="00797379">
              <w:t>0.1</w:t>
            </w:r>
          </w:p>
        </w:tc>
        <w:tc>
          <w:tcPr>
            <w:tcW w:w="1152" w:type="dxa"/>
          </w:tcPr>
          <w:p w14:paraId="661A7979" w14:textId="77777777" w:rsidR="007303EE" w:rsidRPr="00797379" w:rsidRDefault="007303EE" w:rsidP="00B45A09">
            <w:pPr>
              <w:pStyle w:val="TableTextCentered"/>
            </w:pPr>
            <w:r w:rsidRPr="00797379">
              <w:t>2.4</w:t>
            </w:r>
          </w:p>
        </w:tc>
      </w:tr>
      <w:tr w:rsidR="007303EE" w:rsidRPr="00797379" w14:paraId="668F52C3" w14:textId="77777777" w:rsidTr="00B45A09">
        <w:tc>
          <w:tcPr>
            <w:tcW w:w="3586" w:type="dxa"/>
          </w:tcPr>
          <w:p w14:paraId="0E7B94E0" w14:textId="77777777" w:rsidR="007303EE" w:rsidRPr="0059750A" w:rsidRDefault="007303EE" w:rsidP="00B45A09">
            <w:pPr>
              <w:pStyle w:val="TableSubheading"/>
              <w:rPr>
                <w:rFonts w:asciiTheme="minorHAnsi" w:hAnsiTheme="minorHAnsi"/>
              </w:rPr>
            </w:pPr>
            <w:r w:rsidRPr="0059750A">
              <w:rPr>
                <w:rFonts w:asciiTheme="minorHAnsi" w:hAnsiTheme="minorHAnsi"/>
              </w:rPr>
              <w:t>American Indian or Alaskan Native</w:t>
            </w:r>
          </w:p>
        </w:tc>
        <w:tc>
          <w:tcPr>
            <w:tcW w:w="1151" w:type="dxa"/>
          </w:tcPr>
          <w:p w14:paraId="360B14EA" w14:textId="77777777" w:rsidR="007303EE" w:rsidRPr="00797379" w:rsidRDefault="007303EE" w:rsidP="00B45A09">
            <w:pPr>
              <w:pStyle w:val="TableTextCentered"/>
            </w:pPr>
            <w:r w:rsidRPr="00797379">
              <w:t>5</w:t>
            </w:r>
          </w:p>
        </w:tc>
        <w:tc>
          <w:tcPr>
            <w:tcW w:w="1152" w:type="dxa"/>
          </w:tcPr>
          <w:p w14:paraId="622E300B" w14:textId="01D283EA" w:rsidR="007303EE" w:rsidRPr="00797379" w:rsidRDefault="00220288" w:rsidP="00B45A09">
            <w:pPr>
              <w:pStyle w:val="TableTextCentered"/>
            </w:pPr>
            <w:r>
              <w:t>N/A</w:t>
            </w:r>
          </w:p>
        </w:tc>
        <w:tc>
          <w:tcPr>
            <w:tcW w:w="1151" w:type="dxa"/>
          </w:tcPr>
          <w:p w14:paraId="20F60A70" w14:textId="2AE19B15" w:rsidR="007303EE" w:rsidRPr="00797379" w:rsidRDefault="00220288" w:rsidP="00B45A09">
            <w:pPr>
              <w:pStyle w:val="TableTextCentered"/>
            </w:pPr>
            <w:r>
              <w:t>N/A</w:t>
            </w:r>
          </w:p>
        </w:tc>
        <w:tc>
          <w:tcPr>
            <w:tcW w:w="1152" w:type="dxa"/>
          </w:tcPr>
          <w:p w14:paraId="19FB2882" w14:textId="2C3D8B1E" w:rsidR="007303EE" w:rsidRPr="00797379" w:rsidRDefault="00220288" w:rsidP="00B45A09">
            <w:pPr>
              <w:pStyle w:val="TableTextCentered"/>
            </w:pPr>
            <w:r>
              <w:t>N/A</w:t>
            </w:r>
          </w:p>
        </w:tc>
        <w:tc>
          <w:tcPr>
            <w:tcW w:w="1152" w:type="dxa"/>
          </w:tcPr>
          <w:p w14:paraId="534DB115" w14:textId="77777777" w:rsidR="007303EE" w:rsidRPr="00797379" w:rsidRDefault="007303EE" w:rsidP="00B45A09">
            <w:pPr>
              <w:pStyle w:val="TableTextCentered"/>
            </w:pPr>
            <w:r w:rsidRPr="00797379">
              <w:t>3.5</w:t>
            </w:r>
          </w:p>
        </w:tc>
      </w:tr>
      <w:tr w:rsidR="007303EE" w:rsidRPr="00797379" w14:paraId="116F38CB" w14:textId="77777777" w:rsidTr="00B45A09">
        <w:trPr>
          <w:cnfStyle w:val="000000100000" w:firstRow="0" w:lastRow="0" w:firstColumn="0" w:lastColumn="0" w:oddVBand="0" w:evenVBand="0" w:oddHBand="1" w:evenHBand="0" w:firstRowFirstColumn="0" w:firstRowLastColumn="0" w:lastRowFirstColumn="0" w:lastRowLastColumn="0"/>
        </w:trPr>
        <w:tc>
          <w:tcPr>
            <w:tcW w:w="3586" w:type="dxa"/>
          </w:tcPr>
          <w:p w14:paraId="2366DE67" w14:textId="77777777" w:rsidR="007303EE" w:rsidRPr="0059750A" w:rsidRDefault="007303EE" w:rsidP="00B45A09">
            <w:pPr>
              <w:pStyle w:val="TableSubheading"/>
              <w:rPr>
                <w:rFonts w:asciiTheme="minorHAnsi" w:hAnsiTheme="minorHAnsi"/>
              </w:rPr>
            </w:pPr>
            <w:r w:rsidRPr="0059750A">
              <w:rPr>
                <w:rFonts w:asciiTheme="minorHAnsi" w:hAnsiTheme="minorHAnsi"/>
              </w:rPr>
              <w:t>Asian</w:t>
            </w:r>
          </w:p>
        </w:tc>
        <w:tc>
          <w:tcPr>
            <w:tcW w:w="1151" w:type="dxa"/>
          </w:tcPr>
          <w:p w14:paraId="3C6EEDE9" w14:textId="77777777" w:rsidR="007303EE" w:rsidRPr="00797379" w:rsidRDefault="007303EE" w:rsidP="00B45A09">
            <w:pPr>
              <w:pStyle w:val="TableTextCentered"/>
            </w:pPr>
            <w:r w:rsidRPr="00797379">
              <w:t>876</w:t>
            </w:r>
          </w:p>
        </w:tc>
        <w:tc>
          <w:tcPr>
            <w:tcW w:w="1152" w:type="dxa"/>
          </w:tcPr>
          <w:p w14:paraId="06A9CAFB" w14:textId="6053FEFD" w:rsidR="007303EE" w:rsidRPr="00797379" w:rsidRDefault="00220288" w:rsidP="00B45A09">
            <w:pPr>
              <w:pStyle w:val="TableTextCentered"/>
            </w:pPr>
            <w:r>
              <w:t>N/A</w:t>
            </w:r>
          </w:p>
        </w:tc>
        <w:tc>
          <w:tcPr>
            <w:tcW w:w="1151" w:type="dxa"/>
          </w:tcPr>
          <w:p w14:paraId="3ADCAFAA" w14:textId="2C6F37A3" w:rsidR="007303EE" w:rsidRPr="00797379" w:rsidRDefault="00220288" w:rsidP="00B45A09">
            <w:pPr>
              <w:pStyle w:val="TableTextCentered"/>
            </w:pPr>
            <w:r>
              <w:t>N/A</w:t>
            </w:r>
          </w:p>
        </w:tc>
        <w:tc>
          <w:tcPr>
            <w:tcW w:w="1152" w:type="dxa"/>
          </w:tcPr>
          <w:p w14:paraId="3F4BD43D" w14:textId="082503DB" w:rsidR="007303EE" w:rsidRPr="00797379" w:rsidRDefault="00220288" w:rsidP="00B45A09">
            <w:pPr>
              <w:pStyle w:val="TableTextCentered"/>
            </w:pPr>
            <w:r>
              <w:t>N/A</w:t>
            </w:r>
          </w:p>
        </w:tc>
        <w:tc>
          <w:tcPr>
            <w:tcW w:w="1152" w:type="dxa"/>
          </w:tcPr>
          <w:p w14:paraId="5B1A0CF0" w14:textId="77777777" w:rsidR="007303EE" w:rsidRPr="00797379" w:rsidRDefault="007303EE" w:rsidP="00B45A09">
            <w:pPr>
              <w:pStyle w:val="TableTextCentered"/>
            </w:pPr>
            <w:r w:rsidRPr="00797379">
              <w:t>0.6</w:t>
            </w:r>
          </w:p>
        </w:tc>
      </w:tr>
      <w:tr w:rsidR="007303EE" w:rsidRPr="00797379" w14:paraId="40E85D9C" w14:textId="77777777" w:rsidTr="00B45A09">
        <w:tc>
          <w:tcPr>
            <w:tcW w:w="3586" w:type="dxa"/>
          </w:tcPr>
          <w:p w14:paraId="72E282E8" w14:textId="77777777" w:rsidR="007303EE" w:rsidRPr="0059750A" w:rsidRDefault="007303EE" w:rsidP="00B45A09">
            <w:pPr>
              <w:pStyle w:val="TableSubheading"/>
              <w:rPr>
                <w:rFonts w:asciiTheme="minorHAnsi" w:hAnsiTheme="minorHAnsi"/>
              </w:rPr>
            </w:pPr>
            <w:r w:rsidRPr="0059750A">
              <w:rPr>
                <w:rFonts w:asciiTheme="minorHAnsi" w:hAnsiTheme="minorHAnsi"/>
              </w:rPr>
              <w:t>Black or African American</w:t>
            </w:r>
          </w:p>
        </w:tc>
        <w:tc>
          <w:tcPr>
            <w:tcW w:w="1151" w:type="dxa"/>
          </w:tcPr>
          <w:p w14:paraId="76C50333" w14:textId="77777777" w:rsidR="007303EE" w:rsidRPr="00797379" w:rsidRDefault="007303EE" w:rsidP="00B45A09">
            <w:pPr>
              <w:pStyle w:val="TableTextCentered"/>
            </w:pPr>
            <w:r w:rsidRPr="00797379">
              <w:t>68</w:t>
            </w:r>
          </w:p>
        </w:tc>
        <w:tc>
          <w:tcPr>
            <w:tcW w:w="1152" w:type="dxa"/>
          </w:tcPr>
          <w:p w14:paraId="7F18C4B8" w14:textId="32F7A74B" w:rsidR="007303EE" w:rsidRPr="00797379" w:rsidRDefault="00220288" w:rsidP="00B45A09">
            <w:pPr>
              <w:pStyle w:val="TableTextCentered"/>
            </w:pPr>
            <w:r>
              <w:t>N/A</w:t>
            </w:r>
          </w:p>
        </w:tc>
        <w:tc>
          <w:tcPr>
            <w:tcW w:w="1151" w:type="dxa"/>
          </w:tcPr>
          <w:p w14:paraId="743FB729" w14:textId="79E9384F" w:rsidR="007303EE" w:rsidRPr="00797379" w:rsidRDefault="00220288" w:rsidP="00B45A09">
            <w:pPr>
              <w:pStyle w:val="TableTextCentered"/>
            </w:pPr>
            <w:r>
              <w:t>N/A</w:t>
            </w:r>
          </w:p>
        </w:tc>
        <w:tc>
          <w:tcPr>
            <w:tcW w:w="1152" w:type="dxa"/>
          </w:tcPr>
          <w:p w14:paraId="4B628486" w14:textId="4EB3A504" w:rsidR="007303EE" w:rsidRPr="00797379" w:rsidRDefault="00220288" w:rsidP="00B45A09">
            <w:pPr>
              <w:pStyle w:val="TableTextCentered"/>
            </w:pPr>
            <w:r>
              <w:t>N/A</w:t>
            </w:r>
          </w:p>
        </w:tc>
        <w:tc>
          <w:tcPr>
            <w:tcW w:w="1152" w:type="dxa"/>
          </w:tcPr>
          <w:p w14:paraId="1D82E06C" w14:textId="77777777" w:rsidR="007303EE" w:rsidRPr="00797379" w:rsidRDefault="007303EE" w:rsidP="00B45A09">
            <w:pPr>
              <w:pStyle w:val="TableTextCentered"/>
            </w:pPr>
            <w:r w:rsidRPr="00797379">
              <w:t>4.6</w:t>
            </w:r>
          </w:p>
        </w:tc>
      </w:tr>
      <w:tr w:rsidR="007303EE" w:rsidRPr="00797379" w14:paraId="1D8F4FBB" w14:textId="77777777" w:rsidTr="00B45A09">
        <w:trPr>
          <w:cnfStyle w:val="000000100000" w:firstRow="0" w:lastRow="0" w:firstColumn="0" w:lastColumn="0" w:oddVBand="0" w:evenVBand="0" w:oddHBand="1" w:evenHBand="0" w:firstRowFirstColumn="0" w:firstRowLastColumn="0" w:lastRowFirstColumn="0" w:lastRowLastColumn="0"/>
        </w:trPr>
        <w:tc>
          <w:tcPr>
            <w:tcW w:w="3586" w:type="dxa"/>
          </w:tcPr>
          <w:p w14:paraId="2D5C035D" w14:textId="77777777" w:rsidR="007303EE" w:rsidRPr="0059750A" w:rsidRDefault="007303EE" w:rsidP="00B45A09">
            <w:pPr>
              <w:pStyle w:val="TableSubheading"/>
              <w:rPr>
                <w:rFonts w:asciiTheme="minorHAnsi" w:hAnsiTheme="minorHAnsi"/>
              </w:rPr>
            </w:pPr>
            <w:r w:rsidRPr="0059750A">
              <w:rPr>
                <w:rFonts w:asciiTheme="minorHAnsi" w:hAnsiTheme="minorHAnsi"/>
              </w:rPr>
              <w:t>Hispanic or Latino</w:t>
            </w:r>
          </w:p>
        </w:tc>
        <w:tc>
          <w:tcPr>
            <w:tcW w:w="1151" w:type="dxa"/>
          </w:tcPr>
          <w:p w14:paraId="3DF9CA85" w14:textId="77777777" w:rsidR="007303EE" w:rsidRPr="00797379" w:rsidRDefault="007303EE" w:rsidP="00B45A09">
            <w:pPr>
              <w:pStyle w:val="TableTextCentered"/>
            </w:pPr>
            <w:r w:rsidRPr="00797379">
              <w:t>174</w:t>
            </w:r>
          </w:p>
        </w:tc>
        <w:tc>
          <w:tcPr>
            <w:tcW w:w="1152" w:type="dxa"/>
          </w:tcPr>
          <w:p w14:paraId="32DB31F3" w14:textId="757193D7" w:rsidR="007303EE" w:rsidRPr="00797379" w:rsidRDefault="00220288" w:rsidP="00B45A09">
            <w:pPr>
              <w:pStyle w:val="TableTextCentered"/>
            </w:pPr>
            <w:r>
              <w:t>N/A</w:t>
            </w:r>
          </w:p>
        </w:tc>
        <w:tc>
          <w:tcPr>
            <w:tcW w:w="1151" w:type="dxa"/>
          </w:tcPr>
          <w:p w14:paraId="1E1804C1" w14:textId="6BD47F1A" w:rsidR="007303EE" w:rsidRPr="00797379" w:rsidRDefault="00220288" w:rsidP="00B45A09">
            <w:pPr>
              <w:pStyle w:val="TableTextCentered"/>
            </w:pPr>
            <w:r>
              <w:t>N/A</w:t>
            </w:r>
          </w:p>
        </w:tc>
        <w:tc>
          <w:tcPr>
            <w:tcW w:w="1152" w:type="dxa"/>
          </w:tcPr>
          <w:p w14:paraId="1A7B32E9" w14:textId="3BFEDB5D" w:rsidR="007303EE" w:rsidRPr="00797379" w:rsidRDefault="00220288" w:rsidP="00B45A09">
            <w:pPr>
              <w:pStyle w:val="TableTextCentered"/>
            </w:pPr>
            <w:r>
              <w:t>N/A</w:t>
            </w:r>
          </w:p>
        </w:tc>
        <w:tc>
          <w:tcPr>
            <w:tcW w:w="1152" w:type="dxa"/>
          </w:tcPr>
          <w:p w14:paraId="035CE379" w14:textId="77777777" w:rsidR="007303EE" w:rsidRPr="00797379" w:rsidRDefault="007303EE" w:rsidP="00B45A09">
            <w:pPr>
              <w:pStyle w:val="TableTextCentered"/>
            </w:pPr>
            <w:r w:rsidRPr="00797379">
              <w:t>3.8</w:t>
            </w:r>
          </w:p>
        </w:tc>
      </w:tr>
      <w:tr w:rsidR="007303EE" w:rsidRPr="00797379" w14:paraId="64796C20" w14:textId="77777777" w:rsidTr="00B45A09">
        <w:tc>
          <w:tcPr>
            <w:tcW w:w="3586" w:type="dxa"/>
          </w:tcPr>
          <w:p w14:paraId="1DF28A4F" w14:textId="77777777" w:rsidR="007303EE" w:rsidRPr="0059750A" w:rsidRDefault="007303EE" w:rsidP="00B45A09">
            <w:pPr>
              <w:pStyle w:val="TableSubheading"/>
              <w:rPr>
                <w:rFonts w:asciiTheme="minorHAnsi" w:hAnsiTheme="minorHAnsi"/>
              </w:rPr>
            </w:pPr>
            <w:r w:rsidRPr="0059750A">
              <w:rPr>
                <w:rFonts w:asciiTheme="minorHAnsi" w:hAnsiTheme="minorHAnsi"/>
              </w:rPr>
              <w:t>Multi-Race, Not Hispanic or Latino</w:t>
            </w:r>
          </w:p>
        </w:tc>
        <w:tc>
          <w:tcPr>
            <w:tcW w:w="1151" w:type="dxa"/>
          </w:tcPr>
          <w:p w14:paraId="7CB0B636" w14:textId="77777777" w:rsidR="007303EE" w:rsidRPr="00797379" w:rsidRDefault="007303EE" w:rsidP="00B45A09">
            <w:pPr>
              <w:pStyle w:val="TableTextCentered"/>
            </w:pPr>
            <w:r w:rsidRPr="00797379">
              <w:t>324</w:t>
            </w:r>
          </w:p>
        </w:tc>
        <w:tc>
          <w:tcPr>
            <w:tcW w:w="1152" w:type="dxa"/>
          </w:tcPr>
          <w:p w14:paraId="224B3AB1" w14:textId="15426684" w:rsidR="007303EE" w:rsidRPr="00797379" w:rsidRDefault="00220288" w:rsidP="00B45A09">
            <w:pPr>
              <w:pStyle w:val="TableTextCentered"/>
            </w:pPr>
            <w:r>
              <w:t>N/A</w:t>
            </w:r>
          </w:p>
        </w:tc>
        <w:tc>
          <w:tcPr>
            <w:tcW w:w="1151" w:type="dxa"/>
          </w:tcPr>
          <w:p w14:paraId="3B17628E" w14:textId="1A036278" w:rsidR="007303EE" w:rsidRPr="00797379" w:rsidRDefault="00220288" w:rsidP="00B45A09">
            <w:pPr>
              <w:pStyle w:val="TableTextCentered"/>
            </w:pPr>
            <w:r>
              <w:t>N/A</w:t>
            </w:r>
          </w:p>
        </w:tc>
        <w:tc>
          <w:tcPr>
            <w:tcW w:w="1152" w:type="dxa"/>
          </w:tcPr>
          <w:p w14:paraId="0B2CBBA7" w14:textId="106A0419" w:rsidR="007303EE" w:rsidRPr="00797379" w:rsidRDefault="00220288" w:rsidP="00B45A09">
            <w:pPr>
              <w:pStyle w:val="TableTextCentered"/>
            </w:pPr>
            <w:r>
              <w:t>N/A</w:t>
            </w:r>
          </w:p>
        </w:tc>
        <w:tc>
          <w:tcPr>
            <w:tcW w:w="1152" w:type="dxa"/>
          </w:tcPr>
          <w:p w14:paraId="4E27B5E2" w14:textId="77777777" w:rsidR="007303EE" w:rsidRPr="00797379" w:rsidRDefault="007303EE" w:rsidP="00B45A09">
            <w:pPr>
              <w:pStyle w:val="TableTextCentered"/>
            </w:pPr>
            <w:r w:rsidRPr="00797379">
              <w:t>2.6</w:t>
            </w:r>
          </w:p>
        </w:tc>
      </w:tr>
      <w:tr w:rsidR="007303EE" w:rsidRPr="00797379" w14:paraId="0240F654" w14:textId="77777777" w:rsidTr="00B45A09">
        <w:trPr>
          <w:cnfStyle w:val="000000100000" w:firstRow="0" w:lastRow="0" w:firstColumn="0" w:lastColumn="0" w:oddVBand="0" w:evenVBand="0" w:oddHBand="1" w:evenHBand="0" w:firstRowFirstColumn="0" w:firstRowLastColumn="0" w:lastRowFirstColumn="0" w:lastRowLastColumn="0"/>
        </w:trPr>
        <w:tc>
          <w:tcPr>
            <w:tcW w:w="3586" w:type="dxa"/>
          </w:tcPr>
          <w:p w14:paraId="2135FD57" w14:textId="77777777" w:rsidR="007303EE" w:rsidRPr="0059750A" w:rsidRDefault="007303EE" w:rsidP="00B45A09">
            <w:pPr>
              <w:pStyle w:val="TableSubheading"/>
              <w:rPr>
                <w:rFonts w:asciiTheme="minorHAnsi" w:hAnsiTheme="minorHAnsi"/>
                <w:spacing w:val="-4"/>
              </w:rPr>
            </w:pPr>
            <w:r w:rsidRPr="0059750A">
              <w:rPr>
                <w:rFonts w:asciiTheme="minorHAnsi" w:hAnsiTheme="minorHAnsi"/>
              </w:rPr>
              <w:t>Native Hawaiian or Other Pacific Islander</w:t>
            </w:r>
          </w:p>
        </w:tc>
        <w:tc>
          <w:tcPr>
            <w:tcW w:w="1151" w:type="dxa"/>
          </w:tcPr>
          <w:p w14:paraId="2F44B3CB" w14:textId="77777777" w:rsidR="007303EE" w:rsidRPr="00797379" w:rsidRDefault="007303EE" w:rsidP="00B45A09">
            <w:pPr>
              <w:pStyle w:val="TableTextCentered"/>
            </w:pPr>
            <w:r w:rsidRPr="00797379">
              <w:t>0</w:t>
            </w:r>
          </w:p>
        </w:tc>
        <w:tc>
          <w:tcPr>
            <w:tcW w:w="1152" w:type="dxa"/>
          </w:tcPr>
          <w:p w14:paraId="79B24DA2" w14:textId="0621A326" w:rsidR="007303EE" w:rsidRPr="00797379" w:rsidRDefault="00220288" w:rsidP="00B45A09">
            <w:pPr>
              <w:pStyle w:val="TableTextCentered"/>
            </w:pPr>
            <w:r>
              <w:t>N/A</w:t>
            </w:r>
          </w:p>
        </w:tc>
        <w:tc>
          <w:tcPr>
            <w:tcW w:w="1151" w:type="dxa"/>
          </w:tcPr>
          <w:p w14:paraId="4859265A" w14:textId="702AD4D1" w:rsidR="007303EE" w:rsidRPr="00797379" w:rsidRDefault="00220288" w:rsidP="00B45A09">
            <w:pPr>
              <w:pStyle w:val="TableTextCentered"/>
            </w:pPr>
            <w:r>
              <w:t>N/A</w:t>
            </w:r>
          </w:p>
        </w:tc>
        <w:tc>
          <w:tcPr>
            <w:tcW w:w="1152" w:type="dxa"/>
          </w:tcPr>
          <w:p w14:paraId="1F21371E" w14:textId="65DE96D0" w:rsidR="007303EE" w:rsidRPr="00797379" w:rsidRDefault="00220288" w:rsidP="00B45A09">
            <w:pPr>
              <w:pStyle w:val="TableTextCentered"/>
            </w:pPr>
            <w:r>
              <w:t>N/A</w:t>
            </w:r>
          </w:p>
        </w:tc>
        <w:tc>
          <w:tcPr>
            <w:tcW w:w="1152" w:type="dxa"/>
          </w:tcPr>
          <w:p w14:paraId="584C4D5E" w14:textId="77777777" w:rsidR="007303EE" w:rsidRPr="00797379" w:rsidRDefault="007303EE" w:rsidP="00B45A09">
            <w:pPr>
              <w:pStyle w:val="TableTextCentered"/>
            </w:pPr>
            <w:r w:rsidRPr="00797379">
              <w:t>2.5</w:t>
            </w:r>
          </w:p>
        </w:tc>
      </w:tr>
      <w:tr w:rsidR="007303EE" w:rsidRPr="00797379" w14:paraId="3BBE2FF5" w14:textId="77777777" w:rsidTr="00B45A09">
        <w:tc>
          <w:tcPr>
            <w:tcW w:w="3586" w:type="dxa"/>
          </w:tcPr>
          <w:p w14:paraId="1136AC91" w14:textId="77777777" w:rsidR="007303EE" w:rsidRPr="0059750A" w:rsidRDefault="007303EE" w:rsidP="00B45A09">
            <w:pPr>
              <w:pStyle w:val="TableSubheading"/>
              <w:rPr>
                <w:rFonts w:asciiTheme="minorHAnsi" w:hAnsiTheme="minorHAnsi"/>
              </w:rPr>
            </w:pPr>
            <w:r w:rsidRPr="0059750A">
              <w:rPr>
                <w:rFonts w:asciiTheme="minorHAnsi" w:hAnsiTheme="minorHAnsi"/>
              </w:rPr>
              <w:t>White</w:t>
            </w:r>
          </w:p>
        </w:tc>
        <w:tc>
          <w:tcPr>
            <w:tcW w:w="1151" w:type="dxa"/>
          </w:tcPr>
          <w:p w14:paraId="7986E50E" w14:textId="77777777" w:rsidR="007303EE" w:rsidRPr="00797379" w:rsidRDefault="007303EE" w:rsidP="00B45A09">
            <w:pPr>
              <w:pStyle w:val="TableTextCentered"/>
            </w:pPr>
            <w:r w:rsidRPr="00797379">
              <w:t>2,929</w:t>
            </w:r>
          </w:p>
        </w:tc>
        <w:tc>
          <w:tcPr>
            <w:tcW w:w="1152" w:type="dxa"/>
          </w:tcPr>
          <w:p w14:paraId="470E4BA3" w14:textId="77777777" w:rsidR="007303EE" w:rsidRPr="00797379" w:rsidRDefault="007303EE" w:rsidP="00B45A09">
            <w:pPr>
              <w:pStyle w:val="TableTextCentered"/>
            </w:pPr>
            <w:r w:rsidRPr="00797379">
              <w:t>0.4</w:t>
            </w:r>
          </w:p>
        </w:tc>
        <w:tc>
          <w:tcPr>
            <w:tcW w:w="1151" w:type="dxa"/>
          </w:tcPr>
          <w:p w14:paraId="0A78884E" w14:textId="77777777" w:rsidR="007303EE" w:rsidRPr="00797379" w:rsidRDefault="007303EE" w:rsidP="00B45A09">
            <w:pPr>
              <w:pStyle w:val="TableTextCentered"/>
            </w:pPr>
            <w:r w:rsidRPr="00797379">
              <w:t>0.1</w:t>
            </w:r>
          </w:p>
        </w:tc>
        <w:tc>
          <w:tcPr>
            <w:tcW w:w="1152" w:type="dxa"/>
          </w:tcPr>
          <w:p w14:paraId="4D11D4E1" w14:textId="77777777" w:rsidR="007303EE" w:rsidRPr="00797379" w:rsidRDefault="007303EE" w:rsidP="00B45A09">
            <w:pPr>
              <w:pStyle w:val="TableTextCentered"/>
            </w:pPr>
            <w:r w:rsidRPr="00797379">
              <w:t>0.1</w:t>
            </w:r>
          </w:p>
        </w:tc>
        <w:tc>
          <w:tcPr>
            <w:tcW w:w="1152" w:type="dxa"/>
          </w:tcPr>
          <w:p w14:paraId="40208C96" w14:textId="77777777" w:rsidR="007303EE" w:rsidRPr="00797379" w:rsidRDefault="007303EE" w:rsidP="00B45A09">
            <w:pPr>
              <w:pStyle w:val="TableTextCentered"/>
            </w:pPr>
            <w:r w:rsidRPr="00797379">
              <w:t>1.5</w:t>
            </w:r>
          </w:p>
        </w:tc>
      </w:tr>
      <w:tr w:rsidR="007303EE" w:rsidRPr="00797379" w14:paraId="41A8DEA2" w14:textId="77777777" w:rsidTr="00B45A09">
        <w:trPr>
          <w:cnfStyle w:val="000000100000" w:firstRow="0" w:lastRow="0" w:firstColumn="0" w:lastColumn="0" w:oddVBand="0" w:evenVBand="0" w:oddHBand="1" w:evenHBand="0" w:firstRowFirstColumn="0" w:firstRowLastColumn="0" w:lastRowFirstColumn="0" w:lastRowLastColumn="0"/>
        </w:trPr>
        <w:tc>
          <w:tcPr>
            <w:tcW w:w="3586" w:type="dxa"/>
          </w:tcPr>
          <w:p w14:paraId="0A429F33" w14:textId="77777777" w:rsidR="007303EE" w:rsidRPr="0059750A" w:rsidRDefault="007303EE" w:rsidP="00B45A09">
            <w:pPr>
              <w:pStyle w:val="TableSubheading"/>
              <w:rPr>
                <w:rFonts w:asciiTheme="minorHAnsi" w:hAnsiTheme="minorHAnsi"/>
              </w:rPr>
            </w:pPr>
            <w:r w:rsidRPr="0059750A">
              <w:rPr>
                <w:rFonts w:asciiTheme="minorHAnsi" w:hAnsiTheme="minorHAnsi"/>
              </w:rPr>
              <w:t>High Needs</w:t>
            </w:r>
          </w:p>
        </w:tc>
        <w:tc>
          <w:tcPr>
            <w:tcW w:w="1151" w:type="dxa"/>
          </w:tcPr>
          <w:p w14:paraId="38E22F29" w14:textId="77777777" w:rsidR="007303EE" w:rsidRPr="00797379" w:rsidRDefault="007303EE" w:rsidP="00B45A09">
            <w:pPr>
              <w:pStyle w:val="TableTextCentered"/>
            </w:pPr>
            <w:r w:rsidRPr="00797379">
              <w:t>1,327</w:t>
            </w:r>
          </w:p>
        </w:tc>
        <w:tc>
          <w:tcPr>
            <w:tcW w:w="1152" w:type="dxa"/>
          </w:tcPr>
          <w:p w14:paraId="5838043F" w14:textId="77777777" w:rsidR="007303EE" w:rsidRPr="00797379" w:rsidRDefault="007303EE" w:rsidP="00B45A09">
            <w:pPr>
              <w:pStyle w:val="TableTextCentered"/>
            </w:pPr>
            <w:r w:rsidRPr="00797379">
              <w:t>0.9</w:t>
            </w:r>
          </w:p>
        </w:tc>
        <w:tc>
          <w:tcPr>
            <w:tcW w:w="1151" w:type="dxa"/>
          </w:tcPr>
          <w:p w14:paraId="7807C23F" w14:textId="3E25EEE8" w:rsidR="007303EE" w:rsidRPr="00797379" w:rsidRDefault="00220288" w:rsidP="00B45A09">
            <w:pPr>
              <w:pStyle w:val="TableTextCentered"/>
            </w:pPr>
            <w:r>
              <w:t>N/A</w:t>
            </w:r>
          </w:p>
        </w:tc>
        <w:tc>
          <w:tcPr>
            <w:tcW w:w="1152" w:type="dxa"/>
          </w:tcPr>
          <w:p w14:paraId="5CB3D12A" w14:textId="77777777" w:rsidR="007303EE" w:rsidRPr="00797379" w:rsidRDefault="007303EE" w:rsidP="00B45A09">
            <w:pPr>
              <w:pStyle w:val="TableTextCentered"/>
            </w:pPr>
            <w:r w:rsidRPr="00797379">
              <w:t>0.2</w:t>
            </w:r>
          </w:p>
        </w:tc>
        <w:tc>
          <w:tcPr>
            <w:tcW w:w="1152" w:type="dxa"/>
          </w:tcPr>
          <w:p w14:paraId="796C0FD9" w14:textId="77777777" w:rsidR="007303EE" w:rsidRPr="00797379" w:rsidRDefault="007303EE" w:rsidP="00B45A09">
            <w:pPr>
              <w:pStyle w:val="TableTextCentered"/>
            </w:pPr>
            <w:r w:rsidRPr="00797379">
              <w:t>3.6</w:t>
            </w:r>
          </w:p>
        </w:tc>
      </w:tr>
      <w:tr w:rsidR="007303EE" w:rsidRPr="00797379" w14:paraId="71155036" w14:textId="77777777" w:rsidTr="00B45A09">
        <w:tc>
          <w:tcPr>
            <w:tcW w:w="3586" w:type="dxa"/>
          </w:tcPr>
          <w:p w14:paraId="0671CEC9" w14:textId="77777777" w:rsidR="007303EE" w:rsidRPr="0059750A" w:rsidRDefault="007303EE" w:rsidP="00B45A09">
            <w:pPr>
              <w:pStyle w:val="TableSubheading"/>
              <w:rPr>
                <w:rFonts w:asciiTheme="minorHAnsi" w:hAnsiTheme="minorHAnsi"/>
              </w:rPr>
            </w:pPr>
            <w:r w:rsidRPr="0059750A">
              <w:rPr>
                <w:rFonts w:asciiTheme="minorHAnsi" w:hAnsiTheme="minorHAnsi"/>
              </w:rPr>
              <w:t>English Learners</w:t>
            </w:r>
          </w:p>
        </w:tc>
        <w:tc>
          <w:tcPr>
            <w:tcW w:w="1151" w:type="dxa"/>
          </w:tcPr>
          <w:p w14:paraId="5716B801" w14:textId="77777777" w:rsidR="007303EE" w:rsidRPr="00797379" w:rsidRDefault="007303EE" w:rsidP="00B45A09">
            <w:pPr>
              <w:pStyle w:val="TableTextCentered"/>
            </w:pPr>
            <w:r w:rsidRPr="00797379">
              <w:t>153</w:t>
            </w:r>
          </w:p>
        </w:tc>
        <w:tc>
          <w:tcPr>
            <w:tcW w:w="1152" w:type="dxa"/>
          </w:tcPr>
          <w:p w14:paraId="1D9DE70A" w14:textId="6D638301" w:rsidR="007303EE" w:rsidRPr="00797379" w:rsidRDefault="00220288" w:rsidP="00B45A09">
            <w:pPr>
              <w:pStyle w:val="TableTextCentered"/>
            </w:pPr>
            <w:r>
              <w:t>N/A</w:t>
            </w:r>
          </w:p>
        </w:tc>
        <w:tc>
          <w:tcPr>
            <w:tcW w:w="1151" w:type="dxa"/>
          </w:tcPr>
          <w:p w14:paraId="4DB53AF5" w14:textId="7B0FCDDD" w:rsidR="007303EE" w:rsidRPr="00797379" w:rsidRDefault="00220288" w:rsidP="00B45A09">
            <w:pPr>
              <w:pStyle w:val="TableTextCentered"/>
            </w:pPr>
            <w:r>
              <w:t>N/A</w:t>
            </w:r>
          </w:p>
        </w:tc>
        <w:tc>
          <w:tcPr>
            <w:tcW w:w="1152" w:type="dxa"/>
          </w:tcPr>
          <w:p w14:paraId="3CA3980E" w14:textId="10298754" w:rsidR="007303EE" w:rsidRPr="00797379" w:rsidRDefault="00220288" w:rsidP="00B45A09">
            <w:pPr>
              <w:pStyle w:val="TableTextCentered"/>
            </w:pPr>
            <w:r>
              <w:t>N/A</w:t>
            </w:r>
          </w:p>
        </w:tc>
        <w:tc>
          <w:tcPr>
            <w:tcW w:w="1152" w:type="dxa"/>
          </w:tcPr>
          <w:p w14:paraId="6B0D1CC3" w14:textId="77777777" w:rsidR="007303EE" w:rsidRPr="00797379" w:rsidRDefault="007303EE" w:rsidP="00B45A09">
            <w:pPr>
              <w:pStyle w:val="TableTextCentered"/>
            </w:pPr>
            <w:r w:rsidRPr="00797379">
              <w:t>2.6</w:t>
            </w:r>
          </w:p>
        </w:tc>
      </w:tr>
      <w:tr w:rsidR="007303EE" w:rsidRPr="00797379" w14:paraId="43DAD67D" w14:textId="77777777" w:rsidTr="00B45A09">
        <w:trPr>
          <w:cnfStyle w:val="000000100000" w:firstRow="0" w:lastRow="0" w:firstColumn="0" w:lastColumn="0" w:oddVBand="0" w:evenVBand="0" w:oddHBand="1" w:evenHBand="0" w:firstRowFirstColumn="0" w:firstRowLastColumn="0" w:lastRowFirstColumn="0" w:lastRowLastColumn="0"/>
        </w:trPr>
        <w:tc>
          <w:tcPr>
            <w:tcW w:w="3586" w:type="dxa"/>
          </w:tcPr>
          <w:p w14:paraId="59B30CB2" w14:textId="77777777" w:rsidR="007303EE" w:rsidRPr="0059750A" w:rsidRDefault="007303EE" w:rsidP="00B45A09">
            <w:pPr>
              <w:pStyle w:val="TableSubheading"/>
              <w:rPr>
                <w:rFonts w:asciiTheme="minorHAnsi" w:hAnsiTheme="minorHAnsi"/>
                <w:spacing w:val="-4"/>
              </w:rPr>
            </w:pPr>
            <w:r w:rsidRPr="0059750A">
              <w:rPr>
                <w:rFonts w:asciiTheme="minorHAnsi" w:hAnsiTheme="minorHAnsi"/>
              </w:rPr>
              <w:t>Low Income</w:t>
            </w:r>
          </w:p>
        </w:tc>
        <w:tc>
          <w:tcPr>
            <w:tcW w:w="1151" w:type="dxa"/>
          </w:tcPr>
          <w:p w14:paraId="44FAE3DA" w14:textId="77777777" w:rsidR="007303EE" w:rsidRPr="00797379" w:rsidRDefault="007303EE" w:rsidP="00B45A09">
            <w:pPr>
              <w:pStyle w:val="TableTextCentered"/>
            </w:pPr>
            <w:r w:rsidRPr="00797379">
              <w:t>378</w:t>
            </w:r>
          </w:p>
        </w:tc>
        <w:tc>
          <w:tcPr>
            <w:tcW w:w="1152" w:type="dxa"/>
          </w:tcPr>
          <w:p w14:paraId="6803FE35" w14:textId="77777777" w:rsidR="007303EE" w:rsidRPr="00797379" w:rsidRDefault="007303EE" w:rsidP="00B45A09">
            <w:pPr>
              <w:pStyle w:val="TableTextCentered"/>
            </w:pPr>
            <w:r w:rsidRPr="00797379">
              <w:t>1.1</w:t>
            </w:r>
          </w:p>
        </w:tc>
        <w:tc>
          <w:tcPr>
            <w:tcW w:w="1151" w:type="dxa"/>
          </w:tcPr>
          <w:p w14:paraId="7C3C1330" w14:textId="49F0DE3E" w:rsidR="007303EE" w:rsidRPr="00797379" w:rsidRDefault="00220288" w:rsidP="00B45A09">
            <w:pPr>
              <w:pStyle w:val="TableTextCentered"/>
            </w:pPr>
            <w:r>
              <w:t>N/A</w:t>
            </w:r>
          </w:p>
        </w:tc>
        <w:tc>
          <w:tcPr>
            <w:tcW w:w="1152" w:type="dxa"/>
          </w:tcPr>
          <w:p w14:paraId="27B913C5" w14:textId="3F9082D0" w:rsidR="007303EE" w:rsidRPr="00797379" w:rsidRDefault="00220288" w:rsidP="00B45A09">
            <w:pPr>
              <w:pStyle w:val="TableTextCentered"/>
            </w:pPr>
            <w:r>
              <w:t>N/A</w:t>
            </w:r>
          </w:p>
        </w:tc>
        <w:tc>
          <w:tcPr>
            <w:tcW w:w="1152" w:type="dxa"/>
          </w:tcPr>
          <w:p w14:paraId="023845CF" w14:textId="77777777" w:rsidR="007303EE" w:rsidRPr="00797379" w:rsidRDefault="007303EE" w:rsidP="00B45A09">
            <w:pPr>
              <w:pStyle w:val="TableTextCentered"/>
            </w:pPr>
            <w:r w:rsidRPr="00797379">
              <w:t>4.0</w:t>
            </w:r>
          </w:p>
        </w:tc>
      </w:tr>
      <w:tr w:rsidR="007303EE" w:rsidRPr="00797379" w14:paraId="70B9D9B9" w14:textId="77777777" w:rsidTr="00B45A09">
        <w:tc>
          <w:tcPr>
            <w:tcW w:w="3586" w:type="dxa"/>
          </w:tcPr>
          <w:p w14:paraId="3D634D68" w14:textId="77777777" w:rsidR="007303EE" w:rsidRPr="0059750A" w:rsidRDefault="007303EE" w:rsidP="00B45A09">
            <w:pPr>
              <w:pStyle w:val="TableSubheading"/>
              <w:rPr>
                <w:rFonts w:asciiTheme="minorHAnsi" w:hAnsiTheme="minorHAnsi"/>
              </w:rPr>
            </w:pPr>
            <w:r w:rsidRPr="0059750A">
              <w:rPr>
                <w:rFonts w:asciiTheme="minorHAnsi" w:hAnsiTheme="minorHAnsi"/>
              </w:rPr>
              <w:t>Students with Disabilities</w:t>
            </w:r>
          </w:p>
        </w:tc>
        <w:tc>
          <w:tcPr>
            <w:tcW w:w="1151" w:type="dxa"/>
          </w:tcPr>
          <w:p w14:paraId="259D7104" w14:textId="77777777" w:rsidR="007303EE" w:rsidRPr="00797379" w:rsidRDefault="007303EE" w:rsidP="00B45A09">
            <w:pPr>
              <w:pStyle w:val="TableTextCentered"/>
            </w:pPr>
            <w:r w:rsidRPr="00797379">
              <w:t>898</w:t>
            </w:r>
          </w:p>
        </w:tc>
        <w:tc>
          <w:tcPr>
            <w:tcW w:w="1152" w:type="dxa"/>
          </w:tcPr>
          <w:p w14:paraId="24055EF3" w14:textId="77777777" w:rsidR="007303EE" w:rsidRPr="00797379" w:rsidRDefault="007303EE" w:rsidP="00B45A09">
            <w:pPr>
              <w:pStyle w:val="TableTextCentered"/>
            </w:pPr>
            <w:r w:rsidRPr="00797379">
              <w:t>1.3</w:t>
            </w:r>
          </w:p>
        </w:tc>
        <w:tc>
          <w:tcPr>
            <w:tcW w:w="1151" w:type="dxa"/>
          </w:tcPr>
          <w:p w14:paraId="7D186877" w14:textId="1620686F" w:rsidR="007303EE" w:rsidRPr="00797379" w:rsidRDefault="00220288" w:rsidP="00B45A09">
            <w:pPr>
              <w:pStyle w:val="TableTextCentered"/>
            </w:pPr>
            <w:r>
              <w:t>N/A</w:t>
            </w:r>
          </w:p>
        </w:tc>
        <w:tc>
          <w:tcPr>
            <w:tcW w:w="1152" w:type="dxa"/>
          </w:tcPr>
          <w:p w14:paraId="2C6C956B" w14:textId="77777777" w:rsidR="007303EE" w:rsidRPr="00797379" w:rsidRDefault="007303EE" w:rsidP="00B45A09">
            <w:pPr>
              <w:pStyle w:val="TableTextCentered"/>
            </w:pPr>
            <w:r w:rsidRPr="00797379">
              <w:t>0.3</w:t>
            </w:r>
          </w:p>
        </w:tc>
        <w:tc>
          <w:tcPr>
            <w:tcW w:w="1152" w:type="dxa"/>
          </w:tcPr>
          <w:p w14:paraId="5CACEAD5" w14:textId="77777777" w:rsidR="007303EE" w:rsidRPr="00797379" w:rsidRDefault="007303EE" w:rsidP="00B45A09">
            <w:pPr>
              <w:pStyle w:val="TableTextCentered"/>
            </w:pPr>
            <w:r w:rsidRPr="00797379">
              <w:t>4.5</w:t>
            </w:r>
          </w:p>
        </w:tc>
      </w:tr>
    </w:tbl>
    <w:p w14:paraId="2DCF09BC" w14:textId="77777777" w:rsidR="003842C0" w:rsidRDefault="003842C0" w:rsidP="00B45A09">
      <w:pPr>
        <w:pStyle w:val="TableETitles"/>
        <w:keepLines/>
      </w:pPr>
      <w:bookmarkStart w:id="263" w:name="_Toc220933524"/>
      <w:bookmarkStart w:id="264" w:name="_Hlk138323870"/>
    </w:p>
    <w:p w14:paraId="1602470E" w14:textId="77777777" w:rsidR="003842C0" w:rsidRDefault="003842C0">
      <w:pPr>
        <w:spacing w:line="240" w:lineRule="auto"/>
        <w:rPr>
          <w:rFonts w:ascii="Franklin Gothic Demi" w:hAnsi="Franklin Gothic Demi"/>
        </w:rPr>
      </w:pPr>
      <w:r>
        <w:br w:type="page"/>
      </w:r>
    </w:p>
    <w:p w14:paraId="7D9DB172" w14:textId="7AB53D6C" w:rsidR="007303EE" w:rsidRPr="00797379" w:rsidRDefault="007303EE" w:rsidP="00B45A09">
      <w:pPr>
        <w:pStyle w:val="TableETitles"/>
        <w:keepLines/>
      </w:pPr>
      <w:r w:rsidRPr="00797379">
        <w:t>Table E21. Advanced Coursework Completion Rates by Student Group, 2023-2025</w:t>
      </w:r>
      <w:bookmarkEnd w:id="263"/>
    </w:p>
    <w:tbl>
      <w:tblPr>
        <w:tblStyle w:val="MSVTable1"/>
        <w:tblW w:w="5000" w:type="pct"/>
        <w:tblLook w:val="0420" w:firstRow="1" w:lastRow="0" w:firstColumn="0" w:lastColumn="0" w:noHBand="0" w:noVBand="1"/>
      </w:tblPr>
      <w:tblGrid>
        <w:gridCol w:w="3586"/>
        <w:gridCol w:w="1151"/>
        <w:gridCol w:w="1152"/>
        <w:gridCol w:w="1151"/>
        <w:gridCol w:w="1152"/>
        <w:gridCol w:w="1152"/>
      </w:tblGrid>
      <w:tr w:rsidR="007303EE" w:rsidRPr="00797379" w14:paraId="1B09CE1A" w14:textId="77777777" w:rsidTr="002F6487">
        <w:trPr>
          <w:cnfStyle w:val="100000000000" w:firstRow="1" w:lastRow="0" w:firstColumn="0" w:lastColumn="0" w:oddVBand="0" w:evenVBand="0" w:oddHBand="0" w:evenHBand="0" w:firstRowFirstColumn="0" w:firstRowLastColumn="0" w:lastRowFirstColumn="0" w:lastRowLastColumn="0"/>
          <w:tblHeader/>
        </w:trPr>
        <w:tc>
          <w:tcPr>
            <w:tcW w:w="3586" w:type="dxa"/>
            <w:vAlign w:val="center"/>
          </w:tcPr>
          <w:p w14:paraId="25AD61F2" w14:textId="77777777" w:rsidR="007303EE" w:rsidRPr="00797379" w:rsidRDefault="007303EE" w:rsidP="00B45A09">
            <w:pPr>
              <w:pStyle w:val="TableColHeadingCenter"/>
              <w:keepNext/>
              <w:keepLines/>
            </w:pPr>
            <w:r w:rsidRPr="00797379">
              <w:t>Group</w:t>
            </w:r>
          </w:p>
        </w:tc>
        <w:tc>
          <w:tcPr>
            <w:tcW w:w="1151" w:type="dxa"/>
            <w:vAlign w:val="center"/>
          </w:tcPr>
          <w:p w14:paraId="07933A63" w14:textId="77777777" w:rsidR="007303EE" w:rsidRPr="00797379" w:rsidRDefault="007303EE" w:rsidP="00B45A09">
            <w:pPr>
              <w:pStyle w:val="TableColHeadingCenter"/>
              <w:keepNext/>
              <w:keepLines/>
            </w:pPr>
            <w:r w:rsidRPr="00797379">
              <w:t># Included (2025)</w:t>
            </w:r>
          </w:p>
        </w:tc>
        <w:tc>
          <w:tcPr>
            <w:tcW w:w="1152" w:type="dxa"/>
            <w:vAlign w:val="center"/>
          </w:tcPr>
          <w:p w14:paraId="3633A7A8" w14:textId="77777777" w:rsidR="007303EE" w:rsidRPr="00797379" w:rsidRDefault="007303EE" w:rsidP="00B45A09">
            <w:pPr>
              <w:pStyle w:val="TableColHeadingCenter"/>
              <w:keepNext/>
              <w:keepLines/>
            </w:pPr>
            <w:r w:rsidRPr="00797379">
              <w:t>2023</w:t>
            </w:r>
          </w:p>
        </w:tc>
        <w:tc>
          <w:tcPr>
            <w:tcW w:w="1151" w:type="dxa"/>
            <w:vAlign w:val="center"/>
          </w:tcPr>
          <w:p w14:paraId="76B39AA4" w14:textId="77777777" w:rsidR="007303EE" w:rsidRPr="00797379" w:rsidRDefault="007303EE" w:rsidP="00B45A09">
            <w:pPr>
              <w:pStyle w:val="TableColHeadingCenter"/>
              <w:keepNext/>
              <w:keepLines/>
            </w:pPr>
            <w:r w:rsidRPr="00797379">
              <w:t>2024</w:t>
            </w:r>
          </w:p>
        </w:tc>
        <w:tc>
          <w:tcPr>
            <w:tcW w:w="1152" w:type="dxa"/>
            <w:vAlign w:val="center"/>
          </w:tcPr>
          <w:p w14:paraId="634071C6" w14:textId="77777777" w:rsidR="007303EE" w:rsidRPr="00797379" w:rsidRDefault="007303EE" w:rsidP="00B45A09">
            <w:pPr>
              <w:pStyle w:val="TableColHeadingCenter"/>
              <w:keepNext/>
              <w:keepLines/>
            </w:pPr>
            <w:r w:rsidRPr="00797379">
              <w:t>2025</w:t>
            </w:r>
          </w:p>
        </w:tc>
        <w:tc>
          <w:tcPr>
            <w:tcW w:w="1152" w:type="dxa"/>
            <w:vAlign w:val="center"/>
          </w:tcPr>
          <w:p w14:paraId="3A599DDC" w14:textId="77777777" w:rsidR="007303EE" w:rsidRPr="00797379" w:rsidRDefault="007303EE" w:rsidP="00B45A09">
            <w:pPr>
              <w:pStyle w:val="TableColHeadingCenter"/>
              <w:keepNext/>
              <w:keepLines/>
            </w:pPr>
            <w:r w:rsidRPr="00797379">
              <w:t>State (2025)</w:t>
            </w:r>
          </w:p>
        </w:tc>
      </w:tr>
      <w:tr w:rsidR="007303EE" w:rsidRPr="00797379" w14:paraId="2B682466" w14:textId="77777777" w:rsidTr="00B45A09">
        <w:trPr>
          <w:cnfStyle w:val="000000100000" w:firstRow="0" w:lastRow="0" w:firstColumn="0" w:lastColumn="0" w:oddVBand="0" w:evenVBand="0" w:oddHBand="1" w:evenHBand="0" w:firstRowFirstColumn="0" w:firstRowLastColumn="0" w:lastRowFirstColumn="0" w:lastRowLastColumn="0"/>
        </w:trPr>
        <w:tc>
          <w:tcPr>
            <w:tcW w:w="3586" w:type="dxa"/>
          </w:tcPr>
          <w:p w14:paraId="6234725E" w14:textId="77777777" w:rsidR="007303EE" w:rsidRPr="0059750A" w:rsidRDefault="007303EE" w:rsidP="00B45A09">
            <w:pPr>
              <w:pStyle w:val="TableSubheading"/>
              <w:keepNext/>
              <w:keepLines/>
              <w:rPr>
                <w:rFonts w:asciiTheme="minorHAnsi" w:hAnsiTheme="minorHAnsi"/>
              </w:rPr>
            </w:pPr>
            <w:r w:rsidRPr="0059750A">
              <w:rPr>
                <w:rFonts w:asciiTheme="minorHAnsi" w:hAnsiTheme="minorHAnsi"/>
              </w:rPr>
              <w:t>All Students</w:t>
            </w:r>
          </w:p>
        </w:tc>
        <w:tc>
          <w:tcPr>
            <w:tcW w:w="1151" w:type="dxa"/>
          </w:tcPr>
          <w:p w14:paraId="11145F76" w14:textId="77777777" w:rsidR="007303EE" w:rsidRPr="00797379" w:rsidRDefault="007303EE" w:rsidP="00B45A09">
            <w:pPr>
              <w:pStyle w:val="TableTextCentered"/>
              <w:keepNext/>
              <w:keepLines/>
            </w:pPr>
            <w:r w:rsidRPr="00797379">
              <w:t>683</w:t>
            </w:r>
          </w:p>
        </w:tc>
        <w:tc>
          <w:tcPr>
            <w:tcW w:w="1152" w:type="dxa"/>
          </w:tcPr>
          <w:p w14:paraId="559EE724" w14:textId="77777777" w:rsidR="007303EE" w:rsidRPr="00797379" w:rsidRDefault="007303EE" w:rsidP="00B45A09">
            <w:pPr>
              <w:pStyle w:val="TableTextCentered"/>
              <w:keepNext/>
              <w:keepLines/>
            </w:pPr>
            <w:r w:rsidRPr="00797379">
              <w:t>96.5</w:t>
            </w:r>
          </w:p>
        </w:tc>
        <w:tc>
          <w:tcPr>
            <w:tcW w:w="1151" w:type="dxa"/>
          </w:tcPr>
          <w:p w14:paraId="4C162F89" w14:textId="77777777" w:rsidR="007303EE" w:rsidRPr="00797379" w:rsidRDefault="007303EE" w:rsidP="00B45A09">
            <w:pPr>
              <w:pStyle w:val="TableTextCentered"/>
              <w:keepNext/>
              <w:keepLines/>
            </w:pPr>
            <w:r w:rsidRPr="00797379">
              <w:t>97.6</w:t>
            </w:r>
          </w:p>
        </w:tc>
        <w:tc>
          <w:tcPr>
            <w:tcW w:w="1152" w:type="dxa"/>
          </w:tcPr>
          <w:p w14:paraId="0A2A8459" w14:textId="77777777" w:rsidR="007303EE" w:rsidRPr="00797379" w:rsidRDefault="007303EE" w:rsidP="00B45A09">
            <w:pPr>
              <w:pStyle w:val="TableTextCentered"/>
              <w:keepNext/>
              <w:keepLines/>
            </w:pPr>
            <w:r w:rsidRPr="00797379">
              <w:t>98.4</w:t>
            </w:r>
          </w:p>
        </w:tc>
        <w:tc>
          <w:tcPr>
            <w:tcW w:w="1152" w:type="dxa"/>
          </w:tcPr>
          <w:p w14:paraId="1C23FB30" w14:textId="77777777" w:rsidR="007303EE" w:rsidRPr="00797379" w:rsidRDefault="007303EE" w:rsidP="00B45A09">
            <w:pPr>
              <w:pStyle w:val="TableTextCentered"/>
              <w:keepNext/>
              <w:keepLines/>
            </w:pPr>
            <w:r w:rsidRPr="00797379">
              <w:t>68.8</w:t>
            </w:r>
          </w:p>
        </w:tc>
      </w:tr>
      <w:tr w:rsidR="007303EE" w:rsidRPr="00797379" w14:paraId="7817A0AE" w14:textId="77777777" w:rsidTr="00B45A09">
        <w:tc>
          <w:tcPr>
            <w:tcW w:w="3586" w:type="dxa"/>
          </w:tcPr>
          <w:p w14:paraId="55492D3A" w14:textId="77777777" w:rsidR="007303EE" w:rsidRPr="0059750A" w:rsidRDefault="007303EE" w:rsidP="00B45A09">
            <w:pPr>
              <w:pStyle w:val="TableSubheading"/>
              <w:keepNext/>
              <w:keepLines/>
              <w:rPr>
                <w:rFonts w:asciiTheme="minorHAnsi" w:hAnsiTheme="minorHAnsi"/>
              </w:rPr>
            </w:pPr>
            <w:r w:rsidRPr="0059750A">
              <w:rPr>
                <w:rFonts w:asciiTheme="minorHAnsi" w:hAnsiTheme="minorHAnsi"/>
              </w:rPr>
              <w:t>American Indian or Alaskan Native</w:t>
            </w:r>
          </w:p>
        </w:tc>
        <w:tc>
          <w:tcPr>
            <w:tcW w:w="1151" w:type="dxa"/>
          </w:tcPr>
          <w:p w14:paraId="7358F18B" w14:textId="77777777" w:rsidR="007303EE" w:rsidRPr="00797379" w:rsidRDefault="007303EE" w:rsidP="00B45A09">
            <w:pPr>
              <w:pStyle w:val="TableTextCentered"/>
              <w:keepNext/>
              <w:keepLines/>
            </w:pPr>
            <w:r w:rsidRPr="00797379">
              <w:t>1</w:t>
            </w:r>
          </w:p>
        </w:tc>
        <w:tc>
          <w:tcPr>
            <w:tcW w:w="1152" w:type="dxa"/>
          </w:tcPr>
          <w:p w14:paraId="36375BC8" w14:textId="34AAE7A3" w:rsidR="007303EE" w:rsidRPr="00797379" w:rsidRDefault="00220288" w:rsidP="00B45A09">
            <w:pPr>
              <w:pStyle w:val="TableTextCentered"/>
              <w:keepNext/>
              <w:keepLines/>
            </w:pPr>
            <w:r>
              <w:t>N/A</w:t>
            </w:r>
          </w:p>
        </w:tc>
        <w:tc>
          <w:tcPr>
            <w:tcW w:w="1151" w:type="dxa"/>
          </w:tcPr>
          <w:p w14:paraId="04C8CBEB" w14:textId="5C96BA85" w:rsidR="007303EE" w:rsidRPr="00797379" w:rsidRDefault="00220288" w:rsidP="00B45A09">
            <w:pPr>
              <w:pStyle w:val="TableTextCentered"/>
              <w:keepNext/>
              <w:keepLines/>
            </w:pPr>
            <w:r>
              <w:t>N/A</w:t>
            </w:r>
          </w:p>
        </w:tc>
        <w:tc>
          <w:tcPr>
            <w:tcW w:w="1152" w:type="dxa"/>
          </w:tcPr>
          <w:p w14:paraId="2643BC0E" w14:textId="1560AAAB" w:rsidR="007303EE" w:rsidRPr="00797379" w:rsidRDefault="00220288" w:rsidP="00B45A09">
            <w:pPr>
              <w:pStyle w:val="TableTextCentered"/>
              <w:keepNext/>
              <w:keepLines/>
            </w:pPr>
            <w:r>
              <w:t>N/A</w:t>
            </w:r>
          </w:p>
        </w:tc>
        <w:tc>
          <w:tcPr>
            <w:tcW w:w="1152" w:type="dxa"/>
          </w:tcPr>
          <w:p w14:paraId="0F923C15" w14:textId="77777777" w:rsidR="007303EE" w:rsidRPr="00797379" w:rsidRDefault="007303EE" w:rsidP="00B45A09">
            <w:pPr>
              <w:pStyle w:val="TableTextCentered"/>
              <w:keepNext/>
              <w:keepLines/>
            </w:pPr>
            <w:r w:rsidRPr="00797379">
              <w:t>55.9</w:t>
            </w:r>
          </w:p>
        </w:tc>
      </w:tr>
      <w:tr w:rsidR="007303EE" w:rsidRPr="00797379" w14:paraId="5C1D7610" w14:textId="77777777" w:rsidTr="00B45A09">
        <w:trPr>
          <w:cnfStyle w:val="000000100000" w:firstRow="0" w:lastRow="0" w:firstColumn="0" w:lastColumn="0" w:oddVBand="0" w:evenVBand="0" w:oddHBand="1" w:evenHBand="0" w:firstRowFirstColumn="0" w:firstRowLastColumn="0" w:lastRowFirstColumn="0" w:lastRowLastColumn="0"/>
        </w:trPr>
        <w:tc>
          <w:tcPr>
            <w:tcW w:w="3586" w:type="dxa"/>
          </w:tcPr>
          <w:p w14:paraId="3D7C361C" w14:textId="77777777" w:rsidR="007303EE" w:rsidRPr="0059750A" w:rsidRDefault="007303EE" w:rsidP="00B45A09">
            <w:pPr>
              <w:pStyle w:val="TableSubheading"/>
              <w:rPr>
                <w:rFonts w:asciiTheme="minorHAnsi" w:hAnsiTheme="minorHAnsi"/>
              </w:rPr>
            </w:pPr>
            <w:r w:rsidRPr="0059750A">
              <w:rPr>
                <w:rFonts w:asciiTheme="minorHAnsi" w:hAnsiTheme="minorHAnsi"/>
              </w:rPr>
              <w:t>Asian</w:t>
            </w:r>
          </w:p>
        </w:tc>
        <w:tc>
          <w:tcPr>
            <w:tcW w:w="1151" w:type="dxa"/>
          </w:tcPr>
          <w:p w14:paraId="6134B699" w14:textId="77777777" w:rsidR="007303EE" w:rsidRPr="00797379" w:rsidRDefault="007303EE" w:rsidP="00B45A09">
            <w:pPr>
              <w:pStyle w:val="TableTextCentered"/>
            </w:pPr>
            <w:r w:rsidRPr="00797379">
              <w:t>150</w:t>
            </w:r>
          </w:p>
        </w:tc>
        <w:tc>
          <w:tcPr>
            <w:tcW w:w="1152" w:type="dxa"/>
          </w:tcPr>
          <w:p w14:paraId="3E4DF109" w14:textId="77777777" w:rsidR="007303EE" w:rsidRPr="00797379" w:rsidRDefault="007303EE" w:rsidP="00B45A09">
            <w:pPr>
              <w:pStyle w:val="TableTextCentered"/>
            </w:pPr>
            <w:r w:rsidRPr="00797379">
              <w:t>96.2</w:t>
            </w:r>
          </w:p>
        </w:tc>
        <w:tc>
          <w:tcPr>
            <w:tcW w:w="1151" w:type="dxa"/>
          </w:tcPr>
          <w:p w14:paraId="4F24BDDC" w14:textId="77777777" w:rsidR="007303EE" w:rsidRPr="00797379" w:rsidRDefault="007303EE" w:rsidP="00B45A09">
            <w:pPr>
              <w:pStyle w:val="TableTextCentered"/>
            </w:pPr>
            <w:r w:rsidRPr="00797379">
              <w:t>99.2</w:t>
            </w:r>
          </w:p>
        </w:tc>
        <w:tc>
          <w:tcPr>
            <w:tcW w:w="1152" w:type="dxa"/>
          </w:tcPr>
          <w:p w14:paraId="4F9487B9" w14:textId="77777777" w:rsidR="007303EE" w:rsidRPr="00797379" w:rsidRDefault="007303EE" w:rsidP="00B45A09">
            <w:pPr>
              <w:pStyle w:val="TableTextCentered"/>
            </w:pPr>
            <w:r w:rsidRPr="00797379">
              <w:t>98.7</w:t>
            </w:r>
          </w:p>
        </w:tc>
        <w:tc>
          <w:tcPr>
            <w:tcW w:w="1152" w:type="dxa"/>
          </w:tcPr>
          <w:p w14:paraId="1027A624" w14:textId="77777777" w:rsidR="007303EE" w:rsidRPr="00797379" w:rsidRDefault="007303EE" w:rsidP="00B45A09">
            <w:pPr>
              <w:pStyle w:val="TableTextCentered"/>
            </w:pPr>
            <w:r w:rsidRPr="00797379">
              <w:t>87.2</w:t>
            </w:r>
          </w:p>
        </w:tc>
      </w:tr>
      <w:tr w:rsidR="007303EE" w:rsidRPr="00797379" w14:paraId="0E3BEFCB" w14:textId="77777777" w:rsidTr="00B45A09">
        <w:tc>
          <w:tcPr>
            <w:tcW w:w="3586" w:type="dxa"/>
          </w:tcPr>
          <w:p w14:paraId="71472C7C" w14:textId="77777777" w:rsidR="007303EE" w:rsidRPr="0059750A" w:rsidRDefault="007303EE" w:rsidP="00B45A09">
            <w:pPr>
              <w:pStyle w:val="TableSubheading"/>
              <w:rPr>
                <w:rFonts w:asciiTheme="minorHAnsi" w:hAnsiTheme="minorHAnsi"/>
              </w:rPr>
            </w:pPr>
            <w:r w:rsidRPr="0059750A">
              <w:rPr>
                <w:rFonts w:asciiTheme="minorHAnsi" w:hAnsiTheme="minorHAnsi"/>
              </w:rPr>
              <w:t>Black or African American</w:t>
            </w:r>
          </w:p>
        </w:tc>
        <w:tc>
          <w:tcPr>
            <w:tcW w:w="1151" w:type="dxa"/>
          </w:tcPr>
          <w:p w14:paraId="528287BC" w14:textId="77777777" w:rsidR="007303EE" w:rsidRPr="00797379" w:rsidRDefault="007303EE" w:rsidP="00B45A09">
            <w:pPr>
              <w:pStyle w:val="TableTextCentered"/>
            </w:pPr>
            <w:r w:rsidRPr="00797379">
              <w:t>16</w:t>
            </w:r>
          </w:p>
        </w:tc>
        <w:tc>
          <w:tcPr>
            <w:tcW w:w="1152" w:type="dxa"/>
          </w:tcPr>
          <w:p w14:paraId="749E0658" w14:textId="77777777" w:rsidR="007303EE" w:rsidRPr="00797379" w:rsidRDefault="007303EE" w:rsidP="00B45A09">
            <w:pPr>
              <w:pStyle w:val="TableTextCentered"/>
            </w:pPr>
            <w:r w:rsidRPr="00797379">
              <w:t>100.0</w:t>
            </w:r>
          </w:p>
        </w:tc>
        <w:tc>
          <w:tcPr>
            <w:tcW w:w="1151" w:type="dxa"/>
          </w:tcPr>
          <w:p w14:paraId="6D665002" w14:textId="77777777" w:rsidR="007303EE" w:rsidRPr="00797379" w:rsidRDefault="007303EE" w:rsidP="00B45A09">
            <w:pPr>
              <w:pStyle w:val="TableTextCentered"/>
            </w:pPr>
            <w:r w:rsidRPr="00797379">
              <w:t>100.0</w:t>
            </w:r>
          </w:p>
        </w:tc>
        <w:tc>
          <w:tcPr>
            <w:tcW w:w="1152" w:type="dxa"/>
          </w:tcPr>
          <w:p w14:paraId="09184841" w14:textId="77777777" w:rsidR="007303EE" w:rsidRPr="00797379" w:rsidRDefault="007303EE" w:rsidP="00B45A09">
            <w:pPr>
              <w:pStyle w:val="TableTextCentered"/>
            </w:pPr>
            <w:r w:rsidRPr="00797379">
              <w:t>100.0</w:t>
            </w:r>
          </w:p>
        </w:tc>
        <w:tc>
          <w:tcPr>
            <w:tcW w:w="1152" w:type="dxa"/>
          </w:tcPr>
          <w:p w14:paraId="03988BE8" w14:textId="77777777" w:rsidR="007303EE" w:rsidRPr="00797379" w:rsidRDefault="007303EE" w:rsidP="00B45A09">
            <w:pPr>
              <w:pStyle w:val="TableTextCentered"/>
            </w:pPr>
            <w:r w:rsidRPr="00797379">
              <w:t>58.9</w:t>
            </w:r>
          </w:p>
        </w:tc>
      </w:tr>
      <w:tr w:rsidR="007303EE" w:rsidRPr="00797379" w14:paraId="344F7779" w14:textId="77777777" w:rsidTr="00B45A09">
        <w:trPr>
          <w:cnfStyle w:val="000000100000" w:firstRow="0" w:lastRow="0" w:firstColumn="0" w:lastColumn="0" w:oddVBand="0" w:evenVBand="0" w:oddHBand="1" w:evenHBand="0" w:firstRowFirstColumn="0" w:firstRowLastColumn="0" w:lastRowFirstColumn="0" w:lastRowLastColumn="0"/>
        </w:trPr>
        <w:tc>
          <w:tcPr>
            <w:tcW w:w="3586" w:type="dxa"/>
          </w:tcPr>
          <w:p w14:paraId="2C6AEE2D" w14:textId="77777777" w:rsidR="007303EE" w:rsidRPr="0059750A" w:rsidRDefault="007303EE" w:rsidP="00B45A09">
            <w:pPr>
              <w:pStyle w:val="TableSubheading"/>
              <w:rPr>
                <w:rFonts w:asciiTheme="minorHAnsi" w:hAnsiTheme="minorHAnsi"/>
              </w:rPr>
            </w:pPr>
            <w:r w:rsidRPr="0059750A">
              <w:rPr>
                <w:rFonts w:asciiTheme="minorHAnsi" w:hAnsiTheme="minorHAnsi"/>
              </w:rPr>
              <w:t>Hispanic or Latino</w:t>
            </w:r>
          </w:p>
        </w:tc>
        <w:tc>
          <w:tcPr>
            <w:tcW w:w="1151" w:type="dxa"/>
          </w:tcPr>
          <w:p w14:paraId="1D400D5D" w14:textId="77777777" w:rsidR="007303EE" w:rsidRPr="00797379" w:rsidRDefault="007303EE" w:rsidP="00B45A09">
            <w:pPr>
              <w:pStyle w:val="TableTextCentered"/>
            </w:pPr>
            <w:r w:rsidRPr="00797379">
              <w:t>33</w:t>
            </w:r>
          </w:p>
        </w:tc>
        <w:tc>
          <w:tcPr>
            <w:tcW w:w="1152" w:type="dxa"/>
          </w:tcPr>
          <w:p w14:paraId="3D4D7A88" w14:textId="77777777" w:rsidR="007303EE" w:rsidRPr="00797379" w:rsidRDefault="007303EE" w:rsidP="00B45A09">
            <w:pPr>
              <w:pStyle w:val="TableTextCentered"/>
            </w:pPr>
            <w:r w:rsidRPr="00797379">
              <w:t>96.0</w:t>
            </w:r>
          </w:p>
        </w:tc>
        <w:tc>
          <w:tcPr>
            <w:tcW w:w="1151" w:type="dxa"/>
          </w:tcPr>
          <w:p w14:paraId="606293C3" w14:textId="77777777" w:rsidR="007303EE" w:rsidRPr="00797379" w:rsidRDefault="007303EE" w:rsidP="00B45A09">
            <w:pPr>
              <w:pStyle w:val="TableTextCentered"/>
            </w:pPr>
            <w:r w:rsidRPr="00797379">
              <w:t>90.0</w:t>
            </w:r>
          </w:p>
        </w:tc>
        <w:tc>
          <w:tcPr>
            <w:tcW w:w="1152" w:type="dxa"/>
          </w:tcPr>
          <w:p w14:paraId="40CB904F" w14:textId="77777777" w:rsidR="007303EE" w:rsidRPr="00797379" w:rsidRDefault="007303EE" w:rsidP="00B45A09">
            <w:pPr>
              <w:pStyle w:val="TableTextCentered"/>
            </w:pPr>
            <w:r w:rsidRPr="00797379">
              <w:t>97.0</w:t>
            </w:r>
          </w:p>
        </w:tc>
        <w:tc>
          <w:tcPr>
            <w:tcW w:w="1152" w:type="dxa"/>
          </w:tcPr>
          <w:p w14:paraId="5C6BF2D3" w14:textId="77777777" w:rsidR="007303EE" w:rsidRPr="00797379" w:rsidRDefault="007303EE" w:rsidP="00B45A09">
            <w:pPr>
              <w:pStyle w:val="TableTextCentered"/>
            </w:pPr>
            <w:r w:rsidRPr="00797379">
              <w:t>56.1</w:t>
            </w:r>
          </w:p>
        </w:tc>
      </w:tr>
      <w:tr w:rsidR="007303EE" w:rsidRPr="00797379" w14:paraId="29FD4636" w14:textId="77777777" w:rsidTr="00B45A09">
        <w:tc>
          <w:tcPr>
            <w:tcW w:w="3586" w:type="dxa"/>
          </w:tcPr>
          <w:p w14:paraId="67A7293B" w14:textId="77777777" w:rsidR="007303EE" w:rsidRPr="0059750A" w:rsidRDefault="007303EE" w:rsidP="00B45A09">
            <w:pPr>
              <w:pStyle w:val="TableSubheading"/>
              <w:rPr>
                <w:rFonts w:asciiTheme="minorHAnsi" w:hAnsiTheme="minorHAnsi"/>
              </w:rPr>
            </w:pPr>
            <w:r w:rsidRPr="0059750A">
              <w:rPr>
                <w:rFonts w:asciiTheme="minorHAnsi" w:hAnsiTheme="minorHAnsi"/>
              </w:rPr>
              <w:t>Multi-Race, Not Hispanic or Latino</w:t>
            </w:r>
          </w:p>
        </w:tc>
        <w:tc>
          <w:tcPr>
            <w:tcW w:w="1151" w:type="dxa"/>
          </w:tcPr>
          <w:p w14:paraId="12E5B931" w14:textId="77777777" w:rsidR="007303EE" w:rsidRPr="00797379" w:rsidRDefault="007303EE" w:rsidP="00B45A09">
            <w:pPr>
              <w:pStyle w:val="TableTextCentered"/>
            </w:pPr>
            <w:r w:rsidRPr="00797379">
              <w:t>47</w:t>
            </w:r>
          </w:p>
        </w:tc>
        <w:tc>
          <w:tcPr>
            <w:tcW w:w="1152" w:type="dxa"/>
          </w:tcPr>
          <w:p w14:paraId="11FE50D7" w14:textId="77777777" w:rsidR="007303EE" w:rsidRPr="00797379" w:rsidRDefault="007303EE" w:rsidP="00B45A09">
            <w:pPr>
              <w:pStyle w:val="TableTextCentered"/>
            </w:pPr>
            <w:r w:rsidRPr="00797379">
              <w:t>95.7</w:t>
            </w:r>
          </w:p>
        </w:tc>
        <w:tc>
          <w:tcPr>
            <w:tcW w:w="1151" w:type="dxa"/>
          </w:tcPr>
          <w:p w14:paraId="646FF8E2" w14:textId="77777777" w:rsidR="007303EE" w:rsidRPr="00797379" w:rsidRDefault="007303EE" w:rsidP="00B45A09">
            <w:pPr>
              <w:pStyle w:val="TableTextCentered"/>
            </w:pPr>
            <w:r w:rsidRPr="00797379">
              <w:t>100.0</w:t>
            </w:r>
          </w:p>
        </w:tc>
        <w:tc>
          <w:tcPr>
            <w:tcW w:w="1152" w:type="dxa"/>
          </w:tcPr>
          <w:p w14:paraId="36ABD975" w14:textId="77777777" w:rsidR="007303EE" w:rsidRPr="00797379" w:rsidRDefault="007303EE" w:rsidP="00B45A09">
            <w:pPr>
              <w:pStyle w:val="TableTextCentered"/>
            </w:pPr>
            <w:r w:rsidRPr="00797379">
              <w:t>97.9</w:t>
            </w:r>
          </w:p>
        </w:tc>
        <w:tc>
          <w:tcPr>
            <w:tcW w:w="1152" w:type="dxa"/>
          </w:tcPr>
          <w:p w14:paraId="79C231CC" w14:textId="77777777" w:rsidR="007303EE" w:rsidRPr="00797379" w:rsidRDefault="007303EE" w:rsidP="00B45A09">
            <w:pPr>
              <w:pStyle w:val="TableTextCentered"/>
            </w:pPr>
            <w:r w:rsidRPr="00797379">
              <w:t>70.3</w:t>
            </w:r>
          </w:p>
        </w:tc>
      </w:tr>
      <w:tr w:rsidR="007303EE" w:rsidRPr="00797379" w14:paraId="47E11477" w14:textId="77777777" w:rsidTr="00B45A09">
        <w:trPr>
          <w:cnfStyle w:val="000000100000" w:firstRow="0" w:lastRow="0" w:firstColumn="0" w:lastColumn="0" w:oddVBand="0" w:evenVBand="0" w:oddHBand="1" w:evenHBand="0" w:firstRowFirstColumn="0" w:firstRowLastColumn="0" w:lastRowFirstColumn="0" w:lastRowLastColumn="0"/>
        </w:trPr>
        <w:tc>
          <w:tcPr>
            <w:tcW w:w="3586" w:type="dxa"/>
          </w:tcPr>
          <w:p w14:paraId="747B5D0E" w14:textId="77777777" w:rsidR="007303EE" w:rsidRPr="0059750A" w:rsidRDefault="007303EE" w:rsidP="00B45A09">
            <w:pPr>
              <w:pStyle w:val="TableSubheading"/>
              <w:rPr>
                <w:rFonts w:asciiTheme="minorHAnsi" w:hAnsiTheme="minorHAnsi"/>
                <w:spacing w:val="-4"/>
              </w:rPr>
            </w:pPr>
            <w:r w:rsidRPr="0059750A">
              <w:rPr>
                <w:rFonts w:asciiTheme="minorHAnsi" w:hAnsiTheme="minorHAnsi"/>
              </w:rPr>
              <w:t>Native Hawaiian or Other Pacific Islander</w:t>
            </w:r>
          </w:p>
        </w:tc>
        <w:tc>
          <w:tcPr>
            <w:tcW w:w="1151" w:type="dxa"/>
          </w:tcPr>
          <w:p w14:paraId="3BADE151" w14:textId="274D4349" w:rsidR="007303EE" w:rsidRPr="00797379" w:rsidRDefault="00220288" w:rsidP="00B45A09">
            <w:pPr>
              <w:pStyle w:val="TableTextCentered"/>
            </w:pPr>
            <w:r>
              <w:t>N/A</w:t>
            </w:r>
          </w:p>
        </w:tc>
        <w:tc>
          <w:tcPr>
            <w:tcW w:w="1152" w:type="dxa"/>
          </w:tcPr>
          <w:p w14:paraId="18A9A463" w14:textId="5D6E5D02" w:rsidR="007303EE" w:rsidRPr="00797379" w:rsidRDefault="00220288" w:rsidP="00B45A09">
            <w:pPr>
              <w:pStyle w:val="TableTextCentered"/>
            </w:pPr>
            <w:r>
              <w:t>N/A</w:t>
            </w:r>
          </w:p>
        </w:tc>
        <w:tc>
          <w:tcPr>
            <w:tcW w:w="1151" w:type="dxa"/>
          </w:tcPr>
          <w:p w14:paraId="3F143A23" w14:textId="1C44DAB2" w:rsidR="007303EE" w:rsidRPr="00797379" w:rsidRDefault="00220288" w:rsidP="00B45A09">
            <w:pPr>
              <w:pStyle w:val="TableTextCentered"/>
            </w:pPr>
            <w:r>
              <w:t>N/A</w:t>
            </w:r>
          </w:p>
        </w:tc>
        <w:tc>
          <w:tcPr>
            <w:tcW w:w="1152" w:type="dxa"/>
          </w:tcPr>
          <w:p w14:paraId="06073832" w14:textId="7E593878" w:rsidR="007303EE" w:rsidRPr="00797379" w:rsidRDefault="00220288" w:rsidP="00B45A09">
            <w:pPr>
              <w:pStyle w:val="TableTextCentered"/>
            </w:pPr>
            <w:r>
              <w:t>N/A</w:t>
            </w:r>
          </w:p>
        </w:tc>
        <w:tc>
          <w:tcPr>
            <w:tcW w:w="1152" w:type="dxa"/>
          </w:tcPr>
          <w:p w14:paraId="5E0383B8" w14:textId="77777777" w:rsidR="007303EE" w:rsidRPr="00797379" w:rsidRDefault="007303EE" w:rsidP="00B45A09">
            <w:pPr>
              <w:pStyle w:val="TableTextCentered"/>
            </w:pPr>
            <w:r w:rsidRPr="00797379">
              <w:t>67.6</w:t>
            </w:r>
          </w:p>
        </w:tc>
      </w:tr>
      <w:tr w:rsidR="007303EE" w:rsidRPr="00797379" w14:paraId="3BBFCA9D" w14:textId="77777777" w:rsidTr="00B45A09">
        <w:tc>
          <w:tcPr>
            <w:tcW w:w="3586" w:type="dxa"/>
          </w:tcPr>
          <w:p w14:paraId="20DB0547" w14:textId="77777777" w:rsidR="007303EE" w:rsidRPr="0059750A" w:rsidRDefault="007303EE" w:rsidP="00B45A09">
            <w:pPr>
              <w:pStyle w:val="TableSubheading"/>
              <w:rPr>
                <w:rFonts w:asciiTheme="minorHAnsi" w:hAnsiTheme="minorHAnsi"/>
              </w:rPr>
            </w:pPr>
            <w:r w:rsidRPr="0059750A">
              <w:rPr>
                <w:rFonts w:asciiTheme="minorHAnsi" w:hAnsiTheme="minorHAnsi"/>
              </w:rPr>
              <w:t>White</w:t>
            </w:r>
          </w:p>
        </w:tc>
        <w:tc>
          <w:tcPr>
            <w:tcW w:w="1151" w:type="dxa"/>
          </w:tcPr>
          <w:p w14:paraId="0D664BCA" w14:textId="77777777" w:rsidR="007303EE" w:rsidRPr="00797379" w:rsidRDefault="007303EE" w:rsidP="00B45A09">
            <w:pPr>
              <w:pStyle w:val="TableTextCentered"/>
            </w:pPr>
            <w:r w:rsidRPr="00797379">
              <w:t>436</w:t>
            </w:r>
          </w:p>
        </w:tc>
        <w:tc>
          <w:tcPr>
            <w:tcW w:w="1152" w:type="dxa"/>
          </w:tcPr>
          <w:p w14:paraId="28763371" w14:textId="77777777" w:rsidR="007303EE" w:rsidRPr="00797379" w:rsidRDefault="007303EE" w:rsidP="00B45A09">
            <w:pPr>
              <w:pStyle w:val="TableTextCentered"/>
            </w:pPr>
            <w:r w:rsidRPr="00797379">
              <w:t>96.6</w:t>
            </w:r>
          </w:p>
        </w:tc>
        <w:tc>
          <w:tcPr>
            <w:tcW w:w="1151" w:type="dxa"/>
          </w:tcPr>
          <w:p w14:paraId="59A02C39" w14:textId="77777777" w:rsidR="007303EE" w:rsidRPr="00797379" w:rsidRDefault="007303EE" w:rsidP="00B45A09">
            <w:pPr>
              <w:pStyle w:val="TableTextCentered"/>
            </w:pPr>
            <w:r w:rsidRPr="00797379">
              <w:t>97.3</w:t>
            </w:r>
          </w:p>
        </w:tc>
        <w:tc>
          <w:tcPr>
            <w:tcW w:w="1152" w:type="dxa"/>
          </w:tcPr>
          <w:p w14:paraId="70CD6D0E" w14:textId="77777777" w:rsidR="007303EE" w:rsidRPr="00797379" w:rsidRDefault="007303EE" w:rsidP="00B45A09">
            <w:pPr>
              <w:pStyle w:val="TableTextCentered"/>
            </w:pPr>
            <w:r w:rsidRPr="00797379">
              <w:t>98.4</w:t>
            </w:r>
          </w:p>
        </w:tc>
        <w:tc>
          <w:tcPr>
            <w:tcW w:w="1152" w:type="dxa"/>
          </w:tcPr>
          <w:p w14:paraId="13DDB6F0" w14:textId="77777777" w:rsidR="007303EE" w:rsidRPr="00797379" w:rsidRDefault="007303EE" w:rsidP="00B45A09">
            <w:pPr>
              <w:pStyle w:val="TableTextCentered"/>
            </w:pPr>
            <w:r w:rsidRPr="00797379">
              <w:t>74.1</w:t>
            </w:r>
          </w:p>
        </w:tc>
      </w:tr>
      <w:tr w:rsidR="007303EE" w:rsidRPr="00797379" w14:paraId="1E2FA96E" w14:textId="77777777" w:rsidTr="00B45A09">
        <w:trPr>
          <w:cnfStyle w:val="000000100000" w:firstRow="0" w:lastRow="0" w:firstColumn="0" w:lastColumn="0" w:oddVBand="0" w:evenVBand="0" w:oddHBand="1" w:evenHBand="0" w:firstRowFirstColumn="0" w:firstRowLastColumn="0" w:lastRowFirstColumn="0" w:lastRowLastColumn="0"/>
        </w:trPr>
        <w:tc>
          <w:tcPr>
            <w:tcW w:w="3586" w:type="dxa"/>
          </w:tcPr>
          <w:p w14:paraId="47CCB011" w14:textId="77777777" w:rsidR="007303EE" w:rsidRPr="0059750A" w:rsidRDefault="007303EE" w:rsidP="00B45A09">
            <w:pPr>
              <w:pStyle w:val="TableSubheading"/>
              <w:rPr>
                <w:rFonts w:asciiTheme="minorHAnsi" w:hAnsiTheme="minorHAnsi"/>
              </w:rPr>
            </w:pPr>
            <w:r w:rsidRPr="0059750A">
              <w:rPr>
                <w:rFonts w:asciiTheme="minorHAnsi" w:hAnsiTheme="minorHAnsi"/>
              </w:rPr>
              <w:t>High Needs</w:t>
            </w:r>
          </w:p>
        </w:tc>
        <w:tc>
          <w:tcPr>
            <w:tcW w:w="1151" w:type="dxa"/>
          </w:tcPr>
          <w:p w14:paraId="128B5D83" w14:textId="77777777" w:rsidR="007303EE" w:rsidRPr="00797379" w:rsidRDefault="007303EE" w:rsidP="00B45A09">
            <w:pPr>
              <w:pStyle w:val="TableTextCentered"/>
            </w:pPr>
            <w:r w:rsidRPr="00797379">
              <w:t>138</w:t>
            </w:r>
          </w:p>
        </w:tc>
        <w:tc>
          <w:tcPr>
            <w:tcW w:w="1152" w:type="dxa"/>
          </w:tcPr>
          <w:p w14:paraId="078F1C32" w14:textId="77777777" w:rsidR="007303EE" w:rsidRPr="00797379" w:rsidRDefault="007303EE" w:rsidP="00B45A09">
            <w:pPr>
              <w:pStyle w:val="TableTextCentered"/>
            </w:pPr>
            <w:r w:rsidRPr="00797379">
              <w:t>85.7</w:t>
            </w:r>
          </w:p>
        </w:tc>
        <w:tc>
          <w:tcPr>
            <w:tcW w:w="1151" w:type="dxa"/>
          </w:tcPr>
          <w:p w14:paraId="18396715" w14:textId="77777777" w:rsidR="007303EE" w:rsidRPr="00797379" w:rsidRDefault="007303EE" w:rsidP="00B45A09">
            <w:pPr>
              <w:pStyle w:val="TableTextCentered"/>
            </w:pPr>
            <w:r w:rsidRPr="00797379">
              <w:t>92.4</w:t>
            </w:r>
          </w:p>
        </w:tc>
        <w:tc>
          <w:tcPr>
            <w:tcW w:w="1152" w:type="dxa"/>
          </w:tcPr>
          <w:p w14:paraId="6D345DF4" w14:textId="77777777" w:rsidR="007303EE" w:rsidRPr="00797379" w:rsidRDefault="007303EE" w:rsidP="00B45A09">
            <w:pPr>
              <w:pStyle w:val="TableTextCentered"/>
            </w:pPr>
            <w:r w:rsidRPr="00797379">
              <w:t>92.8</w:t>
            </w:r>
          </w:p>
        </w:tc>
        <w:tc>
          <w:tcPr>
            <w:tcW w:w="1152" w:type="dxa"/>
          </w:tcPr>
          <w:p w14:paraId="0D0544DE" w14:textId="77777777" w:rsidR="007303EE" w:rsidRPr="00797379" w:rsidRDefault="007303EE" w:rsidP="00B45A09">
            <w:pPr>
              <w:pStyle w:val="TableTextCentered"/>
            </w:pPr>
            <w:r w:rsidRPr="00797379">
              <w:t>53.8</w:t>
            </w:r>
          </w:p>
        </w:tc>
      </w:tr>
      <w:tr w:rsidR="007303EE" w:rsidRPr="00797379" w14:paraId="2BC2DACD" w14:textId="77777777" w:rsidTr="00B45A09">
        <w:tc>
          <w:tcPr>
            <w:tcW w:w="3586" w:type="dxa"/>
          </w:tcPr>
          <w:p w14:paraId="25839DF4" w14:textId="77777777" w:rsidR="007303EE" w:rsidRPr="0059750A" w:rsidRDefault="007303EE" w:rsidP="00B45A09">
            <w:pPr>
              <w:pStyle w:val="TableSubheading"/>
              <w:rPr>
                <w:rFonts w:asciiTheme="minorHAnsi" w:hAnsiTheme="minorHAnsi"/>
              </w:rPr>
            </w:pPr>
            <w:r w:rsidRPr="0059750A">
              <w:rPr>
                <w:rFonts w:asciiTheme="minorHAnsi" w:hAnsiTheme="minorHAnsi"/>
              </w:rPr>
              <w:t>English Learners</w:t>
            </w:r>
          </w:p>
        </w:tc>
        <w:tc>
          <w:tcPr>
            <w:tcW w:w="1151" w:type="dxa"/>
          </w:tcPr>
          <w:p w14:paraId="454F6DEF" w14:textId="77777777" w:rsidR="007303EE" w:rsidRPr="00797379" w:rsidRDefault="007303EE" w:rsidP="00B45A09">
            <w:pPr>
              <w:pStyle w:val="TableTextCentered"/>
            </w:pPr>
            <w:r w:rsidRPr="00797379">
              <w:t>14</w:t>
            </w:r>
          </w:p>
        </w:tc>
        <w:tc>
          <w:tcPr>
            <w:tcW w:w="1152" w:type="dxa"/>
          </w:tcPr>
          <w:p w14:paraId="133950EE" w14:textId="69BA435A" w:rsidR="007303EE" w:rsidRPr="00797379" w:rsidRDefault="00220288" w:rsidP="00B45A09">
            <w:pPr>
              <w:pStyle w:val="TableTextCentered"/>
            </w:pPr>
            <w:r>
              <w:t>N/A</w:t>
            </w:r>
          </w:p>
        </w:tc>
        <w:tc>
          <w:tcPr>
            <w:tcW w:w="1151" w:type="dxa"/>
          </w:tcPr>
          <w:p w14:paraId="18E26B8B" w14:textId="6592D43C" w:rsidR="007303EE" w:rsidRPr="00797379" w:rsidRDefault="00220288" w:rsidP="00B45A09">
            <w:pPr>
              <w:pStyle w:val="TableTextCentered"/>
            </w:pPr>
            <w:r>
              <w:t>N/A</w:t>
            </w:r>
          </w:p>
        </w:tc>
        <w:tc>
          <w:tcPr>
            <w:tcW w:w="1152" w:type="dxa"/>
          </w:tcPr>
          <w:p w14:paraId="414465FF" w14:textId="77777777" w:rsidR="007303EE" w:rsidRPr="00797379" w:rsidRDefault="007303EE" w:rsidP="00B45A09">
            <w:pPr>
              <w:pStyle w:val="TableTextCentered"/>
            </w:pPr>
            <w:r w:rsidRPr="00797379">
              <w:t>64.3</w:t>
            </w:r>
          </w:p>
        </w:tc>
        <w:tc>
          <w:tcPr>
            <w:tcW w:w="1152" w:type="dxa"/>
          </w:tcPr>
          <w:p w14:paraId="7809D1CF" w14:textId="77777777" w:rsidR="007303EE" w:rsidRPr="00797379" w:rsidRDefault="007303EE" w:rsidP="00B45A09">
            <w:pPr>
              <w:pStyle w:val="TableTextCentered"/>
            </w:pPr>
            <w:r w:rsidRPr="00797379">
              <w:t>34.9</w:t>
            </w:r>
          </w:p>
        </w:tc>
      </w:tr>
      <w:tr w:rsidR="007303EE" w:rsidRPr="00797379" w14:paraId="7D33C0D0" w14:textId="77777777" w:rsidTr="00B45A09">
        <w:trPr>
          <w:cnfStyle w:val="000000100000" w:firstRow="0" w:lastRow="0" w:firstColumn="0" w:lastColumn="0" w:oddVBand="0" w:evenVBand="0" w:oddHBand="1" w:evenHBand="0" w:firstRowFirstColumn="0" w:firstRowLastColumn="0" w:lastRowFirstColumn="0" w:lastRowLastColumn="0"/>
        </w:trPr>
        <w:tc>
          <w:tcPr>
            <w:tcW w:w="3586" w:type="dxa"/>
          </w:tcPr>
          <w:p w14:paraId="6D50B3D3" w14:textId="77777777" w:rsidR="007303EE" w:rsidRPr="0059750A" w:rsidRDefault="007303EE" w:rsidP="00B45A09">
            <w:pPr>
              <w:pStyle w:val="TableSubheading"/>
              <w:rPr>
                <w:rFonts w:asciiTheme="minorHAnsi" w:hAnsiTheme="minorHAnsi"/>
                <w:spacing w:val="-4"/>
              </w:rPr>
            </w:pPr>
            <w:r w:rsidRPr="0059750A">
              <w:rPr>
                <w:rFonts w:asciiTheme="minorHAnsi" w:hAnsiTheme="minorHAnsi"/>
              </w:rPr>
              <w:t>Low Income</w:t>
            </w:r>
          </w:p>
        </w:tc>
        <w:tc>
          <w:tcPr>
            <w:tcW w:w="1151" w:type="dxa"/>
          </w:tcPr>
          <w:p w14:paraId="4C0F9F30" w14:textId="77777777" w:rsidR="007303EE" w:rsidRPr="00797379" w:rsidRDefault="007303EE" w:rsidP="00B45A09">
            <w:pPr>
              <w:pStyle w:val="TableTextCentered"/>
            </w:pPr>
            <w:r w:rsidRPr="00797379">
              <w:t>61</w:t>
            </w:r>
          </w:p>
        </w:tc>
        <w:tc>
          <w:tcPr>
            <w:tcW w:w="1152" w:type="dxa"/>
          </w:tcPr>
          <w:p w14:paraId="0E5ABFE5" w14:textId="77777777" w:rsidR="007303EE" w:rsidRPr="00797379" w:rsidRDefault="007303EE" w:rsidP="00B45A09">
            <w:pPr>
              <w:pStyle w:val="TableTextCentered"/>
            </w:pPr>
            <w:r w:rsidRPr="00797379">
              <w:t>83.3</w:t>
            </w:r>
          </w:p>
        </w:tc>
        <w:tc>
          <w:tcPr>
            <w:tcW w:w="1151" w:type="dxa"/>
          </w:tcPr>
          <w:p w14:paraId="4A80644C" w14:textId="77777777" w:rsidR="007303EE" w:rsidRPr="00797379" w:rsidRDefault="007303EE" w:rsidP="00B45A09">
            <w:pPr>
              <w:pStyle w:val="TableTextCentered"/>
            </w:pPr>
            <w:r w:rsidRPr="00797379">
              <w:t>90.4</w:t>
            </w:r>
          </w:p>
        </w:tc>
        <w:tc>
          <w:tcPr>
            <w:tcW w:w="1152" w:type="dxa"/>
          </w:tcPr>
          <w:p w14:paraId="3A94829D" w14:textId="77777777" w:rsidR="007303EE" w:rsidRPr="00797379" w:rsidRDefault="007303EE" w:rsidP="00B45A09">
            <w:pPr>
              <w:pStyle w:val="TableTextCentered"/>
            </w:pPr>
            <w:r w:rsidRPr="00797379">
              <w:t>91.8</w:t>
            </w:r>
          </w:p>
        </w:tc>
        <w:tc>
          <w:tcPr>
            <w:tcW w:w="1152" w:type="dxa"/>
          </w:tcPr>
          <w:p w14:paraId="6E63940E" w14:textId="77777777" w:rsidR="007303EE" w:rsidRPr="00797379" w:rsidRDefault="007303EE" w:rsidP="00B45A09">
            <w:pPr>
              <w:pStyle w:val="TableTextCentered"/>
            </w:pPr>
            <w:r w:rsidRPr="00797379">
              <w:t>54.7</w:t>
            </w:r>
          </w:p>
        </w:tc>
      </w:tr>
      <w:tr w:rsidR="007303EE" w:rsidRPr="00797379" w14:paraId="77B17EC1" w14:textId="77777777" w:rsidTr="00B45A09">
        <w:tc>
          <w:tcPr>
            <w:tcW w:w="3586" w:type="dxa"/>
          </w:tcPr>
          <w:p w14:paraId="4578E2C6" w14:textId="77777777" w:rsidR="007303EE" w:rsidRPr="0059750A" w:rsidRDefault="007303EE" w:rsidP="00B45A09">
            <w:pPr>
              <w:pStyle w:val="TableSubheading"/>
              <w:rPr>
                <w:rFonts w:asciiTheme="minorHAnsi" w:hAnsiTheme="minorHAnsi"/>
              </w:rPr>
            </w:pPr>
            <w:r w:rsidRPr="0059750A">
              <w:rPr>
                <w:rFonts w:asciiTheme="minorHAnsi" w:hAnsiTheme="minorHAnsi"/>
              </w:rPr>
              <w:t>Students with Disabilities</w:t>
            </w:r>
          </w:p>
        </w:tc>
        <w:tc>
          <w:tcPr>
            <w:tcW w:w="1151" w:type="dxa"/>
          </w:tcPr>
          <w:p w14:paraId="49A09F78" w14:textId="77777777" w:rsidR="007303EE" w:rsidRPr="00797379" w:rsidRDefault="007303EE" w:rsidP="00B45A09">
            <w:pPr>
              <w:pStyle w:val="TableTextCentered"/>
            </w:pPr>
            <w:r w:rsidRPr="00797379">
              <w:t>84</w:t>
            </w:r>
          </w:p>
        </w:tc>
        <w:tc>
          <w:tcPr>
            <w:tcW w:w="1152" w:type="dxa"/>
          </w:tcPr>
          <w:p w14:paraId="32129AC2" w14:textId="77777777" w:rsidR="007303EE" w:rsidRPr="00797379" w:rsidRDefault="007303EE" w:rsidP="00B45A09">
            <w:pPr>
              <w:pStyle w:val="TableTextCentered"/>
            </w:pPr>
            <w:r w:rsidRPr="00797379">
              <w:t>82.7</w:t>
            </w:r>
          </w:p>
        </w:tc>
        <w:tc>
          <w:tcPr>
            <w:tcW w:w="1151" w:type="dxa"/>
          </w:tcPr>
          <w:p w14:paraId="0EC7C7FE" w14:textId="77777777" w:rsidR="007303EE" w:rsidRPr="00797379" w:rsidRDefault="007303EE" w:rsidP="00B45A09">
            <w:pPr>
              <w:pStyle w:val="TableTextCentered"/>
            </w:pPr>
            <w:r w:rsidRPr="00797379">
              <w:t>91.0</w:t>
            </w:r>
          </w:p>
        </w:tc>
        <w:tc>
          <w:tcPr>
            <w:tcW w:w="1152" w:type="dxa"/>
          </w:tcPr>
          <w:p w14:paraId="215001A4" w14:textId="77777777" w:rsidR="007303EE" w:rsidRPr="00797379" w:rsidRDefault="007303EE" w:rsidP="00B45A09">
            <w:pPr>
              <w:pStyle w:val="TableTextCentered"/>
            </w:pPr>
            <w:r w:rsidRPr="00797379">
              <w:t>91.7</w:t>
            </w:r>
          </w:p>
        </w:tc>
        <w:tc>
          <w:tcPr>
            <w:tcW w:w="1152" w:type="dxa"/>
          </w:tcPr>
          <w:p w14:paraId="155BA40F" w14:textId="77777777" w:rsidR="007303EE" w:rsidRPr="00797379" w:rsidRDefault="007303EE" w:rsidP="00B45A09">
            <w:pPr>
              <w:pStyle w:val="TableTextCentered"/>
            </w:pPr>
            <w:r w:rsidRPr="00797379">
              <w:t>41.2</w:t>
            </w:r>
          </w:p>
        </w:tc>
      </w:tr>
    </w:tbl>
    <w:p w14:paraId="38AC5FF3" w14:textId="77777777" w:rsidR="007303EE" w:rsidRPr="00797379" w:rsidRDefault="007303EE" w:rsidP="006C2038">
      <w:pPr>
        <w:pStyle w:val="TableETitles"/>
      </w:pPr>
      <w:bookmarkStart w:id="265" w:name="_Toc220933525"/>
      <w:r w:rsidRPr="00797379">
        <w:t>Table E22. Accountability Results, 2025</w:t>
      </w:r>
      <w:bookmarkEnd w:id="265"/>
    </w:p>
    <w:tbl>
      <w:tblPr>
        <w:tblStyle w:val="MSVTable1"/>
        <w:tblW w:w="5000" w:type="pct"/>
        <w:tblLook w:val="04A0" w:firstRow="1" w:lastRow="0" w:firstColumn="1" w:lastColumn="0" w:noHBand="0" w:noVBand="1"/>
      </w:tblPr>
      <w:tblGrid>
        <w:gridCol w:w="1882"/>
        <w:gridCol w:w="1350"/>
        <w:gridCol w:w="1351"/>
        <w:gridCol w:w="2380"/>
        <w:gridCol w:w="2381"/>
      </w:tblGrid>
      <w:tr w:rsidR="007303EE" w:rsidRPr="00797379" w14:paraId="6C212C76" w14:textId="77777777" w:rsidTr="002F6487">
        <w:trPr>
          <w:cnfStyle w:val="100000000000" w:firstRow="1" w:lastRow="0" w:firstColumn="0" w:lastColumn="0" w:oddVBand="0" w:evenVBand="0" w:oddHBand="0" w:evenHBand="0" w:firstRowFirstColumn="0" w:firstRowLastColumn="0" w:lastRowFirstColumn="0" w:lastRowLastColumn="0"/>
          <w:tblHeader/>
        </w:trPr>
        <w:tc>
          <w:tcPr>
            <w:tcW w:w="1882" w:type="dxa"/>
            <w:vAlign w:val="center"/>
          </w:tcPr>
          <w:p w14:paraId="47E9C013" w14:textId="77777777" w:rsidR="007303EE" w:rsidRPr="00797379" w:rsidRDefault="007303EE" w:rsidP="00B45A09">
            <w:pPr>
              <w:pStyle w:val="TableColHeadingCenter"/>
            </w:pPr>
            <w:r w:rsidRPr="00797379">
              <w:t>School</w:t>
            </w:r>
          </w:p>
        </w:tc>
        <w:tc>
          <w:tcPr>
            <w:tcW w:w="1350" w:type="dxa"/>
            <w:vAlign w:val="center"/>
          </w:tcPr>
          <w:p w14:paraId="6D7A67B9" w14:textId="77777777" w:rsidR="007303EE" w:rsidRPr="00797379" w:rsidRDefault="007303EE" w:rsidP="00B45A09">
            <w:pPr>
              <w:pStyle w:val="TableColHeadingCenter"/>
            </w:pPr>
            <w:r w:rsidRPr="00797379">
              <w:t>Cumulative Progress Toward Improvement Targets (%)</w:t>
            </w:r>
          </w:p>
        </w:tc>
        <w:tc>
          <w:tcPr>
            <w:tcW w:w="1351" w:type="dxa"/>
            <w:vAlign w:val="center"/>
          </w:tcPr>
          <w:p w14:paraId="0BEA27B6" w14:textId="77777777" w:rsidR="007303EE" w:rsidRPr="00797379" w:rsidRDefault="007303EE" w:rsidP="00B45A09">
            <w:pPr>
              <w:pStyle w:val="TableColHeadingCenter"/>
            </w:pPr>
            <w:r w:rsidRPr="00797379">
              <w:t>Percentile</w:t>
            </w:r>
          </w:p>
        </w:tc>
        <w:tc>
          <w:tcPr>
            <w:tcW w:w="2380" w:type="dxa"/>
            <w:vAlign w:val="center"/>
          </w:tcPr>
          <w:p w14:paraId="31021C34" w14:textId="77777777" w:rsidR="007303EE" w:rsidRPr="00797379" w:rsidRDefault="007303EE" w:rsidP="00B45A09">
            <w:pPr>
              <w:pStyle w:val="TableColHeadingCenter"/>
            </w:pPr>
            <w:r w:rsidRPr="00797379">
              <w:t>Overall Classification</w:t>
            </w:r>
          </w:p>
        </w:tc>
        <w:tc>
          <w:tcPr>
            <w:tcW w:w="2381" w:type="dxa"/>
            <w:vAlign w:val="center"/>
          </w:tcPr>
          <w:p w14:paraId="3900BB60" w14:textId="77777777" w:rsidR="007303EE" w:rsidRPr="00797379" w:rsidRDefault="007303EE" w:rsidP="00B45A09">
            <w:pPr>
              <w:pStyle w:val="TableColHeadingCenter"/>
            </w:pPr>
            <w:r w:rsidRPr="00797379">
              <w:t>Reason for Classification</w:t>
            </w:r>
          </w:p>
        </w:tc>
      </w:tr>
      <w:tr w:rsidR="007303EE" w:rsidRPr="00797379" w14:paraId="07777EAA" w14:textId="77777777" w:rsidTr="002F6487">
        <w:trPr>
          <w:cnfStyle w:val="000000100000" w:firstRow="0" w:lastRow="0" w:firstColumn="0" w:lastColumn="0" w:oddVBand="0" w:evenVBand="0" w:oddHBand="1" w:evenHBand="0" w:firstRowFirstColumn="0" w:firstRowLastColumn="0" w:lastRowFirstColumn="0" w:lastRowLastColumn="0"/>
        </w:trPr>
        <w:tc>
          <w:tcPr>
            <w:tcW w:w="1882" w:type="dxa"/>
            <w:vAlign w:val="center"/>
          </w:tcPr>
          <w:p w14:paraId="4FB39BDC" w14:textId="77777777" w:rsidR="007303EE" w:rsidRPr="0059750A" w:rsidRDefault="007303EE" w:rsidP="00B45A09">
            <w:pPr>
              <w:pStyle w:val="TableSubheading"/>
              <w:rPr>
                <w:rFonts w:asciiTheme="minorHAnsi" w:hAnsiTheme="minorHAnsi"/>
                <w:szCs w:val="20"/>
              </w:rPr>
            </w:pPr>
            <w:r w:rsidRPr="0059750A">
              <w:rPr>
                <w:rFonts w:asciiTheme="minorHAnsi" w:hAnsiTheme="minorHAnsi"/>
              </w:rPr>
              <w:t>District</w:t>
            </w:r>
          </w:p>
        </w:tc>
        <w:tc>
          <w:tcPr>
            <w:tcW w:w="1350" w:type="dxa"/>
            <w:vAlign w:val="center"/>
          </w:tcPr>
          <w:p w14:paraId="386F1D77" w14:textId="77777777" w:rsidR="007303EE" w:rsidRPr="00797379" w:rsidRDefault="007303EE" w:rsidP="00B45A09">
            <w:pPr>
              <w:pStyle w:val="TableTextCentered"/>
            </w:pPr>
            <w:r w:rsidRPr="00797379">
              <w:t>88%</w:t>
            </w:r>
          </w:p>
        </w:tc>
        <w:tc>
          <w:tcPr>
            <w:tcW w:w="1351" w:type="dxa"/>
            <w:vAlign w:val="center"/>
          </w:tcPr>
          <w:p w14:paraId="19CA3034" w14:textId="049F58CF" w:rsidR="007303EE" w:rsidRPr="00797379" w:rsidRDefault="00220288" w:rsidP="00B45A09">
            <w:pPr>
              <w:pStyle w:val="TableTextCentered"/>
              <w:rPr>
                <w:szCs w:val="20"/>
              </w:rPr>
            </w:pPr>
            <w:r>
              <w:t>N/A</w:t>
            </w:r>
          </w:p>
        </w:tc>
        <w:tc>
          <w:tcPr>
            <w:tcW w:w="2380" w:type="dxa"/>
            <w:vAlign w:val="center"/>
          </w:tcPr>
          <w:p w14:paraId="7CA809C9" w14:textId="77777777" w:rsidR="007303EE" w:rsidRPr="00797379" w:rsidRDefault="007303EE" w:rsidP="002F6487">
            <w:pPr>
              <w:pStyle w:val="TableText"/>
              <w:jc w:val="center"/>
              <w:rPr>
                <w:szCs w:val="20"/>
              </w:rPr>
            </w:pPr>
            <w:r w:rsidRPr="00797379">
              <w:t>Not requiring assistance or intervention</w:t>
            </w:r>
          </w:p>
        </w:tc>
        <w:tc>
          <w:tcPr>
            <w:tcW w:w="2381" w:type="dxa"/>
            <w:vAlign w:val="center"/>
          </w:tcPr>
          <w:p w14:paraId="558C6E7C" w14:textId="77777777" w:rsidR="007303EE" w:rsidRPr="00797379" w:rsidRDefault="007303EE" w:rsidP="002F6487">
            <w:pPr>
              <w:pStyle w:val="TableText"/>
              <w:jc w:val="center"/>
              <w:rPr>
                <w:szCs w:val="20"/>
              </w:rPr>
            </w:pPr>
            <w:r w:rsidRPr="00797379">
              <w:t>Meeting or exceeding targets</w:t>
            </w:r>
          </w:p>
        </w:tc>
      </w:tr>
      <w:tr w:rsidR="007303EE" w:rsidRPr="00797379" w14:paraId="1A48676C" w14:textId="77777777" w:rsidTr="002F6487">
        <w:tc>
          <w:tcPr>
            <w:tcW w:w="1882" w:type="dxa"/>
            <w:vAlign w:val="center"/>
          </w:tcPr>
          <w:p w14:paraId="0E42FDA7" w14:textId="77777777" w:rsidR="007303EE" w:rsidRPr="0059750A" w:rsidRDefault="007303EE" w:rsidP="00B45A09">
            <w:pPr>
              <w:pStyle w:val="TableSubheading"/>
              <w:rPr>
                <w:rFonts w:asciiTheme="minorHAnsi" w:hAnsiTheme="minorHAnsi"/>
                <w:szCs w:val="20"/>
              </w:rPr>
            </w:pPr>
            <w:r w:rsidRPr="0059750A">
              <w:rPr>
                <w:rFonts w:asciiTheme="minorHAnsi" w:hAnsiTheme="minorHAnsi"/>
                <w:szCs w:val="20"/>
              </w:rPr>
              <w:t>Ambrose Elementary</w:t>
            </w:r>
          </w:p>
        </w:tc>
        <w:tc>
          <w:tcPr>
            <w:tcW w:w="1350" w:type="dxa"/>
            <w:vAlign w:val="center"/>
          </w:tcPr>
          <w:p w14:paraId="3B09A47E" w14:textId="77777777" w:rsidR="007303EE" w:rsidRPr="00797379" w:rsidRDefault="007303EE" w:rsidP="00B45A09">
            <w:pPr>
              <w:pStyle w:val="TableTextCentered"/>
              <w:rPr>
                <w:szCs w:val="20"/>
              </w:rPr>
            </w:pPr>
            <w:r w:rsidRPr="00797379">
              <w:rPr>
                <w:szCs w:val="20"/>
              </w:rPr>
              <w:t>95%</w:t>
            </w:r>
          </w:p>
        </w:tc>
        <w:tc>
          <w:tcPr>
            <w:tcW w:w="1351" w:type="dxa"/>
            <w:vAlign w:val="center"/>
          </w:tcPr>
          <w:p w14:paraId="7BF851C8" w14:textId="77777777" w:rsidR="007303EE" w:rsidRPr="00797379" w:rsidRDefault="007303EE" w:rsidP="00B45A09">
            <w:pPr>
              <w:pStyle w:val="TableTextCentered"/>
              <w:rPr>
                <w:szCs w:val="20"/>
              </w:rPr>
            </w:pPr>
            <w:r w:rsidRPr="00797379">
              <w:rPr>
                <w:szCs w:val="20"/>
              </w:rPr>
              <w:t>96</w:t>
            </w:r>
          </w:p>
        </w:tc>
        <w:tc>
          <w:tcPr>
            <w:tcW w:w="2380" w:type="dxa"/>
            <w:vAlign w:val="center"/>
          </w:tcPr>
          <w:p w14:paraId="006667F6" w14:textId="77777777" w:rsidR="007303EE" w:rsidRPr="00797379" w:rsidRDefault="007303EE" w:rsidP="002F6487">
            <w:pPr>
              <w:pStyle w:val="TableText"/>
              <w:jc w:val="center"/>
              <w:rPr>
                <w:szCs w:val="20"/>
              </w:rPr>
            </w:pPr>
            <w:r w:rsidRPr="00797379">
              <w:t>Not requiring assistance or intervention</w:t>
            </w:r>
          </w:p>
        </w:tc>
        <w:tc>
          <w:tcPr>
            <w:tcW w:w="2381" w:type="dxa"/>
            <w:vAlign w:val="center"/>
          </w:tcPr>
          <w:p w14:paraId="73AEF70B" w14:textId="77777777" w:rsidR="007303EE" w:rsidRPr="00797379" w:rsidRDefault="007303EE" w:rsidP="002F6487">
            <w:pPr>
              <w:pStyle w:val="TableText"/>
              <w:jc w:val="center"/>
              <w:rPr>
                <w:szCs w:val="20"/>
              </w:rPr>
            </w:pPr>
            <w:r w:rsidRPr="00797379">
              <w:rPr>
                <w:szCs w:val="20"/>
              </w:rPr>
              <w:t>School of Recognition</w:t>
            </w:r>
          </w:p>
        </w:tc>
      </w:tr>
      <w:tr w:rsidR="007303EE" w:rsidRPr="00797379" w14:paraId="63C97115" w14:textId="77777777" w:rsidTr="002F6487">
        <w:trPr>
          <w:cnfStyle w:val="000000100000" w:firstRow="0" w:lastRow="0" w:firstColumn="0" w:lastColumn="0" w:oddVBand="0" w:evenVBand="0" w:oddHBand="1" w:evenHBand="0" w:firstRowFirstColumn="0" w:firstRowLastColumn="0" w:lastRowFirstColumn="0" w:lastRowLastColumn="0"/>
        </w:trPr>
        <w:tc>
          <w:tcPr>
            <w:tcW w:w="1882" w:type="dxa"/>
            <w:vAlign w:val="center"/>
          </w:tcPr>
          <w:p w14:paraId="66B456D9" w14:textId="77777777" w:rsidR="007303EE" w:rsidRPr="0059750A" w:rsidRDefault="007303EE" w:rsidP="00B45A09">
            <w:pPr>
              <w:pStyle w:val="TableSubheading"/>
              <w:rPr>
                <w:rFonts w:asciiTheme="minorHAnsi" w:hAnsiTheme="minorHAnsi"/>
                <w:szCs w:val="20"/>
              </w:rPr>
            </w:pPr>
            <w:r w:rsidRPr="0059750A">
              <w:rPr>
                <w:rFonts w:asciiTheme="minorHAnsi" w:hAnsiTheme="minorHAnsi"/>
                <w:szCs w:val="20"/>
              </w:rPr>
              <w:t>Lincoln Elementary</w:t>
            </w:r>
          </w:p>
        </w:tc>
        <w:tc>
          <w:tcPr>
            <w:tcW w:w="1350" w:type="dxa"/>
            <w:vAlign w:val="center"/>
          </w:tcPr>
          <w:p w14:paraId="2F74C103" w14:textId="77777777" w:rsidR="007303EE" w:rsidRPr="00797379" w:rsidRDefault="007303EE" w:rsidP="00B45A09">
            <w:pPr>
              <w:pStyle w:val="TableTextCentered"/>
              <w:rPr>
                <w:szCs w:val="20"/>
              </w:rPr>
            </w:pPr>
            <w:r w:rsidRPr="00797379">
              <w:rPr>
                <w:szCs w:val="20"/>
              </w:rPr>
              <w:t>80%</w:t>
            </w:r>
          </w:p>
        </w:tc>
        <w:tc>
          <w:tcPr>
            <w:tcW w:w="1351" w:type="dxa"/>
            <w:vAlign w:val="center"/>
          </w:tcPr>
          <w:p w14:paraId="2D1D656F" w14:textId="77777777" w:rsidR="007303EE" w:rsidRPr="00797379" w:rsidRDefault="007303EE" w:rsidP="00B45A09">
            <w:pPr>
              <w:pStyle w:val="TableTextCentered"/>
              <w:rPr>
                <w:szCs w:val="20"/>
              </w:rPr>
            </w:pPr>
            <w:r w:rsidRPr="00797379">
              <w:rPr>
                <w:szCs w:val="20"/>
              </w:rPr>
              <w:t>94</w:t>
            </w:r>
          </w:p>
        </w:tc>
        <w:tc>
          <w:tcPr>
            <w:tcW w:w="2380" w:type="dxa"/>
            <w:vAlign w:val="center"/>
          </w:tcPr>
          <w:p w14:paraId="5BC928E4" w14:textId="77777777" w:rsidR="007303EE" w:rsidRPr="00797379" w:rsidRDefault="007303EE" w:rsidP="002F6487">
            <w:pPr>
              <w:pStyle w:val="TableText"/>
              <w:jc w:val="center"/>
              <w:rPr>
                <w:szCs w:val="20"/>
              </w:rPr>
            </w:pPr>
            <w:r w:rsidRPr="00797379">
              <w:t>Not requiring assistance or intervention</w:t>
            </w:r>
          </w:p>
        </w:tc>
        <w:tc>
          <w:tcPr>
            <w:tcW w:w="2381" w:type="dxa"/>
            <w:vAlign w:val="center"/>
          </w:tcPr>
          <w:p w14:paraId="4F329D4D" w14:textId="77777777" w:rsidR="007303EE" w:rsidRPr="00797379" w:rsidRDefault="007303EE" w:rsidP="002F6487">
            <w:pPr>
              <w:pStyle w:val="TableText"/>
              <w:jc w:val="center"/>
              <w:rPr>
                <w:szCs w:val="20"/>
              </w:rPr>
            </w:pPr>
            <w:r w:rsidRPr="00797379">
              <w:t>Meeting or exceeding targets</w:t>
            </w:r>
          </w:p>
        </w:tc>
      </w:tr>
      <w:tr w:rsidR="007303EE" w:rsidRPr="00797379" w14:paraId="4296715D" w14:textId="77777777" w:rsidTr="002F6487">
        <w:tc>
          <w:tcPr>
            <w:tcW w:w="1882" w:type="dxa"/>
            <w:vAlign w:val="center"/>
          </w:tcPr>
          <w:p w14:paraId="420411DD" w14:textId="77777777" w:rsidR="007303EE" w:rsidRPr="0059750A" w:rsidRDefault="007303EE" w:rsidP="00B45A09">
            <w:pPr>
              <w:pStyle w:val="TableSubheading"/>
              <w:rPr>
                <w:rFonts w:asciiTheme="minorHAnsi" w:hAnsiTheme="minorHAnsi"/>
                <w:szCs w:val="20"/>
              </w:rPr>
            </w:pPr>
            <w:r w:rsidRPr="0059750A">
              <w:rPr>
                <w:rFonts w:asciiTheme="minorHAnsi" w:hAnsiTheme="minorHAnsi"/>
                <w:szCs w:val="20"/>
              </w:rPr>
              <w:t>Lynch Elementary</w:t>
            </w:r>
          </w:p>
        </w:tc>
        <w:tc>
          <w:tcPr>
            <w:tcW w:w="1350" w:type="dxa"/>
            <w:vAlign w:val="center"/>
          </w:tcPr>
          <w:p w14:paraId="312E1FF5" w14:textId="77777777" w:rsidR="007303EE" w:rsidRPr="00797379" w:rsidRDefault="007303EE" w:rsidP="00B45A09">
            <w:pPr>
              <w:pStyle w:val="TableTextCentered"/>
              <w:rPr>
                <w:szCs w:val="20"/>
              </w:rPr>
            </w:pPr>
            <w:r w:rsidRPr="00797379">
              <w:rPr>
                <w:szCs w:val="20"/>
              </w:rPr>
              <w:t>72%</w:t>
            </w:r>
          </w:p>
        </w:tc>
        <w:tc>
          <w:tcPr>
            <w:tcW w:w="1351" w:type="dxa"/>
            <w:vAlign w:val="center"/>
          </w:tcPr>
          <w:p w14:paraId="518CB738" w14:textId="77777777" w:rsidR="007303EE" w:rsidRPr="00797379" w:rsidRDefault="007303EE" w:rsidP="00B45A09">
            <w:pPr>
              <w:pStyle w:val="TableTextCentered"/>
              <w:rPr>
                <w:szCs w:val="20"/>
              </w:rPr>
            </w:pPr>
            <w:r w:rsidRPr="00797379">
              <w:rPr>
                <w:szCs w:val="20"/>
              </w:rPr>
              <w:t>91</w:t>
            </w:r>
          </w:p>
        </w:tc>
        <w:tc>
          <w:tcPr>
            <w:tcW w:w="2380" w:type="dxa"/>
            <w:vAlign w:val="center"/>
          </w:tcPr>
          <w:p w14:paraId="1E5DC88C" w14:textId="77777777" w:rsidR="007303EE" w:rsidRPr="00797379" w:rsidRDefault="007303EE" w:rsidP="002F6487">
            <w:pPr>
              <w:pStyle w:val="TableText"/>
              <w:jc w:val="center"/>
              <w:rPr>
                <w:szCs w:val="20"/>
              </w:rPr>
            </w:pPr>
            <w:r w:rsidRPr="00797379">
              <w:t>Not requiring assistance or intervention</w:t>
            </w:r>
          </w:p>
        </w:tc>
        <w:tc>
          <w:tcPr>
            <w:tcW w:w="2381" w:type="dxa"/>
            <w:vAlign w:val="center"/>
          </w:tcPr>
          <w:p w14:paraId="0EE3573D" w14:textId="77777777" w:rsidR="007303EE" w:rsidRPr="00797379" w:rsidRDefault="007303EE" w:rsidP="002F6487">
            <w:pPr>
              <w:pStyle w:val="TableText"/>
              <w:jc w:val="center"/>
              <w:rPr>
                <w:szCs w:val="20"/>
              </w:rPr>
            </w:pPr>
            <w:r w:rsidRPr="00797379">
              <w:rPr>
                <w:szCs w:val="20"/>
              </w:rPr>
              <w:t>Substantial progress toward targets</w:t>
            </w:r>
          </w:p>
        </w:tc>
      </w:tr>
      <w:tr w:rsidR="007303EE" w:rsidRPr="00797379" w14:paraId="2FF6E78B" w14:textId="77777777" w:rsidTr="002F6487">
        <w:trPr>
          <w:cnfStyle w:val="000000100000" w:firstRow="0" w:lastRow="0" w:firstColumn="0" w:lastColumn="0" w:oddVBand="0" w:evenVBand="0" w:oddHBand="1" w:evenHBand="0" w:firstRowFirstColumn="0" w:firstRowLastColumn="0" w:lastRowFirstColumn="0" w:lastRowLastColumn="0"/>
        </w:trPr>
        <w:tc>
          <w:tcPr>
            <w:tcW w:w="1882" w:type="dxa"/>
            <w:vAlign w:val="center"/>
          </w:tcPr>
          <w:p w14:paraId="2087CB16" w14:textId="77777777" w:rsidR="007303EE" w:rsidRPr="0059750A" w:rsidRDefault="007303EE" w:rsidP="00B45A09">
            <w:pPr>
              <w:pStyle w:val="TableSubheading"/>
              <w:rPr>
                <w:rFonts w:asciiTheme="minorHAnsi" w:hAnsiTheme="minorHAnsi"/>
                <w:szCs w:val="20"/>
              </w:rPr>
            </w:pPr>
            <w:r w:rsidRPr="0059750A">
              <w:rPr>
                <w:rFonts w:asciiTheme="minorHAnsi" w:hAnsiTheme="minorHAnsi"/>
                <w:szCs w:val="20"/>
              </w:rPr>
              <w:t>Muraco Elementary</w:t>
            </w:r>
          </w:p>
        </w:tc>
        <w:tc>
          <w:tcPr>
            <w:tcW w:w="1350" w:type="dxa"/>
            <w:vAlign w:val="center"/>
          </w:tcPr>
          <w:p w14:paraId="1486DDB7" w14:textId="77777777" w:rsidR="007303EE" w:rsidRPr="00797379" w:rsidRDefault="007303EE" w:rsidP="00B45A09">
            <w:pPr>
              <w:pStyle w:val="TableTextCentered"/>
              <w:rPr>
                <w:szCs w:val="20"/>
              </w:rPr>
            </w:pPr>
            <w:r w:rsidRPr="00797379">
              <w:rPr>
                <w:szCs w:val="20"/>
              </w:rPr>
              <w:t>92%</w:t>
            </w:r>
          </w:p>
        </w:tc>
        <w:tc>
          <w:tcPr>
            <w:tcW w:w="1351" w:type="dxa"/>
            <w:vAlign w:val="center"/>
          </w:tcPr>
          <w:p w14:paraId="14F47D57" w14:textId="77777777" w:rsidR="007303EE" w:rsidRPr="00797379" w:rsidRDefault="007303EE" w:rsidP="00B45A09">
            <w:pPr>
              <w:pStyle w:val="TableTextCentered"/>
              <w:rPr>
                <w:szCs w:val="20"/>
              </w:rPr>
            </w:pPr>
            <w:r w:rsidRPr="00797379">
              <w:rPr>
                <w:szCs w:val="20"/>
              </w:rPr>
              <w:t>96</w:t>
            </w:r>
          </w:p>
        </w:tc>
        <w:tc>
          <w:tcPr>
            <w:tcW w:w="2380" w:type="dxa"/>
            <w:vAlign w:val="center"/>
          </w:tcPr>
          <w:p w14:paraId="02792D81" w14:textId="77777777" w:rsidR="007303EE" w:rsidRPr="00797379" w:rsidRDefault="007303EE" w:rsidP="002F6487">
            <w:pPr>
              <w:pStyle w:val="TableText"/>
              <w:jc w:val="center"/>
              <w:rPr>
                <w:szCs w:val="20"/>
              </w:rPr>
            </w:pPr>
            <w:r w:rsidRPr="00797379">
              <w:t>Not requiring assistance or intervention</w:t>
            </w:r>
          </w:p>
        </w:tc>
        <w:tc>
          <w:tcPr>
            <w:tcW w:w="2381" w:type="dxa"/>
            <w:vAlign w:val="center"/>
          </w:tcPr>
          <w:p w14:paraId="7DD3587E" w14:textId="77777777" w:rsidR="007303EE" w:rsidRPr="00797379" w:rsidRDefault="007303EE" w:rsidP="002F6487">
            <w:pPr>
              <w:pStyle w:val="TableText"/>
              <w:jc w:val="center"/>
              <w:rPr>
                <w:szCs w:val="20"/>
              </w:rPr>
            </w:pPr>
            <w:r w:rsidRPr="00797379">
              <w:t>Meeting or exceeding targets</w:t>
            </w:r>
          </w:p>
        </w:tc>
      </w:tr>
      <w:tr w:rsidR="007303EE" w:rsidRPr="00797379" w14:paraId="039FE3CF" w14:textId="77777777" w:rsidTr="002F6487">
        <w:tc>
          <w:tcPr>
            <w:tcW w:w="1882" w:type="dxa"/>
            <w:vAlign w:val="center"/>
          </w:tcPr>
          <w:p w14:paraId="2E1D7D2A" w14:textId="77777777" w:rsidR="007303EE" w:rsidRPr="0059750A" w:rsidRDefault="007303EE" w:rsidP="00B45A09">
            <w:pPr>
              <w:pStyle w:val="TableSubheading"/>
              <w:rPr>
                <w:rFonts w:asciiTheme="minorHAnsi" w:hAnsiTheme="minorHAnsi"/>
                <w:szCs w:val="20"/>
              </w:rPr>
            </w:pPr>
            <w:r w:rsidRPr="0059750A">
              <w:rPr>
                <w:rFonts w:asciiTheme="minorHAnsi" w:hAnsiTheme="minorHAnsi"/>
                <w:szCs w:val="20"/>
              </w:rPr>
              <w:t>Vinson-Owen Elementary</w:t>
            </w:r>
          </w:p>
        </w:tc>
        <w:tc>
          <w:tcPr>
            <w:tcW w:w="1350" w:type="dxa"/>
            <w:vAlign w:val="center"/>
          </w:tcPr>
          <w:p w14:paraId="3C577A8B" w14:textId="77777777" w:rsidR="007303EE" w:rsidRPr="00797379" w:rsidRDefault="007303EE" w:rsidP="00B45A09">
            <w:pPr>
              <w:pStyle w:val="TableTextCentered"/>
              <w:rPr>
                <w:szCs w:val="20"/>
              </w:rPr>
            </w:pPr>
            <w:r w:rsidRPr="00797379">
              <w:rPr>
                <w:szCs w:val="20"/>
              </w:rPr>
              <w:t>96%</w:t>
            </w:r>
          </w:p>
        </w:tc>
        <w:tc>
          <w:tcPr>
            <w:tcW w:w="1351" w:type="dxa"/>
            <w:vAlign w:val="center"/>
          </w:tcPr>
          <w:p w14:paraId="0304E883" w14:textId="77777777" w:rsidR="007303EE" w:rsidRPr="00797379" w:rsidRDefault="007303EE" w:rsidP="00B45A09">
            <w:pPr>
              <w:pStyle w:val="TableTextCentered"/>
              <w:rPr>
                <w:szCs w:val="20"/>
              </w:rPr>
            </w:pPr>
            <w:r w:rsidRPr="00797379">
              <w:rPr>
                <w:szCs w:val="20"/>
              </w:rPr>
              <w:t>99</w:t>
            </w:r>
          </w:p>
        </w:tc>
        <w:tc>
          <w:tcPr>
            <w:tcW w:w="2380" w:type="dxa"/>
            <w:vAlign w:val="center"/>
          </w:tcPr>
          <w:p w14:paraId="6E589E0A" w14:textId="77777777" w:rsidR="007303EE" w:rsidRPr="00797379" w:rsidRDefault="007303EE" w:rsidP="002F6487">
            <w:pPr>
              <w:pStyle w:val="TableText"/>
              <w:jc w:val="center"/>
              <w:rPr>
                <w:szCs w:val="20"/>
              </w:rPr>
            </w:pPr>
            <w:r w:rsidRPr="00797379">
              <w:t>Not requiring assistance or intervention</w:t>
            </w:r>
          </w:p>
        </w:tc>
        <w:tc>
          <w:tcPr>
            <w:tcW w:w="2381" w:type="dxa"/>
            <w:vAlign w:val="center"/>
          </w:tcPr>
          <w:p w14:paraId="58B3C52B" w14:textId="77777777" w:rsidR="007303EE" w:rsidRPr="00797379" w:rsidRDefault="007303EE" w:rsidP="002F6487">
            <w:pPr>
              <w:pStyle w:val="TableText"/>
              <w:jc w:val="center"/>
              <w:rPr>
                <w:szCs w:val="20"/>
              </w:rPr>
            </w:pPr>
            <w:r w:rsidRPr="00797379">
              <w:t>Meeting or exceeding targets</w:t>
            </w:r>
          </w:p>
        </w:tc>
      </w:tr>
      <w:tr w:rsidR="007303EE" w:rsidRPr="00797379" w14:paraId="18CEFEE9" w14:textId="77777777" w:rsidTr="002F6487">
        <w:trPr>
          <w:cnfStyle w:val="000000100000" w:firstRow="0" w:lastRow="0" w:firstColumn="0" w:lastColumn="0" w:oddVBand="0" w:evenVBand="0" w:oddHBand="1" w:evenHBand="0" w:firstRowFirstColumn="0" w:firstRowLastColumn="0" w:lastRowFirstColumn="0" w:lastRowLastColumn="0"/>
        </w:trPr>
        <w:tc>
          <w:tcPr>
            <w:tcW w:w="1882" w:type="dxa"/>
            <w:vAlign w:val="center"/>
          </w:tcPr>
          <w:p w14:paraId="27F31FDE" w14:textId="77777777" w:rsidR="007303EE" w:rsidRPr="0059750A" w:rsidRDefault="007303EE" w:rsidP="00B45A09">
            <w:pPr>
              <w:pStyle w:val="TableSubheading"/>
              <w:rPr>
                <w:rFonts w:asciiTheme="minorHAnsi" w:hAnsiTheme="minorHAnsi"/>
                <w:szCs w:val="20"/>
              </w:rPr>
            </w:pPr>
            <w:r w:rsidRPr="0059750A">
              <w:rPr>
                <w:rFonts w:asciiTheme="minorHAnsi" w:hAnsiTheme="minorHAnsi"/>
                <w:szCs w:val="20"/>
              </w:rPr>
              <w:t>McCall Middle</w:t>
            </w:r>
          </w:p>
        </w:tc>
        <w:tc>
          <w:tcPr>
            <w:tcW w:w="1350" w:type="dxa"/>
            <w:vAlign w:val="center"/>
          </w:tcPr>
          <w:p w14:paraId="351A4CCF" w14:textId="77777777" w:rsidR="007303EE" w:rsidRPr="00797379" w:rsidRDefault="007303EE" w:rsidP="00B45A09">
            <w:pPr>
              <w:pStyle w:val="TableTextCentered"/>
              <w:rPr>
                <w:szCs w:val="20"/>
              </w:rPr>
            </w:pPr>
            <w:r w:rsidRPr="00797379">
              <w:rPr>
                <w:szCs w:val="20"/>
              </w:rPr>
              <w:t>94%</w:t>
            </w:r>
          </w:p>
        </w:tc>
        <w:tc>
          <w:tcPr>
            <w:tcW w:w="1351" w:type="dxa"/>
            <w:vAlign w:val="center"/>
          </w:tcPr>
          <w:p w14:paraId="4D016DC7" w14:textId="77777777" w:rsidR="007303EE" w:rsidRPr="00797379" w:rsidRDefault="007303EE" w:rsidP="00B45A09">
            <w:pPr>
              <w:pStyle w:val="TableTextCentered"/>
              <w:rPr>
                <w:szCs w:val="20"/>
              </w:rPr>
            </w:pPr>
            <w:r w:rsidRPr="00797379">
              <w:rPr>
                <w:szCs w:val="20"/>
              </w:rPr>
              <w:t>96</w:t>
            </w:r>
          </w:p>
        </w:tc>
        <w:tc>
          <w:tcPr>
            <w:tcW w:w="2380" w:type="dxa"/>
            <w:vAlign w:val="center"/>
          </w:tcPr>
          <w:p w14:paraId="4ADD3732" w14:textId="77777777" w:rsidR="007303EE" w:rsidRPr="00797379" w:rsidRDefault="007303EE" w:rsidP="002F6487">
            <w:pPr>
              <w:pStyle w:val="TableText"/>
              <w:jc w:val="center"/>
              <w:rPr>
                <w:szCs w:val="20"/>
              </w:rPr>
            </w:pPr>
            <w:r w:rsidRPr="00797379">
              <w:t>Not requiring assistance or intervention</w:t>
            </w:r>
          </w:p>
        </w:tc>
        <w:tc>
          <w:tcPr>
            <w:tcW w:w="2381" w:type="dxa"/>
            <w:vAlign w:val="center"/>
          </w:tcPr>
          <w:p w14:paraId="239B5314" w14:textId="77777777" w:rsidR="007303EE" w:rsidRPr="00797379" w:rsidRDefault="007303EE" w:rsidP="002F6487">
            <w:pPr>
              <w:pStyle w:val="TableText"/>
              <w:jc w:val="center"/>
              <w:rPr>
                <w:szCs w:val="20"/>
              </w:rPr>
            </w:pPr>
            <w:r w:rsidRPr="00797379">
              <w:t>Meeting or exceeding targets</w:t>
            </w:r>
          </w:p>
        </w:tc>
      </w:tr>
      <w:tr w:rsidR="007303EE" w:rsidRPr="000E2C7D" w14:paraId="28DAF86A" w14:textId="77777777" w:rsidTr="002F6487">
        <w:tc>
          <w:tcPr>
            <w:tcW w:w="1882" w:type="dxa"/>
            <w:vAlign w:val="center"/>
          </w:tcPr>
          <w:p w14:paraId="5815DF8C" w14:textId="77777777" w:rsidR="007303EE" w:rsidRPr="0059750A" w:rsidRDefault="007303EE" w:rsidP="00B45A09">
            <w:pPr>
              <w:pStyle w:val="TableSubheading"/>
              <w:rPr>
                <w:rFonts w:asciiTheme="minorHAnsi" w:hAnsiTheme="minorHAnsi"/>
                <w:szCs w:val="20"/>
              </w:rPr>
            </w:pPr>
            <w:r w:rsidRPr="0059750A">
              <w:rPr>
                <w:rFonts w:asciiTheme="minorHAnsi" w:hAnsiTheme="minorHAnsi"/>
                <w:szCs w:val="20"/>
              </w:rPr>
              <w:t>Winchester High School</w:t>
            </w:r>
          </w:p>
        </w:tc>
        <w:tc>
          <w:tcPr>
            <w:tcW w:w="1350" w:type="dxa"/>
            <w:vAlign w:val="center"/>
          </w:tcPr>
          <w:p w14:paraId="5A2DF2D2" w14:textId="77777777" w:rsidR="007303EE" w:rsidRPr="00797379" w:rsidRDefault="007303EE" w:rsidP="00B45A09">
            <w:pPr>
              <w:pStyle w:val="TableTextCentered"/>
              <w:rPr>
                <w:szCs w:val="20"/>
              </w:rPr>
            </w:pPr>
            <w:r w:rsidRPr="00797379">
              <w:rPr>
                <w:szCs w:val="20"/>
              </w:rPr>
              <w:t>85%</w:t>
            </w:r>
          </w:p>
        </w:tc>
        <w:tc>
          <w:tcPr>
            <w:tcW w:w="1351" w:type="dxa"/>
            <w:vAlign w:val="center"/>
          </w:tcPr>
          <w:p w14:paraId="2FC950E2" w14:textId="77777777" w:rsidR="007303EE" w:rsidRPr="00797379" w:rsidRDefault="007303EE" w:rsidP="00B45A09">
            <w:pPr>
              <w:pStyle w:val="TableTextCentered"/>
              <w:rPr>
                <w:szCs w:val="20"/>
              </w:rPr>
            </w:pPr>
            <w:r w:rsidRPr="00797379">
              <w:rPr>
                <w:szCs w:val="20"/>
              </w:rPr>
              <w:t>96</w:t>
            </w:r>
          </w:p>
        </w:tc>
        <w:tc>
          <w:tcPr>
            <w:tcW w:w="2380" w:type="dxa"/>
            <w:vAlign w:val="center"/>
          </w:tcPr>
          <w:p w14:paraId="5930CBD6" w14:textId="77777777" w:rsidR="007303EE" w:rsidRPr="00797379" w:rsidRDefault="007303EE" w:rsidP="002F6487">
            <w:pPr>
              <w:pStyle w:val="TableText"/>
              <w:jc w:val="center"/>
              <w:rPr>
                <w:szCs w:val="20"/>
              </w:rPr>
            </w:pPr>
            <w:r w:rsidRPr="00797379">
              <w:t>Not requiring assistance or intervention</w:t>
            </w:r>
          </w:p>
        </w:tc>
        <w:tc>
          <w:tcPr>
            <w:tcW w:w="2381" w:type="dxa"/>
            <w:vAlign w:val="center"/>
          </w:tcPr>
          <w:p w14:paraId="4008B37F" w14:textId="77777777" w:rsidR="007303EE" w:rsidRPr="00251D63" w:rsidRDefault="007303EE" w:rsidP="002F6487">
            <w:pPr>
              <w:pStyle w:val="TableText"/>
              <w:jc w:val="center"/>
              <w:rPr>
                <w:szCs w:val="20"/>
              </w:rPr>
            </w:pPr>
            <w:r w:rsidRPr="00797379">
              <w:t>Meeting or exceeding targets</w:t>
            </w:r>
          </w:p>
        </w:tc>
      </w:tr>
      <w:bookmarkEnd w:id="264"/>
    </w:tbl>
    <w:p w14:paraId="6854B97F" w14:textId="7CE20F0E" w:rsidR="00254505" w:rsidRPr="00FD06ED" w:rsidRDefault="00254505" w:rsidP="007303EE">
      <w:pPr>
        <w:pStyle w:val="BodyText"/>
      </w:pPr>
    </w:p>
    <w:sectPr w:rsidR="00254505" w:rsidRPr="00FD06ED" w:rsidSect="0057414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A2720" w14:textId="77777777" w:rsidR="005127D9" w:rsidRDefault="005127D9" w:rsidP="00B93273">
      <w:pPr>
        <w:spacing w:line="240" w:lineRule="auto"/>
      </w:pPr>
      <w:r>
        <w:separator/>
      </w:r>
    </w:p>
  </w:endnote>
  <w:endnote w:type="continuationSeparator" w:id="0">
    <w:p w14:paraId="1DA8F697" w14:textId="77777777" w:rsidR="005127D9" w:rsidRDefault="005127D9" w:rsidP="00B93273">
      <w:pPr>
        <w:spacing w:line="240" w:lineRule="auto"/>
      </w:pPr>
      <w:r>
        <w:continuationSeparator/>
      </w:r>
    </w:p>
  </w:endnote>
  <w:endnote w:type="continuationNotice" w:id="1">
    <w:p w14:paraId="4874641E" w14:textId="77777777" w:rsidR="005127D9" w:rsidRDefault="005127D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Book">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HGGothicE">
    <w:altName w:val="HGｺﾞｼｯｸE"/>
    <w:panose1 w:val="00000000000000000000"/>
    <w:charset w:val="80"/>
    <w:family w:val="roman"/>
    <w:notTrueType/>
    <w:pitch w:val="default"/>
  </w:font>
  <w:font w:name="Franklin Gothic Demi">
    <w:altName w:val="Calibri"/>
    <w:charset w:val="00"/>
    <w:family w:val="swiss"/>
    <w:pitch w:val="variable"/>
    <w:sig w:usb0="00000287" w:usb1="00000000"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w:panose1 w:val="00000000000000000000"/>
    <w:charset w:val="00"/>
    <w:family w:val="roman"/>
    <w:notTrueType/>
    <w:pitch w:val="default"/>
  </w:font>
  <w:font w:name="HGSoeiKakugothicUB">
    <w:altName w:val="HG創英角ｺﾞｼｯｸUB"/>
    <w:panose1 w:val="00000000000000000000"/>
    <w:charset w:val="80"/>
    <w:family w:val="roman"/>
    <w:notTrueType/>
    <w:pitch w:val="default"/>
  </w:font>
  <w:font w:name="Helvetica">
    <w:panose1 w:val="020B0604020202020204"/>
    <w:charset w:val="00"/>
    <w:family w:val="swiss"/>
    <w:pitch w:val="variable"/>
    <w:sig w:usb0="00000003" w:usb1="00000000" w:usb2="00000000" w:usb3="00000000" w:csb0="00000001" w:csb1="00000000"/>
  </w:font>
  <w:font w:name="Times New Roman (Body CS)">
    <w:altName w:val="Times New Roman"/>
    <w:charset w:val="00"/>
    <w:family w:val="roman"/>
    <w:pitch w:val="default"/>
  </w:font>
  <w:font w:name="Vijaya">
    <w:charset w:val="00"/>
    <w:family w:val="roman"/>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7B9B6" w14:textId="022C7596" w:rsidR="52980838" w:rsidRPr="0055077E" w:rsidRDefault="52980838" w:rsidP="002D30A8">
    <w:pPr>
      <w:pStyle w:val="Footer"/>
      <w:pBdr>
        <w:top w:val="none" w:sz="0" w:space="0" w:color="auto"/>
      </w:pBd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486B55" w:rsidRPr="006750C1" w14:paraId="2B733083" w14:textId="77777777" w:rsidTr="00D84CF0">
      <w:tc>
        <w:tcPr>
          <w:tcW w:w="3120" w:type="dxa"/>
        </w:tcPr>
        <w:p w14:paraId="38956C90" w14:textId="77777777" w:rsidR="00486B55" w:rsidRPr="006750C1" w:rsidRDefault="00486B55" w:rsidP="00D84CF0">
          <w:pPr>
            <w:pStyle w:val="Header"/>
            <w:ind w:left="-115"/>
            <w:rPr>
              <w:rFonts w:ascii="Franklin Gothic Book" w:eastAsia="Calibri" w:hAnsi="Franklin Gothic Book" w:cs="Arial"/>
            </w:rPr>
          </w:pPr>
        </w:p>
      </w:tc>
      <w:tc>
        <w:tcPr>
          <w:tcW w:w="3120" w:type="dxa"/>
        </w:tcPr>
        <w:p w14:paraId="5772A608" w14:textId="77777777" w:rsidR="00486B55" w:rsidRPr="006750C1" w:rsidRDefault="00486B55" w:rsidP="00D84CF0">
          <w:pPr>
            <w:pStyle w:val="Header"/>
            <w:jc w:val="center"/>
            <w:rPr>
              <w:rFonts w:ascii="Franklin Gothic Book" w:eastAsia="Calibri" w:hAnsi="Franklin Gothic Book" w:cs="Arial"/>
            </w:rPr>
          </w:pPr>
        </w:p>
      </w:tc>
      <w:tc>
        <w:tcPr>
          <w:tcW w:w="3120" w:type="dxa"/>
        </w:tcPr>
        <w:p w14:paraId="645852F3" w14:textId="77777777" w:rsidR="00486B55" w:rsidRPr="006750C1" w:rsidRDefault="00486B55" w:rsidP="00D84CF0">
          <w:pPr>
            <w:pStyle w:val="Header"/>
            <w:ind w:right="-115"/>
            <w:jc w:val="right"/>
            <w:rPr>
              <w:rFonts w:ascii="Franklin Gothic Book" w:eastAsia="Calibri" w:hAnsi="Franklin Gothic Book" w:cs="Arial"/>
            </w:rPr>
          </w:pPr>
        </w:p>
      </w:tc>
    </w:tr>
  </w:tbl>
  <w:p w14:paraId="7D18CB35" w14:textId="77777777" w:rsidR="00486B55" w:rsidRDefault="00486B55" w:rsidP="002D30A8">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3AF40" w14:textId="5DF2F933" w:rsidR="002E7525" w:rsidRPr="004668E7" w:rsidRDefault="009F6401" w:rsidP="002E7525">
    <w:pPr>
      <w:pStyle w:val="Footer"/>
    </w:pPr>
    <w:r>
      <w:rPr>
        <w:rStyle w:val="FranklinGothicDemi"/>
        <w:color w:val="44546A" w:themeColor="text2"/>
      </w:rPr>
      <w:t>Winchester</w:t>
    </w:r>
    <w:r w:rsidRPr="00B3679E">
      <w:rPr>
        <w:rStyle w:val="FranklinGothicDemi"/>
        <w:color w:val="44546A" w:themeColor="text2"/>
      </w:rPr>
      <w:t xml:space="preserve"> Public Schools</w:t>
    </w:r>
    <w:r w:rsidR="002E7525">
      <w:ptab w:relativeTo="margin" w:alignment="right" w:leader="none"/>
    </w:r>
    <w:r w:rsidR="002E7525" w:rsidRPr="0055077E">
      <w:t>Comprehensive District Review Report</w:t>
    </w:r>
    <w:r w:rsidR="002E7525">
      <w:t xml:space="preserve"> </w:t>
    </w:r>
    <w:r w:rsidR="002E7525" w:rsidRPr="00B3679E">
      <w:rPr>
        <w:color w:val="44546A" w:themeColor="text2"/>
      </w:rPr>
      <w:t xml:space="preserve">■ </w:t>
    </w:r>
    <w:r w:rsidR="002E7525" w:rsidRPr="00B3679E">
      <w:rPr>
        <w:rStyle w:val="FranklinGothicDemi"/>
        <w:color w:val="44546A" w:themeColor="text2"/>
      </w:rPr>
      <w:t xml:space="preserve">page </w:t>
    </w:r>
    <w:r w:rsidR="00CC52F1">
      <w:rPr>
        <w:rStyle w:val="FranklinGothicDemi"/>
        <w:color w:val="44546A" w:themeColor="text2"/>
      </w:rPr>
      <w:t>D</w:t>
    </w:r>
    <w:r w:rsidR="002E7525" w:rsidRPr="00B3679E">
      <w:rPr>
        <w:rStyle w:val="FranklinGothicDemi"/>
        <w:color w:val="44546A" w:themeColor="text2"/>
      </w:rPr>
      <w:t>-</w:t>
    </w:r>
    <w:r w:rsidR="002E7525" w:rsidRPr="00B3679E">
      <w:rPr>
        <w:rStyle w:val="FranklinGothicDemi"/>
        <w:color w:val="44546A" w:themeColor="text2"/>
      </w:rPr>
      <w:fldChar w:fldCharType="begin"/>
    </w:r>
    <w:r w:rsidR="002E7525" w:rsidRPr="00B3679E">
      <w:rPr>
        <w:rStyle w:val="FranklinGothicDemi"/>
        <w:color w:val="44546A" w:themeColor="text2"/>
      </w:rPr>
      <w:instrText xml:space="preserve"> PAGE   \* MERGEFORMAT </w:instrText>
    </w:r>
    <w:r w:rsidR="002E7525" w:rsidRPr="00B3679E">
      <w:rPr>
        <w:rStyle w:val="FranklinGothicDemi"/>
        <w:color w:val="44546A" w:themeColor="text2"/>
      </w:rPr>
      <w:fldChar w:fldCharType="separate"/>
    </w:r>
    <w:r w:rsidR="002E7525" w:rsidRPr="00B3679E">
      <w:rPr>
        <w:rStyle w:val="FranklinGothicDemi"/>
        <w:color w:val="44546A" w:themeColor="text2"/>
      </w:rPr>
      <w:t>1</w:t>
    </w:r>
    <w:r w:rsidR="002E7525" w:rsidRPr="00B3679E">
      <w:rPr>
        <w:rStyle w:val="FranklinGothicDemi"/>
        <w:noProof/>
        <w:color w:val="44546A" w:themeColor="text2"/>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2980838" w:rsidRPr="006750C1" w14:paraId="35ED83F6" w14:textId="77777777" w:rsidTr="00D84CF0">
      <w:tc>
        <w:tcPr>
          <w:tcW w:w="3120" w:type="dxa"/>
        </w:tcPr>
        <w:p w14:paraId="2A6580CD" w14:textId="4A982FAA" w:rsidR="52980838" w:rsidRPr="006750C1" w:rsidRDefault="52980838" w:rsidP="00D84CF0">
          <w:pPr>
            <w:pStyle w:val="Header"/>
            <w:ind w:left="-115"/>
            <w:rPr>
              <w:rFonts w:ascii="Franklin Gothic Book" w:eastAsia="Calibri" w:hAnsi="Franklin Gothic Book" w:cs="Arial"/>
            </w:rPr>
          </w:pPr>
        </w:p>
      </w:tc>
      <w:tc>
        <w:tcPr>
          <w:tcW w:w="3120" w:type="dxa"/>
        </w:tcPr>
        <w:p w14:paraId="4C480F35" w14:textId="5A8F9814" w:rsidR="52980838" w:rsidRPr="006750C1" w:rsidRDefault="52980838" w:rsidP="00D84CF0">
          <w:pPr>
            <w:pStyle w:val="Header"/>
            <w:jc w:val="center"/>
            <w:rPr>
              <w:rFonts w:ascii="Franklin Gothic Book" w:eastAsia="Calibri" w:hAnsi="Franklin Gothic Book" w:cs="Arial"/>
            </w:rPr>
          </w:pPr>
        </w:p>
      </w:tc>
      <w:tc>
        <w:tcPr>
          <w:tcW w:w="3120" w:type="dxa"/>
        </w:tcPr>
        <w:p w14:paraId="2F3AF003" w14:textId="394D1CC5" w:rsidR="52980838" w:rsidRPr="006750C1" w:rsidRDefault="52980838" w:rsidP="00D84CF0">
          <w:pPr>
            <w:pStyle w:val="Header"/>
            <w:ind w:right="-115"/>
            <w:jc w:val="right"/>
            <w:rPr>
              <w:rFonts w:ascii="Franklin Gothic Book" w:eastAsia="Calibri" w:hAnsi="Franklin Gothic Book" w:cs="Arial"/>
            </w:rPr>
          </w:pPr>
        </w:p>
      </w:tc>
    </w:tr>
  </w:tbl>
  <w:p w14:paraId="62189066" w14:textId="201E9458" w:rsidR="52980838" w:rsidRDefault="52980838" w:rsidP="002D30A8">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1C43E" w14:textId="6B1C3248" w:rsidR="00CC52F1" w:rsidRPr="004668E7" w:rsidRDefault="009F6401" w:rsidP="002E7525">
    <w:pPr>
      <w:pStyle w:val="Footer"/>
    </w:pPr>
    <w:r>
      <w:rPr>
        <w:rStyle w:val="FranklinGothicDemi"/>
        <w:color w:val="44546A" w:themeColor="text2"/>
      </w:rPr>
      <w:t>Winchester</w:t>
    </w:r>
    <w:r w:rsidRPr="00B3679E">
      <w:rPr>
        <w:rStyle w:val="FranklinGothicDemi"/>
        <w:color w:val="44546A" w:themeColor="text2"/>
      </w:rPr>
      <w:t xml:space="preserve"> Public Schools</w:t>
    </w:r>
    <w:r w:rsidR="00CC52F1">
      <w:ptab w:relativeTo="margin" w:alignment="right" w:leader="none"/>
    </w:r>
    <w:r w:rsidR="00CC52F1" w:rsidRPr="0055077E">
      <w:t>Comprehensive District Review Report</w:t>
    </w:r>
    <w:r w:rsidR="00CC52F1">
      <w:t xml:space="preserve"> </w:t>
    </w:r>
    <w:r w:rsidR="00CC52F1" w:rsidRPr="00B3679E">
      <w:rPr>
        <w:color w:val="44546A" w:themeColor="text2"/>
      </w:rPr>
      <w:t xml:space="preserve">■ </w:t>
    </w:r>
    <w:r w:rsidR="00CC52F1" w:rsidRPr="00B3679E">
      <w:rPr>
        <w:rStyle w:val="FranklinGothicDemi"/>
        <w:color w:val="44546A" w:themeColor="text2"/>
      </w:rPr>
      <w:t xml:space="preserve">page </w:t>
    </w:r>
    <w:r w:rsidR="00CC52F1">
      <w:rPr>
        <w:rStyle w:val="FranklinGothicDemi"/>
        <w:color w:val="44546A" w:themeColor="text2"/>
      </w:rPr>
      <w:t>E</w:t>
    </w:r>
    <w:r w:rsidR="00CC52F1" w:rsidRPr="00B3679E">
      <w:rPr>
        <w:rStyle w:val="FranklinGothicDemi"/>
        <w:color w:val="44546A" w:themeColor="text2"/>
      </w:rPr>
      <w:t>-</w:t>
    </w:r>
    <w:r w:rsidR="00CC52F1" w:rsidRPr="00B3679E">
      <w:rPr>
        <w:rStyle w:val="FranklinGothicDemi"/>
        <w:color w:val="44546A" w:themeColor="text2"/>
      </w:rPr>
      <w:fldChar w:fldCharType="begin"/>
    </w:r>
    <w:r w:rsidR="00CC52F1" w:rsidRPr="00B3679E">
      <w:rPr>
        <w:rStyle w:val="FranklinGothicDemi"/>
        <w:color w:val="44546A" w:themeColor="text2"/>
      </w:rPr>
      <w:instrText xml:space="preserve"> PAGE   \* MERGEFORMAT </w:instrText>
    </w:r>
    <w:r w:rsidR="00CC52F1" w:rsidRPr="00B3679E">
      <w:rPr>
        <w:rStyle w:val="FranklinGothicDemi"/>
        <w:color w:val="44546A" w:themeColor="text2"/>
      </w:rPr>
      <w:fldChar w:fldCharType="separate"/>
    </w:r>
    <w:r w:rsidR="00CC52F1" w:rsidRPr="00B3679E">
      <w:rPr>
        <w:rStyle w:val="FranklinGothicDemi"/>
        <w:color w:val="44546A" w:themeColor="text2"/>
      </w:rPr>
      <w:t>1</w:t>
    </w:r>
    <w:r w:rsidR="00CC52F1" w:rsidRPr="00B3679E">
      <w:rPr>
        <w:rStyle w:val="FranklinGothicDemi"/>
        <w:noProof/>
        <w:color w:val="44546A" w:themeColor="text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034B5" w14:textId="331756C2" w:rsidR="52980838" w:rsidRDefault="52980838" w:rsidP="002D30A8">
    <w:pPr>
      <w:pStyle w:val="Footer"/>
      <w:pBdr>
        <w:top w:val="none" w:sz="0" w:space="0" w:color="auto"/>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47480" w14:textId="7CD9F3F6" w:rsidR="00E315A4" w:rsidRPr="004668E7" w:rsidRDefault="002B2259" w:rsidP="00E315A4">
    <w:pPr>
      <w:pStyle w:val="Footer"/>
    </w:pPr>
    <w:r>
      <w:rPr>
        <w:rStyle w:val="FranklinGothicDemi"/>
        <w:color w:val="44546A" w:themeColor="text2"/>
      </w:rPr>
      <w:t>Winchester</w:t>
    </w:r>
    <w:r w:rsidR="00946862" w:rsidRPr="00B3679E">
      <w:rPr>
        <w:rStyle w:val="FranklinGothicDemi"/>
        <w:color w:val="44546A" w:themeColor="text2"/>
      </w:rPr>
      <w:t xml:space="preserve"> Public Schools</w:t>
    </w:r>
    <w:r w:rsidR="00E315A4">
      <w:ptab w:relativeTo="margin" w:alignment="right" w:leader="none"/>
    </w:r>
    <w:r w:rsidR="27C4AC05" w:rsidRPr="0055077E">
      <w:t>Comprehensive</w:t>
    </w:r>
    <w:r w:rsidR="00E315A4" w:rsidRPr="0055077E">
      <w:t xml:space="preserve"> District Review Report</w:t>
    </w:r>
    <w:r w:rsidR="00E315A4">
      <w:t xml:space="preserve"> </w:t>
    </w:r>
    <w:r w:rsidR="00E315A4" w:rsidRPr="00B3679E">
      <w:rPr>
        <w:color w:val="44546A" w:themeColor="text2"/>
      </w:rPr>
      <w:t xml:space="preserve">■ </w:t>
    </w:r>
    <w:r w:rsidR="00E315A4" w:rsidRPr="00B3679E">
      <w:rPr>
        <w:rStyle w:val="FranklinGothicDemi"/>
        <w:color w:val="44546A" w:themeColor="text2"/>
      </w:rPr>
      <w:t xml:space="preserve">page </w:t>
    </w:r>
    <w:r w:rsidR="00E315A4" w:rsidRPr="00B3679E">
      <w:rPr>
        <w:rStyle w:val="FranklinGothicDemi"/>
        <w:color w:val="44546A" w:themeColor="text2"/>
      </w:rPr>
      <w:fldChar w:fldCharType="begin"/>
    </w:r>
    <w:r w:rsidR="00E315A4" w:rsidRPr="00B3679E">
      <w:rPr>
        <w:rStyle w:val="FranklinGothicDemi"/>
        <w:color w:val="44546A" w:themeColor="text2"/>
      </w:rPr>
      <w:instrText xml:space="preserve"> PAGE   \* MERGEFORMAT </w:instrText>
    </w:r>
    <w:r w:rsidR="00E315A4" w:rsidRPr="00B3679E">
      <w:rPr>
        <w:rStyle w:val="FranklinGothicDemi"/>
        <w:color w:val="44546A" w:themeColor="text2"/>
      </w:rPr>
      <w:fldChar w:fldCharType="separate"/>
    </w:r>
    <w:r w:rsidR="00E315A4" w:rsidRPr="00B3679E">
      <w:rPr>
        <w:rStyle w:val="FranklinGothicDemi"/>
        <w:color w:val="44546A" w:themeColor="text2"/>
      </w:rPr>
      <w:t>39</w:t>
    </w:r>
    <w:r w:rsidR="00E315A4" w:rsidRPr="00B3679E">
      <w:rPr>
        <w:rStyle w:val="FranklinGothicDemi"/>
        <w:noProof/>
        <w:color w:val="44546A" w:themeColor="text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A9491" w14:textId="474D445A" w:rsidR="009F4228" w:rsidRPr="004668E7" w:rsidRDefault="009F4228" w:rsidP="009F4228">
    <w:pPr>
      <w:pStyle w:val="Footer"/>
    </w:pPr>
    <w:r>
      <w:rPr>
        <w:rStyle w:val="FranklinGothicDemi"/>
        <w:color w:val="44546A" w:themeColor="text2"/>
      </w:rPr>
      <w:t>Winchester</w:t>
    </w:r>
    <w:r w:rsidRPr="00B3679E">
      <w:rPr>
        <w:rStyle w:val="FranklinGothicDemi"/>
        <w:color w:val="44546A" w:themeColor="text2"/>
      </w:rPr>
      <w:t xml:space="preserve"> Public Schools</w:t>
    </w:r>
    <w:r>
      <w:ptab w:relativeTo="margin" w:alignment="right" w:leader="none"/>
    </w:r>
    <w:r w:rsidRPr="0055077E">
      <w:t>Comprehensive District Review Report</w:t>
    </w:r>
    <w:r>
      <w:t xml:space="preserve"> </w:t>
    </w:r>
    <w:r w:rsidRPr="00B3679E">
      <w:rPr>
        <w:color w:val="44546A" w:themeColor="text2"/>
      </w:rPr>
      <w:t xml:space="preserve">■ </w:t>
    </w:r>
    <w:r w:rsidRPr="00B3679E">
      <w:rPr>
        <w:rStyle w:val="FranklinGothicDemi"/>
        <w:color w:val="44546A" w:themeColor="text2"/>
      </w:rPr>
      <w:t xml:space="preserve">page </w:t>
    </w:r>
    <w:r>
      <w:rPr>
        <w:rStyle w:val="FranklinGothicDemi"/>
        <w:color w:val="44546A" w:themeColor="text2"/>
      </w:rPr>
      <w:t>B</w:t>
    </w:r>
    <w:r w:rsidRPr="00B3679E">
      <w:rPr>
        <w:rStyle w:val="FranklinGothicDemi"/>
        <w:color w:val="44546A" w:themeColor="text2"/>
      </w:rPr>
      <w:t>-</w:t>
    </w:r>
    <w:r w:rsidRPr="00B3679E">
      <w:rPr>
        <w:rStyle w:val="FranklinGothicDemi"/>
        <w:color w:val="44546A" w:themeColor="text2"/>
      </w:rPr>
      <w:fldChar w:fldCharType="begin"/>
    </w:r>
    <w:r w:rsidRPr="00B3679E">
      <w:rPr>
        <w:rStyle w:val="FranklinGothicDemi"/>
        <w:color w:val="44546A" w:themeColor="text2"/>
      </w:rPr>
      <w:instrText xml:space="preserve"> PAGE   \* MERGEFORMAT </w:instrText>
    </w:r>
    <w:r w:rsidRPr="00B3679E">
      <w:rPr>
        <w:rStyle w:val="FranklinGothicDemi"/>
        <w:color w:val="44546A" w:themeColor="text2"/>
      </w:rPr>
      <w:fldChar w:fldCharType="separate"/>
    </w:r>
    <w:r>
      <w:rPr>
        <w:rStyle w:val="FranklinGothicDemi"/>
        <w:color w:val="44546A" w:themeColor="text2"/>
      </w:rPr>
      <w:t>1</w:t>
    </w:r>
    <w:r w:rsidRPr="00B3679E">
      <w:rPr>
        <w:rStyle w:val="FranklinGothicDemi"/>
        <w:noProof/>
        <w:color w:val="44546A" w:themeColor="text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5A2F2" w14:textId="3C88B7B4" w:rsidR="00FF48CB" w:rsidRPr="004668E7" w:rsidRDefault="009F6401" w:rsidP="00E315A4">
    <w:pPr>
      <w:pStyle w:val="Footer"/>
    </w:pPr>
    <w:r>
      <w:rPr>
        <w:rStyle w:val="FranklinGothicDemi"/>
        <w:color w:val="44546A" w:themeColor="text2"/>
      </w:rPr>
      <w:t>Winchester</w:t>
    </w:r>
    <w:r w:rsidRPr="00B3679E">
      <w:rPr>
        <w:rStyle w:val="FranklinGothicDemi"/>
        <w:color w:val="44546A" w:themeColor="text2"/>
      </w:rPr>
      <w:t xml:space="preserve"> Public Schools</w:t>
    </w:r>
    <w:r w:rsidR="00FF48CB">
      <w:ptab w:relativeTo="margin" w:alignment="right" w:leader="none"/>
    </w:r>
    <w:r w:rsidR="00FF48CB" w:rsidRPr="0055077E">
      <w:t>Comprehensive District Review Report</w:t>
    </w:r>
    <w:r w:rsidR="00FF48CB">
      <w:t xml:space="preserve"> </w:t>
    </w:r>
    <w:r w:rsidR="00FF48CB" w:rsidRPr="00B3679E">
      <w:rPr>
        <w:color w:val="44546A" w:themeColor="text2"/>
      </w:rPr>
      <w:t xml:space="preserve">■ </w:t>
    </w:r>
    <w:r w:rsidR="00FF48CB" w:rsidRPr="00B3679E">
      <w:rPr>
        <w:rStyle w:val="FranklinGothicDemi"/>
        <w:color w:val="44546A" w:themeColor="text2"/>
      </w:rPr>
      <w:t>page A-</w:t>
    </w:r>
    <w:r w:rsidR="00FF48CB" w:rsidRPr="00B3679E">
      <w:rPr>
        <w:rStyle w:val="FranklinGothicDemi"/>
        <w:color w:val="44546A" w:themeColor="text2"/>
      </w:rPr>
      <w:fldChar w:fldCharType="begin"/>
    </w:r>
    <w:r w:rsidR="00FF48CB" w:rsidRPr="00B3679E">
      <w:rPr>
        <w:rStyle w:val="FranklinGothicDemi"/>
        <w:color w:val="44546A" w:themeColor="text2"/>
      </w:rPr>
      <w:instrText xml:space="preserve"> PAGE   \* MERGEFORMAT </w:instrText>
    </w:r>
    <w:r w:rsidR="00FF48CB" w:rsidRPr="00B3679E">
      <w:rPr>
        <w:rStyle w:val="FranklinGothicDemi"/>
        <w:color w:val="44546A" w:themeColor="text2"/>
      </w:rPr>
      <w:fldChar w:fldCharType="separate"/>
    </w:r>
    <w:r w:rsidR="00FF48CB" w:rsidRPr="00B3679E">
      <w:rPr>
        <w:rStyle w:val="FranklinGothicDemi"/>
        <w:color w:val="44546A" w:themeColor="text2"/>
      </w:rPr>
      <w:t>39</w:t>
    </w:r>
    <w:r w:rsidR="00FF48CB" w:rsidRPr="00B3679E">
      <w:rPr>
        <w:rStyle w:val="FranklinGothicDemi"/>
        <w:noProof/>
        <w:color w:val="44546A" w:themeColor="text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3F2ED" w14:textId="1BC0DB40" w:rsidR="005B3E3F" w:rsidRPr="009F4228" w:rsidRDefault="005B3E3F" w:rsidP="009F4228"/>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0CA76" w14:textId="239DB797" w:rsidR="002F2426" w:rsidRPr="004668E7" w:rsidRDefault="002F2426" w:rsidP="002F2426">
    <w:pPr>
      <w:pStyle w:val="Footer"/>
    </w:pPr>
    <w:r>
      <w:rPr>
        <w:rStyle w:val="FranklinGothicDemi"/>
        <w:color w:val="44546A" w:themeColor="text2"/>
      </w:rPr>
      <w:t>Winchester</w:t>
    </w:r>
    <w:r w:rsidRPr="00B3679E">
      <w:rPr>
        <w:rStyle w:val="FranklinGothicDemi"/>
        <w:color w:val="44546A" w:themeColor="text2"/>
      </w:rPr>
      <w:t xml:space="preserve"> Public Schools</w:t>
    </w:r>
    <w:r>
      <w:ptab w:relativeTo="margin" w:alignment="right" w:leader="none"/>
    </w:r>
    <w:r w:rsidRPr="0055077E">
      <w:t>Comprehensive District Review Report</w:t>
    </w:r>
    <w:r>
      <w:t xml:space="preserve"> </w:t>
    </w:r>
    <w:r w:rsidRPr="00B3679E">
      <w:rPr>
        <w:color w:val="44546A" w:themeColor="text2"/>
      </w:rPr>
      <w:t xml:space="preserve">■ </w:t>
    </w:r>
    <w:r w:rsidRPr="00B3679E">
      <w:rPr>
        <w:rStyle w:val="FranklinGothicDemi"/>
        <w:color w:val="44546A" w:themeColor="text2"/>
      </w:rPr>
      <w:t xml:space="preserve">page </w:t>
    </w:r>
    <w:r>
      <w:rPr>
        <w:rStyle w:val="FranklinGothicDemi"/>
        <w:color w:val="44546A" w:themeColor="text2"/>
      </w:rPr>
      <w:t>B</w:t>
    </w:r>
    <w:r w:rsidRPr="00B3679E">
      <w:rPr>
        <w:rStyle w:val="FranklinGothicDemi"/>
        <w:color w:val="44546A" w:themeColor="text2"/>
      </w:rPr>
      <w:t>-</w:t>
    </w:r>
    <w:r w:rsidRPr="00B3679E">
      <w:rPr>
        <w:rStyle w:val="FranklinGothicDemi"/>
        <w:color w:val="44546A" w:themeColor="text2"/>
      </w:rPr>
      <w:fldChar w:fldCharType="begin"/>
    </w:r>
    <w:r w:rsidRPr="00B3679E">
      <w:rPr>
        <w:rStyle w:val="FranklinGothicDemi"/>
        <w:color w:val="44546A" w:themeColor="text2"/>
      </w:rPr>
      <w:instrText xml:space="preserve"> PAGE   \* MERGEFORMAT </w:instrText>
    </w:r>
    <w:r w:rsidRPr="00B3679E">
      <w:rPr>
        <w:rStyle w:val="FranklinGothicDemi"/>
        <w:color w:val="44546A" w:themeColor="text2"/>
      </w:rPr>
      <w:fldChar w:fldCharType="separate"/>
    </w:r>
    <w:r>
      <w:rPr>
        <w:rStyle w:val="FranklinGothicDemi"/>
        <w:color w:val="44546A" w:themeColor="text2"/>
      </w:rPr>
      <w:t>1</w:t>
    </w:r>
    <w:r w:rsidRPr="00B3679E">
      <w:rPr>
        <w:rStyle w:val="FranklinGothicDemi"/>
        <w:noProof/>
        <w:color w:val="44546A" w:themeColor="text2"/>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44929" w14:textId="08A686A5" w:rsidR="00486B55" w:rsidRPr="004668E7" w:rsidRDefault="009F6401" w:rsidP="00E315A4">
    <w:pPr>
      <w:pStyle w:val="Footer"/>
    </w:pPr>
    <w:r>
      <w:rPr>
        <w:rStyle w:val="FranklinGothicDemi"/>
        <w:color w:val="44546A" w:themeColor="text2"/>
      </w:rPr>
      <w:t>Winchester</w:t>
    </w:r>
    <w:r w:rsidRPr="00B3679E">
      <w:rPr>
        <w:rStyle w:val="FranklinGothicDemi"/>
        <w:color w:val="44546A" w:themeColor="text2"/>
      </w:rPr>
      <w:t xml:space="preserve"> Public Schools</w:t>
    </w:r>
    <w:r w:rsidR="00486B55">
      <w:ptab w:relativeTo="margin" w:alignment="right" w:leader="none"/>
    </w:r>
    <w:r w:rsidR="00486B55" w:rsidRPr="0055077E">
      <w:t>Comprehensive District Review Report</w:t>
    </w:r>
    <w:r w:rsidR="00486B55">
      <w:t xml:space="preserve"> </w:t>
    </w:r>
    <w:r w:rsidR="00486B55" w:rsidRPr="00B3679E">
      <w:rPr>
        <w:color w:val="44546A" w:themeColor="text2"/>
      </w:rPr>
      <w:t xml:space="preserve">■ </w:t>
    </w:r>
    <w:r w:rsidR="00486B55" w:rsidRPr="00B3679E">
      <w:rPr>
        <w:rStyle w:val="FranklinGothicDemi"/>
        <w:color w:val="44546A" w:themeColor="text2"/>
      </w:rPr>
      <w:t>page B-</w:t>
    </w:r>
    <w:r w:rsidR="00486B55" w:rsidRPr="00B3679E">
      <w:rPr>
        <w:rStyle w:val="FranklinGothicDemi"/>
        <w:color w:val="44546A" w:themeColor="text2"/>
      </w:rPr>
      <w:fldChar w:fldCharType="begin"/>
    </w:r>
    <w:r w:rsidR="00486B55" w:rsidRPr="00B3679E">
      <w:rPr>
        <w:rStyle w:val="FranklinGothicDemi"/>
        <w:color w:val="44546A" w:themeColor="text2"/>
      </w:rPr>
      <w:instrText xml:space="preserve"> PAGE   \* MERGEFORMAT </w:instrText>
    </w:r>
    <w:r w:rsidR="00486B55" w:rsidRPr="00B3679E">
      <w:rPr>
        <w:rStyle w:val="FranklinGothicDemi"/>
        <w:color w:val="44546A" w:themeColor="text2"/>
      </w:rPr>
      <w:fldChar w:fldCharType="separate"/>
    </w:r>
    <w:r w:rsidR="00486B55" w:rsidRPr="00B3679E">
      <w:rPr>
        <w:rStyle w:val="FranklinGothicDemi"/>
        <w:color w:val="44546A" w:themeColor="text2"/>
      </w:rPr>
      <w:t>2</w:t>
    </w:r>
    <w:r w:rsidR="00486B55" w:rsidRPr="00B3679E">
      <w:rPr>
        <w:rStyle w:val="FranklinGothicDemi"/>
        <w:noProof/>
        <w:color w:val="44546A" w:themeColor="text2"/>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33C60" w14:textId="6130BDB5" w:rsidR="00486B55" w:rsidRPr="004668E7" w:rsidRDefault="009F6401" w:rsidP="002E7525">
    <w:pPr>
      <w:pStyle w:val="Footer"/>
    </w:pPr>
    <w:r>
      <w:rPr>
        <w:rStyle w:val="FranklinGothicDemi"/>
        <w:color w:val="44546A" w:themeColor="text2"/>
      </w:rPr>
      <w:t>Winchester</w:t>
    </w:r>
    <w:r w:rsidRPr="00B3679E">
      <w:rPr>
        <w:rStyle w:val="FranklinGothicDemi"/>
        <w:color w:val="44546A" w:themeColor="text2"/>
      </w:rPr>
      <w:t xml:space="preserve"> Public Schools</w:t>
    </w:r>
    <w:r w:rsidR="00486B55">
      <w:ptab w:relativeTo="margin" w:alignment="right" w:leader="none"/>
    </w:r>
    <w:r w:rsidR="00486B55" w:rsidRPr="0055077E">
      <w:t>Comprehensive District Review Report</w:t>
    </w:r>
    <w:r w:rsidR="00486B55">
      <w:t xml:space="preserve"> </w:t>
    </w:r>
    <w:r w:rsidR="00486B55" w:rsidRPr="00B3679E">
      <w:rPr>
        <w:color w:val="44546A" w:themeColor="text2"/>
      </w:rPr>
      <w:t xml:space="preserve">■ </w:t>
    </w:r>
    <w:r w:rsidR="00486B55" w:rsidRPr="00B3679E">
      <w:rPr>
        <w:rStyle w:val="FranklinGothicDemi"/>
        <w:color w:val="44546A" w:themeColor="text2"/>
      </w:rPr>
      <w:t xml:space="preserve">page </w:t>
    </w:r>
    <w:r w:rsidR="006E1875">
      <w:rPr>
        <w:rStyle w:val="FranklinGothicDemi"/>
        <w:color w:val="44546A" w:themeColor="text2"/>
      </w:rPr>
      <w:t>C</w:t>
    </w:r>
    <w:r w:rsidR="00486B55" w:rsidRPr="00B3679E">
      <w:rPr>
        <w:rStyle w:val="FranklinGothicDemi"/>
        <w:color w:val="44546A" w:themeColor="text2"/>
      </w:rPr>
      <w:t>-</w:t>
    </w:r>
    <w:r w:rsidR="00486B55" w:rsidRPr="00B3679E">
      <w:rPr>
        <w:rStyle w:val="FranklinGothicDemi"/>
        <w:color w:val="44546A" w:themeColor="text2"/>
      </w:rPr>
      <w:fldChar w:fldCharType="begin"/>
    </w:r>
    <w:r w:rsidR="00486B55" w:rsidRPr="00B3679E">
      <w:rPr>
        <w:rStyle w:val="FranklinGothicDemi"/>
        <w:color w:val="44546A" w:themeColor="text2"/>
      </w:rPr>
      <w:instrText xml:space="preserve"> PAGE   \* MERGEFORMAT </w:instrText>
    </w:r>
    <w:r w:rsidR="00486B55" w:rsidRPr="00B3679E">
      <w:rPr>
        <w:rStyle w:val="FranklinGothicDemi"/>
        <w:color w:val="44546A" w:themeColor="text2"/>
      </w:rPr>
      <w:fldChar w:fldCharType="separate"/>
    </w:r>
    <w:r w:rsidR="00486B55" w:rsidRPr="00B3679E">
      <w:rPr>
        <w:rStyle w:val="FranklinGothicDemi"/>
        <w:color w:val="44546A" w:themeColor="text2"/>
      </w:rPr>
      <w:t>1</w:t>
    </w:r>
    <w:r w:rsidR="00486B55" w:rsidRPr="00B3679E">
      <w:rPr>
        <w:rStyle w:val="FranklinGothicDemi"/>
        <w:noProof/>
        <w:color w:val="44546A" w:themeColor="text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5263D" w14:textId="77777777" w:rsidR="005127D9" w:rsidRDefault="005127D9" w:rsidP="00B93273">
      <w:pPr>
        <w:spacing w:line="240" w:lineRule="auto"/>
      </w:pPr>
      <w:r>
        <w:separator/>
      </w:r>
    </w:p>
  </w:footnote>
  <w:footnote w:type="continuationSeparator" w:id="0">
    <w:p w14:paraId="7FBFD7FF" w14:textId="77777777" w:rsidR="005127D9" w:rsidRDefault="005127D9" w:rsidP="00B93273">
      <w:pPr>
        <w:spacing w:line="240" w:lineRule="auto"/>
      </w:pPr>
      <w:r>
        <w:continuationSeparator/>
      </w:r>
    </w:p>
  </w:footnote>
  <w:footnote w:type="continuationNotice" w:id="1">
    <w:p w14:paraId="717F3BBF" w14:textId="77777777" w:rsidR="005127D9" w:rsidRDefault="005127D9">
      <w:pPr>
        <w:spacing w:line="240" w:lineRule="auto"/>
      </w:pPr>
    </w:p>
  </w:footnote>
  <w:footnote w:id="2">
    <w:p w14:paraId="2652FF2D" w14:textId="03228422" w:rsidR="00256C3C" w:rsidRDefault="00256C3C">
      <w:pPr>
        <w:pStyle w:val="FootnoteText"/>
      </w:pPr>
      <w:r>
        <w:rPr>
          <w:rStyle w:val="FootnoteReference"/>
        </w:rPr>
        <w:footnoteRef/>
      </w:r>
      <w:r>
        <w:t xml:space="preserve"> </w:t>
      </w:r>
      <w:r>
        <w:rPr>
          <w:szCs w:val="18"/>
        </w:rPr>
        <w:t>DESE’s</w:t>
      </w:r>
      <w:r w:rsidRPr="00B408CF">
        <w:rPr>
          <w:szCs w:val="18"/>
        </w:rPr>
        <w:t xml:space="preserve"> District Standards and Indicators are at </w:t>
      </w:r>
      <w:hyperlink r:id="rId1" w:history="1">
        <w:r w:rsidRPr="00B408CF">
          <w:rPr>
            <w:rStyle w:val="Hyperlink"/>
            <w:szCs w:val="18"/>
          </w:rPr>
          <w:t>http://www.doe.mass.edu/accountability/district-review/district-standards-indicators.pdf</w:t>
        </w:r>
      </w:hyperlink>
      <w:r>
        <w:t>.</w:t>
      </w:r>
    </w:p>
  </w:footnote>
  <w:footnote w:id="3">
    <w:p w14:paraId="4D3EF6CC" w14:textId="77777777" w:rsidR="008672D4" w:rsidRDefault="008672D4" w:rsidP="00393F4E">
      <w:pPr>
        <w:pStyle w:val="FootnoteText"/>
      </w:pPr>
      <w:r>
        <w:rPr>
          <w:rStyle w:val="FootnoteReference"/>
        </w:rPr>
        <w:footnoteRef/>
      </w:r>
      <w:r>
        <w:t xml:space="preserve"> </w:t>
      </w:r>
      <w:r w:rsidRPr="00B408CF">
        <w:t xml:space="preserve">For more information on the Teachstone CLASS protocol, visit </w:t>
      </w:r>
      <w:hyperlink r:id="rId2" w:history="1">
        <w:r w:rsidRPr="00B408CF">
          <w:rPr>
            <w:rStyle w:val="Hyperlink"/>
            <w:szCs w:val="18"/>
          </w:rPr>
          <w:t>https://teachstone.com/class/</w:t>
        </w:r>
      </w:hyperlink>
      <w:r w:rsidRPr="00B408CF">
        <w:t>.</w:t>
      </w:r>
    </w:p>
  </w:footnote>
  <w:footnote w:id="4">
    <w:p w14:paraId="42E04C4A" w14:textId="77777777" w:rsidR="00D17F5C" w:rsidRDefault="00D17F5C" w:rsidP="001D599B">
      <w:pPr>
        <w:pStyle w:val="Bullet1"/>
        <w:widowControl w:val="0"/>
        <w:numPr>
          <w:ilvl w:val="0"/>
          <w:numId w:val="0"/>
        </w:numPr>
        <w:spacing w:before="120" w:after="120"/>
      </w:pPr>
      <w:r w:rsidRPr="00F96F5F">
        <w:rPr>
          <w:rStyle w:val="FootnoteReference"/>
        </w:rPr>
        <w:footnoteRef/>
      </w:r>
      <w:r w:rsidRPr="00F96F5F">
        <w:rPr>
          <w:sz w:val="20"/>
          <w:szCs w:val="20"/>
        </w:rPr>
        <w:t xml:space="preserve"> </w:t>
      </w:r>
      <w:bookmarkStart w:id="24" w:name="_Hlk193031811"/>
      <w:r w:rsidRPr="00F96F5F">
        <w:rPr>
          <w:sz w:val="20"/>
          <w:szCs w:val="20"/>
        </w:rPr>
        <w:t xml:space="preserve">CURATE: </w:t>
      </w:r>
      <w:bookmarkStart w:id="25" w:name="_Hlk189493216"/>
      <w:r w:rsidRPr="00F96F5F">
        <w:rPr>
          <w:sz w:val="20"/>
          <w:szCs w:val="20"/>
        </w:rPr>
        <w:t>CUrriculum RAtings by TEachers</w:t>
      </w:r>
      <w:bookmarkEnd w:id="25"/>
      <w:r w:rsidRPr="00F96F5F">
        <w:rPr>
          <w:sz w:val="20"/>
          <w:szCs w:val="20"/>
        </w:rPr>
        <w:t xml:space="preserve">. See </w:t>
      </w:r>
      <w:hyperlink r:id="rId3" w:history="1">
        <w:r w:rsidRPr="00F96F5F">
          <w:rPr>
            <w:rStyle w:val="Hyperlink"/>
            <w:sz w:val="20"/>
            <w:szCs w:val="20"/>
          </w:rPr>
          <w:t>https://www.doe.mass.edu/instruction/curate</w:t>
        </w:r>
      </w:hyperlink>
      <w:r w:rsidRPr="00F96F5F">
        <w:rPr>
          <w:sz w:val="20"/>
          <w:szCs w:val="20"/>
        </w:rPr>
        <w:t>.</w:t>
      </w:r>
      <w:bookmarkEnd w:id="24"/>
    </w:p>
  </w:footnote>
  <w:footnote w:id="5">
    <w:p w14:paraId="65FF7B3C" w14:textId="643F4E41" w:rsidR="00C451B2" w:rsidRDefault="00C451B2">
      <w:pPr>
        <w:pStyle w:val="FootnoteText"/>
      </w:pPr>
      <w:r>
        <w:rPr>
          <w:rStyle w:val="FootnoteReference"/>
        </w:rPr>
        <w:footnoteRef/>
      </w:r>
      <w:r>
        <w:t xml:space="preserve"> T</w:t>
      </w:r>
      <w:r w:rsidR="000758DD">
        <w:t xml:space="preserve">he district review took place in December 2025, prior to the March 2026 override vote, in which the </w:t>
      </w:r>
      <w:r w:rsidR="00D555F1">
        <w:t xml:space="preserve">budget </w:t>
      </w:r>
      <w:r w:rsidR="000758DD">
        <w:t xml:space="preserve">override did not pass. </w:t>
      </w:r>
      <w:r w:rsidR="00D555F1">
        <w:t>As the onsite took place prior to the vote, here and elsewhere, the report references override conversations and preparations</w:t>
      </w:r>
      <w:r w:rsidR="00051F31">
        <w:t>.</w:t>
      </w:r>
    </w:p>
  </w:footnote>
  <w:footnote w:id="6">
    <w:p w14:paraId="5DF9DB78" w14:textId="77777777" w:rsidR="007303EE" w:rsidRPr="00F008EE" w:rsidRDefault="007303EE" w:rsidP="00A226A6">
      <w:pPr>
        <w:pStyle w:val="FootnoteText"/>
      </w:pPr>
      <w:r w:rsidRPr="00F008EE">
        <w:rPr>
          <w:rStyle w:val="FootnoteReference"/>
          <w:rFonts w:cs="Calibri"/>
        </w:rPr>
        <w:footnoteRef/>
      </w:r>
      <w:r w:rsidRPr="00F008EE">
        <w:t xml:space="preserve"> When observers rate this dimension it is scored so that a low rating (indicating little or no evidence of a negative climate) is better than a high rating (indicating abundant evidence of a negative climate). To be consistent across all ratings, for the purposes of this report we have inversed this scoring.</w:t>
      </w:r>
    </w:p>
  </w:footnote>
  <w:footnote w:id="7">
    <w:p w14:paraId="78E540A3" w14:textId="345A9F32" w:rsidR="007303EE" w:rsidRPr="00381109" w:rsidRDefault="007303EE" w:rsidP="0068153B">
      <w:pPr>
        <w:pStyle w:val="FootnoteText"/>
      </w:pPr>
      <w:r>
        <w:rPr>
          <w:rStyle w:val="FootnoteReference"/>
        </w:rPr>
        <w:footnoteRef/>
      </w:r>
      <w:r>
        <w:t xml:space="preserve"> </w:t>
      </w:r>
      <w:r w:rsidRPr="00381109">
        <w:t>Column labels for Tables E1-E9: M/E</w:t>
      </w:r>
      <w:r>
        <w:t xml:space="preserve"> </w:t>
      </w:r>
      <w:r w:rsidRPr="00381109">
        <w:t>=</w:t>
      </w:r>
      <w:r>
        <w:t xml:space="preserve"> </w:t>
      </w:r>
      <w:r w:rsidRPr="00381109">
        <w:t xml:space="preserve">Percent meeting or </w:t>
      </w:r>
      <w:r w:rsidRPr="0068153B">
        <w:t>exceeding</w:t>
      </w:r>
      <w:r w:rsidRPr="00381109">
        <w:t xml:space="preserve"> expectations, PME</w:t>
      </w:r>
      <w:r>
        <w:t xml:space="preserve"> </w:t>
      </w:r>
      <w:r w:rsidRPr="00381109">
        <w:t>=</w:t>
      </w:r>
      <w:r>
        <w:t xml:space="preserve"> </w:t>
      </w:r>
      <w:r w:rsidRPr="00381109">
        <w:t>Partially meeting expectations, NM</w:t>
      </w:r>
      <w:r>
        <w:t xml:space="preserve"> </w:t>
      </w:r>
      <w:r w:rsidRPr="00381109">
        <w:t>= Not meeting expectations</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00CC1" w14:textId="0747232D" w:rsidR="00075F0D" w:rsidRDefault="00075F0D" w:rsidP="002F1EBE">
    <w:pPr>
      <w:spacing w:after="24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600FD0EA" w14:paraId="6B48E761" w14:textId="77777777" w:rsidTr="600FD0EA">
      <w:trPr>
        <w:trHeight w:val="300"/>
      </w:trPr>
      <w:tc>
        <w:tcPr>
          <w:tcW w:w="3120" w:type="dxa"/>
        </w:tcPr>
        <w:p w14:paraId="4BDF0A87" w14:textId="6B9EA996" w:rsidR="600FD0EA" w:rsidRDefault="600FD0EA" w:rsidP="600FD0EA">
          <w:pPr>
            <w:pStyle w:val="Header"/>
            <w:ind w:left="-115"/>
          </w:pPr>
        </w:p>
      </w:tc>
      <w:tc>
        <w:tcPr>
          <w:tcW w:w="3120" w:type="dxa"/>
        </w:tcPr>
        <w:p w14:paraId="7D3A401E" w14:textId="23016A90" w:rsidR="600FD0EA" w:rsidRDefault="600FD0EA" w:rsidP="600FD0EA">
          <w:pPr>
            <w:pStyle w:val="Header"/>
            <w:jc w:val="center"/>
          </w:pPr>
        </w:p>
      </w:tc>
      <w:tc>
        <w:tcPr>
          <w:tcW w:w="3120" w:type="dxa"/>
        </w:tcPr>
        <w:p w14:paraId="4E9676FF" w14:textId="78F5BA49" w:rsidR="600FD0EA" w:rsidRDefault="600FD0EA" w:rsidP="600FD0EA">
          <w:pPr>
            <w:pStyle w:val="Header"/>
            <w:ind w:right="-115"/>
            <w:jc w:val="right"/>
          </w:pPr>
        </w:p>
      </w:tc>
    </w:tr>
  </w:tbl>
  <w:p w14:paraId="082B7A49" w14:textId="25D986F2" w:rsidR="0076196B" w:rsidRDefault="007619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0552D" w14:textId="77777777" w:rsidR="002434C0" w:rsidRDefault="002434C0" w:rsidP="00B469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600FD0EA" w14:paraId="5704243A" w14:textId="77777777" w:rsidTr="600FD0EA">
      <w:trPr>
        <w:trHeight w:val="300"/>
      </w:trPr>
      <w:tc>
        <w:tcPr>
          <w:tcW w:w="3120" w:type="dxa"/>
        </w:tcPr>
        <w:p w14:paraId="2D0815E2" w14:textId="0FC8D4EC" w:rsidR="600FD0EA" w:rsidRDefault="600FD0EA" w:rsidP="600FD0EA">
          <w:pPr>
            <w:pStyle w:val="Header"/>
            <w:ind w:left="-115"/>
          </w:pPr>
        </w:p>
      </w:tc>
      <w:tc>
        <w:tcPr>
          <w:tcW w:w="3120" w:type="dxa"/>
        </w:tcPr>
        <w:p w14:paraId="1E7AE437" w14:textId="1932BC1C" w:rsidR="600FD0EA" w:rsidRDefault="600FD0EA" w:rsidP="600FD0EA">
          <w:pPr>
            <w:pStyle w:val="Header"/>
            <w:jc w:val="center"/>
          </w:pPr>
        </w:p>
      </w:tc>
      <w:tc>
        <w:tcPr>
          <w:tcW w:w="3120" w:type="dxa"/>
        </w:tcPr>
        <w:p w14:paraId="526E3C5D" w14:textId="038B9B69" w:rsidR="600FD0EA" w:rsidRDefault="600FD0EA" w:rsidP="600FD0EA">
          <w:pPr>
            <w:pStyle w:val="Header"/>
            <w:ind w:right="-115"/>
            <w:jc w:val="right"/>
          </w:pPr>
        </w:p>
      </w:tc>
    </w:tr>
  </w:tbl>
  <w:p w14:paraId="2249794F" w14:textId="430E5ECE" w:rsidR="0076196B" w:rsidRDefault="0076196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57F9B" w14:textId="39C23A1F" w:rsidR="0076196B" w:rsidRDefault="0076196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FC726" w14:textId="77777777" w:rsidR="007303EE" w:rsidRPr="00FF6528" w:rsidRDefault="007303E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600FD0EA" w14:paraId="7F958EE4" w14:textId="77777777" w:rsidTr="600FD0EA">
      <w:trPr>
        <w:trHeight w:val="300"/>
      </w:trPr>
      <w:tc>
        <w:tcPr>
          <w:tcW w:w="3120" w:type="dxa"/>
        </w:tcPr>
        <w:p w14:paraId="220882D3" w14:textId="42D3B53F" w:rsidR="600FD0EA" w:rsidRDefault="600FD0EA" w:rsidP="600FD0EA">
          <w:pPr>
            <w:pStyle w:val="Header"/>
            <w:ind w:left="-115"/>
          </w:pPr>
        </w:p>
      </w:tc>
      <w:tc>
        <w:tcPr>
          <w:tcW w:w="3120" w:type="dxa"/>
        </w:tcPr>
        <w:p w14:paraId="0638FB36" w14:textId="1EE20D8E" w:rsidR="600FD0EA" w:rsidRDefault="600FD0EA" w:rsidP="600FD0EA">
          <w:pPr>
            <w:pStyle w:val="Header"/>
            <w:jc w:val="center"/>
          </w:pPr>
        </w:p>
      </w:tc>
      <w:tc>
        <w:tcPr>
          <w:tcW w:w="3120" w:type="dxa"/>
        </w:tcPr>
        <w:p w14:paraId="279EC959" w14:textId="6F21BBBA" w:rsidR="600FD0EA" w:rsidRDefault="600FD0EA" w:rsidP="600FD0EA">
          <w:pPr>
            <w:pStyle w:val="Header"/>
            <w:ind w:right="-115"/>
            <w:jc w:val="right"/>
          </w:pPr>
        </w:p>
      </w:tc>
    </w:tr>
  </w:tbl>
  <w:p w14:paraId="04550DEC" w14:textId="2AF67660" w:rsidR="0076196B" w:rsidRDefault="0076196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600FD0EA" w14:paraId="544DACA3" w14:textId="77777777" w:rsidTr="600FD0EA">
      <w:trPr>
        <w:trHeight w:val="300"/>
      </w:trPr>
      <w:tc>
        <w:tcPr>
          <w:tcW w:w="3120" w:type="dxa"/>
        </w:tcPr>
        <w:p w14:paraId="3FB3DCFA" w14:textId="1297C3F3" w:rsidR="600FD0EA" w:rsidRDefault="600FD0EA" w:rsidP="600FD0EA">
          <w:pPr>
            <w:pStyle w:val="Header"/>
            <w:ind w:left="-115"/>
          </w:pPr>
        </w:p>
      </w:tc>
      <w:tc>
        <w:tcPr>
          <w:tcW w:w="3120" w:type="dxa"/>
        </w:tcPr>
        <w:p w14:paraId="28A94582" w14:textId="74A3244E" w:rsidR="600FD0EA" w:rsidRDefault="600FD0EA" w:rsidP="600FD0EA">
          <w:pPr>
            <w:pStyle w:val="Header"/>
            <w:jc w:val="center"/>
          </w:pPr>
        </w:p>
      </w:tc>
      <w:tc>
        <w:tcPr>
          <w:tcW w:w="3120" w:type="dxa"/>
        </w:tcPr>
        <w:p w14:paraId="5BFD2F16" w14:textId="1E7A0BC1" w:rsidR="600FD0EA" w:rsidRDefault="600FD0EA" w:rsidP="600FD0EA">
          <w:pPr>
            <w:pStyle w:val="Header"/>
            <w:ind w:right="-115"/>
            <w:jc w:val="right"/>
          </w:pPr>
        </w:p>
      </w:tc>
    </w:tr>
  </w:tbl>
  <w:p w14:paraId="11C4BDA9" w14:textId="48A28105" w:rsidR="0076196B" w:rsidRDefault="0076196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0D1F2" w14:textId="77777777" w:rsidR="0047269F" w:rsidRDefault="0047269F" w:rsidP="00FB5414">
    <w:pPr>
      <w:pStyle w:val="Header"/>
      <w:ind w:firstLine="72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600FD0EA" w14:paraId="2C9E6C7A" w14:textId="77777777" w:rsidTr="600FD0EA">
      <w:trPr>
        <w:trHeight w:val="300"/>
      </w:trPr>
      <w:tc>
        <w:tcPr>
          <w:tcW w:w="3120" w:type="dxa"/>
        </w:tcPr>
        <w:p w14:paraId="40E9696B" w14:textId="37B2AAB8" w:rsidR="600FD0EA" w:rsidRDefault="600FD0EA" w:rsidP="600FD0EA">
          <w:pPr>
            <w:pStyle w:val="Header"/>
            <w:ind w:left="-115"/>
          </w:pPr>
        </w:p>
      </w:tc>
      <w:tc>
        <w:tcPr>
          <w:tcW w:w="3120" w:type="dxa"/>
        </w:tcPr>
        <w:p w14:paraId="50274B0F" w14:textId="3D95111C" w:rsidR="600FD0EA" w:rsidRDefault="600FD0EA" w:rsidP="600FD0EA">
          <w:pPr>
            <w:pStyle w:val="Header"/>
            <w:jc w:val="center"/>
          </w:pPr>
        </w:p>
      </w:tc>
      <w:tc>
        <w:tcPr>
          <w:tcW w:w="3120" w:type="dxa"/>
        </w:tcPr>
        <w:p w14:paraId="7885F65D" w14:textId="30470F46" w:rsidR="600FD0EA" w:rsidRDefault="600FD0EA" w:rsidP="600FD0EA">
          <w:pPr>
            <w:pStyle w:val="Header"/>
            <w:ind w:right="-115"/>
            <w:jc w:val="right"/>
          </w:pPr>
        </w:p>
      </w:tc>
    </w:tr>
  </w:tbl>
  <w:p w14:paraId="7658FCE4" w14:textId="389A59F6" w:rsidR="0076196B" w:rsidRDefault="007619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06CB3"/>
    <w:multiLevelType w:val="hybridMultilevel"/>
    <w:tmpl w:val="A5C4CCAA"/>
    <w:styleLink w:val="TableBulletList1"/>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7C7416"/>
    <w:multiLevelType w:val="multilevel"/>
    <w:tmpl w:val="AFE436C8"/>
    <w:styleLink w:val="Level1Bullet"/>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FF7C47"/>
    <w:multiLevelType w:val="multilevel"/>
    <w:tmpl w:val="84F29ED4"/>
    <w:lvl w:ilvl="0">
      <w:start w:val="1"/>
      <w:numFmt w:val="bullet"/>
      <w:lvlText w:val="■"/>
      <w:lvlJc w:val="left"/>
      <w:pPr>
        <w:ind w:left="720" w:hanging="360"/>
      </w:pPr>
      <w:rPr>
        <w:rFonts w:ascii="Franklin Gothic Book" w:hAnsi="Franklin Gothic Book"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E9B12EF"/>
    <w:multiLevelType w:val="multilevel"/>
    <w:tmpl w:val="55C28B7C"/>
    <w:styleLink w:val="Level2Bullet1"/>
    <w:lvl w:ilvl="0">
      <w:start w:val="1"/>
      <w:numFmt w:val="bullet"/>
      <w:pStyle w:val="TableBullet1"/>
      <w:lvlText w:val="■"/>
      <w:lvlJc w:val="left"/>
      <w:pPr>
        <w:ind w:left="288" w:hanging="288"/>
      </w:pPr>
      <w:rPr>
        <w:rFonts w:ascii="Franklin Gothic Book" w:hAnsi="Franklin Gothic Book" w:hint="default"/>
        <w:color w:val="ED7D31" w:themeColor="accent2"/>
        <w:position w:val="3"/>
        <w:sz w:val="18"/>
      </w:rPr>
    </w:lvl>
    <w:lvl w:ilvl="1">
      <w:start w:val="1"/>
      <w:numFmt w:val="bullet"/>
      <w:pStyle w:val="TableBullet2"/>
      <w:lvlText w:val="o"/>
      <w:lvlJc w:val="left"/>
      <w:pPr>
        <w:ind w:left="576" w:hanging="288"/>
      </w:pPr>
      <w:rPr>
        <w:rFonts w:ascii="Courier New" w:hAnsi="Courier New" w:hint="default"/>
      </w:rPr>
    </w:lvl>
    <w:lvl w:ilvl="2">
      <w:start w:val="1"/>
      <w:numFmt w:val="bullet"/>
      <w:lvlText w:val="•"/>
      <w:lvlJc w:val="left"/>
      <w:pPr>
        <w:ind w:left="864" w:hanging="288"/>
      </w:pPr>
      <w:rPr>
        <w:rFonts w:ascii="Franklin Gothic Book" w:hAnsi="Franklin Gothic Book"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EB43983"/>
    <w:multiLevelType w:val="hybridMultilevel"/>
    <w:tmpl w:val="C7524C48"/>
    <w:styleLink w:val="TableBulletList"/>
    <w:lvl w:ilvl="0" w:tplc="F66657CC">
      <w:numFmt w:val="bullet"/>
      <w:lvlText w:val=""/>
      <w:lvlJc w:val="left"/>
      <w:pPr>
        <w:ind w:left="720" w:hanging="360"/>
      </w:pPr>
      <w:rPr>
        <w:rFonts w:ascii="Symbol" w:eastAsia="Segoe UI" w:hAnsi="Symbol"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AE7DF8"/>
    <w:multiLevelType w:val="multilevel"/>
    <w:tmpl w:val="FBE2CE64"/>
    <w:lvl w:ilvl="0">
      <w:start w:val="1"/>
      <w:numFmt w:val="decimal"/>
      <w:pStyle w:val="TableNumbering"/>
      <w:lvlText w:val="%1."/>
      <w:lvlJc w:val="left"/>
      <w:pPr>
        <w:ind w:left="450" w:hanging="360"/>
      </w:pPr>
      <w:rPr>
        <w:b w:val="0"/>
      </w:rPr>
    </w:lvl>
    <w:lvl w:ilvl="1">
      <w:start w:val="1"/>
      <w:numFmt w:val="decimal"/>
      <w:isLgl/>
      <w:lvlText w:val="%1.%2"/>
      <w:lvlJc w:val="left"/>
      <w:pPr>
        <w:ind w:left="450" w:hanging="360"/>
      </w:pPr>
      <w:rPr>
        <w:rFonts w:hint="default"/>
        <w:sz w:val="18"/>
      </w:rPr>
    </w:lvl>
    <w:lvl w:ilvl="2">
      <w:start w:val="1"/>
      <w:numFmt w:val="decimal"/>
      <w:isLgl/>
      <w:lvlText w:val="%1.%2.%3"/>
      <w:lvlJc w:val="left"/>
      <w:pPr>
        <w:ind w:left="810" w:hanging="720"/>
      </w:pPr>
      <w:rPr>
        <w:rFonts w:hint="default"/>
        <w:sz w:val="18"/>
      </w:rPr>
    </w:lvl>
    <w:lvl w:ilvl="3">
      <w:start w:val="1"/>
      <w:numFmt w:val="decimal"/>
      <w:isLgl/>
      <w:lvlText w:val="%1.%2.%3.%4"/>
      <w:lvlJc w:val="left"/>
      <w:pPr>
        <w:ind w:left="810" w:hanging="720"/>
      </w:pPr>
      <w:rPr>
        <w:rFonts w:hint="default"/>
        <w:sz w:val="18"/>
      </w:rPr>
    </w:lvl>
    <w:lvl w:ilvl="4">
      <w:start w:val="1"/>
      <w:numFmt w:val="decimal"/>
      <w:isLgl/>
      <w:lvlText w:val="%1.%2.%3.%4.%5"/>
      <w:lvlJc w:val="left"/>
      <w:pPr>
        <w:ind w:left="1170" w:hanging="1080"/>
      </w:pPr>
      <w:rPr>
        <w:rFonts w:hint="default"/>
        <w:sz w:val="18"/>
      </w:rPr>
    </w:lvl>
    <w:lvl w:ilvl="5">
      <w:start w:val="1"/>
      <w:numFmt w:val="decimal"/>
      <w:isLgl/>
      <w:lvlText w:val="%1.%2.%3.%4.%5.%6"/>
      <w:lvlJc w:val="left"/>
      <w:pPr>
        <w:ind w:left="1170" w:hanging="1080"/>
      </w:pPr>
      <w:rPr>
        <w:rFonts w:hint="default"/>
        <w:sz w:val="18"/>
      </w:rPr>
    </w:lvl>
    <w:lvl w:ilvl="6">
      <w:start w:val="1"/>
      <w:numFmt w:val="decimal"/>
      <w:isLgl/>
      <w:lvlText w:val="%1.%2.%3.%4.%5.%6.%7"/>
      <w:lvlJc w:val="left"/>
      <w:pPr>
        <w:ind w:left="1530" w:hanging="1440"/>
      </w:pPr>
      <w:rPr>
        <w:rFonts w:hint="default"/>
        <w:sz w:val="18"/>
      </w:rPr>
    </w:lvl>
    <w:lvl w:ilvl="7">
      <w:start w:val="1"/>
      <w:numFmt w:val="decimal"/>
      <w:isLgl/>
      <w:lvlText w:val="%1.%2.%3.%4.%5.%6.%7.%8"/>
      <w:lvlJc w:val="left"/>
      <w:pPr>
        <w:ind w:left="1530" w:hanging="1440"/>
      </w:pPr>
      <w:rPr>
        <w:rFonts w:hint="default"/>
        <w:sz w:val="18"/>
      </w:rPr>
    </w:lvl>
    <w:lvl w:ilvl="8">
      <w:start w:val="1"/>
      <w:numFmt w:val="decimal"/>
      <w:isLgl/>
      <w:lvlText w:val="%1.%2.%3.%4.%5.%6.%7.%8.%9"/>
      <w:lvlJc w:val="left"/>
      <w:pPr>
        <w:ind w:left="1890" w:hanging="1800"/>
      </w:pPr>
      <w:rPr>
        <w:rFonts w:hint="default"/>
        <w:sz w:val="18"/>
      </w:rPr>
    </w:lvl>
  </w:abstractNum>
  <w:abstractNum w:abstractNumId="6" w15:restartNumberingAfterBreak="0">
    <w:nsid w:val="3BCB10D2"/>
    <w:multiLevelType w:val="hybridMultilevel"/>
    <w:tmpl w:val="07B2B7C4"/>
    <w:styleLink w:val="MSVBulletList1"/>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9C035D"/>
    <w:multiLevelType w:val="multilevel"/>
    <w:tmpl w:val="9FD67A40"/>
    <w:styleLink w:val="MSVBulletList"/>
    <w:lvl w:ilvl="0">
      <w:start w:val="1"/>
      <w:numFmt w:val="bullet"/>
      <w:pStyle w:val="Bullet1"/>
      <w:lvlText w:val="■"/>
      <w:lvlJc w:val="left"/>
      <w:pPr>
        <w:ind w:left="720" w:hanging="360"/>
      </w:pPr>
      <w:rPr>
        <w:rFonts w:ascii="Franklin Gothic Book" w:hAnsi="Franklin Gothic Book" w:hint="default"/>
        <w:color w:val="CE5E12"/>
        <w:position w:val="3"/>
        <w:sz w:val="18"/>
      </w:rPr>
    </w:lvl>
    <w:lvl w:ilvl="1">
      <w:start w:val="1"/>
      <w:numFmt w:val="bullet"/>
      <w:pStyle w:val="Bullet2"/>
      <w:lvlText w:val="o"/>
      <w:lvlJc w:val="left"/>
      <w:pPr>
        <w:ind w:left="1080" w:hanging="360"/>
      </w:pPr>
      <w:rPr>
        <w:rFonts w:ascii="Courier New" w:hAnsi="Courier New" w:hint="default"/>
      </w:rPr>
    </w:lvl>
    <w:lvl w:ilvl="2">
      <w:start w:val="1"/>
      <w:numFmt w:val="bullet"/>
      <w:pStyle w:val="Bullet3"/>
      <w:lvlText w:val="•"/>
      <w:lvlJc w:val="left"/>
      <w:pPr>
        <w:tabs>
          <w:tab w:val="num" w:pos="4320"/>
        </w:tabs>
        <w:ind w:left="1440" w:hanging="360"/>
      </w:pPr>
      <w:rPr>
        <w:rFonts w:ascii="Franklin Gothic Book" w:hAnsi="Franklin Gothic Book"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AF233AF"/>
    <w:multiLevelType w:val="multilevel"/>
    <w:tmpl w:val="F8E89D94"/>
    <w:styleLink w:val="Level2Bullet"/>
    <w:lvl w:ilvl="0">
      <w:start w:val="1"/>
      <w:numFmt w:val="bullet"/>
      <w:lvlText w:val=""/>
      <w:lvlJc w:val="left"/>
      <w:pPr>
        <w:tabs>
          <w:tab w:val="num" w:pos="1080"/>
        </w:tabs>
        <w:ind w:left="1080" w:hanging="360"/>
      </w:pPr>
      <w:rPr>
        <w:rFonts w:ascii="Wingdings" w:hAnsi="Wingdings"/>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B723E00"/>
    <w:multiLevelType w:val="hybridMultilevel"/>
    <w:tmpl w:val="95042FD4"/>
    <w:styleLink w:val="Level1Bullet1"/>
    <w:lvl w:ilvl="0" w:tplc="C15C719E">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5333137">
    <w:abstractNumId w:val="1"/>
  </w:num>
  <w:num w:numId="2" w16cid:durableId="1358120550">
    <w:abstractNumId w:val="9"/>
  </w:num>
  <w:num w:numId="3" w16cid:durableId="148594928">
    <w:abstractNumId w:val="8"/>
  </w:num>
  <w:num w:numId="4" w16cid:durableId="256795238">
    <w:abstractNumId w:val="3"/>
  </w:num>
  <w:num w:numId="5" w16cid:durableId="522595982">
    <w:abstractNumId w:val="7"/>
  </w:num>
  <w:num w:numId="6" w16cid:durableId="919948292">
    <w:abstractNumId w:val="6"/>
  </w:num>
  <w:num w:numId="7" w16cid:durableId="96407424">
    <w:abstractNumId w:val="9"/>
  </w:num>
  <w:num w:numId="8" w16cid:durableId="1574854049">
    <w:abstractNumId w:val="3"/>
    <w:lvlOverride w:ilvl="0">
      <w:lvl w:ilvl="0">
        <w:start w:val="1"/>
        <w:numFmt w:val="bullet"/>
        <w:pStyle w:val="TableBullet1"/>
        <w:lvlText w:val="■"/>
        <w:lvlJc w:val="left"/>
        <w:pPr>
          <w:ind w:left="360" w:hanging="360"/>
        </w:pPr>
        <w:rPr>
          <w:rFonts w:ascii="Franklin Gothic Book" w:hAnsi="Franklin Gothic Book" w:hint="default"/>
          <w:color w:val="CE5E12"/>
          <w:position w:val="3"/>
          <w:sz w:val="18"/>
        </w:rPr>
      </w:lvl>
    </w:lvlOverride>
    <w:lvlOverride w:ilvl="1">
      <w:lvl w:ilvl="1">
        <w:start w:val="1"/>
        <w:numFmt w:val="bullet"/>
        <w:pStyle w:val="TableBullet2"/>
        <w:lvlText w:val="o"/>
        <w:lvlJc w:val="left"/>
        <w:pPr>
          <w:ind w:left="1080" w:hanging="360"/>
        </w:pPr>
        <w:rPr>
          <w:rFonts w:ascii="Courier New" w:hAnsi="Courier New" w:cs="Courier New" w:hint="default"/>
        </w:rPr>
      </w:lvl>
    </w:lvlOverride>
    <w:lvlOverride w:ilvl="2">
      <w:lvl w:ilvl="2" w:tentative="1">
        <w:start w:val="1"/>
        <w:numFmt w:val="bullet"/>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9" w16cid:durableId="1597786571">
    <w:abstractNumId w:val="4"/>
  </w:num>
  <w:num w:numId="10" w16cid:durableId="649359525">
    <w:abstractNumId w:val="0"/>
  </w:num>
  <w:num w:numId="11" w16cid:durableId="1092820873">
    <w:abstractNumId w:val="5"/>
  </w:num>
  <w:num w:numId="12" w16cid:durableId="307174378">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embedSystemFonts/>
  <w:hideSpellingErrors/>
  <w:hideGrammaticalErrors/>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oNotTrackFormatting/>
  <w:defaultTabStop w:val="720"/>
  <w:drawingGridHorizontalSpacing w:val="110"/>
  <w:displayHorizontalDrawingGridEvery w:val="2"/>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A3tjQwMjG1NDQzNzRV0lEKTi0uzszPAykwrAUA5ccPlywAAAA="/>
  </w:docVars>
  <w:rsids>
    <w:rsidRoot w:val="008E314D"/>
    <w:rsid w:val="00000007"/>
    <w:rsid w:val="000000BD"/>
    <w:rsid w:val="00000375"/>
    <w:rsid w:val="00000527"/>
    <w:rsid w:val="0000055C"/>
    <w:rsid w:val="000005C0"/>
    <w:rsid w:val="0000072F"/>
    <w:rsid w:val="0000074B"/>
    <w:rsid w:val="000007A2"/>
    <w:rsid w:val="00000848"/>
    <w:rsid w:val="00000A2B"/>
    <w:rsid w:val="00000E6A"/>
    <w:rsid w:val="00000FE2"/>
    <w:rsid w:val="00001062"/>
    <w:rsid w:val="000010DA"/>
    <w:rsid w:val="00001133"/>
    <w:rsid w:val="00001164"/>
    <w:rsid w:val="0000119A"/>
    <w:rsid w:val="00001256"/>
    <w:rsid w:val="00001441"/>
    <w:rsid w:val="00001549"/>
    <w:rsid w:val="00001770"/>
    <w:rsid w:val="000018E9"/>
    <w:rsid w:val="000019DF"/>
    <w:rsid w:val="000019E3"/>
    <w:rsid w:val="00001B71"/>
    <w:rsid w:val="00001DC2"/>
    <w:rsid w:val="00001DDD"/>
    <w:rsid w:val="00001F56"/>
    <w:rsid w:val="000022F9"/>
    <w:rsid w:val="00002346"/>
    <w:rsid w:val="0000282B"/>
    <w:rsid w:val="000028CC"/>
    <w:rsid w:val="00002979"/>
    <w:rsid w:val="00002A69"/>
    <w:rsid w:val="00002AC6"/>
    <w:rsid w:val="00002B4D"/>
    <w:rsid w:val="00002D97"/>
    <w:rsid w:val="00003041"/>
    <w:rsid w:val="000030D1"/>
    <w:rsid w:val="00003102"/>
    <w:rsid w:val="000032CF"/>
    <w:rsid w:val="000032E4"/>
    <w:rsid w:val="0000358A"/>
    <w:rsid w:val="000036FD"/>
    <w:rsid w:val="0000392B"/>
    <w:rsid w:val="00003B2C"/>
    <w:rsid w:val="00003BDF"/>
    <w:rsid w:val="00004366"/>
    <w:rsid w:val="00004BD5"/>
    <w:rsid w:val="00005140"/>
    <w:rsid w:val="0000539F"/>
    <w:rsid w:val="0000547F"/>
    <w:rsid w:val="00005503"/>
    <w:rsid w:val="000056CF"/>
    <w:rsid w:val="0000576D"/>
    <w:rsid w:val="00005772"/>
    <w:rsid w:val="00005788"/>
    <w:rsid w:val="00005E2A"/>
    <w:rsid w:val="00005E86"/>
    <w:rsid w:val="00005FD9"/>
    <w:rsid w:val="000062C4"/>
    <w:rsid w:val="00006369"/>
    <w:rsid w:val="00006535"/>
    <w:rsid w:val="0000653C"/>
    <w:rsid w:val="00006582"/>
    <w:rsid w:val="00006818"/>
    <w:rsid w:val="00006A9E"/>
    <w:rsid w:val="00006AC8"/>
    <w:rsid w:val="00006B6E"/>
    <w:rsid w:val="00006C2E"/>
    <w:rsid w:val="00006D68"/>
    <w:rsid w:val="00006D6E"/>
    <w:rsid w:val="00006E08"/>
    <w:rsid w:val="00007082"/>
    <w:rsid w:val="000074E9"/>
    <w:rsid w:val="000076C1"/>
    <w:rsid w:val="000077D9"/>
    <w:rsid w:val="00007A3C"/>
    <w:rsid w:val="00007C85"/>
    <w:rsid w:val="00007F19"/>
    <w:rsid w:val="000101AC"/>
    <w:rsid w:val="000101D1"/>
    <w:rsid w:val="00010273"/>
    <w:rsid w:val="00010284"/>
    <w:rsid w:val="00010285"/>
    <w:rsid w:val="0001039E"/>
    <w:rsid w:val="0001049D"/>
    <w:rsid w:val="00010577"/>
    <w:rsid w:val="000106CC"/>
    <w:rsid w:val="00010862"/>
    <w:rsid w:val="000108AB"/>
    <w:rsid w:val="000108D8"/>
    <w:rsid w:val="00010AA8"/>
    <w:rsid w:val="00010CEB"/>
    <w:rsid w:val="00010E07"/>
    <w:rsid w:val="00010E1B"/>
    <w:rsid w:val="00010E7A"/>
    <w:rsid w:val="00010F5D"/>
    <w:rsid w:val="00011106"/>
    <w:rsid w:val="0001110A"/>
    <w:rsid w:val="00011251"/>
    <w:rsid w:val="00011279"/>
    <w:rsid w:val="0001137C"/>
    <w:rsid w:val="000114E1"/>
    <w:rsid w:val="00011504"/>
    <w:rsid w:val="0001154A"/>
    <w:rsid w:val="00011551"/>
    <w:rsid w:val="000116CB"/>
    <w:rsid w:val="000117A3"/>
    <w:rsid w:val="000118B8"/>
    <w:rsid w:val="0001221F"/>
    <w:rsid w:val="00012235"/>
    <w:rsid w:val="00012287"/>
    <w:rsid w:val="000124D9"/>
    <w:rsid w:val="00012875"/>
    <w:rsid w:val="000128B0"/>
    <w:rsid w:val="000128DF"/>
    <w:rsid w:val="00012A59"/>
    <w:rsid w:val="00012C2A"/>
    <w:rsid w:val="00012CE2"/>
    <w:rsid w:val="00012E1D"/>
    <w:rsid w:val="00012EF4"/>
    <w:rsid w:val="000132E0"/>
    <w:rsid w:val="00013414"/>
    <w:rsid w:val="00013650"/>
    <w:rsid w:val="0001380B"/>
    <w:rsid w:val="00013A6C"/>
    <w:rsid w:val="00013C83"/>
    <w:rsid w:val="00013E63"/>
    <w:rsid w:val="000143B1"/>
    <w:rsid w:val="0001449B"/>
    <w:rsid w:val="0001469C"/>
    <w:rsid w:val="000147DA"/>
    <w:rsid w:val="00014A74"/>
    <w:rsid w:val="00014B64"/>
    <w:rsid w:val="00014E60"/>
    <w:rsid w:val="000153E3"/>
    <w:rsid w:val="000153F9"/>
    <w:rsid w:val="00015617"/>
    <w:rsid w:val="000158A6"/>
    <w:rsid w:val="000158B4"/>
    <w:rsid w:val="00015981"/>
    <w:rsid w:val="00015B77"/>
    <w:rsid w:val="00015C1A"/>
    <w:rsid w:val="00015E32"/>
    <w:rsid w:val="000167D3"/>
    <w:rsid w:val="00016B2E"/>
    <w:rsid w:val="00016CF7"/>
    <w:rsid w:val="00016FA4"/>
    <w:rsid w:val="000171E2"/>
    <w:rsid w:val="000172D2"/>
    <w:rsid w:val="00017356"/>
    <w:rsid w:val="0001752A"/>
    <w:rsid w:val="000178B0"/>
    <w:rsid w:val="00017E51"/>
    <w:rsid w:val="00017F79"/>
    <w:rsid w:val="0002025B"/>
    <w:rsid w:val="00020262"/>
    <w:rsid w:val="000204A5"/>
    <w:rsid w:val="0002069B"/>
    <w:rsid w:val="000207E2"/>
    <w:rsid w:val="00020820"/>
    <w:rsid w:val="00020B97"/>
    <w:rsid w:val="00020EF6"/>
    <w:rsid w:val="00020F57"/>
    <w:rsid w:val="000210A6"/>
    <w:rsid w:val="000212B4"/>
    <w:rsid w:val="0002142B"/>
    <w:rsid w:val="00021474"/>
    <w:rsid w:val="0002155D"/>
    <w:rsid w:val="0002173B"/>
    <w:rsid w:val="00021945"/>
    <w:rsid w:val="00021A85"/>
    <w:rsid w:val="00021C9D"/>
    <w:rsid w:val="00021D18"/>
    <w:rsid w:val="00021F6B"/>
    <w:rsid w:val="00021FBE"/>
    <w:rsid w:val="0002220A"/>
    <w:rsid w:val="00022475"/>
    <w:rsid w:val="0002248C"/>
    <w:rsid w:val="000225F5"/>
    <w:rsid w:val="000226AF"/>
    <w:rsid w:val="00022841"/>
    <w:rsid w:val="00022895"/>
    <w:rsid w:val="000228D9"/>
    <w:rsid w:val="000229D4"/>
    <w:rsid w:val="00022A59"/>
    <w:rsid w:val="00022C15"/>
    <w:rsid w:val="0002314E"/>
    <w:rsid w:val="00023229"/>
    <w:rsid w:val="00023308"/>
    <w:rsid w:val="000233BD"/>
    <w:rsid w:val="00023452"/>
    <w:rsid w:val="000235E1"/>
    <w:rsid w:val="0002360A"/>
    <w:rsid w:val="000238F0"/>
    <w:rsid w:val="00023D8C"/>
    <w:rsid w:val="00023EFF"/>
    <w:rsid w:val="0002429B"/>
    <w:rsid w:val="00024358"/>
    <w:rsid w:val="000246CC"/>
    <w:rsid w:val="00024991"/>
    <w:rsid w:val="00024B0B"/>
    <w:rsid w:val="00024DB6"/>
    <w:rsid w:val="00024E97"/>
    <w:rsid w:val="00024EC1"/>
    <w:rsid w:val="000252D1"/>
    <w:rsid w:val="000254C0"/>
    <w:rsid w:val="00025573"/>
    <w:rsid w:val="000257CC"/>
    <w:rsid w:val="00025889"/>
    <w:rsid w:val="000258B2"/>
    <w:rsid w:val="0002599D"/>
    <w:rsid w:val="00025A79"/>
    <w:rsid w:val="00025B2A"/>
    <w:rsid w:val="00025C70"/>
    <w:rsid w:val="00025EC1"/>
    <w:rsid w:val="00026585"/>
    <w:rsid w:val="000266F9"/>
    <w:rsid w:val="00026781"/>
    <w:rsid w:val="000267B3"/>
    <w:rsid w:val="00026849"/>
    <w:rsid w:val="000269CC"/>
    <w:rsid w:val="00026ACA"/>
    <w:rsid w:val="00026AF9"/>
    <w:rsid w:val="00026B5D"/>
    <w:rsid w:val="00026BBC"/>
    <w:rsid w:val="00026D5D"/>
    <w:rsid w:val="00026D77"/>
    <w:rsid w:val="00027064"/>
    <w:rsid w:val="0002706A"/>
    <w:rsid w:val="0002717A"/>
    <w:rsid w:val="000272B0"/>
    <w:rsid w:val="00027474"/>
    <w:rsid w:val="00027545"/>
    <w:rsid w:val="00027590"/>
    <w:rsid w:val="0002783E"/>
    <w:rsid w:val="000278FD"/>
    <w:rsid w:val="00027B14"/>
    <w:rsid w:val="00027D38"/>
    <w:rsid w:val="00027FE8"/>
    <w:rsid w:val="00030263"/>
    <w:rsid w:val="000303C3"/>
    <w:rsid w:val="0003056C"/>
    <w:rsid w:val="000305D1"/>
    <w:rsid w:val="000306D1"/>
    <w:rsid w:val="00030930"/>
    <w:rsid w:val="0003096C"/>
    <w:rsid w:val="00030FE0"/>
    <w:rsid w:val="0003102F"/>
    <w:rsid w:val="000312DC"/>
    <w:rsid w:val="000318B3"/>
    <w:rsid w:val="000318D2"/>
    <w:rsid w:val="000319AA"/>
    <w:rsid w:val="00031ACE"/>
    <w:rsid w:val="00031CF5"/>
    <w:rsid w:val="00031E6C"/>
    <w:rsid w:val="0003201F"/>
    <w:rsid w:val="0003247A"/>
    <w:rsid w:val="00032527"/>
    <w:rsid w:val="0003261C"/>
    <w:rsid w:val="00032818"/>
    <w:rsid w:val="00032BBB"/>
    <w:rsid w:val="00032C71"/>
    <w:rsid w:val="00032D61"/>
    <w:rsid w:val="0003301A"/>
    <w:rsid w:val="00033204"/>
    <w:rsid w:val="0003332F"/>
    <w:rsid w:val="000335F7"/>
    <w:rsid w:val="000337EC"/>
    <w:rsid w:val="00033A41"/>
    <w:rsid w:val="00033C8E"/>
    <w:rsid w:val="00033DAA"/>
    <w:rsid w:val="00033F3D"/>
    <w:rsid w:val="0003415B"/>
    <w:rsid w:val="000344FD"/>
    <w:rsid w:val="00034633"/>
    <w:rsid w:val="000347C9"/>
    <w:rsid w:val="000349C1"/>
    <w:rsid w:val="00034A8C"/>
    <w:rsid w:val="00034B0E"/>
    <w:rsid w:val="00034C9D"/>
    <w:rsid w:val="00034F23"/>
    <w:rsid w:val="000351D5"/>
    <w:rsid w:val="000357C6"/>
    <w:rsid w:val="000359B1"/>
    <w:rsid w:val="00035AAB"/>
    <w:rsid w:val="00035B43"/>
    <w:rsid w:val="00035CD8"/>
    <w:rsid w:val="00035E0C"/>
    <w:rsid w:val="000360FB"/>
    <w:rsid w:val="00036169"/>
    <w:rsid w:val="0003622C"/>
    <w:rsid w:val="00036310"/>
    <w:rsid w:val="00036417"/>
    <w:rsid w:val="00036461"/>
    <w:rsid w:val="000367BE"/>
    <w:rsid w:val="0003685E"/>
    <w:rsid w:val="00036A39"/>
    <w:rsid w:val="00036AEC"/>
    <w:rsid w:val="00036BC8"/>
    <w:rsid w:val="00036D02"/>
    <w:rsid w:val="00036D85"/>
    <w:rsid w:val="00036FB7"/>
    <w:rsid w:val="000370AF"/>
    <w:rsid w:val="00037239"/>
    <w:rsid w:val="00037299"/>
    <w:rsid w:val="00037357"/>
    <w:rsid w:val="000376BC"/>
    <w:rsid w:val="00037709"/>
    <w:rsid w:val="00037736"/>
    <w:rsid w:val="0003783A"/>
    <w:rsid w:val="000378D0"/>
    <w:rsid w:val="0003791F"/>
    <w:rsid w:val="00037D86"/>
    <w:rsid w:val="00040018"/>
    <w:rsid w:val="00040051"/>
    <w:rsid w:val="00040166"/>
    <w:rsid w:val="000402C6"/>
    <w:rsid w:val="00040643"/>
    <w:rsid w:val="0004074D"/>
    <w:rsid w:val="00040A41"/>
    <w:rsid w:val="00040AC3"/>
    <w:rsid w:val="00040B1C"/>
    <w:rsid w:val="00040D81"/>
    <w:rsid w:val="00041000"/>
    <w:rsid w:val="00041094"/>
    <w:rsid w:val="0004134A"/>
    <w:rsid w:val="0004150D"/>
    <w:rsid w:val="000415A0"/>
    <w:rsid w:val="000416E4"/>
    <w:rsid w:val="00041849"/>
    <w:rsid w:val="00041B3A"/>
    <w:rsid w:val="00041BC4"/>
    <w:rsid w:val="00041E9B"/>
    <w:rsid w:val="000420E4"/>
    <w:rsid w:val="00042155"/>
    <w:rsid w:val="00042249"/>
    <w:rsid w:val="0004228D"/>
    <w:rsid w:val="00042598"/>
    <w:rsid w:val="000425A4"/>
    <w:rsid w:val="000425B6"/>
    <w:rsid w:val="000426A4"/>
    <w:rsid w:val="000429BE"/>
    <w:rsid w:val="00042BE0"/>
    <w:rsid w:val="00042D1F"/>
    <w:rsid w:val="00043314"/>
    <w:rsid w:val="000435A4"/>
    <w:rsid w:val="00043656"/>
    <w:rsid w:val="0004368C"/>
    <w:rsid w:val="000439C3"/>
    <w:rsid w:val="00043A2E"/>
    <w:rsid w:val="00043B1B"/>
    <w:rsid w:val="00043C0B"/>
    <w:rsid w:val="00043DD3"/>
    <w:rsid w:val="00043F72"/>
    <w:rsid w:val="00044478"/>
    <w:rsid w:val="00044485"/>
    <w:rsid w:val="00044507"/>
    <w:rsid w:val="000445F8"/>
    <w:rsid w:val="000447C3"/>
    <w:rsid w:val="0004490A"/>
    <w:rsid w:val="00044BA7"/>
    <w:rsid w:val="00044BE9"/>
    <w:rsid w:val="00044D82"/>
    <w:rsid w:val="00044DC7"/>
    <w:rsid w:val="00045032"/>
    <w:rsid w:val="0004511B"/>
    <w:rsid w:val="00045304"/>
    <w:rsid w:val="0004554F"/>
    <w:rsid w:val="00045618"/>
    <w:rsid w:val="000456A3"/>
    <w:rsid w:val="00045C34"/>
    <w:rsid w:val="00045CDF"/>
    <w:rsid w:val="00045DCD"/>
    <w:rsid w:val="00045DE1"/>
    <w:rsid w:val="000461A6"/>
    <w:rsid w:val="000461FD"/>
    <w:rsid w:val="000462B6"/>
    <w:rsid w:val="00046759"/>
    <w:rsid w:val="00046776"/>
    <w:rsid w:val="000467D3"/>
    <w:rsid w:val="000468DB"/>
    <w:rsid w:val="00046A17"/>
    <w:rsid w:val="00046A6C"/>
    <w:rsid w:val="00046BE3"/>
    <w:rsid w:val="00046F02"/>
    <w:rsid w:val="000473DB"/>
    <w:rsid w:val="0004760E"/>
    <w:rsid w:val="0004761D"/>
    <w:rsid w:val="00047BFC"/>
    <w:rsid w:val="00047CB5"/>
    <w:rsid w:val="0005027A"/>
    <w:rsid w:val="000504DA"/>
    <w:rsid w:val="000506F6"/>
    <w:rsid w:val="0005080E"/>
    <w:rsid w:val="000508E8"/>
    <w:rsid w:val="00050BDF"/>
    <w:rsid w:val="00050D30"/>
    <w:rsid w:val="00050F22"/>
    <w:rsid w:val="0005111C"/>
    <w:rsid w:val="00051441"/>
    <w:rsid w:val="00051545"/>
    <w:rsid w:val="00051567"/>
    <w:rsid w:val="000515E2"/>
    <w:rsid w:val="00051660"/>
    <w:rsid w:val="000516FA"/>
    <w:rsid w:val="00051784"/>
    <w:rsid w:val="00051916"/>
    <w:rsid w:val="0005197C"/>
    <w:rsid w:val="00051A06"/>
    <w:rsid w:val="00051CDF"/>
    <w:rsid w:val="00051F31"/>
    <w:rsid w:val="00052503"/>
    <w:rsid w:val="00052A00"/>
    <w:rsid w:val="00052A73"/>
    <w:rsid w:val="00052E4D"/>
    <w:rsid w:val="0005312C"/>
    <w:rsid w:val="000531A4"/>
    <w:rsid w:val="000535F4"/>
    <w:rsid w:val="000537BC"/>
    <w:rsid w:val="000538C4"/>
    <w:rsid w:val="000538C7"/>
    <w:rsid w:val="00053A02"/>
    <w:rsid w:val="00053B52"/>
    <w:rsid w:val="00053C2F"/>
    <w:rsid w:val="00053C32"/>
    <w:rsid w:val="00053E38"/>
    <w:rsid w:val="00054120"/>
    <w:rsid w:val="0005426F"/>
    <w:rsid w:val="00054534"/>
    <w:rsid w:val="00054588"/>
    <w:rsid w:val="0005490F"/>
    <w:rsid w:val="00054BA1"/>
    <w:rsid w:val="00054C2A"/>
    <w:rsid w:val="00054C4B"/>
    <w:rsid w:val="000550F5"/>
    <w:rsid w:val="00055311"/>
    <w:rsid w:val="0005532E"/>
    <w:rsid w:val="0005568C"/>
    <w:rsid w:val="000559BE"/>
    <w:rsid w:val="00055A63"/>
    <w:rsid w:val="00055B97"/>
    <w:rsid w:val="00055DB0"/>
    <w:rsid w:val="00055E11"/>
    <w:rsid w:val="00055EC5"/>
    <w:rsid w:val="00055F30"/>
    <w:rsid w:val="00055F46"/>
    <w:rsid w:val="00056419"/>
    <w:rsid w:val="00056832"/>
    <w:rsid w:val="000568B5"/>
    <w:rsid w:val="00056B12"/>
    <w:rsid w:val="0005713B"/>
    <w:rsid w:val="0005715C"/>
    <w:rsid w:val="00057311"/>
    <w:rsid w:val="00057465"/>
    <w:rsid w:val="000577B2"/>
    <w:rsid w:val="00057923"/>
    <w:rsid w:val="00057C1F"/>
    <w:rsid w:val="00057C35"/>
    <w:rsid w:val="00057D06"/>
    <w:rsid w:val="00057D64"/>
    <w:rsid w:val="00057D65"/>
    <w:rsid w:val="00057E50"/>
    <w:rsid w:val="00060165"/>
    <w:rsid w:val="000601CE"/>
    <w:rsid w:val="000602C3"/>
    <w:rsid w:val="00060449"/>
    <w:rsid w:val="000604FE"/>
    <w:rsid w:val="00060873"/>
    <w:rsid w:val="00060891"/>
    <w:rsid w:val="00060911"/>
    <w:rsid w:val="00060A1E"/>
    <w:rsid w:val="00060E1C"/>
    <w:rsid w:val="00060EE3"/>
    <w:rsid w:val="00060F4F"/>
    <w:rsid w:val="00060F62"/>
    <w:rsid w:val="00060FA4"/>
    <w:rsid w:val="0006119A"/>
    <w:rsid w:val="0006120B"/>
    <w:rsid w:val="00061364"/>
    <w:rsid w:val="000615CE"/>
    <w:rsid w:val="000619D3"/>
    <w:rsid w:val="00061B14"/>
    <w:rsid w:val="00061C04"/>
    <w:rsid w:val="00061D91"/>
    <w:rsid w:val="0006204C"/>
    <w:rsid w:val="00062229"/>
    <w:rsid w:val="000624B7"/>
    <w:rsid w:val="000624F4"/>
    <w:rsid w:val="0006251B"/>
    <w:rsid w:val="00062651"/>
    <w:rsid w:val="0006270F"/>
    <w:rsid w:val="00062982"/>
    <w:rsid w:val="00062ACB"/>
    <w:rsid w:val="00062AEC"/>
    <w:rsid w:val="00062EE4"/>
    <w:rsid w:val="000631E5"/>
    <w:rsid w:val="00063349"/>
    <w:rsid w:val="000635B6"/>
    <w:rsid w:val="000635FE"/>
    <w:rsid w:val="00063A5C"/>
    <w:rsid w:val="00063B57"/>
    <w:rsid w:val="0006407E"/>
    <w:rsid w:val="000644E0"/>
    <w:rsid w:val="00064565"/>
    <w:rsid w:val="00064CA9"/>
    <w:rsid w:val="0006502E"/>
    <w:rsid w:val="0006503A"/>
    <w:rsid w:val="000650EB"/>
    <w:rsid w:val="000653B1"/>
    <w:rsid w:val="00065402"/>
    <w:rsid w:val="00065432"/>
    <w:rsid w:val="0006545F"/>
    <w:rsid w:val="000654EF"/>
    <w:rsid w:val="0006587A"/>
    <w:rsid w:val="00065994"/>
    <w:rsid w:val="00066074"/>
    <w:rsid w:val="00066258"/>
    <w:rsid w:val="00066404"/>
    <w:rsid w:val="00066696"/>
    <w:rsid w:val="0006679F"/>
    <w:rsid w:val="000668AA"/>
    <w:rsid w:val="00066BAA"/>
    <w:rsid w:val="00066BCF"/>
    <w:rsid w:val="0006710D"/>
    <w:rsid w:val="000671A2"/>
    <w:rsid w:val="0006721F"/>
    <w:rsid w:val="000673D6"/>
    <w:rsid w:val="000674BF"/>
    <w:rsid w:val="000674DF"/>
    <w:rsid w:val="0006769B"/>
    <w:rsid w:val="00067821"/>
    <w:rsid w:val="00067992"/>
    <w:rsid w:val="00067A7B"/>
    <w:rsid w:val="00067C61"/>
    <w:rsid w:val="00067D09"/>
    <w:rsid w:val="00067F0A"/>
    <w:rsid w:val="00067F66"/>
    <w:rsid w:val="000702DD"/>
    <w:rsid w:val="000705C1"/>
    <w:rsid w:val="0007063A"/>
    <w:rsid w:val="0007067C"/>
    <w:rsid w:val="00070789"/>
    <w:rsid w:val="00070874"/>
    <w:rsid w:val="0007099C"/>
    <w:rsid w:val="000709AC"/>
    <w:rsid w:val="00070D37"/>
    <w:rsid w:val="00070D40"/>
    <w:rsid w:val="00070E17"/>
    <w:rsid w:val="00070F88"/>
    <w:rsid w:val="00071079"/>
    <w:rsid w:val="00071094"/>
    <w:rsid w:val="000711B5"/>
    <w:rsid w:val="0007122C"/>
    <w:rsid w:val="000714EC"/>
    <w:rsid w:val="00071577"/>
    <w:rsid w:val="000715C5"/>
    <w:rsid w:val="0007178A"/>
    <w:rsid w:val="000718E7"/>
    <w:rsid w:val="00071F0F"/>
    <w:rsid w:val="000721DA"/>
    <w:rsid w:val="0007278C"/>
    <w:rsid w:val="000727C0"/>
    <w:rsid w:val="00072A0B"/>
    <w:rsid w:val="00072A0F"/>
    <w:rsid w:val="00073182"/>
    <w:rsid w:val="000732FF"/>
    <w:rsid w:val="0007338E"/>
    <w:rsid w:val="000733A3"/>
    <w:rsid w:val="00073652"/>
    <w:rsid w:val="000736AA"/>
    <w:rsid w:val="00073735"/>
    <w:rsid w:val="000739E6"/>
    <w:rsid w:val="00073A89"/>
    <w:rsid w:val="00073B95"/>
    <w:rsid w:val="00073B98"/>
    <w:rsid w:val="00073C95"/>
    <w:rsid w:val="00073E10"/>
    <w:rsid w:val="00073E9B"/>
    <w:rsid w:val="00074596"/>
    <w:rsid w:val="000745E6"/>
    <w:rsid w:val="000746F1"/>
    <w:rsid w:val="000748C8"/>
    <w:rsid w:val="000749FA"/>
    <w:rsid w:val="00075198"/>
    <w:rsid w:val="00075402"/>
    <w:rsid w:val="0007554C"/>
    <w:rsid w:val="000757E5"/>
    <w:rsid w:val="000757EE"/>
    <w:rsid w:val="000757FC"/>
    <w:rsid w:val="000758DD"/>
    <w:rsid w:val="000759A7"/>
    <w:rsid w:val="00075C17"/>
    <w:rsid w:val="00075CC3"/>
    <w:rsid w:val="00075F0D"/>
    <w:rsid w:val="000760AD"/>
    <w:rsid w:val="000760FD"/>
    <w:rsid w:val="0007623C"/>
    <w:rsid w:val="00076289"/>
    <w:rsid w:val="0007642E"/>
    <w:rsid w:val="000768B0"/>
    <w:rsid w:val="00076A0C"/>
    <w:rsid w:val="00076BA5"/>
    <w:rsid w:val="00076CB8"/>
    <w:rsid w:val="00076D2B"/>
    <w:rsid w:val="00076E84"/>
    <w:rsid w:val="00076EC5"/>
    <w:rsid w:val="00077210"/>
    <w:rsid w:val="000773A2"/>
    <w:rsid w:val="00077524"/>
    <w:rsid w:val="00077612"/>
    <w:rsid w:val="000776A3"/>
    <w:rsid w:val="00077769"/>
    <w:rsid w:val="00077B80"/>
    <w:rsid w:val="00077E4F"/>
    <w:rsid w:val="0007A753"/>
    <w:rsid w:val="00080105"/>
    <w:rsid w:val="00080147"/>
    <w:rsid w:val="0008016F"/>
    <w:rsid w:val="00080352"/>
    <w:rsid w:val="000804A2"/>
    <w:rsid w:val="00080704"/>
    <w:rsid w:val="000807C2"/>
    <w:rsid w:val="000808AA"/>
    <w:rsid w:val="000808B4"/>
    <w:rsid w:val="00080A77"/>
    <w:rsid w:val="00080CAB"/>
    <w:rsid w:val="00080D33"/>
    <w:rsid w:val="00080D9F"/>
    <w:rsid w:val="00080F66"/>
    <w:rsid w:val="0008112B"/>
    <w:rsid w:val="0008116D"/>
    <w:rsid w:val="000813E9"/>
    <w:rsid w:val="0008146E"/>
    <w:rsid w:val="0008170C"/>
    <w:rsid w:val="00081797"/>
    <w:rsid w:val="000817BC"/>
    <w:rsid w:val="00081944"/>
    <w:rsid w:val="00081AB3"/>
    <w:rsid w:val="00081C18"/>
    <w:rsid w:val="00081DEA"/>
    <w:rsid w:val="000821E7"/>
    <w:rsid w:val="00082224"/>
    <w:rsid w:val="000824BD"/>
    <w:rsid w:val="000826D9"/>
    <w:rsid w:val="00082898"/>
    <w:rsid w:val="000829A5"/>
    <w:rsid w:val="000829B7"/>
    <w:rsid w:val="00082AD6"/>
    <w:rsid w:val="00082C28"/>
    <w:rsid w:val="00082E46"/>
    <w:rsid w:val="00083035"/>
    <w:rsid w:val="000831EE"/>
    <w:rsid w:val="000833FE"/>
    <w:rsid w:val="00083571"/>
    <w:rsid w:val="00083834"/>
    <w:rsid w:val="00083874"/>
    <w:rsid w:val="00083AA1"/>
    <w:rsid w:val="00083C0F"/>
    <w:rsid w:val="00083C11"/>
    <w:rsid w:val="00084056"/>
    <w:rsid w:val="000841EF"/>
    <w:rsid w:val="00084235"/>
    <w:rsid w:val="00084777"/>
    <w:rsid w:val="000847E6"/>
    <w:rsid w:val="0008499B"/>
    <w:rsid w:val="00084C5B"/>
    <w:rsid w:val="00084FD7"/>
    <w:rsid w:val="000853A4"/>
    <w:rsid w:val="0008578A"/>
    <w:rsid w:val="00085A83"/>
    <w:rsid w:val="00085B4C"/>
    <w:rsid w:val="00085B91"/>
    <w:rsid w:val="00085C80"/>
    <w:rsid w:val="00085E05"/>
    <w:rsid w:val="00085FA0"/>
    <w:rsid w:val="0008601D"/>
    <w:rsid w:val="0008658D"/>
    <w:rsid w:val="00086735"/>
    <w:rsid w:val="000867F4"/>
    <w:rsid w:val="0008680C"/>
    <w:rsid w:val="0008688F"/>
    <w:rsid w:val="00086978"/>
    <w:rsid w:val="00086A54"/>
    <w:rsid w:val="00086BC5"/>
    <w:rsid w:val="00086DB8"/>
    <w:rsid w:val="00086DD0"/>
    <w:rsid w:val="00087059"/>
    <w:rsid w:val="00087141"/>
    <w:rsid w:val="00087448"/>
    <w:rsid w:val="00087BF2"/>
    <w:rsid w:val="00087CCA"/>
    <w:rsid w:val="00087E28"/>
    <w:rsid w:val="00087F75"/>
    <w:rsid w:val="0009000B"/>
    <w:rsid w:val="00090139"/>
    <w:rsid w:val="00090190"/>
    <w:rsid w:val="000902DF"/>
    <w:rsid w:val="00090329"/>
    <w:rsid w:val="0009049E"/>
    <w:rsid w:val="00090AA8"/>
    <w:rsid w:val="00090C4F"/>
    <w:rsid w:val="00090CA8"/>
    <w:rsid w:val="00090F3D"/>
    <w:rsid w:val="00090FD7"/>
    <w:rsid w:val="0009110B"/>
    <w:rsid w:val="0009137F"/>
    <w:rsid w:val="00091416"/>
    <w:rsid w:val="00091616"/>
    <w:rsid w:val="0009171C"/>
    <w:rsid w:val="00091829"/>
    <w:rsid w:val="0009184D"/>
    <w:rsid w:val="00091985"/>
    <w:rsid w:val="00091D52"/>
    <w:rsid w:val="00091E6A"/>
    <w:rsid w:val="00091FC8"/>
    <w:rsid w:val="000920A1"/>
    <w:rsid w:val="000923E6"/>
    <w:rsid w:val="00092459"/>
    <w:rsid w:val="00092479"/>
    <w:rsid w:val="00092595"/>
    <w:rsid w:val="00092A08"/>
    <w:rsid w:val="00092E24"/>
    <w:rsid w:val="00092E69"/>
    <w:rsid w:val="00092FB9"/>
    <w:rsid w:val="0009309E"/>
    <w:rsid w:val="00093111"/>
    <w:rsid w:val="000935EF"/>
    <w:rsid w:val="00093671"/>
    <w:rsid w:val="00093888"/>
    <w:rsid w:val="00093A9A"/>
    <w:rsid w:val="0009410A"/>
    <w:rsid w:val="000943A3"/>
    <w:rsid w:val="000943BE"/>
    <w:rsid w:val="0009453E"/>
    <w:rsid w:val="000946B5"/>
    <w:rsid w:val="000948CA"/>
    <w:rsid w:val="00094990"/>
    <w:rsid w:val="000949DA"/>
    <w:rsid w:val="00094B67"/>
    <w:rsid w:val="00094BAF"/>
    <w:rsid w:val="00094C72"/>
    <w:rsid w:val="00094DCC"/>
    <w:rsid w:val="000951A2"/>
    <w:rsid w:val="00095344"/>
    <w:rsid w:val="000953C6"/>
    <w:rsid w:val="00095403"/>
    <w:rsid w:val="000955BF"/>
    <w:rsid w:val="0009569F"/>
    <w:rsid w:val="000958BB"/>
    <w:rsid w:val="00095934"/>
    <w:rsid w:val="00095D02"/>
    <w:rsid w:val="00095D1E"/>
    <w:rsid w:val="00095DB9"/>
    <w:rsid w:val="00095F37"/>
    <w:rsid w:val="00095F98"/>
    <w:rsid w:val="00096097"/>
    <w:rsid w:val="000960A4"/>
    <w:rsid w:val="000961CD"/>
    <w:rsid w:val="000962FC"/>
    <w:rsid w:val="000964BD"/>
    <w:rsid w:val="00096695"/>
    <w:rsid w:val="00096708"/>
    <w:rsid w:val="00096745"/>
    <w:rsid w:val="000967D5"/>
    <w:rsid w:val="00096949"/>
    <w:rsid w:val="0009694C"/>
    <w:rsid w:val="00096B40"/>
    <w:rsid w:val="00096CC0"/>
    <w:rsid w:val="00096D0A"/>
    <w:rsid w:val="00096E39"/>
    <w:rsid w:val="00096E57"/>
    <w:rsid w:val="00096FA6"/>
    <w:rsid w:val="000970F4"/>
    <w:rsid w:val="00097198"/>
    <w:rsid w:val="000971AA"/>
    <w:rsid w:val="0009726E"/>
    <w:rsid w:val="0009751C"/>
    <w:rsid w:val="00097619"/>
    <w:rsid w:val="00097746"/>
    <w:rsid w:val="00097766"/>
    <w:rsid w:val="0009780C"/>
    <w:rsid w:val="00097884"/>
    <w:rsid w:val="000979D0"/>
    <w:rsid w:val="000979D2"/>
    <w:rsid w:val="00097AFD"/>
    <w:rsid w:val="00097D98"/>
    <w:rsid w:val="000A0391"/>
    <w:rsid w:val="000A0520"/>
    <w:rsid w:val="000A089C"/>
    <w:rsid w:val="000A08AB"/>
    <w:rsid w:val="000A0945"/>
    <w:rsid w:val="000A0B62"/>
    <w:rsid w:val="000A0BC4"/>
    <w:rsid w:val="000A0C50"/>
    <w:rsid w:val="000A0DFB"/>
    <w:rsid w:val="000A0F76"/>
    <w:rsid w:val="000A11C2"/>
    <w:rsid w:val="000A1225"/>
    <w:rsid w:val="000A1413"/>
    <w:rsid w:val="000A142D"/>
    <w:rsid w:val="000A14DF"/>
    <w:rsid w:val="000A16F0"/>
    <w:rsid w:val="000A178B"/>
    <w:rsid w:val="000A1960"/>
    <w:rsid w:val="000A1A29"/>
    <w:rsid w:val="000A1D3B"/>
    <w:rsid w:val="000A1E30"/>
    <w:rsid w:val="000A2063"/>
    <w:rsid w:val="000A238E"/>
    <w:rsid w:val="000A23D6"/>
    <w:rsid w:val="000A252D"/>
    <w:rsid w:val="000A2712"/>
    <w:rsid w:val="000A2760"/>
    <w:rsid w:val="000A2905"/>
    <w:rsid w:val="000A2B26"/>
    <w:rsid w:val="000A2CA6"/>
    <w:rsid w:val="000A2D17"/>
    <w:rsid w:val="000A2D97"/>
    <w:rsid w:val="000A2F67"/>
    <w:rsid w:val="000A2F6C"/>
    <w:rsid w:val="000A2F89"/>
    <w:rsid w:val="000A3170"/>
    <w:rsid w:val="000A32D9"/>
    <w:rsid w:val="000A32E0"/>
    <w:rsid w:val="000A362A"/>
    <w:rsid w:val="000A371B"/>
    <w:rsid w:val="000A3AD4"/>
    <w:rsid w:val="000A3C53"/>
    <w:rsid w:val="000A3EFD"/>
    <w:rsid w:val="000A4000"/>
    <w:rsid w:val="000A40FE"/>
    <w:rsid w:val="000A43DC"/>
    <w:rsid w:val="000A444E"/>
    <w:rsid w:val="000A4494"/>
    <w:rsid w:val="000A44F2"/>
    <w:rsid w:val="000A45A4"/>
    <w:rsid w:val="000A46B9"/>
    <w:rsid w:val="000A4F3F"/>
    <w:rsid w:val="000A4FC3"/>
    <w:rsid w:val="000A5155"/>
    <w:rsid w:val="000A549E"/>
    <w:rsid w:val="000A5501"/>
    <w:rsid w:val="000A5626"/>
    <w:rsid w:val="000A5CB2"/>
    <w:rsid w:val="000A5FC8"/>
    <w:rsid w:val="000A62B6"/>
    <w:rsid w:val="000A64DE"/>
    <w:rsid w:val="000A675E"/>
    <w:rsid w:val="000A6870"/>
    <w:rsid w:val="000A6A90"/>
    <w:rsid w:val="000A6B8B"/>
    <w:rsid w:val="000A6CAB"/>
    <w:rsid w:val="000A6E1D"/>
    <w:rsid w:val="000A6E41"/>
    <w:rsid w:val="000A6E79"/>
    <w:rsid w:val="000A70B7"/>
    <w:rsid w:val="000A7482"/>
    <w:rsid w:val="000A74C3"/>
    <w:rsid w:val="000A7601"/>
    <w:rsid w:val="000A77C6"/>
    <w:rsid w:val="000A7881"/>
    <w:rsid w:val="000A79EF"/>
    <w:rsid w:val="000A7C85"/>
    <w:rsid w:val="000B000E"/>
    <w:rsid w:val="000B00BA"/>
    <w:rsid w:val="000B020D"/>
    <w:rsid w:val="000B0452"/>
    <w:rsid w:val="000B0540"/>
    <w:rsid w:val="000B0B03"/>
    <w:rsid w:val="000B0F5C"/>
    <w:rsid w:val="000B111D"/>
    <w:rsid w:val="000B121B"/>
    <w:rsid w:val="000B1261"/>
    <w:rsid w:val="000B14AC"/>
    <w:rsid w:val="000B16E8"/>
    <w:rsid w:val="000B1890"/>
    <w:rsid w:val="000B1985"/>
    <w:rsid w:val="000B1A66"/>
    <w:rsid w:val="000B1B53"/>
    <w:rsid w:val="000B1BBE"/>
    <w:rsid w:val="000B1D92"/>
    <w:rsid w:val="000B1DD2"/>
    <w:rsid w:val="000B2133"/>
    <w:rsid w:val="000B21AA"/>
    <w:rsid w:val="000B26A1"/>
    <w:rsid w:val="000B2767"/>
    <w:rsid w:val="000B283B"/>
    <w:rsid w:val="000B2A70"/>
    <w:rsid w:val="000B2D58"/>
    <w:rsid w:val="000B2E0C"/>
    <w:rsid w:val="000B2E69"/>
    <w:rsid w:val="000B331A"/>
    <w:rsid w:val="000B3344"/>
    <w:rsid w:val="000B3398"/>
    <w:rsid w:val="000B35EB"/>
    <w:rsid w:val="000B3BF5"/>
    <w:rsid w:val="000B3C22"/>
    <w:rsid w:val="000B3DD7"/>
    <w:rsid w:val="000B3ECE"/>
    <w:rsid w:val="000B3ED7"/>
    <w:rsid w:val="000B3F3C"/>
    <w:rsid w:val="000B3F78"/>
    <w:rsid w:val="000B3FC8"/>
    <w:rsid w:val="000B4184"/>
    <w:rsid w:val="000B4247"/>
    <w:rsid w:val="000B4787"/>
    <w:rsid w:val="000B481E"/>
    <w:rsid w:val="000B4AD6"/>
    <w:rsid w:val="000B4C6B"/>
    <w:rsid w:val="000B4D9D"/>
    <w:rsid w:val="000B4EDE"/>
    <w:rsid w:val="000B516F"/>
    <w:rsid w:val="000B5285"/>
    <w:rsid w:val="000B5510"/>
    <w:rsid w:val="000B564E"/>
    <w:rsid w:val="000B56E3"/>
    <w:rsid w:val="000B591B"/>
    <w:rsid w:val="000B5947"/>
    <w:rsid w:val="000B597D"/>
    <w:rsid w:val="000B59D7"/>
    <w:rsid w:val="000B59FA"/>
    <w:rsid w:val="000B5C75"/>
    <w:rsid w:val="000B5F50"/>
    <w:rsid w:val="000B6022"/>
    <w:rsid w:val="000B61E2"/>
    <w:rsid w:val="000B621C"/>
    <w:rsid w:val="000B6282"/>
    <w:rsid w:val="000B62C9"/>
    <w:rsid w:val="000B6415"/>
    <w:rsid w:val="000B6429"/>
    <w:rsid w:val="000B6484"/>
    <w:rsid w:val="000B653A"/>
    <w:rsid w:val="000B6549"/>
    <w:rsid w:val="000B66C1"/>
    <w:rsid w:val="000B6723"/>
    <w:rsid w:val="000B688E"/>
    <w:rsid w:val="000B6926"/>
    <w:rsid w:val="000B69BB"/>
    <w:rsid w:val="000B69CB"/>
    <w:rsid w:val="000B6D78"/>
    <w:rsid w:val="000B6E5D"/>
    <w:rsid w:val="000B6EB0"/>
    <w:rsid w:val="000B7384"/>
    <w:rsid w:val="000B7404"/>
    <w:rsid w:val="000B766F"/>
    <w:rsid w:val="000B7723"/>
    <w:rsid w:val="000B782E"/>
    <w:rsid w:val="000B78AD"/>
    <w:rsid w:val="000B79A1"/>
    <w:rsid w:val="000B7EC6"/>
    <w:rsid w:val="000C010F"/>
    <w:rsid w:val="000C04C3"/>
    <w:rsid w:val="000C07E8"/>
    <w:rsid w:val="000C08BC"/>
    <w:rsid w:val="000C09E4"/>
    <w:rsid w:val="000C0BE2"/>
    <w:rsid w:val="000C0C8E"/>
    <w:rsid w:val="000C0D5D"/>
    <w:rsid w:val="000C0F7B"/>
    <w:rsid w:val="000C174A"/>
    <w:rsid w:val="000C17D8"/>
    <w:rsid w:val="000C1851"/>
    <w:rsid w:val="000C1884"/>
    <w:rsid w:val="000C18C8"/>
    <w:rsid w:val="000C1B50"/>
    <w:rsid w:val="000C1B9A"/>
    <w:rsid w:val="000C1E06"/>
    <w:rsid w:val="000C21F8"/>
    <w:rsid w:val="000C2201"/>
    <w:rsid w:val="000C250B"/>
    <w:rsid w:val="000C25E0"/>
    <w:rsid w:val="000C265B"/>
    <w:rsid w:val="000C2734"/>
    <w:rsid w:val="000C296D"/>
    <w:rsid w:val="000C2E63"/>
    <w:rsid w:val="000C2F1F"/>
    <w:rsid w:val="000C3084"/>
    <w:rsid w:val="000C3113"/>
    <w:rsid w:val="000C3B0A"/>
    <w:rsid w:val="000C3D88"/>
    <w:rsid w:val="000C3F30"/>
    <w:rsid w:val="000C40E7"/>
    <w:rsid w:val="000C4171"/>
    <w:rsid w:val="000C45E8"/>
    <w:rsid w:val="000C47A1"/>
    <w:rsid w:val="000C48E6"/>
    <w:rsid w:val="000C4CF6"/>
    <w:rsid w:val="000C4EDA"/>
    <w:rsid w:val="000C4F43"/>
    <w:rsid w:val="000C523A"/>
    <w:rsid w:val="000C5346"/>
    <w:rsid w:val="000C5355"/>
    <w:rsid w:val="000C5674"/>
    <w:rsid w:val="000C58DE"/>
    <w:rsid w:val="000C5BF3"/>
    <w:rsid w:val="000C5F4F"/>
    <w:rsid w:val="000C5F58"/>
    <w:rsid w:val="000C603C"/>
    <w:rsid w:val="000C6262"/>
    <w:rsid w:val="000C6286"/>
    <w:rsid w:val="000C62A8"/>
    <w:rsid w:val="000C639B"/>
    <w:rsid w:val="000C6546"/>
    <w:rsid w:val="000C66DE"/>
    <w:rsid w:val="000C6832"/>
    <w:rsid w:val="000C68E9"/>
    <w:rsid w:val="000C6C02"/>
    <w:rsid w:val="000C6C39"/>
    <w:rsid w:val="000C6C8A"/>
    <w:rsid w:val="000C6DDE"/>
    <w:rsid w:val="000C6E80"/>
    <w:rsid w:val="000C6F25"/>
    <w:rsid w:val="000C706C"/>
    <w:rsid w:val="000C7117"/>
    <w:rsid w:val="000C7393"/>
    <w:rsid w:val="000C73D4"/>
    <w:rsid w:val="000C7434"/>
    <w:rsid w:val="000C797B"/>
    <w:rsid w:val="000C7D13"/>
    <w:rsid w:val="000C7F95"/>
    <w:rsid w:val="000D0110"/>
    <w:rsid w:val="000D0348"/>
    <w:rsid w:val="000D03EB"/>
    <w:rsid w:val="000D05D9"/>
    <w:rsid w:val="000D0AB9"/>
    <w:rsid w:val="000D0C90"/>
    <w:rsid w:val="000D0CF0"/>
    <w:rsid w:val="000D0D94"/>
    <w:rsid w:val="000D0E5E"/>
    <w:rsid w:val="000D0E64"/>
    <w:rsid w:val="000D0E6E"/>
    <w:rsid w:val="000D0FC5"/>
    <w:rsid w:val="000D124F"/>
    <w:rsid w:val="000D12DC"/>
    <w:rsid w:val="000D1425"/>
    <w:rsid w:val="000D155E"/>
    <w:rsid w:val="000D18BE"/>
    <w:rsid w:val="000D1A3C"/>
    <w:rsid w:val="000D1A97"/>
    <w:rsid w:val="000D1DC4"/>
    <w:rsid w:val="000D1E53"/>
    <w:rsid w:val="000D1F65"/>
    <w:rsid w:val="000D20EF"/>
    <w:rsid w:val="000D219C"/>
    <w:rsid w:val="000D22CA"/>
    <w:rsid w:val="000D2318"/>
    <w:rsid w:val="000D2552"/>
    <w:rsid w:val="000D25C5"/>
    <w:rsid w:val="000D276B"/>
    <w:rsid w:val="000D3038"/>
    <w:rsid w:val="000D3173"/>
    <w:rsid w:val="000D32C5"/>
    <w:rsid w:val="000D33D9"/>
    <w:rsid w:val="000D3519"/>
    <w:rsid w:val="000D3556"/>
    <w:rsid w:val="000D36A9"/>
    <w:rsid w:val="000D36EA"/>
    <w:rsid w:val="000D3BC5"/>
    <w:rsid w:val="000D3BE3"/>
    <w:rsid w:val="000D3C55"/>
    <w:rsid w:val="000D3C87"/>
    <w:rsid w:val="000D3CED"/>
    <w:rsid w:val="000D3D04"/>
    <w:rsid w:val="000D405B"/>
    <w:rsid w:val="000D40EB"/>
    <w:rsid w:val="000D4177"/>
    <w:rsid w:val="000D4188"/>
    <w:rsid w:val="000D4295"/>
    <w:rsid w:val="000D4364"/>
    <w:rsid w:val="000D43B9"/>
    <w:rsid w:val="000D450C"/>
    <w:rsid w:val="000D45C3"/>
    <w:rsid w:val="000D4612"/>
    <w:rsid w:val="000D46C3"/>
    <w:rsid w:val="000D4905"/>
    <w:rsid w:val="000D4BAF"/>
    <w:rsid w:val="000D4C8A"/>
    <w:rsid w:val="000D4F90"/>
    <w:rsid w:val="000D5030"/>
    <w:rsid w:val="000D514A"/>
    <w:rsid w:val="000D527C"/>
    <w:rsid w:val="000D5515"/>
    <w:rsid w:val="000D551F"/>
    <w:rsid w:val="000D5653"/>
    <w:rsid w:val="000D5BF0"/>
    <w:rsid w:val="000D5DFA"/>
    <w:rsid w:val="000D5E21"/>
    <w:rsid w:val="000D6049"/>
    <w:rsid w:val="000D606E"/>
    <w:rsid w:val="000D6083"/>
    <w:rsid w:val="000D60DA"/>
    <w:rsid w:val="000D62B4"/>
    <w:rsid w:val="000D62B8"/>
    <w:rsid w:val="000D635A"/>
    <w:rsid w:val="000D6920"/>
    <w:rsid w:val="000D69A1"/>
    <w:rsid w:val="000D6C06"/>
    <w:rsid w:val="000D6D17"/>
    <w:rsid w:val="000D7033"/>
    <w:rsid w:val="000D70A7"/>
    <w:rsid w:val="000D71C1"/>
    <w:rsid w:val="000D720B"/>
    <w:rsid w:val="000D7224"/>
    <w:rsid w:val="000D7419"/>
    <w:rsid w:val="000D7528"/>
    <w:rsid w:val="000D759D"/>
    <w:rsid w:val="000D7C85"/>
    <w:rsid w:val="000D7D5A"/>
    <w:rsid w:val="000E000D"/>
    <w:rsid w:val="000E0208"/>
    <w:rsid w:val="000E02E4"/>
    <w:rsid w:val="000E03FD"/>
    <w:rsid w:val="000E0498"/>
    <w:rsid w:val="000E0525"/>
    <w:rsid w:val="000E08C7"/>
    <w:rsid w:val="000E0A3D"/>
    <w:rsid w:val="000E0C76"/>
    <w:rsid w:val="000E0CA5"/>
    <w:rsid w:val="000E0E5C"/>
    <w:rsid w:val="000E0EBE"/>
    <w:rsid w:val="000E143A"/>
    <w:rsid w:val="000E152B"/>
    <w:rsid w:val="000E1ADE"/>
    <w:rsid w:val="000E1B28"/>
    <w:rsid w:val="000E1B9A"/>
    <w:rsid w:val="000E1F03"/>
    <w:rsid w:val="000E1F12"/>
    <w:rsid w:val="000E208A"/>
    <w:rsid w:val="000E2120"/>
    <w:rsid w:val="000E23AF"/>
    <w:rsid w:val="000E249B"/>
    <w:rsid w:val="000E25C5"/>
    <w:rsid w:val="000E25CD"/>
    <w:rsid w:val="000E2785"/>
    <w:rsid w:val="000E27C3"/>
    <w:rsid w:val="000E2852"/>
    <w:rsid w:val="000E29F0"/>
    <w:rsid w:val="000E2D46"/>
    <w:rsid w:val="000E2DF4"/>
    <w:rsid w:val="000E3082"/>
    <w:rsid w:val="000E3119"/>
    <w:rsid w:val="000E3136"/>
    <w:rsid w:val="000E32F4"/>
    <w:rsid w:val="000E364A"/>
    <w:rsid w:val="000E3732"/>
    <w:rsid w:val="000E38E1"/>
    <w:rsid w:val="000E38E8"/>
    <w:rsid w:val="000E397B"/>
    <w:rsid w:val="000E3981"/>
    <w:rsid w:val="000E39EE"/>
    <w:rsid w:val="000E3B00"/>
    <w:rsid w:val="000E3BAD"/>
    <w:rsid w:val="000E3DCD"/>
    <w:rsid w:val="000E4374"/>
    <w:rsid w:val="000E43BA"/>
    <w:rsid w:val="000E4713"/>
    <w:rsid w:val="000E483D"/>
    <w:rsid w:val="000E4E62"/>
    <w:rsid w:val="000E5095"/>
    <w:rsid w:val="000E540D"/>
    <w:rsid w:val="000E5545"/>
    <w:rsid w:val="000E568D"/>
    <w:rsid w:val="000E5973"/>
    <w:rsid w:val="000E59F2"/>
    <w:rsid w:val="000E5CB2"/>
    <w:rsid w:val="000E630A"/>
    <w:rsid w:val="000E6485"/>
    <w:rsid w:val="000E64B4"/>
    <w:rsid w:val="000E6576"/>
    <w:rsid w:val="000E66D2"/>
    <w:rsid w:val="000E67C7"/>
    <w:rsid w:val="000E6A01"/>
    <w:rsid w:val="000E6B61"/>
    <w:rsid w:val="000E6D55"/>
    <w:rsid w:val="000E6E0F"/>
    <w:rsid w:val="000E6FB7"/>
    <w:rsid w:val="000E7612"/>
    <w:rsid w:val="000E765D"/>
    <w:rsid w:val="000E7688"/>
    <w:rsid w:val="000E77B8"/>
    <w:rsid w:val="000E7ACA"/>
    <w:rsid w:val="000E7C01"/>
    <w:rsid w:val="000E7C08"/>
    <w:rsid w:val="000E7CBC"/>
    <w:rsid w:val="000E7D51"/>
    <w:rsid w:val="000E7D7D"/>
    <w:rsid w:val="000E7E27"/>
    <w:rsid w:val="000F01A5"/>
    <w:rsid w:val="000F01D0"/>
    <w:rsid w:val="000F037B"/>
    <w:rsid w:val="000F04F6"/>
    <w:rsid w:val="000F0525"/>
    <w:rsid w:val="000F0816"/>
    <w:rsid w:val="000F0ABC"/>
    <w:rsid w:val="000F0C58"/>
    <w:rsid w:val="000F0C6A"/>
    <w:rsid w:val="000F0D2B"/>
    <w:rsid w:val="000F10E5"/>
    <w:rsid w:val="000F131C"/>
    <w:rsid w:val="000F1344"/>
    <w:rsid w:val="000F14F5"/>
    <w:rsid w:val="000F16BC"/>
    <w:rsid w:val="000F1A53"/>
    <w:rsid w:val="000F1A7B"/>
    <w:rsid w:val="000F1AA3"/>
    <w:rsid w:val="000F20CB"/>
    <w:rsid w:val="000F21C3"/>
    <w:rsid w:val="000F223F"/>
    <w:rsid w:val="000F22EE"/>
    <w:rsid w:val="000F23B2"/>
    <w:rsid w:val="000F242C"/>
    <w:rsid w:val="000F2718"/>
    <w:rsid w:val="000F27B7"/>
    <w:rsid w:val="000F2821"/>
    <w:rsid w:val="000F2856"/>
    <w:rsid w:val="000F2930"/>
    <w:rsid w:val="000F2A83"/>
    <w:rsid w:val="000F2B81"/>
    <w:rsid w:val="000F2C12"/>
    <w:rsid w:val="000F2D80"/>
    <w:rsid w:val="000F2EB6"/>
    <w:rsid w:val="000F3006"/>
    <w:rsid w:val="000F3436"/>
    <w:rsid w:val="000F34B4"/>
    <w:rsid w:val="000F355B"/>
    <w:rsid w:val="000F38AA"/>
    <w:rsid w:val="000F3995"/>
    <w:rsid w:val="000F3ADB"/>
    <w:rsid w:val="000F3B47"/>
    <w:rsid w:val="000F3B8A"/>
    <w:rsid w:val="000F3BA3"/>
    <w:rsid w:val="000F3E6E"/>
    <w:rsid w:val="000F4034"/>
    <w:rsid w:val="000F40C4"/>
    <w:rsid w:val="000F43DE"/>
    <w:rsid w:val="000F4640"/>
    <w:rsid w:val="000F4991"/>
    <w:rsid w:val="000F4F73"/>
    <w:rsid w:val="000F52FF"/>
    <w:rsid w:val="000F530C"/>
    <w:rsid w:val="000F54AF"/>
    <w:rsid w:val="000F57B7"/>
    <w:rsid w:val="000F57E7"/>
    <w:rsid w:val="000F5A52"/>
    <w:rsid w:val="000F5BC2"/>
    <w:rsid w:val="000F5FA8"/>
    <w:rsid w:val="000F628B"/>
    <w:rsid w:val="000F6487"/>
    <w:rsid w:val="000F65CC"/>
    <w:rsid w:val="000F6625"/>
    <w:rsid w:val="000F6750"/>
    <w:rsid w:val="000F68A1"/>
    <w:rsid w:val="000F6AEE"/>
    <w:rsid w:val="000F6B5A"/>
    <w:rsid w:val="000F6B5C"/>
    <w:rsid w:val="000F6BBD"/>
    <w:rsid w:val="000F6C17"/>
    <w:rsid w:val="000F70C4"/>
    <w:rsid w:val="000F719C"/>
    <w:rsid w:val="000F72A4"/>
    <w:rsid w:val="000F7394"/>
    <w:rsid w:val="000F7594"/>
    <w:rsid w:val="000F77BA"/>
    <w:rsid w:val="000F7B76"/>
    <w:rsid w:val="000F7C31"/>
    <w:rsid w:val="000F7C65"/>
    <w:rsid w:val="000F7C81"/>
    <w:rsid w:val="000F7D76"/>
    <w:rsid w:val="000F7DD9"/>
    <w:rsid w:val="00100137"/>
    <w:rsid w:val="0010015F"/>
    <w:rsid w:val="00100284"/>
    <w:rsid w:val="00100553"/>
    <w:rsid w:val="0010075A"/>
    <w:rsid w:val="00100ADE"/>
    <w:rsid w:val="00100AE8"/>
    <w:rsid w:val="00100CAF"/>
    <w:rsid w:val="00100F47"/>
    <w:rsid w:val="00101088"/>
    <w:rsid w:val="00101258"/>
    <w:rsid w:val="001012EE"/>
    <w:rsid w:val="0010140E"/>
    <w:rsid w:val="00101624"/>
    <w:rsid w:val="00101660"/>
    <w:rsid w:val="001017EC"/>
    <w:rsid w:val="0010184A"/>
    <w:rsid w:val="00101A9C"/>
    <w:rsid w:val="00101B28"/>
    <w:rsid w:val="00101B40"/>
    <w:rsid w:val="00101E63"/>
    <w:rsid w:val="00101E75"/>
    <w:rsid w:val="0010200B"/>
    <w:rsid w:val="00102660"/>
    <w:rsid w:val="00102932"/>
    <w:rsid w:val="00102997"/>
    <w:rsid w:val="001029F0"/>
    <w:rsid w:val="00102CA2"/>
    <w:rsid w:val="00102F52"/>
    <w:rsid w:val="00103156"/>
    <w:rsid w:val="001031A3"/>
    <w:rsid w:val="001032C0"/>
    <w:rsid w:val="00103315"/>
    <w:rsid w:val="00103365"/>
    <w:rsid w:val="0010352C"/>
    <w:rsid w:val="00103854"/>
    <w:rsid w:val="00103CA7"/>
    <w:rsid w:val="00103CD7"/>
    <w:rsid w:val="0010445C"/>
    <w:rsid w:val="00104495"/>
    <w:rsid w:val="001045B7"/>
    <w:rsid w:val="001047D8"/>
    <w:rsid w:val="001048A9"/>
    <w:rsid w:val="00104914"/>
    <w:rsid w:val="00104AC9"/>
    <w:rsid w:val="00104B5B"/>
    <w:rsid w:val="00104FF4"/>
    <w:rsid w:val="00105149"/>
    <w:rsid w:val="00105636"/>
    <w:rsid w:val="001058D5"/>
    <w:rsid w:val="0010595A"/>
    <w:rsid w:val="00105B1B"/>
    <w:rsid w:val="00105FC8"/>
    <w:rsid w:val="0010609C"/>
    <w:rsid w:val="0010649D"/>
    <w:rsid w:val="00106691"/>
    <w:rsid w:val="001068CB"/>
    <w:rsid w:val="0010691E"/>
    <w:rsid w:val="001069A5"/>
    <w:rsid w:val="00106BA1"/>
    <w:rsid w:val="00106BAD"/>
    <w:rsid w:val="00106D28"/>
    <w:rsid w:val="00106D7A"/>
    <w:rsid w:val="00106F57"/>
    <w:rsid w:val="00106FAF"/>
    <w:rsid w:val="00107399"/>
    <w:rsid w:val="001073E3"/>
    <w:rsid w:val="00107703"/>
    <w:rsid w:val="001078FE"/>
    <w:rsid w:val="00107AC9"/>
    <w:rsid w:val="00107B55"/>
    <w:rsid w:val="00107CBA"/>
    <w:rsid w:val="001100C1"/>
    <w:rsid w:val="001101E4"/>
    <w:rsid w:val="0011025A"/>
    <w:rsid w:val="00110370"/>
    <w:rsid w:val="00110389"/>
    <w:rsid w:val="00110391"/>
    <w:rsid w:val="00110397"/>
    <w:rsid w:val="00110440"/>
    <w:rsid w:val="001106F5"/>
    <w:rsid w:val="00110787"/>
    <w:rsid w:val="001107BE"/>
    <w:rsid w:val="001108F3"/>
    <w:rsid w:val="001108FE"/>
    <w:rsid w:val="00110935"/>
    <w:rsid w:val="00110958"/>
    <w:rsid w:val="00110972"/>
    <w:rsid w:val="00110B97"/>
    <w:rsid w:val="00110D8F"/>
    <w:rsid w:val="00110DC2"/>
    <w:rsid w:val="001111DA"/>
    <w:rsid w:val="001111F0"/>
    <w:rsid w:val="0011137C"/>
    <w:rsid w:val="0011148A"/>
    <w:rsid w:val="0011178D"/>
    <w:rsid w:val="00111856"/>
    <w:rsid w:val="001118A0"/>
    <w:rsid w:val="00111931"/>
    <w:rsid w:val="00111C90"/>
    <w:rsid w:val="00111DE7"/>
    <w:rsid w:val="00111E0E"/>
    <w:rsid w:val="001120A2"/>
    <w:rsid w:val="001123E7"/>
    <w:rsid w:val="00112516"/>
    <w:rsid w:val="00112909"/>
    <w:rsid w:val="00112C80"/>
    <w:rsid w:val="00112D0A"/>
    <w:rsid w:val="00112E18"/>
    <w:rsid w:val="00112E5E"/>
    <w:rsid w:val="00112E67"/>
    <w:rsid w:val="00113026"/>
    <w:rsid w:val="0011344C"/>
    <w:rsid w:val="001136C7"/>
    <w:rsid w:val="0011384F"/>
    <w:rsid w:val="001138D2"/>
    <w:rsid w:val="0011397F"/>
    <w:rsid w:val="00113AE3"/>
    <w:rsid w:val="00113B16"/>
    <w:rsid w:val="00113B27"/>
    <w:rsid w:val="00113C86"/>
    <w:rsid w:val="00114069"/>
    <w:rsid w:val="0011411A"/>
    <w:rsid w:val="001141F2"/>
    <w:rsid w:val="001142C6"/>
    <w:rsid w:val="001143C0"/>
    <w:rsid w:val="0011441F"/>
    <w:rsid w:val="00114501"/>
    <w:rsid w:val="001145F4"/>
    <w:rsid w:val="00114734"/>
    <w:rsid w:val="00114B68"/>
    <w:rsid w:val="00114CDD"/>
    <w:rsid w:val="00114D41"/>
    <w:rsid w:val="00114D53"/>
    <w:rsid w:val="00115292"/>
    <w:rsid w:val="001153E5"/>
    <w:rsid w:val="0011542B"/>
    <w:rsid w:val="001154A1"/>
    <w:rsid w:val="001154B3"/>
    <w:rsid w:val="001157AA"/>
    <w:rsid w:val="00115998"/>
    <w:rsid w:val="00115A7C"/>
    <w:rsid w:val="00115B82"/>
    <w:rsid w:val="00115EB9"/>
    <w:rsid w:val="00116081"/>
    <w:rsid w:val="0011613F"/>
    <w:rsid w:val="0011628A"/>
    <w:rsid w:val="00116673"/>
    <w:rsid w:val="001166A5"/>
    <w:rsid w:val="0011688D"/>
    <w:rsid w:val="00116909"/>
    <w:rsid w:val="00116997"/>
    <w:rsid w:val="00116ACD"/>
    <w:rsid w:val="00116BCC"/>
    <w:rsid w:val="00116DA0"/>
    <w:rsid w:val="0011705A"/>
    <w:rsid w:val="001172B0"/>
    <w:rsid w:val="00117331"/>
    <w:rsid w:val="001173AE"/>
    <w:rsid w:val="001176F8"/>
    <w:rsid w:val="00117868"/>
    <w:rsid w:val="00117879"/>
    <w:rsid w:val="001178F7"/>
    <w:rsid w:val="00117D14"/>
    <w:rsid w:val="00117E1F"/>
    <w:rsid w:val="00117F57"/>
    <w:rsid w:val="00120173"/>
    <w:rsid w:val="00120524"/>
    <w:rsid w:val="00120887"/>
    <w:rsid w:val="00120B6C"/>
    <w:rsid w:val="00120C7A"/>
    <w:rsid w:val="00120DE7"/>
    <w:rsid w:val="00120FA8"/>
    <w:rsid w:val="0012128D"/>
    <w:rsid w:val="001215E9"/>
    <w:rsid w:val="0012161D"/>
    <w:rsid w:val="001216DA"/>
    <w:rsid w:val="00121708"/>
    <w:rsid w:val="00121956"/>
    <w:rsid w:val="00121984"/>
    <w:rsid w:val="00121E28"/>
    <w:rsid w:val="0012205B"/>
    <w:rsid w:val="00122198"/>
    <w:rsid w:val="00122222"/>
    <w:rsid w:val="0012236E"/>
    <w:rsid w:val="001223D7"/>
    <w:rsid w:val="001224C0"/>
    <w:rsid w:val="0012267B"/>
    <w:rsid w:val="001228D5"/>
    <w:rsid w:val="001228E5"/>
    <w:rsid w:val="00122DDF"/>
    <w:rsid w:val="00122E83"/>
    <w:rsid w:val="00122E9D"/>
    <w:rsid w:val="0012304B"/>
    <w:rsid w:val="001231DB"/>
    <w:rsid w:val="001231F1"/>
    <w:rsid w:val="00123587"/>
    <w:rsid w:val="00123765"/>
    <w:rsid w:val="001237C7"/>
    <w:rsid w:val="001239B2"/>
    <w:rsid w:val="00123CA4"/>
    <w:rsid w:val="00123FAD"/>
    <w:rsid w:val="00124281"/>
    <w:rsid w:val="001245AB"/>
    <w:rsid w:val="00124628"/>
    <w:rsid w:val="0012487B"/>
    <w:rsid w:val="001248DE"/>
    <w:rsid w:val="00124931"/>
    <w:rsid w:val="00124942"/>
    <w:rsid w:val="00124B89"/>
    <w:rsid w:val="00124C47"/>
    <w:rsid w:val="00124FDE"/>
    <w:rsid w:val="0012534E"/>
    <w:rsid w:val="001257A5"/>
    <w:rsid w:val="0012588F"/>
    <w:rsid w:val="001258E0"/>
    <w:rsid w:val="00125A13"/>
    <w:rsid w:val="00125ABC"/>
    <w:rsid w:val="00125D1C"/>
    <w:rsid w:val="00125EE5"/>
    <w:rsid w:val="00125FB8"/>
    <w:rsid w:val="001261F7"/>
    <w:rsid w:val="00126392"/>
    <w:rsid w:val="00126529"/>
    <w:rsid w:val="00126594"/>
    <w:rsid w:val="001267EB"/>
    <w:rsid w:val="0012688F"/>
    <w:rsid w:val="001268C2"/>
    <w:rsid w:val="001269E3"/>
    <w:rsid w:val="00126C51"/>
    <w:rsid w:val="00126FA1"/>
    <w:rsid w:val="00127018"/>
    <w:rsid w:val="00127187"/>
    <w:rsid w:val="001271AD"/>
    <w:rsid w:val="0012752E"/>
    <w:rsid w:val="001276FB"/>
    <w:rsid w:val="001279EF"/>
    <w:rsid w:val="00127A3F"/>
    <w:rsid w:val="00127B18"/>
    <w:rsid w:val="00127BD3"/>
    <w:rsid w:val="00127C9D"/>
    <w:rsid w:val="00127D7E"/>
    <w:rsid w:val="00127DEB"/>
    <w:rsid w:val="00127E88"/>
    <w:rsid w:val="0013005F"/>
    <w:rsid w:val="0013036A"/>
    <w:rsid w:val="00130617"/>
    <w:rsid w:val="00130655"/>
    <w:rsid w:val="00130736"/>
    <w:rsid w:val="0013076D"/>
    <w:rsid w:val="001307C3"/>
    <w:rsid w:val="0013086C"/>
    <w:rsid w:val="0013090E"/>
    <w:rsid w:val="00130A25"/>
    <w:rsid w:val="00130C9F"/>
    <w:rsid w:val="00130EF2"/>
    <w:rsid w:val="001311CF"/>
    <w:rsid w:val="0013120C"/>
    <w:rsid w:val="00131707"/>
    <w:rsid w:val="00131978"/>
    <w:rsid w:val="001319DE"/>
    <w:rsid w:val="00131B93"/>
    <w:rsid w:val="00131DDD"/>
    <w:rsid w:val="00131E97"/>
    <w:rsid w:val="00131EB2"/>
    <w:rsid w:val="0013203B"/>
    <w:rsid w:val="00132082"/>
    <w:rsid w:val="001320EB"/>
    <w:rsid w:val="001321D2"/>
    <w:rsid w:val="00132238"/>
    <w:rsid w:val="0013246C"/>
    <w:rsid w:val="0013247F"/>
    <w:rsid w:val="00132526"/>
    <w:rsid w:val="00132584"/>
    <w:rsid w:val="0013270C"/>
    <w:rsid w:val="00132A03"/>
    <w:rsid w:val="00132A2B"/>
    <w:rsid w:val="00132C8D"/>
    <w:rsid w:val="001330C5"/>
    <w:rsid w:val="001333C2"/>
    <w:rsid w:val="001334DF"/>
    <w:rsid w:val="0013362B"/>
    <w:rsid w:val="0013397D"/>
    <w:rsid w:val="00133A5D"/>
    <w:rsid w:val="00133C93"/>
    <w:rsid w:val="00133D51"/>
    <w:rsid w:val="00134037"/>
    <w:rsid w:val="00134299"/>
    <w:rsid w:val="0013440C"/>
    <w:rsid w:val="001344C1"/>
    <w:rsid w:val="00134797"/>
    <w:rsid w:val="00134911"/>
    <w:rsid w:val="0013493E"/>
    <w:rsid w:val="00134DBE"/>
    <w:rsid w:val="00134DE5"/>
    <w:rsid w:val="00134E2B"/>
    <w:rsid w:val="00134F2C"/>
    <w:rsid w:val="00134F73"/>
    <w:rsid w:val="0013516E"/>
    <w:rsid w:val="00135185"/>
    <w:rsid w:val="00135234"/>
    <w:rsid w:val="001352FC"/>
    <w:rsid w:val="001354E2"/>
    <w:rsid w:val="00135568"/>
    <w:rsid w:val="0013556E"/>
    <w:rsid w:val="001355ED"/>
    <w:rsid w:val="00135906"/>
    <w:rsid w:val="0013594E"/>
    <w:rsid w:val="001359BB"/>
    <w:rsid w:val="00135A88"/>
    <w:rsid w:val="00135B49"/>
    <w:rsid w:val="00135C80"/>
    <w:rsid w:val="00135D2D"/>
    <w:rsid w:val="00135DC2"/>
    <w:rsid w:val="00136057"/>
    <w:rsid w:val="001360A4"/>
    <w:rsid w:val="0013616A"/>
    <w:rsid w:val="00136180"/>
    <w:rsid w:val="001362BA"/>
    <w:rsid w:val="0013644B"/>
    <w:rsid w:val="0013649A"/>
    <w:rsid w:val="0013692F"/>
    <w:rsid w:val="00136A4C"/>
    <w:rsid w:val="00136A52"/>
    <w:rsid w:val="00136A95"/>
    <w:rsid w:val="00136BAE"/>
    <w:rsid w:val="00136C51"/>
    <w:rsid w:val="00136CBD"/>
    <w:rsid w:val="00136CFD"/>
    <w:rsid w:val="00136DB6"/>
    <w:rsid w:val="00136EF8"/>
    <w:rsid w:val="00137019"/>
    <w:rsid w:val="0013746F"/>
    <w:rsid w:val="00137530"/>
    <w:rsid w:val="0013782B"/>
    <w:rsid w:val="00137898"/>
    <w:rsid w:val="00137989"/>
    <w:rsid w:val="00137EC7"/>
    <w:rsid w:val="001401F7"/>
    <w:rsid w:val="00140685"/>
    <w:rsid w:val="00140799"/>
    <w:rsid w:val="001407DA"/>
    <w:rsid w:val="00140848"/>
    <w:rsid w:val="00140876"/>
    <w:rsid w:val="00140C81"/>
    <w:rsid w:val="00140D72"/>
    <w:rsid w:val="00140F6D"/>
    <w:rsid w:val="0014107B"/>
    <w:rsid w:val="00141253"/>
    <w:rsid w:val="00141266"/>
    <w:rsid w:val="001412F2"/>
    <w:rsid w:val="001416F3"/>
    <w:rsid w:val="001416FE"/>
    <w:rsid w:val="001417CE"/>
    <w:rsid w:val="001418D7"/>
    <w:rsid w:val="00141DA8"/>
    <w:rsid w:val="00141DAB"/>
    <w:rsid w:val="00141DE7"/>
    <w:rsid w:val="001420B7"/>
    <w:rsid w:val="001421BD"/>
    <w:rsid w:val="00142249"/>
    <w:rsid w:val="001423D4"/>
    <w:rsid w:val="001427F5"/>
    <w:rsid w:val="00142938"/>
    <w:rsid w:val="00142CF5"/>
    <w:rsid w:val="00142EC2"/>
    <w:rsid w:val="001430A9"/>
    <w:rsid w:val="001430C7"/>
    <w:rsid w:val="0014319A"/>
    <w:rsid w:val="00143462"/>
    <w:rsid w:val="001436B3"/>
    <w:rsid w:val="001436E1"/>
    <w:rsid w:val="0014378B"/>
    <w:rsid w:val="00143D0C"/>
    <w:rsid w:val="00144298"/>
    <w:rsid w:val="0014439E"/>
    <w:rsid w:val="0014447C"/>
    <w:rsid w:val="00144555"/>
    <w:rsid w:val="00144865"/>
    <w:rsid w:val="00144983"/>
    <w:rsid w:val="001449C0"/>
    <w:rsid w:val="00144B2B"/>
    <w:rsid w:val="00144B56"/>
    <w:rsid w:val="00145183"/>
    <w:rsid w:val="00145696"/>
    <w:rsid w:val="001456E9"/>
    <w:rsid w:val="00145774"/>
    <w:rsid w:val="00145C2C"/>
    <w:rsid w:val="00145C2E"/>
    <w:rsid w:val="00145DBE"/>
    <w:rsid w:val="00145E1E"/>
    <w:rsid w:val="00145EF1"/>
    <w:rsid w:val="0014600C"/>
    <w:rsid w:val="00146047"/>
    <w:rsid w:val="001460BE"/>
    <w:rsid w:val="0014611D"/>
    <w:rsid w:val="0014624B"/>
    <w:rsid w:val="00146356"/>
    <w:rsid w:val="0014642C"/>
    <w:rsid w:val="001468EA"/>
    <w:rsid w:val="00146BDA"/>
    <w:rsid w:val="00146BDE"/>
    <w:rsid w:val="00146C31"/>
    <w:rsid w:val="00146C4C"/>
    <w:rsid w:val="0014726E"/>
    <w:rsid w:val="001472C3"/>
    <w:rsid w:val="001472DE"/>
    <w:rsid w:val="00147362"/>
    <w:rsid w:val="001475F9"/>
    <w:rsid w:val="0014762F"/>
    <w:rsid w:val="00147656"/>
    <w:rsid w:val="00147685"/>
    <w:rsid w:val="00147796"/>
    <w:rsid w:val="001478CB"/>
    <w:rsid w:val="00147B32"/>
    <w:rsid w:val="00147D50"/>
    <w:rsid w:val="00147E03"/>
    <w:rsid w:val="00150160"/>
    <w:rsid w:val="001504B5"/>
    <w:rsid w:val="001505A5"/>
    <w:rsid w:val="00150604"/>
    <w:rsid w:val="001507A1"/>
    <w:rsid w:val="00150C64"/>
    <w:rsid w:val="00150D2C"/>
    <w:rsid w:val="00150D65"/>
    <w:rsid w:val="00150DA3"/>
    <w:rsid w:val="001511C8"/>
    <w:rsid w:val="0015123F"/>
    <w:rsid w:val="0015135A"/>
    <w:rsid w:val="001515EE"/>
    <w:rsid w:val="00151727"/>
    <w:rsid w:val="001518BA"/>
    <w:rsid w:val="00151929"/>
    <w:rsid w:val="00151D87"/>
    <w:rsid w:val="00151DE9"/>
    <w:rsid w:val="00151E76"/>
    <w:rsid w:val="00151EF3"/>
    <w:rsid w:val="001522D4"/>
    <w:rsid w:val="001522FC"/>
    <w:rsid w:val="00152665"/>
    <w:rsid w:val="0015290A"/>
    <w:rsid w:val="00152A30"/>
    <w:rsid w:val="00152AB4"/>
    <w:rsid w:val="00152B5F"/>
    <w:rsid w:val="00152CAE"/>
    <w:rsid w:val="00152E9E"/>
    <w:rsid w:val="00152EDE"/>
    <w:rsid w:val="00152F89"/>
    <w:rsid w:val="00152FC2"/>
    <w:rsid w:val="00153552"/>
    <w:rsid w:val="0015361C"/>
    <w:rsid w:val="001536B1"/>
    <w:rsid w:val="00153726"/>
    <w:rsid w:val="0015382B"/>
    <w:rsid w:val="001538E6"/>
    <w:rsid w:val="00153AFA"/>
    <w:rsid w:val="00153B70"/>
    <w:rsid w:val="00153CF0"/>
    <w:rsid w:val="00153EE7"/>
    <w:rsid w:val="00153F2E"/>
    <w:rsid w:val="001540A9"/>
    <w:rsid w:val="001540BC"/>
    <w:rsid w:val="0015432D"/>
    <w:rsid w:val="001543E7"/>
    <w:rsid w:val="00154469"/>
    <w:rsid w:val="00154474"/>
    <w:rsid w:val="00154517"/>
    <w:rsid w:val="001546F9"/>
    <w:rsid w:val="001548BA"/>
    <w:rsid w:val="00154E08"/>
    <w:rsid w:val="00154FFA"/>
    <w:rsid w:val="001550BE"/>
    <w:rsid w:val="001550D9"/>
    <w:rsid w:val="001551E9"/>
    <w:rsid w:val="00155328"/>
    <w:rsid w:val="001554C8"/>
    <w:rsid w:val="001554CE"/>
    <w:rsid w:val="001555A7"/>
    <w:rsid w:val="001555E8"/>
    <w:rsid w:val="0015590E"/>
    <w:rsid w:val="00155B90"/>
    <w:rsid w:val="00155C2D"/>
    <w:rsid w:val="00155C30"/>
    <w:rsid w:val="00155CF0"/>
    <w:rsid w:val="00155E6B"/>
    <w:rsid w:val="00156149"/>
    <w:rsid w:val="0015626E"/>
    <w:rsid w:val="00156560"/>
    <w:rsid w:val="00156820"/>
    <w:rsid w:val="00156BC5"/>
    <w:rsid w:val="00156C8A"/>
    <w:rsid w:val="00156ECC"/>
    <w:rsid w:val="00156F85"/>
    <w:rsid w:val="00157848"/>
    <w:rsid w:val="00157923"/>
    <w:rsid w:val="00157C09"/>
    <w:rsid w:val="00157C2E"/>
    <w:rsid w:val="00157C3E"/>
    <w:rsid w:val="00157EAF"/>
    <w:rsid w:val="001604FC"/>
    <w:rsid w:val="001607B8"/>
    <w:rsid w:val="00160967"/>
    <w:rsid w:val="00160B1F"/>
    <w:rsid w:val="00160B73"/>
    <w:rsid w:val="00160CB7"/>
    <w:rsid w:val="00160DAC"/>
    <w:rsid w:val="00160EA8"/>
    <w:rsid w:val="00160EFF"/>
    <w:rsid w:val="00160FAF"/>
    <w:rsid w:val="00161027"/>
    <w:rsid w:val="0016104D"/>
    <w:rsid w:val="00161126"/>
    <w:rsid w:val="00161185"/>
    <w:rsid w:val="00161288"/>
    <w:rsid w:val="00161441"/>
    <w:rsid w:val="00161502"/>
    <w:rsid w:val="00161C5E"/>
    <w:rsid w:val="00161DE6"/>
    <w:rsid w:val="00161ED5"/>
    <w:rsid w:val="001620D8"/>
    <w:rsid w:val="001621B5"/>
    <w:rsid w:val="001625FF"/>
    <w:rsid w:val="0016260A"/>
    <w:rsid w:val="00162624"/>
    <w:rsid w:val="0016277C"/>
    <w:rsid w:val="00162782"/>
    <w:rsid w:val="00162A07"/>
    <w:rsid w:val="00162AE8"/>
    <w:rsid w:val="00162C62"/>
    <w:rsid w:val="00162F63"/>
    <w:rsid w:val="001633F3"/>
    <w:rsid w:val="0016353D"/>
    <w:rsid w:val="00163547"/>
    <w:rsid w:val="00163705"/>
    <w:rsid w:val="001638E4"/>
    <w:rsid w:val="00163AB4"/>
    <w:rsid w:val="00163C7A"/>
    <w:rsid w:val="00163D0D"/>
    <w:rsid w:val="00163D62"/>
    <w:rsid w:val="0016425C"/>
    <w:rsid w:val="00164313"/>
    <w:rsid w:val="0016441F"/>
    <w:rsid w:val="001647A5"/>
    <w:rsid w:val="00164975"/>
    <w:rsid w:val="00164B82"/>
    <w:rsid w:val="00164C58"/>
    <w:rsid w:val="00165331"/>
    <w:rsid w:val="00165535"/>
    <w:rsid w:val="00165621"/>
    <w:rsid w:val="00165678"/>
    <w:rsid w:val="0016597D"/>
    <w:rsid w:val="001659F6"/>
    <w:rsid w:val="00165D89"/>
    <w:rsid w:val="0016650E"/>
    <w:rsid w:val="00166513"/>
    <w:rsid w:val="001665E8"/>
    <w:rsid w:val="00166661"/>
    <w:rsid w:val="001666C6"/>
    <w:rsid w:val="001669D9"/>
    <w:rsid w:val="00166D79"/>
    <w:rsid w:val="00166FA8"/>
    <w:rsid w:val="001671C4"/>
    <w:rsid w:val="00167540"/>
    <w:rsid w:val="00167649"/>
    <w:rsid w:val="001677AC"/>
    <w:rsid w:val="0016780E"/>
    <w:rsid w:val="00167AB5"/>
    <w:rsid w:val="00167E19"/>
    <w:rsid w:val="0017030A"/>
    <w:rsid w:val="00170315"/>
    <w:rsid w:val="00170392"/>
    <w:rsid w:val="0017068F"/>
    <w:rsid w:val="001706AB"/>
    <w:rsid w:val="001707CD"/>
    <w:rsid w:val="00170809"/>
    <w:rsid w:val="0017094A"/>
    <w:rsid w:val="00170991"/>
    <w:rsid w:val="00170A8B"/>
    <w:rsid w:val="00170AF5"/>
    <w:rsid w:val="00170B40"/>
    <w:rsid w:val="00170DA3"/>
    <w:rsid w:val="00170EC9"/>
    <w:rsid w:val="00170EF5"/>
    <w:rsid w:val="0017109F"/>
    <w:rsid w:val="0017119D"/>
    <w:rsid w:val="0017126D"/>
    <w:rsid w:val="001716D4"/>
    <w:rsid w:val="00171751"/>
    <w:rsid w:val="001718AA"/>
    <w:rsid w:val="00171A08"/>
    <w:rsid w:val="00171AB8"/>
    <w:rsid w:val="00171C31"/>
    <w:rsid w:val="00171D28"/>
    <w:rsid w:val="00171E02"/>
    <w:rsid w:val="00171FEB"/>
    <w:rsid w:val="001721B5"/>
    <w:rsid w:val="001721FF"/>
    <w:rsid w:val="001725E1"/>
    <w:rsid w:val="001727C7"/>
    <w:rsid w:val="00172AA9"/>
    <w:rsid w:val="00172AAC"/>
    <w:rsid w:val="00172CC9"/>
    <w:rsid w:val="00172D8C"/>
    <w:rsid w:val="00172E9A"/>
    <w:rsid w:val="001730C9"/>
    <w:rsid w:val="0017343C"/>
    <w:rsid w:val="00173585"/>
    <w:rsid w:val="0017398C"/>
    <w:rsid w:val="001739EF"/>
    <w:rsid w:val="00173A31"/>
    <w:rsid w:val="00173C17"/>
    <w:rsid w:val="00173C3C"/>
    <w:rsid w:val="00173D2E"/>
    <w:rsid w:val="00173E43"/>
    <w:rsid w:val="00173EA3"/>
    <w:rsid w:val="00173ECD"/>
    <w:rsid w:val="00174381"/>
    <w:rsid w:val="00174451"/>
    <w:rsid w:val="00174971"/>
    <w:rsid w:val="00174A93"/>
    <w:rsid w:val="00174DA2"/>
    <w:rsid w:val="00174DE3"/>
    <w:rsid w:val="00175139"/>
    <w:rsid w:val="001751C0"/>
    <w:rsid w:val="0017522E"/>
    <w:rsid w:val="00175546"/>
    <w:rsid w:val="0017575A"/>
    <w:rsid w:val="00175B1E"/>
    <w:rsid w:val="00175B45"/>
    <w:rsid w:val="00175D2C"/>
    <w:rsid w:val="00175D85"/>
    <w:rsid w:val="00175E24"/>
    <w:rsid w:val="00175F07"/>
    <w:rsid w:val="00175FA4"/>
    <w:rsid w:val="00176082"/>
    <w:rsid w:val="001760A8"/>
    <w:rsid w:val="00176178"/>
    <w:rsid w:val="001761E2"/>
    <w:rsid w:val="0017637E"/>
    <w:rsid w:val="00176D11"/>
    <w:rsid w:val="00176DDD"/>
    <w:rsid w:val="00176EF2"/>
    <w:rsid w:val="00176F49"/>
    <w:rsid w:val="00176FC7"/>
    <w:rsid w:val="00177061"/>
    <w:rsid w:val="00177557"/>
    <w:rsid w:val="00177854"/>
    <w:rsid w:val="001778F2"/>
    <w:rsid w:val="00177AB4"/>
    <w:rsid w:val="00177BDB"/>
    <w:rsid w:val="00177C94"/>
    <w:rsid w:val="00177CA3"/>
    <w:rsid w:val="00177D22"/>
    <w:rsid w:val="00177E1E"/>
    <w:rsid w:val="00177E72"/>
    <w:rsid w:val="00177F14"/>
    <w:rsid w:val="00177F4E"/>
    <w:rsid w:val="00177F96"/>
    <w:rsid w:val="0018005C"/>
    <w:rsid w:val="001801B6"/>
    <w:rsid w:val="00180491"/>
    <w:rsid w:val="0018054F"/>
    <w:rsid w:val="001806DA"/>
    <w:rsid w:val="00180706"/>
    <w:rsid w:val="00180760"/>
    <w:rsid w:val="001807F4"/>
    <w:rsid w:val="001808B6"/>
    <w:rsid w:val="00180AD1"/>
    <w:rsid w:val="00180BA6"/>
    <w:rsid w:val="00180BAC"/>
    <w:rsid w:val="00180BAD"/>
    <w:rsid w:val="00180CFD"/>
    <w:rsid w:val="00180F0C"/>
    <w:rsid w:val="001812B7"/>
    <w:rsid w:val="00181538"/>
    <w:rsid w:val="00181767"/>
    <w:rsid w:val="0018177F"/>
    <w:rsid w:val="00181912"/>
    <w:rsid w:val="00181AAA"/>
    <w:rsid w:val="00181B36"/>
    <w:rsid w:val="00181BD9"/>
    <w:rsid w:val="00181E61"/>
    <w:rsid w:val="00181FEA"/>
    <w:rsid w:val="0018239B"/>
    <w:rsid w:val="001825CE"/>
    <w:rsid w:val="00182733"/>
    <w:rsid w:val="00182754"/>
    <w:rsid w:val="00182872"/>
    <w:rsid w:val="0018298F"/>
    <w:rsid w:val="00182A36"/>
    <w:rsid w:val="00182BE5"/>
    <w:rsid w:val="00182DE0"/>
    <w:rsid w:val="001833E1"/>
    <w:rsid w:val="001835E1"/>
    <w:rsid w:val="0018372E"/>
    <w:rsid w:val="00183765"/>
    <w:rsid w:val="0018382A"/>
    <w:rsid w:val="001838E7"/>
    <w:rsid w:val="001838F0"/>
    <w:rsid w:val="00183A27"/>
    <w:rsid w:val="00183A41"/>
    <w:rsid w:val="00183B22"/>
    <w:rsid w:val="00183B9B"/>
    <w:rsid w:val="00183D88"/>
    <w:rsid w:val="00183EA1"/>
    <w:rsid w:val="0018405F"/>
    <w:rsid w:val="001841DF"/>
    <w:rsid w:val="00184230"/>
    <w:rsid w:val="001843EC"/>
    <w:rsid w:val="00184549"/>
    <w:rsid w:val="0018479E"/>
    <w:rsid w:val="00184AAF"/>
    <w:rsid w:val="00184B9C"/>
    <w:rsid w:val="00184BAA"/>
    <w:rsid w:val="00184C42"/>
    <w:rsid w:val="00184D6A"/>
    <w:rsid w:val="0018509B"/>
    <w:rsid w:val="00185359"/>
    <w:rsid w:val="0018536F"/>
    <w:rsid w:val="00185B60"/>
    <w:rsid w:val="00185D6F"/>
    <w:rsid w:val="00185E11"/>
    <w:rsid w:val="001861BD"/>
    <w:rsid w:val="001861D6"/>
    <w:rsid w:val="0018649A"/>
    <w:rsid w:val="0018650C"/>
    <w:rsid w:val="0018656B"/>
    <w:rsid w:val="00186570"/>
    <w:rsid w:val="0018661B"/>
    <w:rsid w:val="0018676B"/>
    <w:rsid w:val="00186789"/>
    <w:rsid w:val="001868D2"/>
    <w:rsid w:val="00186CF2"/>
    <w:rsid w:val="00186D1E"/>
    <w:rsid w:val="00186DE9"/>
    <w:rsid w:val="001872F8"/>
    <w:rsid w:val="0018731F"/>
    <w:rsid w:val="00187375"/>
    <w:rsid w:val="00187404"/>
    <w:rsid w:val="00187479"/>
    <w:rsid w:val="001874DD"/>
    <w:rsid w:val="001874E5"/>
    <w:rsid w:val="00187547"/>
    <w:rsid w:val="00187887"/>
    <w:rsid w:val="00187DC6"/>
    <w:rsid w:val="00187F0D"/>
    <w:rsid w:val="00187FE7"/>
    <w:rsid w:val="00187FE9"/>
    <w:rsid w:val="001900DD"/>
    <w:rsid w:val="001901AA"/>
    <w:rsid w:val="001903ED"/>
    <w:rsid w:val="00190450"/>
    <w:rsid w:val="001906F3"/>
    <w:rsid w:val="00190713"/>
    <w:rsid w:val="00190743"/>
    <w:rsid w:val="00190B9B"/>
    <w:rsid w:val="00190C73"/>
    <w:rsid w:val="00190EEB"/>
    <w:rsid w:val="00190FCD"/>
    <w:rsid w:val="0019122C"/>
    <w:rsid w:val="0019133A"/>
    <w:rsid w:val="0019144D"/>
    <w:rsid w:val="001916FA"/>
    <w:rsid w:val="0019170B"/>
    <w:rsid w:val="00191720"/>
    <w:rsid w:val="0019189B"/>
    <w:rsid w:val="00191D84"/>
    <w:rsid w:val="00191E46"/>
    <w:rsid w:val="00191FC5"/>
    <w:rsid w:val="00191FFD"/>
    <w:rsid w:val="00192015"/>
    <w:rsid w:val="00192090"/>
    <w:rsid w:val="0019218A"/>
    <w:rsid w:val="001922F0"/>
    <w:rsid w:val="001924A1"/>
    <w:rsid w:val="00192643"/>
    <w:rsid w:val="00192671"/>
    <w:rsid w:val="0019267A"/>
    <w:rsid w:val="001927FE"/>
    <w:rsid w:val="00192936"/>
    <w:rsid w:val="00192A7C"/>
    <w:rsid w:val="00192BD7"/>
    <w:rsid w:val="00192D42"/>
    <w:rsid w:val="00192E95"/>
    <w:rsid w:val="0019309F"/>
    <w:rsid w:val="001930AD"/>
    <w:rsid w:val="001933E7"/>
    <w:rsid w:val="001934E3"/>
    <w:rsid w:val="00193C37"/>
    <w:rsid w:val="00193DC0"/>
    <w:rsid w:val="00193F3A"/>
    <w:rsid w:val="00193F6E"/>
    <w:rsid w:val="0019401A"/>
    <w:rsid w:val="001940FB"/>
    <w:rsid w:val="00194249"/>
    <w:rsid w:val="0019442B"/>
    <w:rsid w:val="001944A8"/>
    <w:rsid w:val="001947A9"/>
    <w:rsid w:val="001947C0"/>
    <w:rsid w:val="00194967"/>
    <w:rsid w:val="00194AE7"/>
    <w:rsid w:val="00194BC6"/>
    <w:rsid w:val="00194BF6"/>
    <w:rsid w:val="00194BFC"/>
    <w:rsid w:val="00194E69"/>
    <w:rsid w:val="001951D8"/>
    <w:rsid w:val="0019520F"/>
    <w:rsid w:val="00195235"/>
    <w:rsid w:val="001952D4"/>
    <w:rsid w:val="0019536F"/>
    <w:rsid w:val="0019541E"/>
    <w:rsid w:val="001958A6"/>
    <w:rsid w:val="00195B31"/>
    <w:rsid w:val="00195F0C"/>
    <w:rsid w:val="00195FE5"/>
    <w:rsid w:val="0019601E"/>
    <w:rsid w:val="001963D4"/>
    <w:rsid w:val="0019644E"/>
    <w:rsid w:val="001965E8"/>
    <w:rsid w:val="0019678E"/>
    <w:rsid w:val="001969BB"/>
    <w:rsid w:val="00196B54"/>
    <w:rsid w:val="00196B5C"/>
    <w:rsid w:val="00196EC9"/>
    <w:rsid w:val="00197333"/>
    <w:rsid w:val="00197728"/>
    <w:rsid w:val="00197735"/>
    <w:rsid w:val="00197798"/>
    <w:rsid w:val="001978B4"/>
    <w:rsid w:val="001978F4"/>
    <w:rsid w:val="00197A10"/>
    <w:rsid w:val="00197EBF"/>
    <w:rsid w:val="00197EF7"/>
    <w:rsid w:val="00197F8F"/>
    <w:rsid w:val="00197FBE"/>
    <w:rsid w:val="001A010A"/>
    <w:rsid w:val="001A024E"/>
    <w:rsid w:val="001A02E6"/>
    <w:rsid w:val="001A0304"/>
    <w:rsid w:val="001A031B"/>
    <w:rsid w:val="001A03C9"/>
    <w:rsid w:val="001A0659"/>
    <w:rsid w:val="001A0873"/>
    <w:rsid w:val="001A08D5"/>
    <w:rsid w:val="001A0AB1"/>
    <w:rsid w:val="001A0D11"/>
    <w:rsid w:val="001A0E2B"/>
    <w:rsid w:val="001A0E74"/>
    <w:rsid w:val="001A11C3"/>
    <w:rsid w:val="001A1250"/>
    <w:rsid w:val="001A126F"/>
    <w:rsid w:val="001A12C1"/>
    <w:rsid w:val="001A149C"/>
    <w:rsid w:val="001A14F8"/>
    <w:rsid w:val="001A15A7"/>
    <w:rsid w:val="001A1616"/>
    <w:rsid w:val="001A1792"/>
    <w:rsid w:val="001A17D7"/>
    <w:rsid w:val="001A1825"/>
    <w:rsid w:val="001A18CD"/>
    <w:rsid w:val="001A1A65"/>
    <w:rsid w:val="001A1AC1"/>
    <w:rsid w:val="001A1B32"/>
    <w:rsid w:val="001A207E"/>
    <w:rsid w:val="001A2547"/>
    <w:rsid w:val="001A2581"/>
    <w:rsid w:val="001A26F7"/>
    <w:rsid w:val="001A272C"/>
    <w:rsid w:val="001A27EA"/>
    <w:rsid w:val="001A283F"/>
    <w:rsid w:val="001A29AB"/>
    <w:rsid w:val="001A2BFB"/>
    <w:rsid w:val="001A2C4E"/>
    <w:rsid w:val="001A2CE7"/>
    <w:rsid w:val="001A2DCE"/>
    <w:rsid w:val="001A2DFF"/>
    <w:rsid w:val="001A2F01"/>
    <w:rsid w:val="001A30E7"/>
    <w:rsid w:val="001A327A"/>
    <w:rsid w:val="001A350F"/>
    <w:rsid w:val="001A3A00"/>
    <w:rsid w:val="001A3B21"/>
    <w:rsid w:val="001A3B67"/>
    <w:rsid w:val="001A3D25"/>
    <w:rsid w:val="001A3D60"/>
    <w:rsid w:val="001A3E27"/>
    <w:rsid w:val="001A3FFA"/>
    <w:rsid w:val="001A4063"/>
    <w:rsid w:val="001A40BB"/>
    <w:rsid w:val="001A41A1"/>
    <w:rsid w:val="001A4365"/>
    <w:rsid w:val="001A446D"/>
    <w:rsid w:val="001A49CD"/>
    <w:rsid w:val="001A4ABC"/>
    <w:rsid w:val="001A4B07"/>
    <w:rsid w:val="001A4BDC"/>
    <w:rsid w:val="001A4DFC"/>
    <w:rsid w:val="001A4F18"/>
    <w:rsid w:val="001A4FA7"/>
    <w:rsid w:val="001A5014"/>
    <w:rsid w:val="001A520E"/>
    <w:rsid w:val="001A52F4"/>
    <w:rsid w:val="001A5399"/>
    <w:rsid w:val="001A5473"/>
    <w:rsid w:val="001A565E"/>
    <w:rsid w:val="001A582A"/>
    <w:rsid w:val="001A59BD"/>
    <w:rsid w:val="001A6037"/>
    <w:rsid w:val="001A6174"/>
    <w:rsid w:val="001A61D8"/>
    <w:rsid w:val="001A621E"/>
    <w:rsid w:val="001A6290"/>
    <w:rsid w:val="001A6417"/>
    <w:rsid w:val="001A64E3"/>
    <w:rsid w:val="001A656C"/>
    <w:rsid w:val="001A65F7"/>
    <w:rsid w:val="001A6750"/>
    <w:rsid w:val="001A6819"/>
    <w:rsid w:val="001A691F"/>
    <w:rsid w:val="001A6BED"/>
    <w:rsid w:val="001A6DB0"/>
    <w:rsid w:val="001A6EE4"/>
    <w:rsid w:val="001A6F92"/>
    <w:rsid w:val="001A729C"/>
    <w:rsid w:val="001A7371"/>
    <w:rsid w:val="001A741A"/>
    <w:rsid w:val="001A7447"/>
    <w:rsid w:val="001A7524"/>
    <w:rsid w:val="001A76EE"/>
    <w:rsid w:val="001A79A0"/>
    <w:rsid w:val="001A7C1A"/>
    <w:rsid w:val="001A7EB6"/>
    <w:rsid w:val="001A7F25"/>
    <w:rsid w:val="001A7F75"/>
    <w:rsid w:val="001A7FE2"/>
    <w:rsid w:val="001A7FE6"/>
    <w:rsid w:val="001B000D"/>
    <w:rsid w:val="001B0118"/>
    <w:rsid w:val="001B0464"/>
    <w:rsid w:val="001B0588"/>
    <w:rsid w:val="001B05B7"/>
    <w:rsid w:val="001B062D"/>
    <w:rsid w:val="001B0667"/>
    <w:rsid w:val="001B0AB6"/>
    <w:rsid w:val="001B0C12"/>
    <w:rsid w:val="001B0DD4"/>
    <w:rsid w:val="001B0FC6"/>
    <w:rsid w:val="001B1271"/>
    <w:rsid w:val="001B12AD"/>
    <w:rsid w:val="001B14A0"/>
    <w:rsid w:val="001B1577"/>
    <w:rsid w:val="001B1C4D"/>
    <w:rsid w:val="001B1EEF"/>
    <w:rsid w:val="001B1EFE"/>
    <w:rsid w:val="001B1F25"/>
    <w:rsid w:val="001B215E"/>
    <w:rsid w:val="001B2403"/>
    <w:rsid w:val="001B26D5"/>
    <w:rsid w:val="001B28CA"/>
    <w:rsid w:val="001B2988"/>
    <w:rsid w:val="001B2DEB"/>
    <w:rsid w:val="001B2E5F"/>
    <w:rsid w:val="001B3073"/>
    <w:rsid w:val="001B30D2"/>
    <w:rsid w:val="001B333A"/>
    <w:rsid w:val="001B350D"/>
    <w:rsid w:val="001B3705"/>
    <w:rsid w:val="001B376B"/>
    <w:rsid w:val="001B37A0"/>
    <w:rsid w:val="001B38A8"/>
    <w:rsid w:val="001B3949"/>
    <w:rsid w:val="001B39F4"/>
    <w:rsid w:val="001B3D32"/>
    <w:rsid w:val="001B3E04"/>
    <w:rsid w:val="001B4067"/>
    <w:rsid w:val="001B40A8"/>
    <w:rsid w:val="001B4127"/>
    <w:rsid w:val="001B4145"/>
    <w:rsid w:val="001B4289"/>
    <w:rsid w:val="001B42AC"/>
    <w:rsid w:val="001B42B1"/>
    <w:rsid w:val="001B4501"/>
    <w:rsid w:val="001B4AD2"/>
    <w:rsid w:val="001B4BD9"/>
    <w:rsid w:val="001B4CB8"/>
    <w:rsid w:val="001B4F59"/>
    <w:rsid w:val="001B5023"/>
    <w:rsid w:val="001B50D3"/>
    <w:rsid w:val="001B5264"/>
    <w:rsid w:val="001B53D5"/>
    <w:rsid w:val="001B5445"/>
    <w:rsid w:val="001B5515"/>
    <w:rsid w:val="001B559C"/>
    <w:rsid w:val="001B5627"/>
    <w:rsid w:val="001B57B0"/>
    <w:rsid w:val="001B57D8"/>
    <w:rsid w:val="001B5BF5"/>
    <w:rsid w:val="001B5C01"/>
    <w:rsid w:val="001B5EB1"/>
    <w:rsid w:val="001B6014"/>
    <w:rsid w:val="001B606B"/>
    <w:rsid w:val="001B628D"/>
    <w:rsid w:val="001B63D4"/>
    <w:rsid w:val="001B646F"/>
    <w:rsid w:val="001B65D9"/>
    <w:rsid w:val="001B65EE"/>
    <w:rsid w:val="001B6659"/>
    <w:rsid w:val="001B6951"/>
    <w:rsid w:val="001B69BD"/>
    <w:rsid w:val="001B69D2"/>
    <w:rsid w:val="001B6A04"/>
    <w:rsid w:val="001B6C45"/>
    <w:rsid w:val="001B6C55"/>
    <w:rsid w:val="001B6D65"/>
    <w:rsid w:val="001B72DA"/>
    <w:rsid w:val="001B7471"/>
    <w:rsid w:val="001B769A"/>
    <w:rsid w:val="001B774D"/>
    <w:rsid w:val="001B786A"/>
    <w:rsid w:val="001B794A"/>
    <w:rsid w:val="001B7C29"/>
    <w:rsid w:val="001B7DCE"/>
    <w:rsid w:val="001B7DFE"/>
    <w:rsid w:val="001B7EB8"/>
    <w:rsid w:val="001B7FB3"/>
    <w:rsid w:val="001B7FD6"/>
    <w:rsid w:val="001C02A7"/>
    <w:rsid w:val="001C02BD"/>
    <w:rsid w:val="001C04F3"/>
    <w:rsid w:val="001C069F"/>
    <w:rsid w:val="001C08EF"/>
    <w:rsid w:val="001C09CF"/>
    <w:rsid w:val="001C0AF8"/>
    <w:rsid w:val="001C0B07"/>
    <w:rsid w:val="001C0B46"/>
    <w:rsid w:val="001C0C3A"/>
    <w:rsid w:val="001C0C7B"/>
    <w:rsid w:val="001C0D28"/>
    <w:rsid w:val="001C0DA4"/>
    <w:rsid w:val="001C0F47"/>
    <w:rsid w:val="001C10F2"/>
    <w:rsid w:val="001C11D4"/>
    <w:rsid w:val="001C127E"/>
    <w:rsid w:val="001C129E"/>
    <w:rsid w:val="001C1356"/>
    <w:rsid w:val="001C13B3"/>
    <w:rsid w:val="001C14B5"/>
    <w:rsid w:val="001C1548"/>
    <w:rsid w:val="001C172E"/>
    <w:rsid w:val="001C17F6"/>
    <w:rsid w:val="001C1866"/>
    <w:rsid w:val="001C1A7A"/>
    <w:rsid w:val="001C1C5B"/>
    <w:rsid w:val="001C1EC9"/>
    <w:rsid w:val="001C1FE1"/>
    <w:rsid w:val="001C2224"/>
    <w:rsid w:val="001C223B"/>
    <w:rsid w:val="001C22E9"/>
    <w:rsid w:val="001C2465"/>
    <w:rsid w:val="001C26F1"/>
    <w:rsid w:val="001C28E0"/>
    <w:rsid w:val="001C29EC"/>
    <w:rsid w:val="001C29F7"/>
    <w:rsid w:val="001C2A51"/>
    <w:rsid w:val="001C2D00"/>
    <w:rsid w:val="001C2D45"/>
    <w:rsid w:val="001C2F2F"/>
    <w:rsid w:val="001C2F67"/>
    <w:rsid w:val="001C2F6F"/>
    <w:rsid w:val="001C30BF"/>
    <w:rsid w:val="001C341B"/>
    <w:rsid w:val="001C3623"/>
    <w:rsid w:val="001C3665"/>
    <w:rsid w:val="001C368F"/>
    <w:rsid w:val="001C378B"/>
    <w:rsid w:val="001C37C6"/>
    <w:rsid w:val="001C38F4"/>
    <w:rsid w:val="001C3DF5"/>
    <w:rsid w:val="001C3EA2"/>
    <w:rsid w:val="001C3F5D"/>
    <w:rsid w:val="001C3FB3"/>
    <w:rsid w:val="001C40F5"/>
    <w:rsid w:val="001C4529"/>
    <w:rsid w:val="001C456A"/>
    <w:rsid w:val="001C4647"/>
    <w:rsid w:val="001C4650"/>
    <w:rsid w:val="001C4B0F"/>
    <w:rsid w:val="001C4B6B"/>
    <w:rsid w:val="001C4DE1"/>
    <w:rsid w:val="001C4E54"/>
    <w:rsid w:val="001C4F09"/>
    <w:rsid w:val="001C507C"/>
    <w:rsid w:val="001C527D"/>
    <w:rsid w:val="001C53D4"/>
    <w:rsid w:val="001C554A"/>
    <w:rsid w:val="001C57FE"/>
    <w:rsid w:val="001C59DD"/>
    <w:rsid w:val="001C5AB9"/>
    <w:rsid w:val="001C5C4F"/>
    <w:rsid w:val="001C5CE1"/>
    <w:rsid w:val="001C6193"/>
    <w:rsid w:val="001C6266"/>
    <w:rsid w:val="001C629D"/>
    <w:rsid w:val="001C63B2"/>
    <w:rsid w:val="001C64A2"/>
    <w:rsid w:val="001C656C"/>
    <w:rsid w:val="001C658F"/>
    <w:rsid w:val="001C65B2"/>
    <w:rsid w:val="001C65C6"/>
    <w:rsid w:val="001C6C81"/>
    <w:rsid w:val="001C6CA3"/>
    <w:rsid w:val="001C6F8F"/>
    <w:rsid w:val="001C7304"/>
    <w:rsid w:val="001C7364"/>
    <w:rsid w:val="001C7597"/>
    <w:rsid w:val="001C775B"/>
    <w:rsid w:val="001C7A6B"/>
    <w:rsid w:val="001C7B8F"/>
    <w:rsid w:val="001C7C0F"/>
    <w:rsid w:val="001C7E6A"/>
    <w:rsid w:val="001C7F3F"/>
    <w:rsid w:val="001D000E"/>
    <w:rsid w:val="001D01BF"/>
    <w:rsid w:val="001D01FA"/>
    <w:rsid w:val="001D0685"/>
    <w:rsid w:val="001D07D2"/>
    <w:rsid w:val="001D09E0"/>
    <w:rsid w:val="001D0A57"/>
    <w:rsid w:val="001D0AFC"/>
    <w:rsid w:val="001D0B59"/>
    <w:rsid w:val="001D0CE7"/>
    <w:rsid w:val="001D0E2E"/>
    <w:rsid w:val="001D0F42"/>
    <w:rsid w:val="001D0F52"/>
    <w:rsid w:val="001D1132"/>
    <w:rsid w:val="001D132E"/>
    <w:rsid w:val="001D14AF"/>
    <w:rsid w:val="001D16C7"/>
    <w:rsid w:val="001D1C9F"/>
    <w:rsid w:val="001D1CDF"/>
    <w:rsid w:val="001D1F38"/>
    <w:rsid w:val="001D1FCD"/>
    <w:rsid w:val="001D20F9"/>
    <w:rsid w:val="001D23DB"/>
    <w:rsid w:val="001D23EF"/>
    <w:rsid w:val="001D269F"/>
    <w:rsid w:val="001D2A23"/>
    <w:rsid w:val="001D2A8A"/>
    <w:rsid w:val="001D2AAD"/>
    <w:rsid w:val="001D2B1D"/>
    <w:rsid w:val="001D2E84"/>
    <w:rsid w:val="001D2EF6"/>
    <w:rsid w:val="001D3019"/>
    <w:rsid w:val="001D3080"/>
    <w:rsid w:val="001D3112"/>
    <w:rsid w:val="001D3379"/>
    <w:rsid w:val="001D33EE"/>
    <w:rsid w:val="001D3540"/>
    <w:rsid w:val="001D36EF"/>
    <w:rsid w:val="001D37CA"/>
    <w:rsid w:val="001D3945"/>
    <w:rsid w:val="001D39C9"/>
    <w:rsid w:val="001D3E00"/>
    <w:rsid w:val="001D3F95"/>
    <w:rsid w:val="001D4289"/>
    <w:rsid w:val="001D432F"/>
    <w:rsid w:val="001D46C2"/>
    <w:rsid w:val="001D4738"/>
    <w:rsid w:val="001D47CE"/>
    <w:rsid w:val="001D48E8"/>
    <w:rsid w:val="001D4B9B"/>
    <w:rsid w:val="001D4EEF"/>
    <w:rsid w:val="001D502F"/>
    <w:rsid w:val="001D53B4"/>
    <w:rsid w:val="001D55E1"/>
    <w:rsid w:val="001D596D"/>
    <w:rsid w:val="001D599B"/>
    <w:rsid w:val="001D5A33"/>
    <w:rsid w:val="001D5C07"/>
    <w:rsid w:val="001D5C9D"/>
    <w:rsid w:val="001D5E7E"/>
    <w:rsid w:val="001D5FAE"/>
    <w:rsid w:val="001D608F"/>
    <w:rsid w:val="001D6113"/>
    <w:rsid w:val="001D6680"/>
    <w:rsid w:val="001D66B9"/>
    <w:rsid w:val="001D672A"/>
    <w:rsid w:val="001D67CE"/>
    <w:rsid w:val="001D69BA"/>
    <w:rsid w:val="001D6D12"/>
    <w:rsid w:val="001D6E33"/>
    <w:rsid w:val="001D6EF0"/>
    <w:rsid w:val="001D7132"/>
    <w:rsid w:val="001D718F"/>
    <w:rsid w:val="001D71D8"/>
    <w:rsid w:val="001D738A"/>
    <w:rsid w:val="001D7420"/>
    <w:rsid w:val="001D7696"/>
    <w:rsid w:val="001D7807"/>
    <w:rsid w:val="001D78B5"/>
    <w:rsid w:val="001D7C0B"/>
    <w:rsid w:val="001E0010"/>
    <w:rsid w:val="001E0093"/>
    <w:rsid w:val="001E06AD"/>
    <w:rsid w:val="001E06F4"/>
    <w:rsid w:val="001E073F"/>
    <w:rsid w:val="001E08F0"/>
    <w:rsid w:val="001E0A80"/>
    <w:rsid w:val="001E0B31"/>
    <w:rsid w:val="001E0B51"/>
    <w:rsid w:val="001E0BC4"/>
    <w:rsid w:val="001E0BCA"/>
    <w:rsid w:val="001E0D0B"/>
    <w:rsid w:val="001E0EC1"/>
    <w:rsid w:val="001E1244"/>
    <w:rsid w:val="001E147D"/>
    <w:rsid w:val="001E14B1"/>
    <w:rsid w:val="001E1502"/>
    <w:rsid w:val="001E162B"/>
    <w:rsid w:val="001E176D"/>
    <w:rsid w:val="001E18A9"/>
    <w:rsid w:val="001E1CBC"/>
    <w:rsid w:val="001E1F49"/>
    <w:rsid w:val="001E202B"/>
    <w:rsid w:val="001E20E7"/>
    <w:rsid w:val="001E2242"/>
    <w:rsid w:val="001E23A9"/>
    <w:rsid w:val="001E24A2"/>
    <w:rsid w:val="001E27E6"/>
    <w:rsid w:val="001E28E7"/>
    <w:rsid w:val="001E2903"/>
    <w:rsid w:val="001E2A39"/>
    <w:rsid w:val="001E2E32"/>
    <w:rsid w:val="001E2FBA"/>
    <w:rsid w:val="001E3410"/>
    <w:rsid w:val="001E35B0"/>
    <w:rsid w:val="001E36C1"/>
    <w:rsid w:val="001E3A32"/>
    <w:rsid w:val="001E3B83"/>
    <w:rsid w:val="001E3C7A"/>
    <w:rsid w:val="001E3CDC"/>
    <w:rsid w:val="001E3D2F"/>
    <w:rsid w:val="001E4348"/>
    <w:rsid w:val="001E439E"/>
    <w:rsid w:val="001E43A5"/>
    <w:rsid w:val="001E458E"/>
    <w:rsid w:val="001E465D"/>
    <w:rsid w:val="001E49EB"/>
    <w:rsid w:val="001E49EF"/>
    <w:rsid w:val="001E4C0C"/>
    <w:rsid w:val="001E4F2F"/>
    <w:rsid w:val="001E4F36"/>
    <w:rsid w:val="001E5241"/>
    <w:rsid w:val="001E53E5"/>
    <w:rsid w:val="001E5486"/>
    <w:rsid w:val="001E5578"/>
    <w:rsid w:val="001E5596"/>
    <w:rsid w:val="001E565D"/>
    <w:rsid w:val="001E59D8"/>
    <w:rsid w:val="001E59DC"/>
    <w:rsid w:val="001E5E71"/>
    <w:rsid w:val="001E5EE3"/>
    <w:rsid w:val="001E6683"/>
    <w:rsid w:val="001E68F4"/>
    <w:rsid w:val="001E6BED"/>
    <w:rsid w:val="001E6CA5"/>
    <w:rsid w:val="001E6E01"/>
    <w:rsid w:val="001E6E39"/>
    <w:rsid w:val="001E6FEE"/>
    <w:rsid w:val="001E71DD"/>
    <w:rsid w:val="001E73C1"/>
    <w:rsid w:val="001E73FB"/>
    <w:rsid w:val="001E76CF"/>
    <w:rsid w:val="001E776B"/>
    <w:rsid w:val="001E778A"/>
    <w:rsid w:val="001E77A4"/>
    <w:rsid w:val="001E7AE8"/>
    <w:rsid w:val="001E7B92"/>
    <w:rsid w:val="001E7D25"/>
    <w:rsid w:val="001F0231"/>
    <w:rsid w:val="001F02DE"/>
    <w:rsid w:val="001F03D5"/>
    <w:rsid w:val="001F03F2"/>
    <w:rsid w:val="001F06EC"/>
    <w:rsid w:val="001F079B"/>
    <w:rsid w:val="001F0A4C"/>
    <w:rsid w:val="001F0D07"/>
    <w:rsid w:val="001F0E66"/>
    <w:rsid w:val="001F0E86"/>
    <w:rsid w:val="001F11DD"/>
    <w:rsid w:val="001F12C4"/>
    <w:rsid w:val="001F13D4"/>
    <w:rsid w:val="001F1407"/>
    <w:rsid w:val="001F15BC"/>
    <w:rsid w:val="001F15E8"/>
    <w:rsid w:val="001F1606"/>
    <w:rsid w:val="001F1C17"/>
    <w:rsid w:val="001F1E76"/>
    <w:rsid w:val="001F1F66"/>
    <w:rsid w:val="001F232F"/>
    <w:rsid w:val="001F236E"/>
    <w:rsid w:val="001F2428"/>
    <w:rsid w:val="001F2667"/>
    <w:rsid w:val="001F29EF"/>
    <w:rsid w:val="001F2E07"/>
    <w:rsid w:val="001F2E66"/>
    <w:rsid w:val="001F3045"/>
    <w:rsid w:val="001F3059"/>
    <w:rsid w:val="001F31A3"/>
    <w:rsid w:val="001F3221"/>
    <w:rsid w:val="001F32D9"/>
    <w:rsid w:val="001F33E3"/>
    <w:rsid w:val="001F351E"/>
    <w:rsid w:val="001F3736"/>
    <w:rsid w:val="001F3760"/>
    <w:rsid w:val="001F39FF"/>
    <w:rsid w:val="001F3ECB"/>
    <w:rsid w:val="001F4263"/>
    <w:rsid w:val="001F441E"/>
    <w:rsid w:val="001F48B1"/>
    <w:rsid w:val="001F4A51"/>
    <w:rsid w:val="001F4BB6"/>
    <w:rsid w:val="001F4BC6"/>
    <w:rsid w:val="001F4CD2"/>
    <w:rsid w:val="001F4E12"/>
    <w:rsid w:val="001F4ED0"/>
    <w:rsid w:val="001F507F"/>
    <w:rsid w:val="001F5204"/>
    <w:rsid w:val="001F533B"/>
    <w:rsid w:val="001F54A8"/>
    <w:rsid w:val="001F561E"/>
    <w:rsid w:val="001F59E9"/>
    <w:rsid w:val="001F5AF0"/>
    <w:rsid w:val="001F5B27"/>
    <w:rsid w:val="001F5BD6"/>
    <w:rsid w:val="001F5BEF"/>
    <w:rsid w:val="001F6024"/>
    <w:rsid w:val="001F62B1"/>
    <w:rsid w:val="001F68EC"/>
    <w:rsid w:val="001F6A55"/>
    <w:rsid w:val="001F6C00"/>
    <w:rsid w:val="001F6D77"/>
    <w:rsid w:val="001F6E48"/>
    <w:rsid w:val="001F707C"/>
    <w:rsid w:val="001F7113"/>
    <w:rsid w:val="001F75E0"/>
    <w:rsid w:val="001F76BD"/>
    <w:rsid w:val="001F7833"/>
    <w:rsid w:val="001F7846"/>
    <w:rsid w:val="001F79B8"/>
    <w:rsid w:val="001F7AB5"/>
    <w:rsid w:val="002003AE"/>
    <w:rsid w:val="00200673"/>
    <w:rsid w:val="002006FA"/>
    <w:rsid w:val="002008A3"/>
    <w:rsid w:val="00200C55"/>
    <w:rsid w:val="00200CBD"/>
    <w:rsid w:val="00201036"/>
    <w:rsid w:val="00201120"/>
    <w:rsid w:val="00201590"/>
    <w:rsid w:val="002015D3"/>
    <w:rsid w:val="00201731"/>
    <w:rsid w:val="00201962"/>
    <w:rsid w:val="00201A34"/>
    <w:rsid w:val="00201AF3"/>
    <w:rsid w:val="00201B91"/>
    <w:rsid w:val="00201C8C"/>
    <w:rsid w:val="00201DFC"/>
    <w:rsid w:val="00201E53"/>
    <w:rsid w:val="00201EB8"/>
    <w:rsid w:val="00202031"/>
    <w:rsid w:val="0020210A"/>
    <w:rsid w:val="002021FA"/>
    <w:rsid w:val="002025EB"/>
    <w:rsid w:val="00202817"/>
    <w:rsid w:val="002028AB"/>
    <w:rsid w:val="00202947"/>
    <w:rsid w:val="002029BD"/>
    <w:rsid w:val="00202B06"/>
    <w:rsid w:val="00202BD3"/>
    <w:rsid w:val="00202C61"/>
    <w:rsid w:val="00202E4E"/>
    <w:rsid w:val="00202F48"/>
    <w:rsid w:val="00203178"/>
    <w:rsid w:val="0020319C"/>
    <w:rsid w:val="00203251"/>
    <w:rsid w:val="00203296"/>
    <w:rsid w:val="00203317"/>
    <w:rsid w:val="00203577"/>
    <w:rsid w:val="0020388F"/>
    <w:rsid w:val="002038B0"/>
    <w:rsid w:val="00203B96"/>
    <w:rsid w:val="00203CD0"/>
    <w:rsid w:val="00203D5B"/>
    <w:rsid w:val="002040F8"/>
    <w:rsid w:val="00204127"/>
    <w:rsid w:val="002041D8"/>
    <w:rsid w:val="002042A8"/>
    <w:rsid w:val="002042C4"/>
    <w:rsid w:val="0020433A"/>
    <w:rsid w:val="00204575"/>
    <w:rsid w:val="002047A4"/>
    <w:rsid w:val="002048FB"/>
    <w:rsid w:val="00204ABE"/>
    <w:rsid w:val="00204C11"/>
    <w:rsid w:val="00204D03"/>
    <w:rsid w:val="00205333"/>
    <w:rsid w:val="002054B8"/>
    <w:rsid w:val="00205539"/>
    <w:rsid w:val="00205744"/>
    <w:rsid w:val="00205765"/>
    <w:rsid w:val="0020580B"/>
    <w:rsid w:val="00205C29"/>
    <w:rsid w:val="00205F06"/>
    <w:rsid w:val="0020620A"/>
    <w:rsid w:val="0020626F"/>
    <w:rsid w:val="002063F4"/>
    <w:rsid w:val="00206583"/>
    <w:rsid w:val="00206AFC"/>
    <w:rsid w:val="00206BA7"/>
    <w:rsid w:val="00206BE7"/>
    <w:rsid w:val="00206C36"/>
    <w:rsid w:val="00206E4B"/>
    <w:rsid w:val="00206E94"/>
    <w:rsid w:val="00207056"/>
    <w:rsid w:val="00207170"/>
    <w:rsid w:val="00207258"/>
    <w:rsid w:val="0020737E"/>
    <w:rsid w:val="002077A7"/>
    <w:rsid w:val="0020784B"/>
    <w:rsid w:val="002079D7"/>
    <w:rsid w:val="00207AF2"/>
    <w:rsid w:val="00207DC1"/>
    <w:rsid w:val="00207EB5"/>
    <w:rsid w:val="002100FA"/>
    <w:rsid w:val="00210173"/>
    <w:rsid w:val="00210343"/>
    <w:rsid w:val="00210461"/>
    <w:rsid w:val="00210614"/>
    <w:rsid w:val="00210B80"/>
    <w:rsid w:val="00210BB8"/>
    <w:rsid w:val="00210C0C"/>
    <w:rsid w:val="00210C39"/>
    <w:rsid w:val="0021116B"/>
    <w:rsid w:val="00211494"/>
    <w:rsid w:val="00211519"/>
    <w:rsid w:val="0021178F"/>
    <w:rsid w:val="00211797"/>
    <w:rsid w:val="002118F0"/>
    <w:rsid w:val="002119DF"/>
    <w:rsid w:val="00211A63"/>
    <w:rsid w:val="00211B1B"/>
    <w:rsid w:val="00211BCD"/>
    <w:rsid w:val="00211C22"/>
    <w:rsid w:val="00211DAF"/>
    <w:rsid w:val="00211F17"/>
    <w:rsid w:val="002121E6"/>
    <w:rsid w:val="00212712"/>
    <w:rsid w:val="00212746"/>
    <w:rsid w:val="0021280B"/>
    <w:rsid w:val="00212857"/>
    <w:rsid w:val="00212AF9"/>
    <w:rsid w:val="00212C5A"/>
    <w:rsid w:val="00212C5F"/>
    <w:rsid w:val="00212CD6"/>
    <w:rsid w:val="00212DFF"/>
    <w:rsid w:val="00212F4B"/>
    <w:rsid w:val="002133B3"/>
    <w:rsid w:val="00213688"/>
    <w:rsid w:val="00213731"/>
    <w:rsid w:val="00213771"/>
    <w:rsid w:val="002138EC"/>
    <w:rsid w:val="00213B59"/>
    <w:rsid w:val="002144E4"/>
    <w:rsid w:val="00214528"/>
    <w:rsid w:val="0021463C"/>
    <w:rsid w:val="002146EA"/>
    <w:rsid w:val="002148A5"/>
    <w:rsid w:val="00214AE5"/>
    <w:rsid w:val="00214B6C"/>
    <w:rsid w:val="002152DB"/>
    <w:rsid w:val="002155B9"/>
    <w:rsid w:val="002156AE"/>
    <w:rsid w:val="0021591D"/>
    <w:rsid w:val="00215C2C"/>
    <w:rsid w:val="00215CE7"/>
    <w:rsid w:val="00215EBB"/>
    <w:rsid w:val="00216134"/>
    <w:rsid w:val="0021618B"/>
    <w:rsid w:val="002163B2"/>
    <w:rsid w:val="002164B6"/>
    <w:rsid w:val="002166D7"/>
    <w:rsid w:val="002166F3"/>
    <w:rsid w:val="00216A7F"/>
    <w:rsid w:val="00216B8E"/>
    <w:rsid w:val="00216D67"/>
    <w:rsid w:val="00217022"/>
    <w:rsid w:val="0021702B"/>
    <w:rsid w:val="00217790"/>
    <w:rsid w:val="00217AB6"/>
    <w:rsid w:val="00217AF9"/>
    <w:rsid w:val="00217F91"/>
    <w:rsid w:val="002201BE"/>
    <w:rsid w:val="00220288"/>
    <w:rsid w:val="00220B4F"/>
    <w:rsid w:val="00220C6F"/>
    <w:rsid w:val="00220C96"/>
    <w:rsid w:val="00220E30"/>
    <w:rsid w:val="00220EF3"/>
    <w:rsid w:val="002212E6"/>
    <w:rsid w:val="0022163C"/>
    <w:rsid w:val="00221B30"/>
    <w:rsid w:val="00221BBA"/>
    <w:rsid w:val="00221C13"/>
    <w:rsid w:val="00221CB6"/>
    <w:rsid w:val="00221F28"/>
    <w:rsid w:val="0022220E"/>
    <w:rsid w:val="0022242E"/>
    <w:rsid w:val="00222436"/>
    <w:rsid w:val="0022264F"/>
    <w:rsid w:val="00222D31"/>
    <w:rsid w:val="00222D3E"/>
    <w:rsid w:val="00222F8A"/>
    <w:rsid w:val="00222FFC"/>
    <w:rsid w:val="002230BE"/>
    <w:rsid w:val="0022340F"/>
    <w:rsid w:val="0022349B"/>
    <w:rsid w:val="002234D6"/>
    <w:rsid w:val="00223823"/>
    <w:rsid w:val="00223852"/>
    <w:rsid w:val="0022388C"/>
    <w:rsid w:val="0022396E"/>
    <w:rsid w:val="002239CB"/>
    <w:rsid w:val="00223ABE"/>
    <w:rsid w:val="00223C77"/>
    <w:rsid w:val="00223E77"/>
    <w:rsid w:val="00223F79"/>
    <w:rsid w:val="00224345"/>
    <w:rsid w:val="00224397"/>
    <w:rsid w:val="00224888"/>
    <w:rsid w:val="00224895"/>
    <w:rsid w:val="00224974"/>
    <w:rsid w:val="002249C4"/>
    <w:rsid w:val="00224E41"/>
    <w:rsid w:val="002250FC"/>
    <w:rsid w:val="002251B1"/>
    <w:rsid w:val="002254D7"/>
    <w:rsid w:val="0022553A"/>
    <w:rsid w:val="002256C8"/>
    <w:rsid w:val="002257A4"/>
    <w:rsid w:val="00225A29"/>
    <w:rsid w:val="00225B37"/>
    <w:rsid w:val="00225B62"/>
    <w:rsid w:val="00225CAA"/>
    <w:rsid w:val="00225E96"/>
    <w:rsid w:val="00225ED5"/>
    <w:rsid w:val="00226022"/>
    <w:rsid w:val="0022608D"/>
    <w:rsid w:val="002260AC"/>
    <w:rsid w:val="0022615C"/>
    <w:rsid w:val="0022637F"/>
    <w:rsid w:val="002263D4"/>
    <w:rsid w:val="00226452"/>
    <w:rsid w:val="00226473"/>
    <w:rsid w:val="0022647E"/>
    <w:rsid w:val="002264EE"/>
    <w:rsid w:val="0022688D"/>
    <w:rsid w:val="002268EB"/>
    <w:rsid w:val="00226B71"/>
    <w:rsid w:val="00226C86"/>
    <w:rsid w:val="00226C9E"/>
    <w:rsid w:val="00226DFF"/>
    <w:rsid w:val="00226E0A"/>
    <w:rsid w:val="00226E31"/>
    <w:rsid w:val="00226E78"/>
    <w:rsid w:val="00226EA9"/>
    <w:rsid w:val="00226ECF"/>
    <w:rsid w:val="002277DA"/>
    <w:rsid w:val="002278BD"/>
    <w:rsid w:val="00227A9B"/>
    <w:rsid w:val="00227AB1"/>
    <w:rsid w:val="00227D94"/>
    <w:rsid w:val="0022D535"/>
    <w:rsid w:val="0023014A"/>
    <w:rsid w:val="002302D6"/>
    <w:rsid w:val="00230474"/>
    <w:rsid w:val="00230563"/>
    <w:rsid w:val="0023089D"/>
    <w:rsid w:val="00230953"/>
    <w:rsid w:val="00230977"/>
    <w:rsid w:val="00230E3D"/>
    <w:rsid w:val="00230EA9"/>
    <w:rsid w:val="00231113"/>
    <w:rsid w:val="00231466"/>
    <w:rsid w:val="00231515"/>
    <w:rsid w:val="002315C0"/>
    <w:rsid w:val="00231846"/>
    <w:rsid w:val="00231A4E"/>
    <w:rsid w:val="00231A85"/>
    <w:rsid w:val="00231AE6"/>
    <w:rsid w:val="00231BFC"/>
    <w:rsid w:val="00231DEB"/>
    <w:rsid w:val="00231E24"/>
    <w:rsid w:val="00231FBE"/>
    <w:rsid w:val="0023202A"/>
    <w:rsid w:val="0023206D"/>
    <w:rsid w:val="0023212E"/>
    <w:rsid w:val="00232177"/>
    <w:rsid w:val="00232546"/>
    <w:rsid w:val="00232670"/>
    <w:rsid w:val="00232A00"/>
    <w:rsid w:val="00232A2F"/>
    <w:rsid w:val="00232D03"/>
    <w:rsid w:val="00232F5D"/>
    <w:rsid w:val="00232FA8"/>
    <w:rsid w:val="002330CB"/>
    <w:rsid w:val="002332A7"/>
    <w:rsid w:val="002333D1"/>
    <w:rsid w:val="0023348B"/>
    <w:rsid w:val="00233622"/>
    <w:rsid w:val="0023364A"/>
    <w:rsid w:val="00233A21"/>
    <w:rsid w:val="00233B17"/>
    <w:rsid w:val="00233B5D"/>
    <w:rsid w:val="00233C46"/>
    <w:rsid w:val="002342BB"/>
    <w:rsid w:val="0023436C"/>
    <w:rsid w:val="00234418"/>
    <w:rsid w:val="002344E3"/>
    <w:rsid w:val="002347DF"/>
    <w:rsid w:val="002348ED"/>
    <w:rsid w:val="00234B4C"/>
    <w:rsid w:val="00234CC1"/>
    <w:rsid w:val="00234EBB"/>
    <w:rsid w:val="00235116"/>
    <w:rsid w:val="0023555E"/>
    <w:rsid w:val="0023568D"/>
    <w:rsid w:val="00235717"/>
    <w:rsid w:val="00235976"/>
    <w:rsid w:val="00235A60"/>
    <w:rsid w:val="00235DA4"/>
    <w:rsid w:val="00235E0D"/>
    <w:rsid w:val="002360E5"/>
    <w:rsid w:val="002364E7"/>
    <w:rsid w:val="00236614"/>
    <w:rsid w:val="0023672D"/>
    <w:rsid w:val="00236765"/>
    <w:rsid w:val="0023680D"/>
    <w:rsid w:val="0023693C"/>
    <w:rsid w:val="0023695F"/>
    <w:rsid w:val="00236A96"/>
    <w:rsid w:val="00236C1C"/>
    <w:rsid w:val="00236C98"/>
    <w:rsid w:val="00236D4B"/>
    <w:rsid w:val="00236EB1"/>
    <w:rsid w:val="00236F4A"/>
    <w:rsid w:val="0023706C"/>
    <w:rsid w:val="00237220"/>
    <w:rsid w:val="00237901"/>
    <w:rsid w:val="00237942"/>
    <w:rsid w:val="00237985"/>
    <w:rsid w:val="00237AD8"/>
    <w:rsid w:val="00237B30"/>
    <w:rsid w:val="00237B33"/>
    <w:rsid w:val="00237B94"/>
    <w:rsid w:val="00237FC2"/>
    <w:rsid w:val="00240153"/>
    <w:rsid w:val="002402CC"/>
    <w:rsid w:val="00240644"/>
    <w:rsid w:val="002409E1"/>
    <w:rsid w:val="00240B66"/>
    <w:rsid w:val="00240BEE"/>
    <w:rsid w:val="00240EDF"/>
    <w:rsid w:val="0024124E"/>
    <w:rsid w:val="002413C7"/>
    <w:rsid w:val="00241539"/>
    <w:rsid w:val="002415E6"/>
    <w:rsid w:val="00241750"/>
    <w:rsid w:val="00241AEB"/>
    <w:rsid w:val="00241C05"/>
    <w:rsid w:val="00241CAC"/>
    <w:rsid w:val="00241CAD"/>
    <w:rsid w:val="00241D17"/>
    <w:rsid w:val="00241D68"/>
    <w:rsid w:val="00241DC7"/>
    <w:rsid w:val="00241FB4"/>
    <w:rsid w:val="002422F3"/>
    <w:rsid w:val="002423A0"/>
    <w:rsid w:val="0024252D"/>
    <w:rsid w:val="00242548"/>
    <w:rsid w:val="002427AD"/>
    <w:rsid w:val="0024280C"/>
    <w:rsid w:val="002428A0"/>
    <w:rsid w:val="00242A0F"/>
    <w:rsid w:val="00242BC6"/>
    <w:rsid w:val="00242DD1"/>
    <w:rsid w:val="00242DE6"/>
    <w:rsid w:val="00242EFD"/>
    <w:rsid w:val="00243094"/>
    <w:rsid w:val="002430EC"/>
    <w:rsid w:val="00243133"/>
    <w:rsid w:val="002431A3"/>
    <w:rsid w:val="002432F7"/>
    <w:rsid w:val="0024337E"/>
    <w:rsid w:val="002434C0"/>
    <w:rsid w:val="00243755"/>
    <w:rsid w:val="00243803"/>
    <w:rsid w:val="00243847"/>
    <w:rsid w:val="002438B3"/>
    <w:rsid w:val="00243BA3"/>
    <w:rsid w:val="00243CA1"/>
    <w:rsid w:val="00243D98"/>
    <w:rsid w:val="00243F95"/>
    <w:rsid w:val="002441FE"/>
    <w:rsid w:val="002442D3"/>
    <w:rsid w:val="002447C3"/>
    <w:rsid w:val="00244A51"/>
    <w:rsid w:val="00244A7F"/>
    <w:rsid w:val="00244F1C"/>
    <w:rsid w:val="00245340"/>
    <w:rsid w:val="00245359"/>
    <w:rsid w:val="002453B2"/>
    <w:rsid w:val="00245665"/>
    <w:rsid w:val="0024570B"/>
    <w:rsid w:val="00245803"/>
    <w:rsid w:val="002458A7"/>
    <w:rsid w:val="0024599A"/>
    <w:rsid w:val="00245AF7"/>
    <w:rsid w:val="00245EA4"/>
    <w:rsid w:val="00245EE1"/>
    <w:rsid w:val="00245F0D"/>
    <w:rsid w:val="0024600C"/>
    <w:rsid w:val="00246161"/>
    <w:rsid w:val="00246482"/>
    <w:rsid w:val="002464A5"/>
    <w:rsid w:val="002466E4"/>
    <w:rsid w:val="00246A24"/>
    <w:rsid w:val="00246C27"/>
    <w:rsid w:val="00246D66"/>
    <w:rsid w:val="00246F61"/>
    <w:rsid w:val="0024741F"/>
    <w:rsid w:val="0024752B"/>
    <w:rsid w:val="00247601"/>
    <w:rsid w:val="002478D5"/>
    <w:rsid w:val="00247911"/>
    <w:rsid w:val="00247A62"/>
    <w:rsid w:val="00247C4C"/>
    <w:rsid w:val="00247D87"/>
    <w:rsid w:val="00247DA1"/>
    <w:rsid w:val="00247E51"/>
    <w:rsid w:val="00247E94"/>
    <w:rsid w:val="00247FDF"/>
    <w:rsid w:val="0025033C"/>
    <w:rsid w:val="0025047A"/>
    <w:rsid w:val="00250519"/>
    <w:rsid w:val="00250663"/>
    <w:rsid w:val="002506CA"/>
    <w:rsid w:val="002507EF"/>
    <w:rsid w:val="00250DA7"/>
    <w:rsid w:val="00250EB7"/>
    <w:rsid w:val="00251335"/>
    <w:rsid w:val="00251375"/>
    <w:rsid w:val="0025148E"/>
    <w:rsid w:val="00251813"/>
    <w:rsid w:val="0025197F"/>
    <w:rsid w:val="00251A1A"/>
    <w:rsid w:val="00251CFB"/>
    <w:rsid w:val="00252122"/>
    <w:rsid w:val="00252469"/>
    <w:rsid w:val="00252520"/>
    <w:rsid w:val="0025253D"/>
    <w:rsid w:val="0025293B"/>
    <w:rsid w:val="00252A20"/>
    <w:rsid w:val="00252CC7"/>
    <w:rsid w:val="0025312F"/>
    <w:rsid w:val="00253350"/>
    <w:rsid w:val="002535BB"/>
    <w:rsid w:val="00253681"/>
    <w:rsid w:val="0025398D"/>
    <w:rsid w:val="00253B91"/>
    <w:rsid w:val="00253B94"/>
    <w:rsid w:val="00253BE2"/>
    <w:rsid w:val="00253E92"/>
    <w:rsid w:val="00253FC3"/>
    <w:rsid w:val="00254140"/>
    <w:rsid w:val="00254360"/>
    <w:rsid w:val="002544B2"/>
    <w:rsid w:val="00254505"/>
    <w:rsid w:val="0025461C"/>
    <w:rsid w:val="002547AD"/>
    <w:rsid w:val="002548A1"/>
    <w:rsid w:val="002548F6"/>
    <w:rsid w:val="002549DF"/>
    <w:rsid w:val="00254F72"/>
    <w:rsid w:val="002551D8"/>
    <w:rsid w:val="002551E6"/>
    <w:rsid w:val="00255247"/>
    <w:rsid w:val="0025539B"/>
    <w:rsid w:val="00255438"/>
    <w:rsid w:val="00255493"/>
    <w:rsid w:val="00255811"/>
    <w:rsid w:val="002559D0"/>
    <w:rsid w:val="00255D74"/>
    <w:rsid w:val="00255DAD"/>
    <w:rsid w:val="00255E05"/>
    <w:rsid w:val="00255E9B"/>
    <w:rsid w:val="00255F83"/>
    <w:rsid w:val="00256485"/>
    <w:rsid w:val="00256710"/>
    <w:rsid w:val="002567EF"/>
    <w:rsid w:val="00256833"/>
    <w:rsid w:val="0025696A"/>
    <w:rsid w:val="00256A62"/>
    <w:rsid w:val="00256AA4"/>
    <w:rsid w:val="00256AB2"/>
    <w:rsid w:val="00256B77"/>
    <w:rsid w:val="00256BCF"/>
    <w:rsid w:val="00256C3C"/>
    <w:rsid w:val="00256F7C"/>
    <w:rsid w:val="0025726C"/>
    <w:rsid w:val="002572F6"/>
    <w:rsid w:val="00257328"/>
    <w:rsid w:val="0025747A"/>
    <w:rsid w:val="002576F1"/>
    <w:rsid w:val="0025784C"/>
    <w:rsid w:val="002578B9"/>
    <w:rsid w:val="002579CC"/>
    <w:rsid w:val="00257CB0"/>
    <w:rsid w:val="002600D9"/>
    <w:rsid w:val="002601C6"/>
    <w:rsid w:val="00260258"/>
    <w:rsid w:val="00260455"/>
    <w:rsid w:val="00260861"/>
    <w:rsid w:val="00260A21"/>
    <w:rsid w:val="00260ACF"/>
    <w:rsid w:val="00260BB2"/>
    <w:rsid w:val="00260D21"/>
    <w:rsid w:val="00260EFF"/>
    <w:rsid w:val="00260F68"/>
    <w:rsid w:val="00260FCC"/>
    <w:rsid w:val="002611F4"/>
    <w:rsid w:val="002617CA"/>
    <w:rsid w:val="0026194E"/>
    <w:rsid w:val="00261C83"/>
    <w:rsid w:val="00261CA6"/>
    <w:rsid w:val="00261FA6"/>
    <w:rsid w:val="00262361"/>
    <w:rsid w:val="00262683"/>
    <w:rsid w:val="00262775"/>
    <w:rsid w:val="00262792"/>
    <w:rsid w:val="002627E7"/>
    <w:rsid w:val="002629B0"/>
    <w:rsid w:val="00262A6A"/>
    <w:rsid w:val="00262BF8"/>
    <w:rsid w:val="00262C0D"/>
    <w:rsid w:val="00262EB3"/>
    <w:rsid w:val="002632C3"/>
    <w:rsid w:val="00263576"/>
    <w:rsid w:val="00263688"/>
    <w:rsid w:val="002637ED"/>
    <w:rsid w:val="00263A23"/>
    <w:rsid w:val="00263B07"/>
    <w:rsid w:val="00263BC6"/>
    <w:rsid w:val="00263C36"/>
    <w:rsid w:val="00263D44"/>
    <w:rsid w:val="00263E6F"/>
    <w:rsid w:val="00263EA5"/>
    <w:rsid w:val="002641A1"/>
    <w:rsid w:val="002643C7"/>
    <w:rsid w:val="00264802"/>
    <w:rsid w:val="002649CF"/>
    <w:rsid w:val="00265028"/>
    <w:rsid w:val="002655B2"/>
    <w:rsid w:val="002656AE"/>
    <w:rsid w:val="00265A60"/>
    <w:rsid w:val="00265B23"/>
    <w:rsid w:val="00265B94"/>
    <w:rsid w:val="00265BA8"/>
    <w:rsid w:val="00265C4D"/>
    <w:rsid w:val="00265DE3"/>
    <w:rsid w:val="00265E4D"/>
    <w:rsid w:val="0026600B"/>
    <w:rsid w:val="00266063"/>
    <w:rsid w:val="002661F1"/>
    <w:rsid w:val="0026639D"/>
    <w:rsid w:val="00266428"/>
    <w:rsid w:val="0026648D"/>
    <w:rsid w:val="0026652A"/>
    <w:rsid w:val="00266674"/>
    <w:rsid w:val="002669BC"/>
    <w:rsid w:val="00266BAF"/>
    <w:rsid w:val="00266D65"/>
    <w:rsid w:val="00266F68"/>
    <w:rsid w:val="00266F71"/>
    <w:rsid w:val="0026748C"/>
    <w:rsid w:val="0026751B"/>
    <w:rsid w:val="002679A0"/>
    <w:rsid w:val="00267DF5"/>
    <w:rsid w:val="00267EAF"/>
    <w:rsid w:val="00267F31"/>
    <w:rsid w:val="00268E49"/>
    <w:rsid w:val="002703E5"/>
    <w:rsid w:val="00270568"/>
    <w:rsid w:val="00270AD2"/>
    <w:rsid w:val="00270D72"/>
    <w:rsid w:val="00270DD7"/>
    <w:rsid w:val="002710A5"/>
    <w:rsid w:val="00271339"/>
    <w:rsid w:val="00271342"/>
    <w:rsid w:val="0027189E"/>
    <w:rsid w:val="002718EB"/>
    <w:rsid w:val="00271A40"/>
    <w:rsid w:val="00271B61"/>
    <w:rsid w:val="00271C28"/>
    <w:rsid w:val="00271C65"/>
    <w:rsid w:val="00271F17"/>
    <w:rsid w:val="00271F40"/>
    <w:rsid w:val="00271FB1"/>
    <w:rsid w:val="00272183"/>
    <w:rsid w:val="0027221E"/>
    <w:rsid w:val="0027253F"/>
    <w:rsid w:val="0027269F"/>
    <w:rsid w:val="002727D0"/>
    <w:rsid w:val="00272B3C"/>
    <w:rsid w:val="00272DE5"/>
    <w:rsid w:val="00272E6C"/>
    <w:rsid w:val="00272E8F"/>
    <w:rsid w:val="002730E1"/>
    <w:rsid w:val="00273230"/>
    <w:rsid w:val="0027326A"/>
    <w:rsid w:val="002733C3"/>
    <w:rsid w:val="00273806"/>
    <w:rsid w:val="00273A82"/>
    <w:rsid w:val="00273AD6"/>
    <w:rsid w:val="00273B6B"/>
    <w:rsid w:val="00273BE4"/>
    <w:rsid w:val="00273C4C"/>
    <w:rsid w:val="00273DED"/>
    <w:rsid w:val="00273E21"/>
    <w:rsid w:val="00273E5F"/>
    <w:rsid w:val="00273EEC"/>
    <w:rsid w:val="00274038"/>
    <w:rsid w:val="00274126"/>
    <w:rsid w:val="002741A8"/>
    <w:rsid w:val="002743AB"/>
    <w:rsid w:val="00274427"/>
    <w:rsid w:val="002745E5"/>
    <w:rsid w:val="00274636"/>
    <w:rsid w:val="00274929"/>
    <w:rsid w:val="00274A01"/>
    <w:rsid w:val="00274B2F"/>
    <w:rsid w:val="00274BEF"/>
    <w:rsid w:val="00274CD0"/>
    <w:rsid w:val="00274F16"/>
    <w:rsid w:val="00275184"/>
    <w:rsid w:val="0027524A"/>
    <w:rsid w:val="0027525D"/>
    <w:rsid w:val="0027544F"/>
    <w:rsid w:val="002755B7"/>
    <w:rsid w:val="002756F7"/>
    <w:rsid w:val="00275793"/>
    <w:rsid w:val="00275822"/>
    <w:rsid w:val="00275F33"/>
    <w:rsid w:val="00275F4D"/>
    <w:rsid w:val="0027610E"/>
    <w:rsid w:val="002762A6"/>
    <w:rsid w:val="002763F4"/>
    <w:rsid w:val="00276443"/>
    <w:rsid w:val="0027647A"/>
    <w:rsid w:val="0027683A"/>
    <w:rsid w:val="002768F6"/>
    <w:rsid w:val="00276ACA"/>
    <w:rsid w:val="00276CB3"/>
    <w:rsid w:val="00276E2E"/>
    <w:rsid w:val="00277618"/>
    <w:rsid w:val="0027761B"/>
    <w:rsid w:val="00277762"/>
    <w:rsid w:val="002778A8"/>
    <w:rsid w:val="00277964"/>
    <w:rsid w:val="00277B51"/>
    <w:rsid w:val="00280028"/>
    <w:rsid w:val="002800FE"/>
    <w:rsid w:val="0028033D"/>
    <w:rsid w:val="002803C4"/>
    <w:rsid w:val="002805CB"/>
    <w:rsid w:val="00280696"/>
    <w:rsid w:val="0028080D"/>
    <w:rsid w:val="00280976"/>
    <w:rsid w:val="00280E95"/>
    <w:rsid w:val="00280EA2"/>
    <w:rsid w:val="00281009"/>
    <w:rsid w:val="00281176"/>
    <w:rsid w:val="002814AC"/>
    <w:rsid w:val="002815C4"/>
    <w:rsid w:val="00281D22"/>
    <w:rsid w:val="00281FB8"/>
    <w:rsid w:val="002820DA"/>
    <w:rsid w:val="002821D5"/>
    <w:rsid w:val="002825D2"/>
    <w:rsid w:val="002828F3"/>
    <w:rsid w:val="00282986"/>
    <w:rsid w:val="00282D4A"/>
    <w:rsid w:val="00282E0C"/>
    <w:rsid w:val="00283012"/>
    <w:rsid w:val="00283156"/>
    <w:rsid w:val="00283FFD"/>
    <w:rsid w:val="00284126"/>
    <w:rsid w:val="002845CC"/>
    <w:rsid w:val="002846F6"/>
    <w:rsid w:val="00284C04"/>
    <w:rsid w:val="00285163"/>
    <w:rsid w:val="002854AF"/>
    <w:rsid w:val="002856EE"/>
    <w:rsid w:val="00285813"/>
    <w:rsid w:val="00285838"/>
    <w:rsid w:val="00285B81"/>
    <w:rsid w:val="0028619B"/>
    <w:rsid w:val="00286323"/>
    <w:rsid w:val="002863CD"/>
    <w:rsid w:val="002864D7"/>
    <w:rsid w:val="00286AC9"/>
    <w:rsid w:val="00286BA0"/>
    <w:rsid w:val="00286BAA"/>
    <w:rsid w:val="00286C14"/>
    <w:rsid w:val="00286DC3"/>
    <w:rsid w:val="00286E5C"/>
    <w:rsid w:val="00287138"/>
    <w:rsid w:val="00287311"/>
    <w:rsid w:val="00287363"/>
    <w:rsid w:val="0028754A"/>
    <w:rsid w:val="0028766A"/>
    <w:rsid w:val="002876B7"/>
    <w:rsid w:val="0028773F"/>
    <w:rsid w:val="002877BD"/>
    <w:rsid w:val="00287841"/>
    <w:rsid w:val="00287979"/>
    <w:rsid w:val="00287A64"/>
    <w:rsid w:val="00287CFF"/>
    <w:rsid w:val="00287E85"/>
    <w:rsid w:val="00287EFD"/>
    <w:rsid w:val="00290014"/>
    <w:rsid w:val="00290196"/>
    <w:rsid w:val="00290250"/>
    <w:rsid w:val="00290360"/>
    <w:rsid w:val="002904B8"/>
    <w:rsid w:val="002904EB"/>
    <w:rsid w:val="002908A0"/>
    <w:rsid w:val="002908B1"/>
    <w:rsid w:val="00290B22"/>
    <w:rsid w:val="00290E61"/>
    <w:rsid w:val="0029120D"/>
    <w:rsid w:val="0029157B"/>
    <w:rsid w:val="00291958"/>
    <w:rsid w:val="00291AC5"/>
    <w:rsid w:val="00291BFE"/>
    <w:rsid w:val="00291CB5"/>
    <w:rsid w:val="00291F23"/>
    <w:rsid w:val="0029200E"/>
    <w:rsid w:val="0029222B"/>
    <w:rsid w:val="002923BC"/>
    <w:rsid w:val="002924D4"/>
    <w:rsid w:val="002929DD"/>
    <w:rsid w:val="00292E85"/>
    <w:rsid w:val="00292FFE"/>
    <w:rsid w:val="00293369"/>
    <w:rsid w:val="00293388"/>
    <w:rsid w:val="002933A9"/>
    <w:rsid w:val="0029387F"/>
    <w:rsid w:val="002938B9"/>
    <w:rsid w:val="00294087"/>
    <w:rsid w:val="00294196"/>
    <w:rsid w:val="00294350"/>
    <w:rsid w:val="00294364"/>
    <w:rsid w:val="00294388"/>
    <w:rsid w:val="0029455E"/>
    <w:rsid w:val="00294650"/>
    <w:rsid w:val="002947C0"/>
    <w:rsid w:val="0029498E"/>
    <w:rsid w:val="002949FE"/>
    <w:rsid w:val="00294A2A"/>
    <w:rsid w:val="00294C7E"/>
    <w:rsid w:val="00294CFE"/>
    <w:rsid w:val="00294F55"/>
    <w:rsid w:val="00295078"/>
    <w:rsid w:val="00295288"/>
    <w:rsid w:val="0029540F"/>
    <w:rsid w:val="00295600"/>
    <w:rsid w:val="00295714"/>
    <w:rsid w:val="00295764"/>
    <w:rsid w:val="00295B60"/>
    <w:rsid w:val="00295C5A"/>
    <w:rsid w:val="00295D21"/>
    <w:rsid w:val="00295D56"/>
    <w:rsid w:val="00296089"/>
    <w:rsid w:val="00296304"/>
    <w:rsid w:val="002965B7"/>
    <w:rsid w:val="00296A03"/>
    <w:rsid w:val="00296B07"/>
    <w:rsid w:val="00296BB9"/>
    <w:rsid w:val="00296C5D"/>
    <w:rsid w:val="00296D99"/>
    <w:rsid w:val="00296E36"/>
    <w:rsid w:val="0029723D"/>
    <w:rsid w:val="00297682"/>
    <w:rsid w:val="002A01D2"/>
    <w:rsid w:val="002A02C7"/>
    <w:rsid w:val="002A08A4"/>
    <w:rsid w:val="002A0AD2"/>
    <w:rsid w:val="002A0B00"/>
    <w:rsid w:val="002A0EB5"/>
    <w:rsid w:val="002A1214"/>
    <w:rsid w:val="002A136B"/>
    <w:rsid w:val="002A1523"/>
    <w:rsid w:val="002A19D6"/>
    <w:rsid w:val="002A1B90"/>
    <w:rsid w:val="002A1BF1"/>
    <w:rsid w:val="002A1C2E"/>
    <w:rsid w:val="002A1EBE"/>
    <w:rsid w:val="002A1EC3"/>
    <w:rsid w:val="002A1EF8"/>
    <w:rsid w:val="002A23C1"/>
    <w:rsid w:val="002A25BD"/>
    <w:rsid w:val="002A2766"/>
    <w:rsid w:val="002A27B4"/>
    <w:rsid w:val="002A28B1"/>
    <w:rsid w:val="002A2965"/>
    <w:rsid w:val="002A29C6"/>
    <w:rsid w:val="002A2ACB"/>
    <w:rsid w:val="002A2B60"/>
    <w:rsid w:val="002A2B93"/>
    <w:rsid w:val="002A2D12"/>
    <w:rsid w:val="002A2E63"/>
    <w:rsid w:val="002A3295"/>
    <w:rsid w:val="002A3324"/>
    <w:rsid w:val="002A3337"/>
    <w:rsid w:val="002A36F3"/>
    <w:rsid w:val="002A38D9"/>
    <w:rsid w:val="002A390D"/>
    <w:rsid w:val="002A3C60"/>
    <w:rsid w:val="002A3D40"/>
    <w:rsid w:val="002A3DCA"/>
    <w:rsid w:val="002A3F11"/>
    <w:rsid w:val="002A40FF"/>
    <w:rsid w:val="002A4510"/>
    <w:rsid w:val="002A45B2"/>
    <w:rsid w:val="002A45F1"/>
    <w:rsid w:val="002A465D"/>
    <w:rsid w:val="002A4AE7"/>
    <w:rsid w:val="002A4B6E"/>
    <w:rsid w:val="002A4BE4"/>
    <w:rsid w:val="002A4CB1"/>
    <w:rsid w:val="002A4FD7"/>
    <w:rsid w:val="002A5006"/>
    <w:rsid w:val="002A5188"/>
    <w:rsid w:val="002A51D6"/>
    <w:rsid w:val="002A5367"/>
    <w:rsid w:val="002A5405"/>
    <w:rsid w:val="002A54B1"/>
    <w:rsid w:val="002A5651"/>
    <w:rsid w:val="002A5833"/>
    <w:rsid w:val="002A5A1B"/>
    <w:rsid w:val="002A5DEC"/>
    <w:rsid w:val="002A5E11"/>
    <w:rsid w:val="002A5EB1"/>
    <w:rsid w:val="002A5EB8"/>
    <w:rsid w:val="002A5FA1"/>
    <w:rsid w:val="002A5FA6"/>
    <w:rsid w:val="002A680A"/>
    <w:rsid w:val="002A6928"/>
    <w:rsid w:val="002A6959"/>
    <w:rsid w:val="002A6979"/>
    <w:rsid w:val="002A6CC0"/>
    <w:rsid w:val="002A6E0C"/>
    <w:rsid w:val="002A6E0D"/>
    <w:rsid w:val="002A6E0E"/>
    <w:rsid w:val="002A710B"/>
    <w:rsid w:val="002A7274"/>
    <w:rsid w:val="002A7307"/>
    <w:rsid w:val="002A7353"/>
    <w:rsid w:val="002A761C"/>
    <w:rsid w:val="002A7729"/>
    <w:rsid w:val="002A7798"/>
    <w:rsid w:val="002A77AC"/>
    <w:rsid w:val="002A77CF"/>
    <w:rsid w:val="002A7D2C"/>
    <w:rsid w:val="002A7D5B"/>
    <w:rsid w:val="002A7E15"/>
    <w:rsid w:val="002B0191"/>
    <w:rsid w:val="002B051B"/>
    <w:rsid w:val="002B056C"/>
    <w:rsid w:val="002B059F"/>
    <w:rsid w:val="002B08CE"/>
    <w:rsid w:val="002B0A8C"/>
    <w:rsid w:val="002B0A9E"/>
    <w:rsid w:val="002B0C5B"/>
    <w:rsid w:val="002B0E85"/>
    <w:rsid w:val="002B0EB0"/>
    <w:rsid w:val="002B0ED3"/>
    <w:rsid w:val="002B11EE"/>
    <w:rsid w:val="002B12E3"/>
    <w:rsid w:val="002B14C6"/>
    <w:rsid w:val="002B157D"/>
    <w:rsid w:val="002B1A5A"/>
    <w:rsid w:val="002B1AAB"/>
    <w:rsid w:val="002B1B1A"/>
    <w:rsid w:val="002B1BE4"/>
    <w:rsid w:val="002B1C8D"/>
    <w:rsid w:val="002B1DFF"/>
    <w:rsid w:val="002B1EAB"/>
    <w:rsid w:val="002B1FD0"/>
    <w:rsid w:val="002B20D9"/>
    <w:rsid w:val="002B2259"/>
    <w:rsid w:val="002B2298"/>
    <w:rsid w:val="002B23A6"/>
    <w:rsid w:val="002B24C6"/>
    <w:rsid w:val="002B27DB"/>
    <w:rsid w:val="002B2A99"/>
    <w:rsid w:val="002B2DD9"/>
    <w:rsid w:val="002B2DEB"/>
    <w:rsid w:val="002B336B"/>
    <w:rsid w:val="002B351B"/>
    <w:rsid w:val="002B388E"/>
    <w:rsid w:val="002B38EB"/>
    <w:rsid w:val="002B3A90"/>
    <w:rsid w:val="002B3E86"/>
    <w:rsid w:val="002B4040"/>
    <w:rsid w:val="002B41BE"/>
    <w:rsid w:val="002B42AA"/>
    <w:rsid w:val="002B4344"/>
    <w:rsid w:val="002B445E"/>
    <w:rsid w:val="002B45D3"/>
    <w:rsid w:val="002B480A"/>
    <w:rsid w:val="002B4954"/>
    <w:rsid w:val="002B4CEF"/>
    <w:rsid w:val="002B4F12"/>
    <w:rsid w:val="002B53D2"/>
    <w:rsid w:val="002B55EE"/>
    <w:rsid w:val="002B55F5"/>
    <w:rsid w:val="002B5902"/>
    <w:rsid w:val="002B5A9C"/>
    <w:rsid w:val="002B5EB1"/>
    <w:rsid w:val="002B5F20"/>
    <w:rsid w:val="002B603F"/>
    <w:rsid w:val="002B62F9"/>
    <w:rsid w:val="002B634C"/>
    <w:rsid w:val="002B68AB"/>
    <w:rsid w:val="002B694A"/>
    <w:rsid w:val="002B6A0C"/>
    <w:rsid w:val="002B6C0C"/>
    <w:rsid w:val="002B6CBA"/>
    <w:rsid w:val="002B6D64"/>
    <w:rsid w:val="002B7043"/>
    <w:rsid w:val="002B7287"/>
    <w:rsid w:val="002B73D6"/>
    <w:rsid w:val="002B7589"/>
    <w:rsid w:val="002B7665"/>
    <w:rsid w:val="002B7860"/>
    <w:rsid w:val="002B7955"/>
    <w:rsid w:val="002B7972"/>
    <w:rsid w:val="002B7C8F"/>
    <w:rsid w:val="002B7C9E"/>
    <w:rsid w:val="002B7D58"/>
    <w:rsid w:val="002B7DA4"/>
    <w:rsid w:val="002B7E68"/>
    <w:rsid w:val="002C0345"/>
    <w:rsid w:val="002C041F"/>
    <w:rsid w:val="002C0612"/>
    <w:rsid w:val="002C06B6"/>
    <w:rsid w:val="002C0724"/>
    <w:rsid w:val="002C07E9"/>
    <w:rsid w:val="002C08C2"/>
    <w:rsid w:val="002C0A15"/>
    <w:rsid w:val="002C0CF8"/>
    <w:rsid w:val="002C0DDE"/>
    <w:rsid w:val="002C0E11"/>
    <w:rsid w:val="002C10AE"/>
    <w:rsid w:val="002C12A3"/>
    <w:rsid w:val="002C14AF"/>
    <w:rsid w:val="002C14B3"/>
    <w:rsid w:val="002C16F3"/>
    <w:rsid w:val="002C1792"/>
    <w:rsid w:val="002C1853"/>
    <w:rsid w:val="002C18A1"/>
    <w:rsid w:val="002C18F2"/>
    <w:rsid w:val="002C1913"/>
    <w:rsid w:val="002C19EB"/>
    <w:rsid w:val="002C1A40"/>
    <w:rsid w:val="002C1A79"/>
    <w:rsid w:val="002C1ABF"/>
    <w:rsid w:val="002C1BD9"/>
    <w:rsid w:val="002C1C19"/>
    <w:rsid w:val="002C1D1B"/>
    <w:rsid w:val="002C1FB7"/>
    <w:rsid w:val="002C23FF"/>
    <w:rsid w:val="002C2459"/>
    <w:rsid w:val="002C2593"/>
    <w:rsid w:val="002C25B1"/>
    <w:rsid w:val="002C2645"/>
    <w:rsid w:val="002C2715"/>
    <w:rsid w:val="002C29CF"/>
    <w:rsid w:val="002C2CC9"/>
    <w:rsid w:val="002C2CFF"/>
    <w:rsid w:val="002C2E00"/>
    <w:rsid w:val="002C2E1A"/>
    <w:rsid w:val="002C2EA8"/>
    <w:rsid w:val="002C2F17"/>
    <w:rsid w:val="002C2F20"/>
    <w:rsid w:val="002C30CA"/>
    <w:rsid w:val="002C32ED"/>
    <w:rsid w:val="002C36B6"/>
    <w:rsid w:val="002C36D4"/>
    <w:rsid w:val="002C378D"/>
    <w:rsid w:val="002C3911"/>
    <w:rsid w:val="002C3930"/>
    <w:rsid w:val="002C3FAA"/>
    <w:rsid w:val="002C4047"/>
    <w:rsid w:val="002C40B3"/>
    <w:rsid w:val="002C40C9"/>
    <w:rsid w:val="002C42AD"/>
    <w:rsid w:val="002C4365"/>
    <w:rsid w:val="002C4454"/>
    <w:rsid w:val="002C4510"/>
    <w:rsid w:val="002C451D"/>
    <w:rsid w:val="002C47BD"/>
    <w:rsid w:val="002C4E6B"/>
    <w:rsid w:val="002C51F0"/>
    <w:rsid w:val="002C535C"/>
    <w:rsid w:val="002C539F"/>
    <w:rsid w:val="002C554A"/>
    <w:rsid w:val="002C59FA"/>
    <w:rsid w:val="002C5B38"/>
    <w:rsid w:val="002C5CCE"/>
    <w:rsid w:val="002C5F13"/>
    <w:rsid w:val="002C626C"/>
    <w:rsid w:val="002C6526"/>
    <w:rsid w:val="002C6A8C"/>
    <w:rsid w:val="002C6ADF"/>
    <w:rsid w:val="002C6BEF"/>
    <w:rsid w:val="002C6C59"/>
    <w:rsid w:val="002C6C5F"/>
    <w:rsid w:val="002C6CEC"/>
    <w:rsid w:val="002C6E1C"/>
    <w:rsid w:val="002C6FCE"/>
    <w:rsid w:val="002C702C"/>
    <w:rsid w:val="002C7042"/>
    <w:rsid w:val="002C7048"/>
    <w:rsid w:val="002C7395"/>
    <w:rsid w:val="002C7570"/>
    <w:rsid w:val="002C7618"/>
    <w:rsid w:val="002C780B"/>
    <w:rsid w:val="002C78F7"/>
    <w:rsid w:val="002C7CA2"/>
    <w:rsid w:val="002C7EB8"/>
    <w:rsid w:val="002C7FBB"/>
    <w:rsid w:val="002D002F"/>
    <w:rsid w:val="002D0061"/>
    <w:rsid w:val="002D015C"/>
    <w:rsid w:val="002D0216"/>
    <w:rsid w:val="002D037D"/>
    <w:rsid w:val="002D054C"/>
    <w:rsid w:val="002D08D8"/>
    <w:rsid w:val="002D0950"/>
    <w:rsid w:val="002D0CF3"/>
    <w:rsid w:val="002D0E01"/>
    <w:rsid w:val="002D1183"/>
    <w:rsid w:val="002D17C6"/>
    <w:rsid w:val="002D17F5"/>
    <w:rsid w:val="002D1AC9"/>
    <w:rsid w:val="002D1C79"/>
    <w:rsid w:val="002D1CB9"/>
    <w:rsid w:val="002D2014"/>
    <w:rsid w:val="002D216F"/>
    <w:rsid w:val="002D21CF"/>
    <w:rsid w:val="002D22EB"/>
    <w:rsid w:val="002D23BE"/>
    <w:rsid w:val="002D2403"/>
    <w:rsid w:val="002D2534"/>
    <w:rsid w:val="002D2561"/>
    <w:rsid w:val="002D2728"/>
    <w:rsid w:val="002D27C8"/>
    <w:rsid w:val="002D2876"/>
    <w:rsid w:val="002D2AC4"/>
    <w:rsid w:val="002D2B16"/>
    <w:rsid w:val="002D2F68"/>
    <w:rsid w:val="002D2F79"/>
    <w:rsid w:val="002D2FD2"/>
    <w:rsid w:val="002D3078"/>
    <w:rsid w:val="002D30A8"/>
    <w:rsid w:val="002D350B"/>
    <w:rsid w:val="002D36ED"/>
    <w:rsid w:val="002D3B2D"/>
    <w:rsid w:val="002D3DAD"/>
    <w:rsid w:val="002D3DF5"/>
    <w:rsid w:val="002D3E61"/>
    <w:rsid w:val="002D4772"/>
    <w:rsid w:val="002D4D52"/>
    <w:rsid w:val="002D52C8"/>
    <w:rsid w:val="002D5348"/>
    <w:rsid w:val="002D5506"/>
    <w:rsid w:val="002D5529"/>
    <w:rsid w:val="002D55FE"/>
    <w:rsid w:val="002D5682"/>
    <w:rsid w:val="002D56AE"/>
    <w:rsid w:val="002D5716"/>
    <w:rsid w:val="002D58F3"/>
    <w:rsid w:val="002D594E"/>
    <w:rsid w:val="002D59DB"/>
    <w:rsid w:val="002D5B2F"/>
    <w:rsid w:val="002D5C15"/>
    <w:rsid w:val="002D5DFA"/>
    <w:rsid w:val="002D5F4B"/>
    <w:rsid w:val="002D6220"/>
    <w:rsid w:val="002D62BD"/>
    <w:rsid w:val="002D6445"/>
    <w:rsid w:val="002D64DC"/>
    <w:rsid w:val="002D66F9"/>
    <w:rsid w:val="002D6764"/>
    <w:rsid w:val="002D68E0"/>
    <w:rsid w:val="002D691E"/>
    <w:rsid w:val="002D6B64"/>
    <w:rsid w:val="002D6BC6"/>
    <w:rsid w:val="002D6BDC"/>
    <w:rsid w:val="002D6D76"/>
    <w:rsid w:val="002D6ED7"/>
    <w:rsid w:val="002D704B"/>
    <w:rsid w:val="002D7116"/>
    <w:rsid w:val="002D7254"/>
    <w:rsid w:val="002D732A"/>
    <w:rsid w:val="002D73BC"/>
    <w:rsid w:val="002D7473"/>
    <w:rsid w:val="002D75DC"/>
    <w:rsid w:val="002D7914"/>
    <w:rsid w:val="002D7B25"/>
    <w:rsid w:val="002D7F57"/>
    <w:rsid w:val="002D7FA3"/>
    <w:rsid w:val="002E040D"/>
    <w:rsid w:val="002E087E"/>
    <w:rsid w:val="002E08DD"/>
    <w:rsid w:val="002E0A7B"/>
    <w:rsid w:val="002E0D6A"/>
    <w:rsid w:val="002E0E24"/>
    <w:rsid w:val="002E11BA"/>
    <w:rsid w:val="002E1246"/>
    <w:rsid w:val="002E126A"/>
    <w:rsid w:val="002E136A"/>
    <w:rsid w:val="002E154B"/>
    <w:rsid w:val="002E15DB"/>
    <w:rsid w:val="002E1E77"/>
    <w:rsid w:val="002E20D5"/>
    <w:rsid w:val="002E2286"/>
    <w:rsid w:val="002E24E0"/>
    <w:rsid w:val="002E259E"/>
    <w:rsid w:val="002E28BE"/>
    <w:rsid w:val="002E2938"/>
    <w:rsid w:val="002E2B20"/>
    <w:rsid w:val="002E2BC6"/>
    <w:rsid w:val="002E2BE9"/>
    <w:rsid w:val="002E2CFC"/>
    <w:rsid w:val="002E2D27"/>
    <w:rsid w:val="002E2EB6"/>
    <w:rsid w:val="002E308A"/>
    <w:rsid w:val="002E313F"/>
    <w:rsid w:val="002E348E"/>
    <w:rsid w:val="002E35C1"/>
    <w:rsid w:val="002E3969"/>
    <w:rsid w:val="002E3F3F"/>
    <w:rsid w:val="002E403E"/>
    <w:rsid w:val="002E41CB"/>
    <w:rsid w:val="002E43B9"/>
    <w:rsid w:val="002E4544"/>
    <w:rsid w:val="002E47AE"/>
    <w:rsid w:val="002E4873"/>
    <w:rsid w:val="002E4B5C"/>
    <w:rsid w:val="002E4B5E"/>
    <w:rsid w:val="002E4F0B"/>
    <w:rsid w:val="002E5078"/>
    <w:rsid w:val="002E50C1"/>
    <w:rsid w:val="002E5103"/>
    <w:rsid w:val="002E5312"/>
    <w:rsid w:val="002E536D"/>
    <w:rsid w:val="002E5393"/>
    <w:rsid w:val="002E5637"/>
    <w:rsid w:val="002E57E7"/>
    <w:rsid w:val="002E5990"/>
    <w:rsid w:val="002E5B4C"/>
    <w:rsid w:val="002E5C7E"/>
    <w:rsid w:val="002E5D61"/>
    <w:rsid w:val="002E6018"/>
    <w:rsid w:val="002E6375"/>
    <w:rsid w:val="002E6414"/>
    <w:rsid w:val="002E6554"/>
    <w:rsid w:val="002E6588"/>
    <w:rsid w:val="002E658E"/>
    <w:rsid w:val="002E6A19"/>
    <w:rsid w:val="002E6AD6"/>
    <w:rsid w:val="002E6BD4"/>
    <w:rsid w:val="002E7063"/>
    <w:rsid w:val="002E71A1"/>
    <w:rsid w:val="002E71C3"/>
    <w:rsid w:val="002E723A"/>
    <w:rsid w:val="002E7396"/>
    <w:rsid w:val="002E74E6"/>
    <w:rsid w:val="002E7525"/>
    <w:rsid w:val="002E7651"/>
    <w:rsid w:val="002E7699"/>
    <w:rsid w:val="002E76DC"/>
    <w:rsid w:val="002E78B9"/>
    <w:rsid w:val="002E7A00"/>
    <w:rsid w:val="002E7CFB"/>
    <w:rsid w:val="002E7D0E"/>
    <w:rsid w:val="002E7FFB"/>
    <w:rsid w:val="002F0022"/>
    <w:rsid w:val="002F0389"/>
    <w:rsid w:val="002F040C"/>
    <w:rsid w:val="002F046A"/>
    <w:rsid w:val="002F0736"/>
    <w:rsid w:val="002F07D6"/>
    <w:rsid w:val="002F089A"/>
    <w:rsid w:val="002F0D49"/>
    <w:rsid w:val="002F0EA3"/>
    <w:rsid w:val="002F0F60"/>
    <w:rsid w:val="002F13C0"/>
    <w:rsid w:val="002F13CA"/>
    <w:rsid w:val="002F13DA"/>
    <w:rsid w:val="002F14A5"/>
    <w:rsid w:val="002F1723"/>
    <w:rsid w:val="002F17A0"/>
    <w:rsid w:val="002F1C59"/>
    <w:rsid w:val="002F1D39"/>
    <w:rsid w:val="002F1E27"/>
    <w:rsid w:val="002F1E54"/>
    <w:rsid w:val="002F1EBE"/>
    <w:rsid w:val="002F20B1"/>
    <w:rsid w:val="002F2178"/>
    <w:rsid w:val="002F2219"/>
    <w:rsid w:val="002F2426"/>
    <w:rsid w:val="002F24CD"/>
    <w:rsid w:val="002F25A4"/>
    <w:rsid w:val="002F28C0"/>
    <w:rsid w:val="002F28FE"/>
    <w:rsid w:val="002F291F"/>
    <w:rsid w:val="002F2994"/>
    <w:rsid w:val="002F2A1C"/>
    <w:rsid w:val="002F2BF7"/>
    <w:rsid w:val="002F2F0D"/>
    <w:rsid w:val="002F2F4C"/>
    <w:rsid w:val="002F2F74"/>
    <w:rsid w:val="002F30AB"/>
    <w:rsid w:val="002F3101"/>
    <w:rsid w:val="002F3271"/>
    <w:rsid w:val="002F3515"/>
    <w:rsid w:val="002F3688"/>
    <w:rsid w:val="002F37FF"/>
    <w:rsid w:val="002F3CE6"/>
    <w:rsid w:val="002F3E5A"/>
    <w:rsid w:val="002F3F36"/>
    <w:rsid w:val="002F413D"/>
    <w:rsid w:val="002F42A3"/>
    <w:rsid w:val="002F42FF"/>
    <w:rsid w:val="002F4341"/>
    <w:rsid w:val="002F44BC"/>
    <w:rsid w:val="002F47B2"/>
    <w:rsid w:val="002F48AD"/>
    <w:rsid w:val="002F4A6A"/>
    <w:rsid w:val="002F4DDF"/>
    <w:rsid w:val="002F4E17"/>
    <w:rsid w:val="002F5215"/>
    <w:rsid w:val="002F528E"/>
    <w:rsid w:val="002F5353"/>
    <w:rsid w:val="002F53B3"/>
    <w:rsid w:val="002F542C"/>
    <w:rsid w:val="002F555B"/>
    <w:rsid w:val="002F55A7"/>
    <w:rsid w:val="002F57C2"/>
    <w:rsid w:val="002F58F2"/>
    <w:rsid w:val="002F5939"/>
    <w:rsid w:val="002F5C90"/>
    <w:rsid w:val="002F5E17"/>
    <w:rsid w:val="002F60F3"/>
    <w:rsid w:val="002F6282"/>
    <w:rsid w:val="002F634E"/>
    <w:rsid w:val="002F6487"/>
    <w:rsid w:val="002F674C"/>
    <w:rsid w:val="002F69E5"/>
    <w:rsid w:val="002F6BE5"/>
    <w:rsid w:val="002F6CEF"/>
    <w:rsid w:val="002F704B"/>
    <w:rsid w:val="002F7084"/>
    <w:rsid w:val="002F709B"/>
    <w:rsid w:val="002F71B7"/>
    <w:rsid w:val="002F71BD"/>
    <w:rsid w:val="002F721D"/>
    <w:rsid w:val="002F7268"/>
    <w:rsid w:val="002F757E"/>
    <w:rsid w:val="002F75C5"/>
    <w:rsid w:val="002F7904"/>
    <w:rsid w:val="002F791D"/>
    <w:rsid w:val="002F7BCD"/>
    <w:rsid w:val="002F7D59"/>
    <w:rsid w:val="002F7ED1"/>
    <w:rsid w:val="002F7F70"/>
    <w:rsid w:val="0030027C"/>
    <w:rsid w:val="00300311"/>
    <w:rsid w:val="00300345"/>
    <w:rsid w:val="003005B5"/>
    <w:rsid w:val="00300920"/>
    <w:rsid w:val="00300DEB"/>
    <w:rsid w:val="00300EAD"/>
    <w:rsid w:val="00300F30"/>
    <w:rsid w:val="00300F7B"/>
    <w:rsid w:val="00301011"/>
    <w:rsid w:val="00301038"/>
    <w:rsid w:val="00301081"/>
    <w:rsid w:val="00301409"/>
    <w:rsid w:val="003014D7"/>
    <w:rsid w:val="00301524"/>
    <w:rsid w:val="003016BA"/>
    <w:rsid w:val="0030191E"/>
    <w:rsid w:val="00301B03"/>
    <w:rsid w:val="00301E54"/>
    <w:rsid w:val="0030275F"/>
    <w:rsid w:val="003028FA"/>
    <w:rsid w:val="00302958"/>
    <w:rsid w:val="00302AE3"/>
    <w:rsid w:val="00302E29"/>
    <w:rsid w:val="00302F5A"/>
    <w:rsid w:val="00303117"/>
    <w:rsid w:val="003032A9"/>
    <w:rsid w:val="00303542"/>
    <w:rsid w:val="0030371A"/>
    <w:rsid w:val="003038F0"/>
    <w:rsid w:val="00303C94"/>
    <w:rsid w:val="00303CDF"/>
    <w:rsid w:val="0030409D"/>
    <w:rsid w:val="003043F1"/>
    <w:rsid w:val="0030482F"/>
    <w:rsid w:val="003048A1"/>
    <w:rsid w:val="00304A8A"/>
    <w:rsid w:val="00304B93"/>
    <w:rsid w:val="00304E49"/>
    <w:rsid w:val="003050F4"/>
    <w:rsid w:val="0030538B"/>
    <w:rsid w:val="00305393"/>
    <w:rsid w:val="00305B1C"/>
    <w:rsid w:val="00305E7E"/>
    <w:rsid w:val="0030604D"/>
    <w:rsid w:val="00306269"/>
    <w:rsid w:val="00306433"/>
    <w:rsid w:val="00306950"/>
    <w:rsid w:val="003069B4"/>
    <w:rsid w:val="00306CA6"/>
    <w:rsid w:val="00306DD7"/>
    <w:rsid w:val="003073BD"/>
    <w:rsid w:val="0030740F"/>
    <w:rsid w:val="0030752A"/>
    <w:rsid w:val="0030778D"/>
    <w:rsid w:val="00307D78"/>
    <w:rsid w:val="00307E55"/>
    <w:rsid w:val="00307FC1"/>
    <w:rsid w:val="00310551"/>
    <w:rsid w:val="0031056D"/>
    <w:rsid w:val="003105BD"/>
    <w:rsid w:val="003105EE"/>
    <w:rsid w:val="00310675"/>
    <w:rsid w:val="003108D7"/>
    <w:rsid w:val="00310913"/>
    <w:rsid w:val="00310C1F"/>
    <w:rsid w:val="00310DBA"/>
    <w:rsid w:val="00310E4B"/>
    <w:rsid w:val="00310F2B"/>
    <w:rsid w:val="00310F76"/>
    <w:rsid w:val="00311275"/>
    <w:rsid w:val="003112C7"/>
    <w:rsid w:val="00311302"/>
    <w:rsid w:val="00311421"/>
    <w:rsid w:val="0031143D"/>
    <w:rsid w:val="003114CC"/>
    <w:rsid w:val="003114CF"/>
    <w:rsid w:val="00311551"/>
    <w:rsid w:val="00311650"/>
    <w:rsid w:val="003117B2"/>
    <w:rsid w:val="00311910"/>
    <w:rsid w:val="00311928"/>
    <w:rsid w:val="00311A24"/>
    <w:rsid w:val="00311B7B"/>
    <w:rsid w:val="00311C98"/>
    <w:rsid w:val="0031214D"/>
    <w:rsid w:val="0031220D"/>
    <w:rsid w:val="00312246"/>
    <w:rsid w:val="00312479"/>
    <w:rsid w:val="003124B5"/>
    <w:rsid w:val="00312594"/>
    <w:rsid w:val="003125BD"/>
    <w:rsid w:val="003125C3"/>
    <w:rsid w:val="003125CE"/>
    <w:rsid w:val="00312796"/>
    <w:rsid w:val="00312BE0"/>
    <w:rsid w:val="00312D01"/>
    <w:rsid w:val="00312DDE"/>
    <w:rsid w:val="00312E2C"/>
    <w:rsid w:val="00312E96"/>
    <w:rsid w:val="0031315C"/>
    <w:rsid w:val="00313326"/>
    <w:rsid w:val="0031349A"/>
    <w:rsid w:val="0031378F"/>
    <w:rsid w:val="00313966"/>
    <w:rsid w:val="00313C05"/>
    <w:rsid w:val="00313CF2"/>
    <w:rsid w:val="00313D4B"/>
    <w:rsid w:val="00313D7A"/>
    <w:rsid w:val="00313E54"/>
    <w:rsid w:val="00314340"/>
    <w:rsid w:val="00314CCF"/>
    <w:rsid w:val="00314D91"/>
    <w:rsid w:val="00314E12"/>
    <w:rsid w:val="00314FFF"/>
    <w:rsid w:val="00315084"/>
    <w:rsid w:val="00315250"/>
    <w:rsid w:val="00315274"/>
    <w:rsid w:val="003152C3"/>
    <w:rsid w:val="00315330"/>
    <w:rsid w:val="00315341"/>
    <w:rsid w:val="00315607"/>
    <w:rsid w:val="00315717"/>
    <w:rsid w:val="0031584D"/>
    <w:rsid w:val="0031594E"/>
    <w:rsid w:val="00315B34"/>
    <w:rsid w:val="00315B4D"/>
    <w:rsid w:val="00315F4E"/>
    <w:rsid w:val="00316022"/>
    <w:rsid w:val="0031605F"/>
    <w:rsid w:val="00316192"/>
    <w:rsid w:val="003162DA"/>
    <w:rsid w:val="0031631E"/>
    <w:rsid w:val="0031639E"/>
    <w:rsid w:val="003163D8"/>
    <w:rsid w:val="0031647A"/>
    <w:rsid w:val="00316556"/>
    <w:rsid w:val="003165C1"/>
    <w:rsid w:val="00316628"/>
    <w:rsid w:val="003167A0"/>
    <w:rsid w:val="00316A14"/>
    <w:rsid w:val="00316AA7"/>
    <w:rsid w:val="00316BAE"/>
    <w:rsid w:val="00316D1A"/>
    <w:rsid w:val="00316DC0"/>
    <w:rsid w:val="00316E1A"/>
    <w:rsid w:val="00317141"/>
    <w:rsid w:val="00317ABF"/>
    <w:rsid w:val="00317C07"/>
    <w:rsid w:val="00317C5C"/>
    <w:rsid w:val="00317E63"/>
    <w:rsid w:val="00317FF2"/>
    <w:rsid w:val="003200A7"/>
    <w:rsid w:val="00320331"/>
    <w:rsid w:val="00320410"/>
    <w:rsid w:val="00320470"/>
    <w:rsid w:val="0032055F"/>
    <w:rsid w:val="00320588"/>
    <w:rsid w:val="00320766"/>
    <w:rsid w:val="0032086E"/>
    <w:rsid w:val="00320A00"/>
    <w:rsid w:val="00320BDF"/>
    <w:rsid w:val="00320CAD"/>
    <w:rsid w:val="003211BC"/>
    <w:rsid w:val="003215A3"/>
    <w:rsid w:val="00321709"/>
    <w:rsid w:val="00321A7A"/>
    <w:rsid w:val="00321BFC"/>
    <w:rsid w:val="00321C2C"/>
    <w:rsid w:val="00321C3B"/>
    <w:rsid w:val="00321C8A"/>
    <w:rsid w:val="00321C8E"/>
    <w:rsid w:val="00321D4A"/>
    <w:rsid w:val="00321D66"/>
    <w:rsid w:val="00321DEE"/>
    <w:rsid w:val="00321E46"/>
    <w:rsid w:val="00321F68"/>
    <w:rsid w:val="003221EC"/>
    <w:rsid w:val="0032225D"/>
    <w:rsid w:val="00322286"/>
    <w:rsid w:val="00322834"/>
    <w:rsid w:val="00322C01"/>
    <w:rsid w:val="00322C2E"/>
    <w:rsid w:val="00322C7E"/>
    <w:rsid w:val="00322C8D"/>
    <w:rsid w:val="00322DB2"/>
    <w:rsid w:val="00322E18"/>
    <w:rsid w:val="00323244"/>
    <w:rsid w:val="00323288"/>
    <w:rsid w:val="0032333D"/>
    <w:rsid w:val="00323458"/>
    <w:rsid w:val="00323545"/>
    <w:rsid w:val="00323985"/>
    <w:rsid w:val="00323A7F"/>
    <w:rsid w:val="00323ACD"/>
    <w:rsid w:val="0032400D"/>
    <w:rsid w:val="003242EB"/>
    <w:rsid w:val="0032451E"/>
    <w:rsid w:val="00324596"/>
    <w:rsid w:val="003245EC"/>
    <w:rsid w:val="003245EF"/>
    <w:rsid w:val="00324906"/>
    <w:rsid w:val="003249A7"/>
    <w:rsid w:val="00324DE2"/>
    <w:rsid w:val="0032515B"/>
    <w:rsid w:val="0032541C"/>
    <w:rsid w:val="003254D7"/>
    <w:rsid w:val="0032552F"/>
    <w:rsid w:val="00325733"/>
    <w:rsid w:val="00325763"/>
    <w:rsid w:val="00325851"/>
    <w:rsid w:val="003258EC"/>
    <w:rsid w:val="003258F5"/>
    <w:rsid w:val="00325AEB"/>
    <w:rsid w:val="00325EB8"/>
    <w:rsid w:val="00325F0B"/>
    <w:rsid w:val="00325FE0"/>
    <w:rsid w:val="00326141"/>
    <w:rsid w:val="00326291"/>
    <w:rsid w:val="00326331"/>
    <w:rsid w:val="003264B4"/>
    <w:rsid w:val="0032698B"/>
    <w:rsid w:val="00326B2E"/>
    <w:rsid w:val="00326B33"/>
    <w:rsid w:val="00326C3D"/>
    <w:rsid w:val="00326C88"/>
    <w:rsid w:val="00326D94"/>
    <w:rsid w:val="0032708B"/>
    <w:rsid w:val="00327398"/>
    <w:rsid w:val="003273BA"/>
    <w:rsid w:val="0032749E"/>
    <w:rsid w:val="00327890"/>
    <w:rsid w:val="003278A7"/>
    <w:rsid w:val="00327CE6"/>
    <w:rsid w:val="00327D4B"/>
    <w:rsid w:val="00327F22"/>
    <w:rsid w:val="00330326"/>
    <w:rsid w:val="0033036C"/>
    <w:rsid w:val="003304C7"/>
    <w:rsid w:val="003304D5"/>
    <w:rsid w:val="003307A0"/>
    <w:rsid w:val="003307A9"/>
    <w:rsid w:val="00330A11"/>
    <w:rsid w:val="00330C3D"/>
    <w:rsid w:val="00330E12"/>
    <w:rsid w:val="00331083"/>
    <w:rsid w:val="0033114E"/>
    <w:rsid w:val="0033147B"/>
    <w:rsid w:val="003315A7"/>
    <w:rsid w:val="003316BE"/>
    <w:rsid w:val="0033171A"/>
    <w:rsid w:val="00331AB7"/>
    <w:rsid w:val="00331F2F"/>
    <w:rsid w:val="00331F6C"/>
    <w:rsid w:val="00332324"/>
    <w:rsid w:val="00332660"/>
    <w:rsid w:val="00332858"/>
    <w:rsid w:val="00332868"/>
    <w:rsid w:val="00332AF5"/>
    <w:rsid w:val="00332B38"/>
    <w:rsid w:val="00332C91"/>
    <w:rsid w:val="00332D0E"/>
    <w:rsid w:val="00332D8F"/>
    <w:rsid w:val="00332E80"/>
    <w:rsid w:val="003331A5"/>
    <w:rsid w:val="003331A9"/>
    <w:rsid w:val="003331AA"/>
    <w:rsid w:val="003333DB"/>
    <w:rsid w:val="003335A1"/>
    <w:rsid w:val="0033363C"/>
    <w:rsid w:val="0033368F"/>
    <w:rsid w:val="00333705"/>
    <w:rsid w:val="00333897"/>
    <w:rsid w:val="0033391F"/>
    <w:rsid w:val="00333B63"/>
    <w:rsid w:val="00333C24"/>
    <w:rsid w:val="00333C5F"/>
    <w:rsid w:val="00333D20"/>
    <w:rsid w:val="00333FE2"/>
    <w:rsid w:val="0033422D"/>
    <w:rsid w:val="00334296"/>
    <w:rsid w:val="0033440D"/>
    <w:rsid w:val="00334828"/>
    <w:rsid w:val="00334990"/>
    <w:rsid w:val="003349D3"/>
    <w:rsid w:val="00334A0B"/>
    <w:rsid w:val="00334CDB"/>
    <w:rsid w:val="00334CE5"/>
    <w:rsid w:val="0033508B"/>
    <w:rsid w:val="003350D5"/>
    <w:rsid w:val="003353AB"/>
    <w:rsid w:val="00335454"/>
    <w:rsid w:val="00335464"/>
    <w:rsid w:val="00335737"/>
    <w:rsid w:val="0033587E"/>
    <w:rsid w:val="00335939"/>
    <w:rsid w:val="00335AB9"/>
    <w:rsid w:val="00335AC8"/>
    <w:rsid w:val="00335C0C"/>
    <w:rsid w:val="00335C4C"/>
    <w:rsid w:val="00335EE2"/>
    <w:rsid w:val="0033656F"/>
    <w:rsid w:val="0033660F"/>
    <w:rsid w:val="00336639"/>
    <w:rsid w:val="00336690"/>
    <w:rsid w:val="00336937"/>
    <w:rsid w:val="0033698B"/>
    <w:rsid w:val="00336C5E"/>
    <w:rsid w:val="00336CA8"/>
    <w:rsid w:val="00337002"/>
    <w:rsid w:val="00337104"/>
    <w:rsid w:val="003371B8"/>
    <w:rsid w:val="00337219"/>
    <w:rsid w:val="00337578"/>
    <w:rsid w:val="00337763"/>
    <w:rsid w:val="00337927"/>
    <w:rsid w:val="00337930"/>
    <w:rsid w:val="00337935"/>
    <w:rsid w:val="00337BB3"/>
    <w:rsid w:val="00337CF2"/>
    <w:rsid w:val="00340094"/>
    <w:rsid w:val="00340220"/>
    <w:rsid w:val="00340438"/>
    <w:rsid w:val="0034068B"/>
    <w:rsid w:val="003406A6"/>
    <w:rsid w:val="00340B2B"/>
    <w:rsid w:val="00340B3E"/>
    <w:rsid w:val="00340E34"/>
    <w:rsid w:val="00340F1E"/>
    <w:rsid w:val="00341134"/>
    <w:rsid w:val="0034118B"/>
    <w:rsid w:val="00341193"/>
    <w:rsid w:val="003412B0"/>
    <w:rsid w:val="00341339"/>
    <w:rsid w:val="0034134E"/>
    <w:rsid w:val="00341410"/>
    <w:rsid w:val="003414D2"/>
    <w:rsid w:val="0034156E"/>
    <w:rsid w:val="003417C1"/>
    <w:rsid w:val="00341814"/>
    <w:rsid w:val="00341891"/>
    <w:rsid w:val="00341B47"/>
    <w:rsid w:val="00341CBE"/>
    <w:rsid w:val="00341D48"/>
    <w:rsid w:val="003421C5"/>
    <w:rsid w:val="00342350"/>
    <w:rsid w:val="00342479"/>
    <w:rsid w:val="00342670"/>
    <w:rsid w:val="0034269B"/>
    <w:rsid w:val="003427AC"/>
    <w:rsid w:val="003427B8"/>
    <w:rsid w:val="00342923"/>
    <w:rsid w:val="0034298C"/>
    <w:rsid w:val="003429C8"/>
    <w:rsid w:val="00342B51"/>
    <w:rsid w:val="00342B7E"/>
    <w:rsid w:val="00342E92"/>
    <w:rsid w:val="00342F29"/>
    <w:rsid w:val="00343226"/>
    <w:rsid w:val="0034372B"/>
    <w:rsid w:val="003437CF"/>
    <w:rsid w:val="00343BF5"/>
    <w:rsid w:val="00343F32"/>
    <w:rsid w:val="003440B3"/>
    <w:rsid w:val="003440DD"/>
    <w:rsid w:val="00344180"/>
    <w:rsid w:val="0034431B"/>
    <w:rsid w:val="00344395"/>
    <w:rsid w:val="00344397"/>
    <w:rsid w:val="003443C0"/>
    <w:rsid w:val="003443CA"/>
    <w:rsid w:val="003444E8"/>
    <w:rsid w:val="003447AE"/>
    <w:rsid w:val="00344F2F"/>
    <w:rsid w:val="00344FBA"/>
    <w:rsid w:val="00345570"/>
    <w:rsid w:val="00345582"/>
    <w:rsid w:val="0034576D"/>
    <w:rsid w:val="00345882"/>
    <w:rsid w:val="00345AA8"/>
    <w:rsid w:val="00345CD1"/>
    <w:rsid w:val="00345DF2"/>
    <w:rsid w:val="00345EE3"/>
    <w:rsid w:val="00346507"/>
    <w:rsid w:val="003465FC"/>
    <w:rsid w:val="003466A4"/>
    <w:rsid w:val="0034679E"/>
    <w:rsid w:val="0034687F"/>
    <w:rsid w:val="00346911"/>
    <w:rsid w:val="00346A46"/>
    <w:rsid w:val="00346B09"/>
    <w:rsid w:val="00346D45"/>
    <w:rsid w:val="00346DFC"/>
    <w:rsid w:val="00346F1B"/>
    <w:rsid w:val="0034701A"/>
    <w:rsid w:val="00347021"/>
    <w:rsid w:val="003473C2"/>
    <w:rsid w:val="003475B7"/>
    <w:rsid w:val="00347A94"/>
    <w:rsid w:val="00347BAE"/>
    <w:rsid w:val="00347E30"/>
    <w:rsid w:val="00347E88"/>
    <w:rsid w:val="00350132"/>
    <w:rsid w:val="00350384"/>
    <w:rsid w:val="0035039A"/>
    <w:rsid w:val="003503ED"/>
    <w:rsid w:val="00350684"/>
    <w:rsid w:val="00350D97"/>
    <w:rsid w:val="00350E43"/>
    <w:rsid w:val="00350FB1"/>
    <w:rsid w:val="00351121"/>
    <w:rsid w:val="00351698"/>
    <w:rsid w:val="00351838"/>
    <w:rsid w:val="00351A15"/>
    <w:rsid w:val="00351A24"/>
    <w:rsid w:val="00351D10"/>
    <w:rsid w:val="00351F35"/>
    <w:rsid w:val="00352494"/>
    <w:rsid w:val="003526BA"/>
    <w:rsid w:val="00352A2C"/>
    <w:rsid w:val="00352BB8"/>
    <w:rsid w:val="00352C16"/>
    <w:rsid w:val="00352ED1"/>
    <w:rsid w:val="00352FBF"/>
    <w:rsid w:val="00352FD9"/>
    <w:rsid w:val="00352FDD"/>
    <w:rsid w:val="003530B9"/>
    <w:rsid w:val="003534D6"/>
    <w:rsid w:val="003535BC"/>
    <w:rsid w:val="00353A78"/>
    <w:rsid w:val="00353EBA"/>
    <w:rsid w:val="00353F42"/>
    <w:rsid w:val="003540B7"/>
    <w:rsid w:val="003542B9"/>
    <w:rsid w:val="00354306"/>
    <w:rsid w:val="00354456"/>
    <w:rsid w:val="003545EB"/>
    <w:rsid w:val="003546A6"/>
    <w:rsid w:val="0035487F"/>
    <w:rsid w:val="0035495E"/>
    <w:rsid w:val="003549DE"/>
    <w:rsid w:val="00354A40"/>
    <w:rsid w:val="00355416"/>
    <w:rsid w:val="0035571E"/>
    <w:rsid w:val="00355760"/>
    <w:rsid w:val="00355E2B"/>
    <w:rsid w:val="00355E4A"/>
    <w:rsid w:val="0035603A"/>
    <w:rsid w:val="003560B2"/>
    <w:rsid w:val="00356104"/>
    <w:rsid w:val="00356142"/>
    <w:rsid w:val="003561E5"/>
    <w:rsid w:val="003562AD"/>
    <w:rsid w:val="003562E8"/>
    <w:rsid w:val="00356313"/>
    <w:rsid w:val="00356347"/>
    <w:rsid w:val="00356554"/>
    <w:rsid w:val="0035669A"/>
    <w:rsid w:val="003568E7"/>
    <w:rsid w:val="00356904"/>
    <w:rsid w:val="00356C6A"/>
    <w:rsid w:val="00356DCE"/>
    <w:rsid w:val="0035700C"/>
    <w:rsid w:val="0035707C"/>
    <w:rsid w:val="00357182"/>
    <w:rsid w:val="003571E3"/>
    <w:rsid w:val="0035770A"/>
    <w:rsid w:val="0035772C"/>
    <w:rsid w:val="00357886"/>
    <w:rsid w:val="00357897"/>
    <w:rsid w:val="00357C9A"/>
    <w:rsid w:val="00360105"/>
    <w:rsid w:val="0036039A"/>
    <w:rsid w:val="003605DE"/>
    <w:rsid w:val="0036061A"/>
    <w:rsid w:val="00360637"/>
    <w:rsid w:val="003608EF"/>
    <w:rsid w:val="003609F9"/>
    <w:rsid w:val="00360A84"/>
    <w:rsid w:val="00360AFD"/>
    <w:rsid w:val="00360D0F"/>
    <w:rsid w:val="0036138D"/>
    <w:rsid w:val="00361461"/>
    <w:rsid w:val="003616FB"/>
    <w:rsid w:val="003617A3"/>
    <w:rsid w:val="00361847"/>
    <w:rsid w:val="00361984"/>
    <w:rsid w:val="00361AAA"/>
    <w:rsid w:val="00361B6F"/>
    <w:rsid w:val="00361C3A"/>
    <w:rsid w:val="00361C91"/>
    <w:rsid w:val="00361D0F"/>
    <w:rsid w:val="00361D41"/>
    <w:rsid w:val="00361F25"/>
    <w:rsid w:val="00362016"/>
    <w:rsid w:val="0036212B"/>
    <w:rsid w:val="00362133"/>
    <w:rsid w:val="0036224D"/>
    <w:rsid w:val="003624F8"/>
    <w:rsid w:val="00362AAC"/>
    <w:rsid w:val="00362AC6"/>
    <w:rsid w:val="00362E74"/>
    <w:rsid w:val="00362FE3"/>
    <w:rsid w:val="0036320F"/>
    <w:rsid w:val="003632DE"/>
    <w:rsid w:val="003633C0"/>
    <w:rsid w:val="00363461"/>
    <w:rsid w:val="00363563"/>
    <w:rsid w:val="003636C1"/>
    <w:rsid w:val="0036385C"/>
    <w:rsid w:val="0036391F"/>
    <w:rsid w:val="00363A1F"/>
    <w:rsid w:val="00363CE9"/>
    <w:rsid w:val="00363D60"/>
    <w:rsid w:val="003643EA"/>
    <w:rsid w:val="0036482B"/>
    <w:rsid w:val="003648D2"/>
    <w:rsid w:val="003648EF"/>
    <w:rsid w:val="0036494F"/>
    <w:rsid w:val="00364CDF"/>
    <w:rsid w:val="00364D18"/>
    <w:rsid w:val="00364E4B"/>
    <w:rsid w:val="003650BE"/>
    <w:rsid w:val="003650F6"/>
    <w:rsid w:val="0036533B"/>
    <w:rsid w:val="003654B6"/>
    <w:rsid w:val="00365732"/>
    <w:rsid w:val="0036582D"/>
    <w:rsid w:val="00365941"/>
    <w:rsid w:val="00365BDF"/>
    <w:rsid w:val="00365C6E"/>
    <w:rsid w:val="00365CC6"/>
    <w:rsid w:val="00365D61"/>
    <w:rsid w:val="00365D79"/>
    <w:rsid w:val="00365E33"/>
    <w:rsid w:val="00365FA4"/>
    <w:rsid w:val="00366050"/>
    <w:rsid w:val="003660E2"/>
    <w:rsid w:val="003661E2"/>
    <w:rsid w:val="003664AC"/>
    <w:rsid w:val="003665CA"/>
    <w:rsid w:val="00366B75"/>
    <w:rsid w:val="00366ECB"/>
    <w:rsid w:val="0036742F"/>
    <w:rsid w:val="003674E8"/>
    <w:rsid w:val="00367780"/>
    <w:rsid w:val="0036781B"/>
    <w:rsid w:val="00367820"/>
    <w:rsid w:val="00367937"/>
    <w:rsid w:val="00367ACC"/>
    <w:rsid w:val="00367B75"/>
    <w:rsid w:val="00367BC1"/>
    <w:rsid w:val="00367FD2"/>
    <w:rsid w:val="0037032A"/>
    <w:rsid w:val="00370454"/>
    <w:rsid w:val="00370789"/>
    <w:rsid w:val="00370BCA"/>
    <w:rsid w:val="00370CED"/>
    <w:rsid w:val="00370F4B"/>
    <w:rsid w:val="00370F70"/>
    <w:rsid w:val="003710A4"/>
    <w:rsid w:val="0037113D"/>
    <w:rsid w:val="00371478"/>
    <w:rsid w:val="003716DB"/>
    <w:rsid w:val="003717F6"/>
    <w:rsid w:val="003719CB"/>
    <w:rsid w:val="00371E1C"/>
    <w:rsid w:val="00371E56"/>
    <w:rsid w:val="00372475"/>
    <w:rsid w:val="003724BE"/>
    <w:rsid w:val="003724FF"/>
    <w:rsid w:val="00372693"/>
    <w:rsid w:val="0037269D"/>
    <w:rsid w:val="0037284E"/>
    <w:rsid w:val="00372DC3"/>
    <w:rsid w:val="0037303C"/>
    <w:rsid w:val="0037313E"/>
    <w:rsid w:val="003731DB"/>
    <w:rsid w:val="00373294"/>
    <w:rsid w:val="003733B6"/>
    <w:rsid w:val="003733DD"/>
    <w:rsid w:val="003736A5"/>
    <w:rsid w:val="0037374D"/>
    <w:rsid w:val="00373C05"/>
    <w:rsid w:val="00373FA0"/>
    <w:rsid w:val="0037406F"/>
    <w:rsid w:val="003740ED"/>
    <w:rsid w:val="003741E9"/>
    <w:rsid w:val="0037461C"/>
    <w:rsid w:val="0037471C"/>
    <w:rsid w:val="00374828"/>
    <w:rsid w:val="003748E7"/>
    <w:rsid w:val="0037497B"/>
    <w:rsid w:val="003749C2"/>
    <w:rsid w:val="00374A46"/>
    <w:rsid w:val="00374AF5"/>
    <w:rsid w:val="00374C03"/>
    <w:rsid w:val="00374D01"/>
    <w:rsid w:val="00374F65"/>
    <w:rsid w:val="00374FF3"/>
    <w:rsid w:val="00375061"/>
    <w:rsid w:val="00375069"/>
    <w:rsid w:val="00375275"/>
    <w:rsid w:val="00375317"/>
    <w:rsid w:val="00375462"/>
    <w:rsid w:val="00375528"/>
    <w:rsid w:val="0037552C"/>
    <w:rsid w:val="00375625"/>
    <w:rsid w:val="003756BF"/>
    <w:rsid w:val="00375783"/>
    <w:rsid w:val="003758ED"/>
    <w:rsid w:val="00375B7C"/>
    <w:rsid w:val="00375C45"/>
    <w:rsid w:val="00375DC3"/>
    <w:rsid w:val="00375FC5"/>
    <w:rsid w:val="00376186"/>
    <w:rsid w:val="00376236"/>
    <w:rsid w:val="00376B98"/>
    <w:rsid w:val="00376BE1"/>
    <w:rsid w:val="00376D74"/>
    <w:rsid w:val="00377141"/>
    <w:rsid w:val="00377145"/>
    <w:rsid w:val="00377239"/>
    <w:rsid w:val="00377365"/>
    <w:rsid w:val="003773F5"/>
    <w:rsid w:val="003775E5"/>
    <w:rsid w:val="003775F4"/>
    <w:rsid w:val="003776A5"/>
    <w:rsid w:val="0037777A"/>
    <w:rsid w:val="00377ED4"/>
    <w:rsid w:val="00377EED"/>
    <w:rsid w:val="0038001B"/>
    <w:rsid w:val="0038001F"/>
    <w:rsid w:val="0038009B"/>
    <w:rsid w:val="003801EE"/>
    <w:rsid w:val="00380318"/>
    <w:rsid w:val="0038031E"/>
    <w:rsid w:val="0038039A"/>
    <w:rsid w:val="00380422"/>
    <w:rsid w:val="003804CC"/>
    <w:rsid w:val="0038083F"/>
    <w:rsid w:val="003808B5"/>
    <w:rsid w:val="003808D3"/>
    <w:rsid w:val="00380A2B"/>
    <w:rsid w:val="0038100B"/>
    <w:rsid w:val="003810B2"/>
    <w:rsid w:val="00381702"/>
    <w:rsid w:val="00381AB2"/>
    <w:rsid w:val="00381AB6"/>
    <w:rsid w:val="00381B84"/>
    <w:rsid w:val="00381B97"/>
    <w:rsid w:val="00381C92"/>
    <w:rsid w:val="00381CAF"/>
    <w:rsid w:val="00381CC2"/>
    <w:rsid w:val="00381F3D"/>
    <w:rsid w:val="00382005"/>
    <w:rsid w:val="00382129"/>
    <w:rsid w:val="00382280"/>
    <w:rsid w:val="003823FE"/>
    <w:rsid w:val="003825EE"/>
    <w:rsid w:val="003828A8"/>
    <w:rsid w:val="00382A47"/>
    <w:rsid w:val="00382B29"/>
    <w:rsid w:val="00382B57"/>
    <w:rsid w:val="00382D24"/>
    <w:rsid w:val="00382E98"/>
    <w:rsid w:val="00382FCA"/>
    <w:rsid w:val="0038302F"/>
    <w:rsid w:val="0038319B"/>
    <w:rsid w:val="00383251"/>
    <w:rsid w:val="003833AD"/>
    <w:rsid w:val="003836C6"/>
    <w:rsid w:val="00383910"/>
    <w:rsid w:val="00383B88"/>
    <w:rsid w:val="00383BDD"/>
    <w:rsid w:val="00383EAC"/>
    <w:rsid w:val="00383EE1"/>
    <w:rsid w:val="0038420C"/>
    <w:rsid w:val="00384225"/>
    <w:rsid w:val="003842C0"/>
    <w:rsid w:val="003843D4"/>
    <w:rsid w:val="00384414"/>
    <w:rsid w:val="003848FD"/>
    <w:rsid w:val="00384967"/>
    <w:rsid w:val="00384A85"/>
    <w:rsid w:val="00384B1C"/>
    <w:rsid w:val="00384BA5"/>
    <w:rsid w:val="003855B4"/>
    <w:rsid w:val="003855EF"/>
    <w:rsid w:val="00385704"/>
    <w:rsid w:val="003858B7"/>
    <w:rsid w:val="00385924"/>
    <w:rsid w:val="00385C69"/>
    <w:rsid w:val="00385CCE"/>
    <w:rsid w:val="00385DD6"/>
    <w:rsid w:val="00385FB2"/>
    <w:rsid w:val="00386168"/>
    <w:rsid w:val="00386357"/>
    <w:rsid w:val="00386515"/>
    <w:rsid w:val="003868F1"/>
    <w:rsid w:val="00386980"/>
    <w:rsid w:val="00386A09"/>
    <w:rsid w:val="00386ACC"/>
    <w:rsid w:val="00386C9E"/>
    <w:rsid w:val="00386DB6"/>
    <w:rsid w:val="00386DF4"/>
    <w:rsid w:val="00387263"/>
    <w:rsid w:val="003875DF"/>
    <w:rsid w:val="0038767C"/>
    <w:rsid w:val="003876E9"/>
    <w:rsid w:val="00387777"/>
    <w:rsid w:val="003878A2"/>
    <w:rsid w:val="00387930"/>
    <w:rsid w:val="00387A27"/>
    <w:rsid w:val="00387AAF"/>
    <w:rsid w:val="00387E86"/>
    <w:rsid w:val="0039012B"/>
    <w:rsid w:val="00390133"/>
    <w:rsid w:val="003901B6"/>
    <w:rsid w:val="003902E0"/>
    <w:rsid w:val="00390577"/>
    <w:rsid w:val="003906AE"/>
    <w:rsid w:val="003908B6"/>
    <w:rsid w:val="003908B8"/>
    <w:rsid w:val="003909DD"/>
    <w:rsid w:val="00390BBD"/>
    <w:rsid w:val="00390C80"/>
    <w:rsid w:val="00390E17"/>
    <w:rsid w:val="00390EB5"/>
    <w:rsid w:val="00390FD6"/>
    <w:rsid w:val="00391083"/>
    <w:rsid w:val="00391087"/>
    <w:rsid w:val="003910D0"/>
    <w:rsid w:val="0039121C"/>
    <w:rsid w:val="00391518"/>
    <w:rsid w:val="0039157A"/>
    <w:rsid w:val="003915B4"/>
    <w:rsid w:val="003915B8"/>
    <w:rsid w:val="003917B3"/>
    <w:rsid w:val="00391899"/>
    <w:rsid w:val="0039190E"/>
    <w:rsid w:val="003919E9"/>
    <w:rsid w:val="00391C5B"/>
    <w:rsid w:val="00391F9D"/>
    <w:rsid w:val="003925CE"/>
    <w:rsid w:val="003926CA"/>
    <w:rsid w:val="0039270F"/>
    <w:rsid w:val="003928D6"/>
    <w:rsid w:val="00392981"/>
    <w:rsid w:val="00392B63"/>
    <w:rsid w:val="003931B9"/>
    <w:rsid w:val="003932C1"/>
    <w:rsid w:val="0039349A"/>
    <w:rsid w:val="0039370B"/>
    <w:rsid w:val="00393B47"/>
    <w:rsid w:val="00393BE9"/>
    <w:rsid w:val="00393E6D"/>
    <w:rsid w:val="00393F19"/>
    <w:rsid w:val="00393F4E"/>
    <w:rsid w:val="00394545"/>
    <w:rsid w:val="0039459B"/>
    <w:rsid w:val="003946FC"/>
    <w:rsid w:val="00394957"/>
    <w:rsid w:val="00394A2B"/>
    <w:rsid w:val="00394B9F"/>
    <w:rsid w:val="00394DB6"/>
    <w:rsid w:val="003951C4"/>
    <w:rsid w:val="0039558D"/>
    <w:rsid w:val="003958DA"/>
    <w:rsid w:val="00395A5A"/>
    <w:rsid w:val="00395B17"/>
    <w:rsid w:val="00395C79"/>
    <w:rsid w:val="00395CDB"/>
    <w:rsid w:val="0039602C"/>
    <w:rsid w:val="0039626F"/>
    <w:rsid w:val="003962CC"/>
    <w:rsid w:val="00396307"/>
    <w:rsid w:val="003965F6"/>
    <w:rsid w:val="00396782"/>
    <w:rsid w:val="003967F1"/>
    <w:rsid w:val="00396A0D"/>
    <w:rsid w:val="00396A9A"/>
    <w:rsid w:val="00396D90"/>
    <w:rsid w:val="00396E71"/>
    <w:rsid w:val="00397322"/>
    <w:rsid w:val="003976A2"/>
    <w:rsid w:val="003976A4"/>
    <w:rsid w:val="00397748"/>
    <w:rsid w:val="00397A42"/>
    <w:rsid w:val="00397A7B"/>
    <w:rsid w:val="00397D37"/>
    <w:rsid w:val="003A02AD"/>
    <w:rsid w:val="003A02FE"/>
    <w:rsid w:val="003A032A"/>
    <w:rsid w:val="003A0376"/>
    <w:rsid w:val="003A0538"/>
    <w:rsid w:val="003A0DAC"/>
    <w:rsid w:val="003A0E31"/>
    <w:rsid w:val="003A0EA8"/>
    <w:rsid w:val="003A1037"/>
    <w:rsid w:val="003A11F7"/>
    <w:rsid w:val="003A124D"/>
    <w:rsid w:val="003A13B7"/>
    <w:rsid w:val="003A176C"/>
    <w:rsid w:val="003A1DE3"/>
    <w:rsid w:val="003A1E95"/>
    <w:rsid w:val="003A20DF"/>
    <w:rsid w:val="003A215D"/>
    <w:rsid w:val="003A21B3"/>
    <w:rsid w:val="003A2207"/>
    <w:rsid w:val="003A2285"/>
    <w:rsid w:val="003A22FD"/>
    <w:rsid w:val="003A232E"/>
    <w:rsid w:val="003A2478"/>
    <w:rsid w:val="003A255B"/>
    <w:rsid w:val="003A261A"/>
    <w:rsid w:val="003A29B5"/>
    <w:rsid w:val="003A2A69"/>
    <w:rsid w:val="003A2B9B"/>
    <w:rsid w:val="003A2EC6"/>
    <w:rsid w:val="003A2F4C"/>
    <w:rsid w:val="003A2FE9"/>
    <w:rsid w:val="003A3055"/>
    <w:rsid w:val="003A30E0"/>
    <w:rsid w:val="003A31B1"/>
    <w:rsid w:val="003A32FA"/>
    <w:rsid w:val="003A3326"/>
    <w:rsid w:val="003A33C2"/>
    <w:rsid w:val="003A34A2"/>
    <w:rsid w:val="003A36D4"/>
    <w:rsid w:val="003A3825"/>
    <w:rsid w:val="003A3889"/>
    <w:rsid w:val="003A3A0C"/>
    <w:rsid w:val="003A4188"/>
    <w:rsid w:val="003A422C"/>
    <w:rsid w:val="003A4367"/>
    <w:rsid w:val="003A45D7"/>
    <w:rsid w:val="003A463D"/>
    <w:rsid w:val="003A47CA"/>
    <w:rsid w:val="003A49D9"/>
    <w:rsid w:val="003A4B57"/>
    <w:rsid w:val="003A4CE6"/>
    <w:rsid w:val="003A4E09"/>
    <w:rsid w:val="003A4FA5"/>
    <w:rsid w:val="003A51CD"/>
    <w:rsid w:val="003A51F4"/>
    <w:rsid w:val="003A53C5"/>
    <w:rsid w:val="003A560C"/>
    <w:rsid w:val="003A56AB"/>
    <w:rsid w:val="003A5813"/>
    <w:rsid w:val="003A5867"/>
    <w:rsid w:val="003A593D"/>
    <w:rsid w:val="003A593F"/>
    <w:rsid w:val="003A59D8"/>
    <w:rsid w:val="003A5B9E"/>
    <w:rsid w:val="003A5C68"/>
    <w:rsid w:val="003A606A"/>
    <w:rsid w:val="003A62AC"/>
    <w:rsid w:val="003A63C0"/>
    <w:rsid w:val="003A6482"/>
    <w:rsid w:val="003A655B"/>
    <w:rsid w:val="003A664E"/>
    <w:rsid w:val="003A6710"/>
    <w:rsid w:val="003A6A6B"/>
    <w:rsid w:val="003A6A77"/>
    <w:rsid w:val="003A6D50"/>
    <w:rsid w:val="003A6D8A"/>
    <w:rsid w:val="003A6E85"/>
    <w:rsid w:val="003A703C"/>
    <w:rsid w:val="003A72A5"/>
    <w:rsid w:val="003A72BC"/>
    <w:rsid w:val="003A796C"/>
    <w:rsid w:val="003A7A5D"/>
    <w:rsid w:val="003A7F39"/>
    <w:rsid w:val="003B0210"/>
    <w:rsid w:val="003B03A4"/>
    <w:rsid w:val="003B0572"/>
    <w:rsid w:val="003B0620"/>
    <w:rsid w:val="003B0CB5"/>
    <w:rsid w:val="003B0E15"/>
    <w:rsid w:val="003B0F47"/>
    <w:rsid w:val="003B1071"/>
    <w:rsid w:val="003B11B1"/>
    <w:rsid w:val="003B12B2"/>
    <w:rsid w:val="003B13EC"/>
    <w:rsid w:val="003B15CB"/>
    <w:rsid w:val="003B197E"/>
    <w:rsid w:val="003B19EF"/>
    <w:rsid w:val="003B1E80"/>
    <w:rsid w:val="003B22BF"/>
    <w:rsid w:val="003B26A7"/>
    <w:rsid w:val="003B275E"/>
    <w:rsid w:val="003B27ED"/>
    <w:rsid w:val="003B2803"/>
    <w:rsid w:val="003B2ED7"/>
    <w:rsid w:val="003B2EEC"/>
    <w:rsid w:val="003B2F6E"/>
    <w:rsid w:val="003B31E7"/>
    <w:rsid w:val="003B3265"/>
    <w:rsid w:val="003B3493"/>
    <w:rsid w:val="003B39DC"/>
    <w:rsid w:val="003B3B64"/>
    <w:rsid w:val="003B3E36"/>
    <w:rsid w:val="003B3E49"/>
    <w:rsid w:val="003B3F4D"/>
    <w:rsid w:val="003B4040"/>
    <w:rsid w:val="003B4667"/>
    <w:rsid w:val="003B487B"/>
    <w:rsid w:val="003B48D9"/>
    <w:rsid w:val="003B4910"/>
    <w:rsid w:val="003B4976"/>
    <w:rsid w:val="003B49CD"/>
    <w:rsid w:val="003B4A83"/>
    <w:rsid w:val="003B4AD2"/>
    <w:rsid w:val="003B4BD3"/>
    <w:rsid w:val="003B4C63"/>
    <w:rsid w:val="003B4D00"/>
    <w:rsid w:val="003B4E12"/>
    <w:rsid w:val="003B5158"/>
    <w:rsid w:val="003B53FA"/>
    <w:rsid w:val="003B54E1"/>
    <w:rsid w:val="003B55BD"/>
    <w:rsid w:val="003B5B5A"/>
    <w:rsid w:val="003B6018"/>
    <w:rsid w:val="003B607E"/>
    <w:rsid w:val="003B6181"/>
    <w:rsid w:val="003B650E"/>
    <w:rsid w:val="003B65B9"/>
    <w:rsid w:val="003B65FA"/>
    <w:rsid w:val="003B660A"/>
    <w:rsid w:val="003B67B2"/>
    <w:rsid w:val="003B6955"/>
    <w:rsid w:val="003B69B6"/>
    <w:rsid w:val="003B6BAD"/>
    <w:rsid w:val="003B6BF7"/>
    <w:rsid w:val="003B6C16"/>
    <w:rsid w:val="003B6D84"/>
    <w:rsid w:val="003B6FCF"/>
    <w:rsid w:val="003B71E8"/>
    <w:rsid w:val="003B73B8"/>
    <w:rsid w:val="003B73E7"/>
    <w:rsid w:val="003B744C"/>
    <w:rsid w:val="003B74BC"/>
    <w:rsid w:val="003B7772"/>
    <w:rsid w:val="003B79A3"/>
    <w:rsid w:val="003B7A39"/>
    <w:rsid w:val="003B7BB0"/>
    <w:rsid w:val="003B7C98"/>
    <w:rsid w:val="003B7F77"/>
    <w:rsid w:val="003C03DE"/>
    <w:rsid w:val="003C0513"/>
    <w:rsid w:val="003C0613"/>
    <w:rsid w:val="003C0794"/>
    <w:rsid w:val="003C091A"/>
    <w:rsid w:val="003C0BAC"/>
    <w:rsid w:val="003C106A"/>
    <w:rsid w:val="003C10A0"/>
    <w:rsid w:val="003C10AE"/>
    <w:rsid w:val="003C117D"/>
    <w:rsid w:val="003C12AD"/>
    <w:rsid w:val="003C136E"/>
    <w:rsid w:val="003C15C8"/>
    <w:rsid w:val="003C16E1"/>
    <w:rsid w:val="003C1799"/>
    <w:rsid w:val="003C18CB"/>
    <w:rsid w:val="003C1A55"/>
    <w:rsid w:val="003C1A56"/>
    <w:rsid w:val="003C1B4E"/>
    <w:rsid w:val="003C1C4F"/>
    <w:rsid w:val="003C1D64"/>
    <w:rsid w:val="003C1E0D"/>
    <w:rsid w:val="003C1F67"/>
    <w:rsid w:val="003C2213"/>
    <w:rsid w:val="003C230D"/>
    <w:rsid w:val="003C2503"/>
    <w:rsid w:val="003C2565"/>
    <w:rsid w:val="003C25F2"/>
    <w:rsid w:val="003C28E5"/>
    <w:rsid w:val="003C29C4"/>
    <w:rsid w:val="003C29E9"/>
    <w:rsid w:val="003C2ADC"/>
    <w:rsid w:val="003C2BA2"/>
    <w:rsid w:val="003C2DFA"/>
    <w:rsid w:val="003C33DF"/>
    <w:rsid w:val="003C355A"/>
    <w:rsid w:val="003C35D1"/>
    <w:rsid w:val="003C37C1"/>
    <w:rsid w:val="003C3889"/>
    <w:rsid w:val="003C3A15"/>
    <w:rsid w:val="003C3A9A"/>
    <w:rsid w:val="003C3EA0"/>
    <w:rsid w:val="003C4283"/>
    <w:rsid w:val="003C43E2"/>
    <w:rsid w:val="003C4531"/>
    <w:rsid w:val="003C46C1"/>
    <w:rsid w:val="003C474F"/>
    <w:rsid w:val="003C4BC7"/>
    <w:rsid w:val="003C4D2D"/>
    <w:rsid w:val="003C5120"/>
    <w:rsid w:val="003C5448"/>
    <w:rsid w:val="003C5510"/>
    <w:rsid w:val="003C5791"/>
    <w:rsid w:val="003C5B5D"/>
    <w:rsid w:val="003C5C1A"/>
    <w:rsid w:val="003C5D08"/>
    <w:rsid w:val="003C5D38"/>
    <w:rsid w:val="003C5DB4"/>
    <w:rsid w:val="003C5F25"/>
    <w:rsid w:val="003C5FAF"/>
    <w:rsid w:val="003C6021"/>
    <w:rsid w:val="003C60FB"/>
    <w:rsid w:val="003C638D"/>
    <w:rsid w:val="003C6420"/>
    <w:rsid w:val="003C657A"/>
    <w:rsid w:val="003C661A"/>
    <w:rsid w:val="003C6786"/>
    <w:rsid w:val="003C6911"/>
    <w:rsid w:val="003C6B00"/>
    <w:rsid w:val="003C6B1A"/>
    <w:rsid w:val="003C6C1E"/>
    <w:rsid w:val="003C6FE4"/>
    <w:rsid w:val="003C72A6"/>
    <w:rsid w:val="003C7636"/>
    <w:rsid w:val="003C7A70"/>
    <w:rsid w:val="003C7A75"/>
    <w:rsid w:val="003C7B47"/>
    <w:rsid w:val="003C7C10"/>
    <w:rsid w:val="003C7C72"/>
    <w:rsid w:val="003C7D1F"/>
    <w:rsid w:val="003D02A5"/>
    <w:rsid w:val="003D0496"/>
    <w:rsid w:val="003D058B"/>
    <w:rsid w:val="003D0887"/>
    <w:rsid w:val="003D08E3"/>
    <w:rsid w:val="003D0A66"/>
    <w:rsid w:val="003D0BB5"/>
    <w:rsid w:val="003D0C78"/>
    <w:rsid w:val="003D0FB5"/>
    <w:rsid w:val="003D1158"/>
    <w:rsid w:val="003D115C"/>
    <w:rsid w:val="003D13D7"/>
    <w:rsid w:val="003D1413"/>
    <w:rsid w:val="003D1509"/>
    <w:rsid w:val="003D15EB"/>
    <w:rsid w:val="003D165E"/>
    <w:rsid w:val="003D2081"/>
    <w:rsid w:val="003D208F"/>
    <w:rsid w:val="003D20A1"/>
    <w:rsid w:val="003D20A3"/>
    <w:rsid w:val="003D20D1"/>
    <w:rsid w:val="003D20F6"/>
    <w:rsid w:val="003D2120"/>
    <w:rsid w:val="003D2498"/>
    <w:rsid w:val="003D257C"/>
    <w:rsid w:val="003D28ED"/>
    <w:rsid w:val="003D3787"/>
    <w:rsid w:val="003D379A"/>
    <w:rsid w:val="003D3DA2"/>
    <w:rsid w:val="003D3E81"/>
    <w:rsid w:val="003D4103"/>
    <w:rsid w:val="003D414A"/>
    <w:rsid w:val="003D4155"/>
    <w:rsid w:val="003D41D8"/>
    <w:rsid w:val="003D4230"/>
    <w:rsid w:val="003D4331"/>
    <w:rsid w:val="003D4537"/>
    <w:rsid w:val="003D4581"/>
    <w:rsid w:val="003D45A1"/>
    <w:rsid w:val="003D479B"/>
    <w:rsid w:val="003D49E3"/>
    <w:rsid w:val="003D4AB6"/>
    <w:rsid w:val="003D550D"/>
    <w:rsid w:val="003D56F5"/>
    <w:rsid w:val="003D5906"/>
    <w:rsid w:val="003D5D00"/>
    <w:rsid w:val="003D5F12"/>
    <w:rsid w:val="003D6070"/>
    <w:rsid w:val="003D6190"/>
    <w:rsid w:val="003D637B"/>
    <w:rsid w:val="003D6391"/>
    <w:rsid w:val="003D661F"/>
    <w:rsid w:val="003D674B"/>
    <w:rsid w:val="003D68E1"/>
    <w:rsid w:val="003D6BBC"/>
    <w:rsid w:val="003D6BE8"/>
    <w:rsid w:val="003D6C9A"/>
    <w:rsid w:val="003D6CBC"/>
    <w:rsid w:val="003D6CCF"/>
    <w:rsid w:val="003D6ECF"/>
    <w:rsid w:val="003D7139"/>
    <w:rsid w:val="003D7193"/>
    <w:rsid w:val="003D726B"/>
    <w:rsid w:val="003D739C"/>
    <w:rsid w:val="003D7633"/>
    <w:rsid w:val="003D773F"/>
    <w:rsid w:val="003D7791"/>
    <w:rsid w:val="003D790F"/>
    <w:rsid w:val="003D7BE9"/>
    <w:rsid w:val="003D7C68"/>
    <w:rsid w:val="003D7C6D"/>
    <w:rsid w:val="003D7D78"/>
    <w:rsid w:val="003D7DE4"/>
    <w:rsid w:val="003D7EBF"/>
    <w:rsid w:val="003E017C"/>
    <w:rsid w:val="003E022B"/>
    <w:rsid w:val="003E0399"/>
    <w:rsid w:val="003E0429"/>
    <w:rsid w:val="003E04FC"/>
    <w:rsid w:val="003E082A"/>
    <w:rsid w:val="003E09D4"/>
    <w:rsid w:val="003E0A58"/>
    <w:rsid w:val="003E0B2E"/>
    <w:rsid w:val="003E0E3D"/>
    <w:rsid w:val="003E0FC4"/>
    <w:rsid w:val="003E149B"/>
    <w:rsid w:val="003E14A0"/>
    <w:rsid w:val="003E16DD"/>
    <w:rsid w:val="003E1A00"/>
    <w:rsid w:val="003E1A5C"/>
    <w:rsid w:val="003E1A80"/>
    <w:rsid w:val="003E1E07"/>
    <w:rsid w:val="003E1E92"/>
    <w:rsid w:val="003E1FC9"/>
    <w:rsid w:val="003E20BE"/>
    <w:rsid w:val="003E20EE"/>
    <w:rsid w:val="003E2126"/>
    <w:rsid w:val="003E214D"/>
    <w:rsid w:val="003E2157"/>
    <w:rsid w:val="003E2268"/>
    <w:rsid w:val="003E2380"/>
    <w:rsid w:val="003E23B3"/>
    <w:rsid w:val="003E268F"/>
    <w:rsid w:val="003E285D"/>
    <w:rsid w:val="003E2A49"/>
    <w:rsid w:val="003E2A8F"/>
    <w:rsid w:val="003E2B50"/>
    <w:rsid w:val="003E2D33"/>
    <w:rsid w:val="003E2DE9"/>
    <w:rsid w:val="003E327D"/>
    <w:rsid w:val="003E32FD"/>
    <w:rsid w:val="003E33BD"/>
    <w:rsid w:val="003E33EC"/>
    <w:rsid w:val="003E3476"/>
    <w:rsid w:val="003E348E"/>
    <w:rsid w:val="003E3538"/>
    <w:rsid w:val="003E353F"/>
    <w:rsid w:val="003E356D"/>
    <w:rsid w:val="003E370B"/>
    <w:rsid w:val="003E3830"/>
    <w:rsid w:val="003E387C"/>
    <w:rsid w:val="003E38A3"/>
    <w:rsid w:val="003E38E8"/>
    <w:rsid w:val="003E3D34"/>
    <w:rsid w:val="003E3D65"/>
    <w:rsid w:val="003E40D2"/>
    <w:rsid w:val="003E42EF"/>
    <w:rsid w:val="003E4362"/>
    <w:rsid w:val="003E451C"/>
    <w:rsid w:val="003E46BF"/>
    <w:rsid w:val="003E46DA"/>
    <w:rsid w:val="003E49EC"/>
    <w:rsid w:val="003E4BBE"/>
    <w:rsid w:val="003E4DD6"/>
    <w:rsid w:val="003E4F1D"/>
    <w:rsid w:val="003E4FE0"/>
    <w:rsid w:val="003E5011"/>
    <w:rsid w:val="003E540B"/>
    <w:rsid w:val="003E54D6"/>
    <w:rsid w:val="003E553F"/>
    <w:rsid w:val="003E5876"/>
    <w:rsid w:val="003E5A4F"/>
    <w:rsid w:val="003E5B4D"/>
    <w:rsid w:val="003E5CDA"/>
    <w:rsid w:val="003E5D33"/>
    <w:rsid w:val="003E60AA"/>
    <w:rsid w:val="003E63C4"/>
    <w:rsid w:val="003E6891"/>
    <w:rsid w:val="003E6C14"/>
    <w:rsid w:val="003E6D98"/>
    <w:rsid w:val="003E6DB3"/>
    <w:rsid w:val="003E6EA5"/>
    <w:rsid w:val="003E71C3"/>
    <w:rsid w:val="003E7382"/>
    <w:rsid w:val="003E78A7"/>
    <w:rsid w:val="003E7B84"/>
    <w:rsid w:val="003E7EBC"/>
    <w:rsid w:val="003F00C6"/>
    <w:rsid w:val="003F0288"/>
    <w:rsid w:val="003F04C4"/>
    <w:rsid w:val="003F050D"/>
    <w:rsid w:val="003F0529"/>
    <w:rsid w:val="003F05C1"/>
    <w:rsid w:val="003F0BCE"/>
    <w:rsid w:val="003F0C0A"/>
    <w:rsid w:val="003F1103"/>
    <w:rsid w:val="003F1227"/>
    <w:rsid w:val="003F1252"/>
    <w:rsid w:val="003F1CF9"/>
    <w:rsid w:val="003F1FC0"/>
    <w:rsid w:val="003F21E3"/>
    <w:rsid w:val="003F2488"/>
    <w:rsid w:val="003F28A6"/>
    <w:rsid w:val="003F28AA"/>
    <w:rsid w:val="003F2E41"/>
    <w:rsid w:val="003F2F1A"/>
    <w:rsid w:val="003F31F8"/>
    <w:rsid w:val="003F3224"/>
    <w:rsid w:val="003F33EE"/>
    <w:rsid w:val="003F3599"/>
    <w:rsid w:val="003F36C0"/>
    <w:rsid w:val="003F3771"/>
    <w:rsid w:val="003F381A"/>
    <w:rsid w:val="003F3859"/>
    <w:rsid w:val="003F3A32"/>
    <w:rsid w:val="003F4224"/>
    <w:rsid w:val="003F4463"/>
    <w:rsid w:val="003F4641"/>
    <w:rsid w:val="003F4655"/>
    <w:rsid w:val="003F46D5"/>
    <w:rsid w:val="003F4A74"/>
    <w:rsid w:val="003F5076"/>
    <w:rsid w:val="003F509B"/>
    <w:rsid w:val="003F5178"/>
    <w:rsid w:val="003F5716"/>
    <w:rsid w:val="003F5BBD"/>
    <w:rsid w:val="003F5BE7"/>
    <w:rsid w:val="003F5C03"/>
    <w:rsid w:val="003F6536"/>
    <w:rsid w:val="003F65B9"/>
    <w:rsid w:val="003F6AC7"/>
    <w:rsid w:val="003F6C7D"/>
    <w:rsid w:val="003F6C8D"/>
    <w:rsid w:val="003F6D72"/>
    <w:rsid w:val="003F6E32"/>
    <w:rsid w:val="003F7287"/>
    <w:rsid w:val="003F752E"/>
    <w:rsid w:val="003F7541"/>
    <w:rsid w:val="003F79E9"/>
    <w:rsid w:val="003F7D1D"/>
    <w:rsid w:val="003F7FB7"/>
    <w:rsid w:val="003F7FC4"/>
    <w:rsid w:val="0040004F"/>
    <w:rsid w:val="004002C2"/>
    <w:rsid w:val="00400631"/>
    <w:rsid w:val="0040096C"/>
    <w:rsid w:val="00400AD7"/>
    <w:rsid w:val="00400B97"/>
    <w:rsid w:val="00401200"/>
    <w:rsid w:val="00401729"/>
    <w:rsid w:val="00401892"/>
    <w:rsid w:val="00401898"/>
    <w:rsid w:val="00401985"/>
    <w:rsid w:val="00401D1D"/>
    <w:rsid w:val="00401DAE"/>
    <w:rsid w:val="00401E42"/>
    <w:rsid w:val="0040206B"/>
    <w:rsid w:val="00402132"/>
    <w:rsid w:val="0040213C"/>
    <w:rsid w:val="004021EC"/>
    <w:rsid w:val="00402203"/>
    <w:rsid w:val="00402344"/>
    <w:rsid w:val="004025E1"/>
    <w:rsid w:val="0040267E"/>
    <w:rsid w:val="00402838"/>
    <w:rsid w:val="004029B5"/>
    <w:rsid w:val="004029BC"/>
    <w:rsid w:val="00402A46"/>
    <w:rsid w:val="00402C1B"/>
    <w:rsid w:val="00402E29"/>
    <w:rsid w:val="00402F1B"/>
    <w:rsid w:val="00402F47"/>
    <w:rsid w:val="00402F59"/>
    <w:rsid w:val="0040321A"/>
    <w:rsid w:val="0040323A"/>
    <w:rsid w:val="00403282"/>
    <w:rsid w:val="004033E7"/>
    <w:rsid w:val="00403467"/>
    <w:rsid w:val="00403A64"/>
    <w:rsid w:val="00404078"/>
    <w:rsid w:val="00404220"/>
    <w:rsid w:val="00404319"/>
    <w:rsid w:val="00404340"/>
    <w:rsid w:val="00404384"/>
    <w:rsid w:val="00404434"/>
    <w:rsid w:val="0040444E"/>
    <w:rsid w:val="004046D8"/>
    <w:rsid w:val="00404D0E"/>
    <w:rsid w:val="00404D5C"/>
    <w:rsid w:val="00404FEE"/>
    <w:rsid w:val="004050FE"/>
    <w:rsid w:val="0040519C"/>
    <w:rsid w:val="004052DE"/>
    <w:rsid w:val="00405364"/>
    <w:rsid w:val="0040537B"/>
    <w:rsid w:val="004056A5"/>
    <w:rsid w:val="00405CC0"/>
    <w:rsid w:val="00405D30"/>
    <w:rsid w:val="00405D5F"/>
    <w:rsid w:val="00405F34"/>
    <w:rsid w:val="0040617D"/>
    <w:rsid w:val="004061C6"/>
    <w:rsid w:val="00406241"/>
    <w:rsid w:val="004064B7"/>
    <w:rsid w:val="0040668A"/>
    <w:rsid w:val="00406752"/>
    <w:rsid w:val="0040695E"/>
    <w:rsid w:val="00406DCF"/>
    <w:rsid w:val="004071A2"/>
    <w:rsid w:val="004071AF"/>
    <w:rsid w:val="004071B3"/>
    <w:rsid w:val="004071E5"/>
    <w:rsid w:val="004072FE"/>
    <w:rsid w:val="0040733D"/>
    <w:rsid w:val="004073BA"/>
    <w:rsid w:val="00407460"/>
    <w:rsid w:val="0040753B"/>
    <w:rsid w:val="00407951"/>
    <w:rsid w:val="00407C43"/>
    <w:rsid w:val="00407C62"/>
    <w:rsid w:val="00407DAC"/>
    <w:rsid w:val="00407E41"/>
    <w:rsid w:val="00407F2A"/>
    <w:rsid w:val="00407FE5"/>
    <w:rsid w:val="00410091"/>
    <w:rsid w:val="00410296"/>
    <w:rsid w:val="0041049F"/>
    <w:rsid w:val="0041058B"/>
    <w:rsid w:val="004105B7"/>
    <w:rsid w:val="0041070F"/>
    <w:rsid w:val="00410866"/>
    <w:rsid w:val="00410A92"/>
    <w:rsid w:val="00410E0E"/>
    <w:rsid w:val="00410F15"/>
    <w:rsid w:val="00411161"/>
    <w:rsid w:val="004112DB"/>
    <w:rsid w:val="004114A9"/>
    <w:rsid w:val="00411575"/>
    <w:rsid w:val="00411AB2"/>
    <w:rsid w:val="00411CA1"/>
    <w:rsid w:val="00412155"/>
    <w:rsid w:val="0041224D"/>
    <w:rsid w:val="0041247C"/>
    <w:rsid w:val="004129FA"/>
    <w:rsid w:val="00412AC0"/>
    <w:rsid w:val="00412EF7"/>
    <w:rsid w:val="0041308E"/>
    <w:rsid w:val="004134E4"/>
    <w:rsid w:val="004135D9"/>
    <w:rsid w:val="004138AD"/>
    <w:rsid w:val="0041390D"/>
    <w:rsid w:val="00413A65"/>
    <w:rsid w:val="00413B46"/>
    <w:rsid w:val="00413D41"/>
    <w:rsid w:val="00413DCB"/>
    <w:rsid w:val="00413E29"/>
    <w:rsid w:val="00413E70"/>
    <w:rsid w:val="00413FD7"/>
    <w:rsid w:val="00414029"/>
    <w:rsid w:val="004141E3"/>
    <w:rsid w:val="0041437D"/>
    <w:rsid w:val="004144A7"/>
    <w:rsid w:val="00414517"/>
    <w:rsid w:val="0041459B"/>
    <w:rsid w:val="004145AF"/>
    <w:rsid w:val="004147D3"/>
    <w:rsid w:val="00414873"/>
    <w:rsid w:val="00414C8F"/>
    <w:rsid w:val="00414C95"/>
    <w:rsid w:val="00414CE5"/>
    <w:rsid w:val="00414E31"/>
    <w:rsid w:val="00414F75"/>
    <w:rsid w:val="00415016"/>
    <w:rsid w:val="004150D0"/>
    <w:rsid w:val="004150E7"/>
    <w:rsid w:val="004151D5"/>
    <w:rsid w:val="0041567D"/>
    <w:rsid w:val="00415955"/>
    <w:rsid w:val="004159F0"/>
    <w:rsid w:val="00415A68"/>
    <w:rsid w:val="00415EA5"/>
    <w:rsid w:val="00415EF2"/>
    <w:rsid w:val="00416084"/>
    <w:rsid w:val="004160AF"/>
    <w:rsid w:val="00416186"/>
    <w:rsid w:val="004168FD"/>
    <w:rsid w:val="004169F8"/>
    <w:rsid w:val="00416B41"/>
    <w:rsid w:val="00416B5B"/>
    <w:rsid w:val="00416BC2"/>
    <w:rsid w:val="00416C0B"/>
    <w:rsid w:val="00416C27"/>
    <w:rsid w:val="00416D5E"/>
    <w:rsid w:val="00416E30"/>
    <w:rsid w:val="00416E66"/>
    <w:rsid w:val="00416EF2"/>
    <w:rsid w:val="004170E3"/>
    <w:rsid w:val="0041711D"/>
    <w:rsid w:val="0041715E"/>
    <w:rsid w:val="0041720C"/>
    <w:rsid w:val="00417300"/>
    <w:rsid w:val="00417613"/>
    <w:rsid w:val="0041769E"/>
    <w:rsid w:val="004176CB"/>
    <w:rsid w:val="004177CE"/>
    <w:rsid w:val="004178C2"/>
    <w:rsid w:val="00417A08"/>
    <w:rsid w:val="00417D95"/>
    <w:rsid w:val="00417E1E"/>
    <w:rsid w:val="004202A5"/>
    <w:rsid w:val="0042053B"/>
    <w:rsid w:val="0042093C"/>
    <w:rsid w:val="004209DE"/>
    <w:rsid w:val="00420BB1"/>
    <w:rsid w:val="00420BC8"/>
    <w:rsid w:val="00420BC9"/>
    <w:rsid w:val="00420D88"/>
    <w:rsid w:val="00420D8A"/>
    <w:rsid w:val="00420FA4"/>
    <w:rsid w:val="00420FEE"/>
    <w:rsid w:val="0042104C"/>
    <w:rsid w:val="004210F9"/>
    <w:rsid w:val="004211B4"/>
    <w:rsid w:val="00421273"/>
    <w:rsid w:val="00421421"/>
    <w:rsid w:val="0042150F"/>
    <w:rsid w:val="00421563"/>
    <w:rsid w:val="00421904"/>
    <w:rsid w:val="00421BC0"/>
    <w:rsid w:val="00421C79"/>
    <w:rsid w:val="00421F68"/>
    <w:rsid w:val="0042216F"/>
    <w:rsid w:val="00422273"/>
    <w:rsid w:val="0042234A"/>
    <w:rsid w:val="00422495"/>
    <w:rsid w:val="004225F3"/>
    <w:rsid w:val="00422924"/>
    <w:rsid w:val="00422CF6"/>
    <w:rsid w:val="00422E70"/>
    <w:rsid w:val="00422E88"/>
    <w:rsid w:val="00422FCE"/>
    <w:rsid w:val="00422FF0"/>
    <w:rsid w:val="00423234"/>
    <w:rsid w:val="0042360B"/>
    <w:rsid w:val="004237B4"/>
    <w:rsid w:val="00423BCC"/>
    <w:rsid w:val="00423C17"/>
    <w:rsid w:val="00423E0C"/>
    <w:rsid w:val="00423F4D"/>
    <w:rsid w:val="0042443D"/>
    <w:rsid w:val="0042466B"/>
    <w:rsid w:val="00424859"/>
    <w:rsid w:val="00424862"/>
    <w:rsid w:val="0042489E"/>
    <w:rsid w:val="00424AE5"/>
    <w:rsid w:val="00424B9E"/>
    <w:rsid w:val="00424EF7"/>
    <w:rsid w:val="00425050"/>
    <w:rsid w:val="004254B7"/>
    <w:rsid w:val="00425500"/>
    <w:rsid w:val="004256D0"/>
    <w:rsid w:val="00425A6C"/>
    <w:rsid w:val="00425A8C"/>
    <w:rsid w:val="00425BC3"/>
    <w:rsid w:val="00425DE5"/>
    <w:rsid w:val="00425DEF"/>
    <w:rsid w:val="00425EDC"/>
    <w:rsid w:val="0042623A"/>
    <w:rsid w:val="00426336"/>
    <w:rsid w:val="004263CB"/>
    <w:rsid w:val="00426407"/>
    <w:rsid w:val="004267E3"/>
    <w:rsid w:val="0042680A"/>
    <w:rsid w:val="0042691B"/>
    <w:rsid w:val="00426939"/>
    <w:rsid w:val="00426D4F"/>
    <w:rsid w:val="00426DA9"/>
    <w:rsid w:val="00427019"/>
    <w:rsid w:val="0042713E"/>
    <w:rsid w:val="00427384"/>
    <w:rsid w:val="004273BD"/>
    <w:rsid w:val="004275D0"/>
    <w:rsid w:val="00427822"/>
    <w:rsid w:val="00427C15"/>
    <w:rsid w:val="00427C3A"/>
    <w:rsid w:val="00427F3B"/>
    <w:rsid w:val="00430189"/>
    <w:rsid w:val="0043026F"/>
    <w:rsid w:val="00430433"/>
    <w:rsid w:val="0043076D"/>
    <w:rsid w:val="00430AA2"/>
    <w:rsid w:val="00430BD9"/>
    <w:rsid w:val="00430F57"/>
    <w:rsid w:val="00430FEA"/>
    <w:rsid w:val="00430FF9"/>
    <w:rsid w:val="00431034"/>
    <w:rsid w:val="004310D5"/>
    <w:rsid w:val="00431163"/>
    <w:rsid w:val="004313E1"/>
    <w:rsid w:val="00431425"/>
    <w:rsid w:val="00431467"/>
    <w:rsid w:val="004315FC"/>
    <w:rsid w:val="0043163D"/>
    <w:rsid w:val="004316CD"/>
    <w:rsid w:val="00431A28"/>
    <w:rsid w:val="00431AED"/>
    <w:rsid w:val="00431B14"/>
    <w:rsid w:val="00431D73"/>
    <w:rsid w:val="00431D9F"/>
    <w:rsid w:val="00431DF2"/>
    <w:rsid w:val="00431F4E"/>
    <w:rsid w:val="00431FAF"/>
    <w:rsid w:val="004323AF"/>
    <w:rsid w:val="004326AE"/>
    <w:rsid w:val="004326EC"/>
    <w:rsid w:val="0043279C"/>
    <w:rsid w:val="00432842"/>
    <w:rsid w:val="00432851"/>
    <w:rsid w:val="00432A63"/>
    <w:rsid w:val="00432FF7"/>
    <w:rsid w:val="004330F6"/>
    <w:rsid w:val="0043316B"/>
    <w:rsid w:val="00433452"/>
    <w:rsid w:val="004335A8"/>
    <w:rsid w:val="0043362E"/>
    <w:rsid w:val="00433855"/>
    <w:rsid w:val="004338A5"/>
    <w:rsid w:val="00433A0E"/>
    <w:rsid w:val="00433BF2"/>
    <w:rsid w:val="00433E2E"/>
    <w:rsid w:val="00433EA3"/>
    <w:rsid w:val="00433F1F"/>
    <w:rsid w:val="00434073"/>
    <w:rsid w:val="00434222"/>
    <w:rsid w:val="004343A7"/>
    <w:rsid w:val="0043479E"/>
    <w:rsid w:val="00434824"/>
    <w:rsid w:val="004348C4"/>
    <w:rsid w:val="004349DF"/>
    <w:rsid w:val="00434DAB"/>
    <w:rsid w:val="004352A7"/>
    <w:rsid w:val="0043543C"/>
    <w:rsid w:val="00435476"/>
    <w:rsid w:val="0043548E"/>
    <w:rsid w:val="00435711"/>
    <w:rsid w:val="0043591C"/>
    <w:rsid w:val="00435986"/>
    <w:rsid w:val="00435C43"/>
    <w:rsid w:val="00435C87"/>
    <w:rsid w:val="00435FBA"/>
    <w:rsid w:val="00436100"/>
    <w:rsid w:val="00436354"/>
    <w:rsid w:val="004364E4"/>
    <w:rsid w:val="004365B5"/>
    <w:rsid w:val="00436667"/>
    <w:rsid w:val="00436727"/>
    <w:rsid w:val="004367DB"/>
    <w:rsid w:val="00436C1B"/>
    <w:rsid w:val="004372AA"/>
    <w:rsid w:val="004375B9"/>
    <w:rsid w:val="00437758"/>
    <w:rsid w:val="00437850"/>
    <w:rsid w:val="00437B07"/>
    <w:rsid w:val="00437E2A"/>
    <w:rsid w:val="00437E47"/>
    <w:rsid w:val="00437F6F"/>
    <w:rsid w:val="004400A3"/>
    <w:rsid w:val="004400B0"/>
    <w:rsid w:val="0044012E"/>
    <w:rsid w:val="004402D6"/>
    <w:rsid w:val="00440427"/>
    <w:rsid w:val="00440465"/>
    <w:rsid w:val="004405AB"/>
    <w:rsid w:val="004406C5"/>
    <w:rsid w:val="004406E9"/>
    <w:rsid w:val="0044075E"/>
    <w:rsid w:val="00440B9A"/>
    <w:rsid w:val="00440BFC"/>
    <w:rsid w:val="00440EB2"/>
    <w:rsid w:val="00440EE4"/>
    <w:rsid w:val="00440EF9"/>
    <w:rsid w:val="00440F3D"/>
    <w:rsid w:val="0044169D"/>
    <w:rsid w:val="004417ED"/>
    <w:rsid w:val="00441811"/>
    <w:rsid w:val="00442062"/>
    <w:rsid w:val="004421A2"/>
    <w:rsid w:val="004422DF"/>
    <w:rsid w:val="004422EE"/>
    <w:rsid w:val="0044233A"/>
    <w:rsid w:val="004423D0"/>
    <w:rsid w:val="00442426"/>
    <w:rsid w:val="004426C2"/>
    <w:rsid w:val="004427A2"/>
    <w:rsid w:val="0044282C"/>
    <w:rsid w:val="0044285A"/>
    <w:rsid w:val="004429C4"/>
    <w:rsid w:val="00442B68"/>
    <w:rsid w:val="00442C31"/>
    <w:rsid w:val="00442C47"/>
    <w:rsid w:val="00442D6A"/>
    <w:rsid w:val="00442DE2"/>
    <w:rsid w:val="00442EF4"/>
    <w:rsid w:val="00443314"/>
    <w:rsid w:val="00443320"/>
    <w:rsid w:val="00443685"/>
    <w:rsid w:val="004436CC"/>
    <w:rsid w:val="004437F0"/>
    <w:rsid w:val="00443B3F"/>
    <w:rsid w:val="00443CE3"/>
    <w:rsid w:val="00444055"/>
    <w:rsid w:val="00444168"/>
    <w:rsid w:val="0044432A"/>
    <w:rsid w:val="00444346"/>
    <w:rsid w:val="0044461E"/>
    <w:rsid w:val="00444A6D"/>
    <w:rsid w:val="00444BF3"/>
    <w:rsid w:val="00444C6C"/>
    <w:rsid w:val="00444CD8"/>
    <w:rsid w:val="00444D59"/>
    <w:rsid w:val="00444DFA"/>
    <w:rsid w:val="00444E63"/>
    <w:rsid w:val="00444E65"/>
    <w:rsid w:val="00444FC8"/>
    <w:rsid w:val="00444FEB"/>
    <w:rsid w:val="0044528C"/>
    <w:rsid w:val="004454CC"/>
    <w:rsid w:val="00445596"/>
    <w:rsid w:val="004455FA"/>
    <w:rsid w:val="00445A08"/>
    <w:rsid w:val="00445B64"/>
    <w:rsid w:val="00445D06"/>
    <w:rsid w:val="00445DD6"/>
    <w:rsid w:val="00445E09"/>
    <w:rsid w:val="00445E52"/>
    <w:rsid w:val="0044614C"/>
    <w:rsid w:val="00446250"/>
    <w:rsid w:val="00446304"/>
    <w:rsid w:val="00446367"/>
    <w:rsid w:val="004463D7"/>
    <w:rsid w:val="0044645F"/>
    <w:rsid w:val="00446483"/>
    <w:rsid w:val="00446823"/>
    <w:rsid w:val="004468E1"/>
    <w:rsid w:val="00446995"/>
    <w:rsid w:val="00446D3B"/>
    <w:rsid w:val="00446FAE"/>
    <w:rsid w:val="00446FD3"/>
    <w:rsid w:val="00446FEB"/>
    <w:rsid w:val="00447086"/>
    <w:rsid w:val="004470BE"/>
    <w:rsid w:val="004471B1"/>
    <w:rsid w:val="00447699"/>
    <w:rsid w:val="00447895"/>
    <w:rsid w:val="004479DB"/>
    <w:rsid w:val="00447A0C"/>
    <w:rsid w:val="00447A93"/>
    <w:rsid w:val="00447FF2"/>
    <w:rsid w:val="00450192"/>
    <w:rsid w:val="00450254"/>
    <w:rsid w:val="004502CB"/>
    <w:rsid w:val="00450499"/>
    <w:rsid w:val="0045062B"/>
    <w:rsid w:val="0045065C"/>
    <w:rsid w:val="004507A7"/>
    <w:rsid w:val="00450AA4"/>
    <w:rsid w:val="00450B02"/>
    <w:rsid w:val="00450BC1"/>
    <w:rsid w:val="00450C46"/>
    <w:rsid w:val="00450EC9"/>
    <w:rsid w:val="00450F47"/>
    <w:rsid w:val="00451175"/>
    <w:rsid w:val="00451213"/>
    <w:rsid w:val="0045128D"/>
    <w:rsid w:val="00451482"/>
    <w:rsid w:val="00451572"/>
    <w:rsid w:val="00451627"/>
    <w:rsid w:val="0045182D"/>
    <w:rsid w:val="00451B35"/>
    <w:rsid w:val="00451C1D"/>
    <w:rsid w:val="00451C5F"/>
    <w:rsid w:val="00451E00"/>
    <w:rsid w:val="0045204F"/>
    <w:rsid w:val="004520AE"/>
    <w:rsid w:val="004520C5"/>
    <w:rsid w:val="0045221C"/>
    <w:rsid w:val="004522D0"/>
    <w:rsid w:val="004524EC"/>
    <w:rsid w:val="004525FC"/>
    <w:rsid w:val="00452649"/>
    <w:rsid w:val="004528A5"/>
    <w:rsid w:val="00452971"/>
    <w:rsid w:val="00452A12"/>
    <w:rsid w:val="00452A34"/>
    <w:rsid w:val="00452A5D"/>
    <w:rsid w:val="00452C83"/>
    <w:rsid w:val="00452D57"/>
    <w:rsid w:val="00453114"/>
    <w:rsid w:val="00453252"/>
    <w:rsid w:val="004532F6"/>
    <w:rsid w:val="0045340E"/>
    <w:rsid w:val="00453699"/>
    <w:rsid w:val="00453778"/>
    <w:rsid w:val="004537DC"/>
    <w:rsid w:val="004537E8"/>
    <w:rsid w:val="004537FF"/>
    <w:rsid w:val="00453973"/>
    <w:rsid w:val="00453A1C"/>
    <w:rsid w:val="00453A2E"/>
    <w:rsid w:val="00453B7B"/>
    <w:rsid w:val="00453DF8"/>
    <w:rsid w:val="00453F94"/>
    <w:rsid w:val="00454182"/>
    <w:rsid w:val="004544B0"/>
    <w:rsid w:val="004544E5"/>
    <w:rsid w:val="0045451C"/>
    <w:rsid w:val="004545DB"/>
    <w:rsid w:val="004546F1"/>
    <w:rsid w:val="0045472F"/>
    <w:rsid w:val="0045477C"/>
    <w:rsid w:val="0045480C"/>
    <w:rsid w:val="00454B8E"/>
    <w:rsid w:val="00454BC6"/>
    <w:rsid w:val="00454D15"/>
    <w:rsid w:val="00454DD9"/>
    <w:rsid w:val="0045511C"/>
    <w:rsid w:val="0045513B"/>
    <w:rsid w:val="004552F3"/>
    <w:rsid w:val="0045549C"/>
    <w:rsid w:val="0045577B"/>
    <w:rsid w:val="004557D4"/>
    <w:rsid w:val="00455911"/>
    <w:rsid w:val="00455B85"/>
    <w:rsid w:val="00455F53"/>
    <w:rsid w:val="00455FDA"/>
    <w:rsid w:val="00456668"/>
    <w:rsid w:val="004566A8"/>
    <w:rsid w:val="004566EF"/>
    <w:rsid w:val="00456922"/>
    <w:rsid w:val="00456DD3"/>
    <w:rsid w:val="00456E84"/>
    <w:rsid w:val="004572D3"/>
    <w:rsid w:val="00457320"/>
    <w:rsid w:val="00457341"/>
    <w:rsid w:val="00457347"/>
    <w:rsid w:val="00457385"/>
    <w:rsid w:val="00457420"/>
    <w:rsid w:val="0045742C"/>
    <w:rsid w:val="00457610"/>
    <w:rsid w:val="004576CB"/>
    <w:rsid w:val="0045780E"/>
    <w:rsid w:val="00457876"/>
    <w:rsid w:val="00457CDA"/>
    <w:rsid w:val="00457CF9"/>
    <w:rsid w:val="00457F14"/>
    <w:rsid w:val="00457F6C"/>
    <w:rsid w:val="0045E612"/>
    <w:rsid w:val="00460062"/>
    <w:rsid w:val="00460235"/>
    <w:rsid w:val="00460302"/>
    <w:rsid w:val="004603C9"/>
    <w:rsid w:val="004603D5"/>
    <w:rsid w:val="0046074D"/>
    <w:rsid w:val="004608DC"/>
    <w:rsid w:val="004609E2"/>
    <w:rsid w:val="00460A4B"/>
    <w:rsid w:val="00460CC2"/>
    <w:rsid w:val="00460DCD"/>
    <w:rsid w:val="00460FA1"/>
    <w:rsid w:val="004612AF"/>
    <w:rsid w:val="004613E2"/>
    <w:rsid w:val="00461490"/>
    <w:rsid w:val="0046159E"/>
    <w:rsid w:val="00461657"/>
    <w:rsid w:val="004616A3"/>
    <w:rsid w:val="004616D9"/>
    <w:rsid w:val="004617A5"/>
    <w:rsid w:val="00461BBB"/>
    <w:rsid w:val="00461BED"/>
    <w:rsid w:val="00461CBA"/>
    <w:rsid w:val="00461D09"/>
    <w:rsid w:val="00461D7C"/>
    <w:rsid w:val="00461E3C"/>
    <w:rsid w:val="004622DD"/>
    <w:rsid w:val="00462473"/>
    <w:rsid w:val="00462530"/>
    <w:rsid w:val="0046283A"/>
    <w:rsid w:val="004629D4"/>
    <w:rsid w:val="004629F6"/>
    <w:rsid w:val="00462A26"/>
    <w:rsid w:val="00462CDF"/>
    <w:rsid w:val="00462DE2"/>
    <w:rsid w:val="00462EBE"/>
    <w:rsid w:val="00463090"/>
    <w:rsid w:val="00463147"/>
    <w:rsid w:val="00463434"/>
    <w:rsid w:val="0046363E"/>
    <w:rsid w:val="00463F5C"/>
    <w:rsid w:val="004642E8"/>
    <w:rsid w:val="004643E5"/>
    <w:rsid w:val="00464698"/>
    <w:rsid w:val="004646D8"/>
    <w:rsid w:val="00464C47"/>
    <w:rsid w:val="00464CA2"/>
    <w:rsid w:val="00464CF8"/>
    <w:rsid w:val="00464E48"/>
    <w:rsid w:val="00464FD0"/>
    <w:rsid w:val="004650B1"/>
    <w:rsid w:val="004650BC"/>
    <w:rsid w:val="004651C8"/>
    <w:rsid w:val="00465356"/>
    <w:rsid w:val="004653F6"/>
    <w:rsid w:val="0046540A"/>
    <w:rsid w:val="0046558B"/>
    <w:rsid w:val="004655D0"/>
    <w:rsid w:val="004655F0"/>
    <w:rsid w:val="00465B2E"/>
    <w:rsid w:val="00465BC9"/>
    <w:rsid w:val="00465CB0"/>
    <w:rsid w:val="00465F3F"/>
    <w:rsid w:val="00466031"/>
    <w:rsid w:val="00466127"/>
    <w:rsid w:val="004661C7"/>
    <w:rsid w:val="004662B7"/>
    <w:rsid w:val="0046630D"/>
    <w:rsid w:val="0046637A"/>
    <w:rsid w:val="004663E2"/>
    <w:rsid w:val="004667B1"/>
    <w:rsid w:val="004669FE"/>
    <w:rsid w:val="00466AEE"/>
    <w:rsid w:val="00466BEE"/>
    <w:rsid w:val="00466C28"/>
    <w:rsid w:val="00466D20"/>
    <w:rsid w:val="00467146"/>
    <w:rsid w:val="00467170"/>
    <w:rsid w:val="00467421"/>
    <w:rsid w:val="00467495"/>
    <w:rsid w:val="00467A01"/>
    <w:rsid w:val="00467A41"/>
    <w:rsid w:val="00467B21"/>
    <w:rsid w:val="00467B77"/>
    <w:rsid w:val="00467BB1"/>
    <w:rsid w:val="00467DBD"/>
    <w:rsid w:val="00467F04"/>
    <w:rsid w:val="0047019E"/>
    <w:rsid w:val="0047020A"/>
    <w:rsid w:val="004702FF"/>
    <w:rsid w:val="004703A7"/>
    <w:rsid w:val="00470576"/>
    <w:rsid w:val="00470AD3"/>
    <w:rsid w:val="00470BB5"/>
    <w:rsid w:val="00470C45"/>
    <w:rsid w:val="00470C86"/>
    <w:rsid w:val="00470E6F"/>
    <w:rsid w:val="0047113E"/>
    <w:rsid w:val="00471445"/>
    <w:rsid w:val="004717D0"/>
    <w:rsid w:val="0047190B"/>
    <w:rsid w:val="00471919"/>
    <w:rsid w:val="00471A91"/>
    <w:rsid w:val="00471B56"/>
    <w:rsid w:val="00471C6F"/>
    <w:rsid w:val="0047220B"/>
    <w:rsid w:val="0047243A"/>
    <w:rsid w:val="0047244E"/>
    <w:rsid w:val="004725FA"/>
    <w:rsid w:val="0047269F"/>
    <w:rsid w:val="00472816"/>
    <w:rsid w:val="00472876"/>
    <w:rsid w:val="0047294D"/>
    <w:rsid w:val="00472FE3"/>
    <w:rsid w:val="00473308"/>
    <w:rsid w:val="00473396"/>
    <w:rsid w:val="004733C1"/>
    <w:rsid w:val="00473633"/>
    <w:rsid w:val="00473777"/>
    <w:rsid w:val="004738CC"/>
    <w:rsid w:val="00473BDC"/>
    <w:rsid w:val="00473C85"/>
    <w:rsid w:val="00473E03"/>
    <w:rsid w:val="00473E94"/>
    <w:rsid w:val="00473F3F"/>
    <w:rsid w:val="00473FEE"/>
    <w:rsid w:val="00474279"/>
    <w:rsid w:val="00474540"/>
    <w:rsid w:val="0047455C"/>
    <w:rsid w:val="0047460B"/>
    <w:rsid w:val="004746CE"/>
    <w:rsid w:val="0047497C"/>
    <w:rsid w:val="00474AA6"/>
    <w:rsid w:val="00474B70"/>
    <w:rsid w:val="00474B83"/>
    <w:rsid w:val="00474CCA"/>
    <w:rsid w:val="00474DEA"/>
    <w:rsid w:val="004750C8"/>
    <w:rsid w:val="004754F2"/>
    <w:rsid w:val="00475656"/>
    <w:rsid w:val="004757E8"/>
    <w:rsid w:val="0047580D"/>
    <w:rsid w:val="00475883"/>
    <w:rsid w:val="0047591F"/>
    <w:rsid w:val="00475B23"/>
    <w:rsid w:val="00475BAE"/>
    <w:rsid w:val="00475C67"/>
    <w:rsid w:val="00475DFF"/>
    <w:rsid w:val="00475E17"/>
    <w:rsid w:val="004760AC"/>
    <w:rsid w:val="004762E6"/>
    <w:rsid w:val="00476446"/>
    <w:rsid w:val="004764C7"/>
    <w:rsid w:val="00476610"/>
    <w:rsid w:val="00476774"/>
    <w:rsid w:val="004767E8"/>
    <w:rsid w:val="00476847"/>
    <w:rsid w:val="00476A01"/>
    <w:rsid w:val="00476A44"/>
    <w:rsid w:val="00476B26"/>
    <w:rsid w:val="00476B32"/>
    <w:rsid w:val="00476F39"/>
    <w:rsid w:val="00476F59"/>
    <w:rsid w:val="00476FD6"/>
    <w:rsid w:val="00477075"/>
    <w:rsid w:val="00477142"/>
    <w:rsid w:val="004771C7"/>
    <w:rsid w:val="00477227"/>
    <w:rsid w:val="0047723D"/>
    <w:rsid w:val="00477413"/>
    <w:rsid w:val="00477635"/>
    <w:rsid w:val="00477719"/>
    <w:rsid w:val="00477926"/>
    <w:rsid w:val="0047794C"/>
    <w:rsid w:val="00477BC9"/>
    <w:rsid w:val="004800B5"/>
    <w:rsid w:val="004800F5"/>
    <w:rsid w:val="0048028D"/>
    <w:rsid w:val="00480328"/>
    <w:rsid w:val="00480460"/>
    <w:rsid w:val="00480464"/>
    <w:rsid w:val="004804C6"/>
    <w:rsid w:val="004805F5"/>
    <w:rsid w:val="00480619"/>
    <w:rsid w:val="004807E4"/>
    <w:rsid w:val="004809CF"/>
    <w:rsid w:val="004809DF"/>
    <w:rsid w:val="00480C88"/>
    <w:rsid w:val="00481403"/>
    <w:rsid w:val="00481424"/>
    <w:rsid w:val="00481568"/>
    <w:rsid w:val="004819BF"/>
    <w:rsid w:val="004819C3"/>
    <w:rsid w:val="00481A58"/>
    <w:rsid w:val="00481C18"/>
    <w:rsid w:val="00481F13"/>
    <w:rsid w:val="00481F1A"/>
    <w:rsid w:val="00481FDE"/>
    <w:rsid w:val="00482028"/>
    <w:rsid w:val="00482CD9"/>
    <w:rsid w:val="00482D7F"/>
    <w:rsid w:val="00482DAD"/>
    <w:rsid w:val="00482FCD"/>
    <w:rsid w:val="004831FA"/>
    <w:rsid w:val="0048321D"/>
    <w:rsid w:val="004832E5"/>
    <w:rsid w:val="00483380"/>
    <w:rsid w:val="00483727"/>
    <w:rsid w:val="00483831"/>
    <w:rsid w:val="00483972"/>
    <w:rsid w:val="00483A34"/>
    <w:rsid w:val="00483EE9"/>
    <w:rsid w:val="004840D5"/>
    <w:rsid w:val="004842B5"/>
    <w:rsid w:val="00484403"/>
    <w:rsid w:val="0048444C"/>
    <w:rsid w:val="00484950"/>
    <w:rsid w:val="00484C26"/>
    <w:rsid w:val="00484C80"/>
    <w:rsid w:val="00484CD6"/>
    <w:rsid w:val="00484D9E"/>
    <w:rsid w:val="00485003"/>
    <w:rsid w:val="00485331"/>
    <w:rsid w:val="00485490"/>
    <w:rsid w:val="004854FD"/>
    <w:rsid w:val="004855A6"/>
    <w:rsid w:val="004856A8"/>
    <w:rsid w:val="0048576D"/>
    <w:rsid w:val="00485993"/>
    <w:rsid w:val="00485C7A"/>
    <w:rsid w:val="00485F21"/>
    <w:rsid w:val="0048627B"/>
    <w:rsid w:val="00486402"/>
    <w:rsid w:val="004864CC"/>
    <w:rsid w:val="004869C3"/>
    <w:rsid w:val="00486B55"/>
    <w:rsid w:val="00486BA9"/>
    <w:rsid w:val="00486CD1"/>
    <w:rsid w:val="00486F79"/>
    <w:rsid w:val="004871F1"/>
    <w:rsid w:val="00487370"/>
    <w:rsid w:val="00487662"/>
    <w:rsid w:val="004876B5"/>
    <w:rsid w:val="004877D0"/>
    <w:rsid w:val="00487927"/>
    <w:rsid w:val="00487932"/>
    <w:rsid w:val="00487A5F"/>
    <w:rsid w:val="00487B6A"/>
    <w:rsid w:val="00487EF8"/>
    <w:rsid w:val="00487F3F"/>
    <w:rsid w:val="004900E0"/>
    <w:rsid w:val="00490773"/>
    <w:rsid w:val="004907DC"/>
    <w:rsid w:val="0049094A"/>
    <w:rsid w:val="00490B11"/>
    <w:rsid w:val="00490B85"/>
    <w:rsid w:val="00490F48"/>
    <w:rsid w:val="0049105C"/>
    <w:rsid w:val="00491187"/>
    <w:rsid w:val="00491233"/>
    <w:rsid w:val="004915AC"/>
    <w:rsid w:val="004915C7"/>
    <w:rsid w:val="0049178D"/>
    <w:rsid w:val="00491792"/>
    <w:rsid w:val="00491880"/>
    <w:rsid w:val="004919A7"/>
    <w:rsid w:val="004919E7"/>
    <w:rsid w:val="00491AC5"/>
    <w:rsid w:val="00491ACB"/>
    <w:rsid w:val="00492067"/>
    <w:rsid w:val="0049245B"/>
    <w:rsid w:val="00492534"/>
    <w:rsid w:val="0049255F"/>
    <w:rsid w:val="004928CE"/>
    <w:rsid w:val="00492A3A"/>
    <w:rsid w:val="00492A79"/>
    <w:rsid w:val="00492AA2"/>
    <w:rsid w:val="00492AA3"/>
    <w:rsid w:val="00492CAF"/>
    <w:rsid w:val="00492D7E"/>
    <w:rsid w:val="00492E72"/>
    <w:rsid w:val="00493497"/>
    <w:rsid w:val="004936E7"/>
    <w:rsid w:val="004937EC"/>
    <w:rsid w:val="004938F7"/>
    <w:rsid w:val="004939EC"/>
    <w:rsid w:val="00493B8A"/>
    <w:rsid w:val="00493D29"/>
    <w:rsid w:val="00493E80"/>
    <w:rsid w:val="00493F7C"/>
    <w:rsid w:val="00493F95"/>
    <w:rsid w:val="0049417D"/>
    <w:rsid w:val="00494546"/>
    <w:rsid w:val="00494549"/>
    <w:rsid w:val="00494638"/>
    <w:rsid w:val="004946A3"/>
    <w:rsid w:val="0049477A"/>
    <w:rsid w:val="00494789"/>
    <w:rsid w:val="00494A86"/>
    <w:rsid w:val="00494A89"/>
    <w:rsid w:val="00494D69"/>
    <w:rsid w:val="00494FB3"/>
    <w:rsid w:val="00495044"/>
    <w:rsid w:val="004952C0"/>
    <w:rsid w:val="0049542D"/>
    <w:rsid w:val="00495641"/>
    <w:rsid w:val="00495784"/>
    <w:rsid w:val="00495806"/>
    <w:rsid w:val="00495F59"/>
    <w:rsid w:val="00496010"/>
    <w:rsid w:val="00496277"/>
    <w:rsid w:val="00496392"/>
    <w:rsid w:val="004963FC"/>
    <w:rsid w:val="00496486"/>
    <w:rsid w:val="00496752"/>
    <w:rsid w:val="0049686A"/>
    <w:rsid w:val="00496996"/>
    <w:rsid w:val="00496D82"/>
    <w:rsid w:val="004970AD"/>
    <w:rsid w:val="00497189"/>
    <w:rsid w:val="0049738D"/>
    <w:rsid w:val="0049753A"/>
    <w:rsid w:val="0049758C"/>
    <w:rsid w:val="0049783E"/>
    <w:rsid w:val="00497AEF"/>
    <w:rsid w:val="00497AF2"/>
    <w:rsid w:val="00497DAE"/>
    <w:rsid w:val="004A00F1"/>
    <w:rsid w:val="004A02E1"/>
    <w:rsid w:val="004A0486"/>
    <w:rsid w:val="004A089C"/>
    <w:rsid w:val="004A0925"/>
    <w:rsid w:val="004A0A1D"/>
    <w:rsid w:val="004A0BF3"/>
    <w:rsid w:val="004A0EC0"/>
    <w:rsid w:val="004A105E"/>
    <w:rsid w:val="004A1254"/>
    <w:rsid w:val="004A1436"/>
    <w:rsid w:val="004A157E"/>
    <w:rsid w:val="004A157F"/>
    <w:rsid w:val="004A1986"/>
    <w:rsid w:val="004A1CFB"/>
    <w:rsid w:val="004A1DA4"/>
    <w:rsid w:val="004A1E62"/>
    <w:rsid w:val="004A2238"/>
    <w:rsid w:val="004A2367"/>
    <w:rsid w:val="004A237A"/>
    <w:rsid w:val="004A24F8"/>
    <w:rsid w:val="004A2673"/>
    <w:rsid w:val="004A2679"/>
    <w:rsid w:val="004A26C6"/>
    <w:rsid w:val="004A288B"/>
    <w:rsid w:val="004A2A01"/>
    <w:rsid w:val="004A2A24"/>
    <w:rsid w:val="004A2AE2"/>
    <w:rsid w:val="004A2DC3"/>
    <w:rsid w:val="004A2FBA"/>
    <w:rsid w:val="004A3308"/>
    <w:rsid w:val="004A380D"/>
    <w:rsid w:val="004A390B"/>
    <w:rsid w:val="004A3FB4"/>
    <w:rsid w:val="004A3FD2"/>
    <w:rsid w:val="004A4110"/>
    <w:rsid w:val="004A46CB"/>
    <w:rsid w:val="004A47C6"/>
    <w:rsid w:val="004A4988"/>
    <w:rsid w:val="004A4B47"/>
    <w:rsid w:val="004A4DA0"/>
    <w:rsid w:val="004A515D"/>
    <w:rsid w:val="004A5568"/>
    <w:rsid w:val="004A560E"/>
    <w:rsid w:val="004A57AE"/>
    <w:rsid w:val="004A5810"/>
    <w:rsid w:val="004A5873"/>
    <w:rsid w:val="004A618D"/>
    <w:rsid w:val="004A6231"/>
    <w:rsid w:val="004A65C4"/>
    <w:rsid w:val="004A67DE"/>
    <w:rsid w:val="004A6B18"/>
    <w:rsid w:val="004A6D37"/>
    <w:rsid w:val="004A6ED2"/>
    <w:rsid w:val="004A718F"/>
    <w:rsid w:val="004A7233"/>
    <w:rsid w:val="004A78AC"/>
    <w:rsid w:val="004A7AEB"/>
    <w:rsid w:val="004A7BBE"/>
    <w:rsid w:val="004A7C33"/>
    <w:rsid w:val="004A7D67"/>
    <w:rsid w:val="004A7F30"/>
    <w:rsid w:val="004B008A"/>
    <w:rsid w:val="004B042F"/>
    <w:rsid w:val="004B0485"/>
    <w:rsid w:val="004B04A3"/>
    <w:rsid w:val="004B06C9"/>
    <w:rsid w:val="004B07F4"/>
    <w:rsid w:val="004B089E"/>
    <w:rsid w:val="004B08C4"/>
    <w:rsid w:val="004B0AA4"/>
    <w:rsid w:val="004B0AB9"/>
    <w:rsid w:val="004B0BCF"/>
    <w:rsid w:val="004B0C18"/>
    <w:rsid w:val="004B0FCE"/>
    <w:rsid w:val="004B116A"/>
    <w:rsid w:val="004B11D0"/>
    <w:rsid w:val="004B12B1"/>
    <w:rsid w:val="004B1B50"/>
    <w:rsid w:val="004B1F05"/>
    <w:rsid w:val="004B2099"/>
    <w:rsid w:val="004B2151"/>
    <w:rsid w:val="004B22D6"/>
    <w:rsid w:val="004B25BD"/>
    <w:rsid w:val="004B2714"/>
    <w:rsid w:val="004B2A1C"/>
    <w:rsid w:val="004B2E0B"/>
    <w:rsid w:val="004B30BF"/>
    <w:rsid w:val="004B35A1"/>
    <w:rsid w:val="004B3701"/>
    <w:rsid w:val="004B3C00"/>
    <w:rsid w:val="004B3DC9"/>
    <w:rsid w:val="004B4216"/>
    <w:rsid w:val="004B42F9"/>
    <w:rsid w:val="004B4420"/>
    <w:rsid w:val="004B460B"/>
    <w:rsid w:val="004B48C3"/>
    <w:rsid w:val="004B4AF3"/>
    <w:rsid w:val="004B4C88"/>
    <w:rsid w:val="004B4ED9"/>
    <w:rsid w:val="004B4F6F"/>
    <w:rsid w:val="004B4FD9"/>
    <w:rsid w:val="004B52DA"/>
    <w:rsid w:val="004B5529"/>
    <w:rsid w:val="004B55CB"/>
    <w:rsid w:val="004B56B7"/>
    <w:rsid w:val="004B5A44"/>
    <w:rsid w:val="004B5A73"/>
    <w:rsid w:val="004B5BAE"/>
    <w:rsid w:val="004B5CC6"/>
    <w:rsid w:val="004B5CF2"/>
    <w:rsid w:val="004B5E34"/>
    <w:rsid w:val="004B604C"/>
    <w:rsid w:val="004B61A6"/>
    <w:rsid w:val="004B62B4"/>
    <w:rsid w:val="004B62CE"/>
    <w:rsid w:val="004B6325"/>
    <w:rsid w:val="004B63EE"/>
    <w:rsid w:val="004B647D"/>
    <w:rsid w:val="004B66BC"/>
    <w:rsid w:val="004B6702"/>
    <w:rsid w:val="004B6883"/>
    <w:rsid w:val="004B68A6"/>
    <w:rsid w:val="004B6B62"/>
    <w:rsid w:val="004B6CC6"/>
    <w:rsid w:val="004B6E65"/>
    <w:rsid w:val="004B6F1A"/>
    <w:rsid w:val="004B72C4"/>
    <w:rsid w:val="004B741D"/>
    <w:rsid w:val="004B7458"/>
    <w:rsid w:val="004B766C"/>
    <w:rsid w:val="004B772F"/>
    <w:rsid w:val="004B776F"/>
    <w:rsid w:val="004B79AE"/>
    <w:rsid w:val="004B7D26"/>
    <w:rsid w:val="004B7D54"/>
    <w:rsid w:val="004B7DCA"/>
    <w:rsid w:val="004B7EB5"/>
    <w:rsid w:val="004B7FD8"/>
    <w:rsid w:val="004BA3E2"/>
    <w:rsid w:val="004C016A"/>
    <w:rsid w:val="004C018D"/>
    <w:rsid w:val="004C01D1"/>
    <w:rsid w:val="004C0402"/>
    <w:rsid w:val="004C0D45"/>
    <w:rsid w:val="004C144D"/>
    <w:rsid w:val="004C14A2"/>
    <w:rsid w:val="004C156A"/>
    <w:rsid w:val="004C159A"/>
    <w:rsid w:val="004C1659"/>
    <w:rsid w:val="004C1690"/>
    <w:rsid w:val="004C1845"/>
    <w:rsid w:val="004C1894"/>
    <w:rsid w:val="004C1B9A"/>
    <w:rsid w:val="004C1C8E"/>
    <w:rsid w:val="004C1C96"/>
    <w:rsid w:val="004C1CF3"/>
    <w:rsid w:val="004C1D10"/>
    <w:rsid w:val="004C1D36"/>
    <w:rsid w:val="004C1F09"/>
    <w:rsid w:val="004C2062"/>
    <w:rsid w:val="004C238D"/>
    <w:rsid w:val="004C242A"/>
    <w:rsid w:val="004C2469"/>
    <w:rsid w:val="004C2565"/>
    <w:rsid w:val="004C27BE"/>
    <w:rsid w:val="004C2AE1"/>
    <w:rsid w:val="004C2F61"/>
    <w:rsid w:val="004C3075"/>
    <w:rsid w:val="004C30A6"/>
    <w:rsid w:val="004C3455"/>
    <w:rsid w:val="004C35CC"/>
    <w:rsid w:val="004C3700"/>
    <w:rsid w:val="004C3B0D"/>
    <w:rsid w:val="004C3B78"/>
    <w:rsid w:val="004C3BF7"/>
    <w:rsid w:val="004C3CB3"/>
    <w:rsid w:val="004C3E69"/>
    <w:rsid w:val="004C3E8C"/>
    <w:rsid w:val="004C3FEA"/>
    <w:rsid w:val="004C485C"/>
    <w:rsid w:val="004C4983"/>
    <w:rsid w:val="004C49B5"/>
    <w:rsid w:val="004C4A4F"/>
    <w:rsid w:val="004C4BCA"/>
    <w:rsid w:val="004C4CC2"/>
    <w:rsid w:val="004C502F"/>
    <w:rsid w:val="004C51A8"/>
    <w:rsid w:val="004C5238"/>
    <w:rsid w:val="004C5309"/>
    <w:rsid w:val="004C5347"/>
    <w:rsid w:val="004C535F"/>
    <w:rsid w:val="004C5647"/>
    <w:rsid w:val="004C56D9"/>
    <w:rsid w:val="004C5863"/>
    <w:rsid w:val="004C5AF9"/>
    <w:rsid w:val="004C5EDD"/>
    <w:rsid w:val="004C6182"/>
    <w:rsid w:val="004C6310"/>
    <w:rsid w:val="004C6352"/>
    <w:rsid w:val="004C64F0"/>
    <w:rsid w:val="004C675A"/>
    <w:rsid w:val="004C6766"/>
    <w:rsid w:val="004C679E"/>
    <w:rsid w:val="004C67D8"/>
    <w:rsid w:val="004C6897"/>
    <w:rsid w:val="004C69F2"/>
    <w:rsid w:val="004C6B82"/>
    <w:rsid w:val="004C6C47"/>
    <w:rsid w:val="004C6F02"/>
    <w:rsid w:val="004C6F12"/>
    <w:rsid w:val="004C6F1B"/>
    <w:rsid w:val="004C6F73"/>
    <w:rsid w:val="004C6FA0"/>
    <w:rsid w:val="004C7002"/>
    <w:rsid w:val="004C722C"/>
    <w:rsid w:val="004C72AB"/>
    <w:rsid w:val="004C7497"/>
    <w:rsid w:val="004C7757"/>
    <w:rsid w:val="004C79B5"/>
    <w:rsid w:val="004C7AEE"/>
    <w:rsid w:val="004C7BFE"/>
    <w:rsid w:val="004C7E4E"/>
    <w:rsid w:val="004C7FAA"/>
    <w:rsid w:val="004D01F4"/>
    <w:rsid w:val="004D0245"/>
    <w:rsid w:val="004D04BB"/>
    <w:rsid w:val="004D0635"/>
    <w:rsid w:val="004D0666"/>
    <w:rsid w:val="004D06AD"/>
    <w:rsid w:val="004D070E"/>
    <w:rsid w:val="004D0732"/>
    <w:rsid w:val="004D0851"/>
    <w:rsid w:val="004D0858"/>
    <w:rsid w:val="004D0A6C"/>
    <w:rsid w:val="004D0C41"/>
    <w:rsid w:val="004D0CC6"/>
    <w:rsid w:val="004D0FBC"/>
    <w:rsid w:val="004D1582"/>
    <w:rsid w:val="004D178F"/>
    <w:rsid w:val="004D17F5"/>
    <w:rsid w:val="004D1B69"/>
    <w:rsid w:val="004D1CE7"/>
    <w:rsid w:val="004D1D1C"/>
    <w:rsid w:val="004D1D22"/>
    <w:rsid w:val="004D1D45"/>
    <w:rsid w:val="004D1ED9"/>
    <w:rsid w:val="004D1EDB"/>
    <w:rsid w:val="004D208A"/>
    <w:rsid w:val="004D2106"/>
    <w:rsid w:val="004D21B1"/>
    <w:rsid w:val="004D237A"/>
    <w:rsid w:val="004D23FA"/>
    <w:rsid w:val="004D27AA"/>
    <w:rsid w:val="004D28C1"/>
    <w:rsid w:val="004D28CE"/>
    <w:rsid w:val="004D2C6B"/>
    <w:rsid w:val="004D2E74"/>
    <w:rsid w:val="004D328C"/>
    <w:rsid w:val="004D356F"/>
    <w:rsid w:val="004D35E8"/>
    <w:rsid w:val="004D36E7"/>
    <w:rsid w:val="004D374B"/>
    <w:rsid w:val="004D3950"/>
    <w:rsid w:val="004D3954"/>
    <w:rsid w:val="004D3A81"/>
    <w:rsid w:val="004D3CE1"/>
    <w:rsid w:val="004D3D46"/>
    <w:rsid w:val="004D3E77"/>
    <w:rsid w:val="004D3F38"/>
    <w:rsid w:val="004D3FAC"/>
    <w:rsid w:val="004D403D"/>
    <w:rsid w:val="004D4083"/>
    <w:rsid w:val="004D42AC"/>
    <w:rsid w:val="004D434A"/>
    <w:rsid w:val="004D43A2"/>
    <w:rsid w:val="004D4755"/>
    <w:rsid w:val="004D4862"/>
    <w:rsid w:val="004D48B7"/>
    <w:rsid w:val="004D4986"/>
    <w:rsid w:val="004D4AC6"/>
    <w:rsid w:val="004D4AEC"/>
    <w:rsid w:val="004D4B6A"/>
    <w:rsid w:val="004D4C98"/>
    <w:rsid w:val="004D4F19"/>
    <w:rsid w:val="004D4FEC"/>
    <w:rsid w:val="004D5125"/>
    <w:rsid w:val="004D51A4"/>
    <w:rsid w:val="004D525F"/>
    <w:rsid w:val="004D52C6"/>
    <w:rsid w:val="004D53DE"/>
    <w:rsid w:val="004D55D2"/>
    <w:rsid w:val="004D568E"/>
    <w:rsid w:val="004D56FC"/>
    <w:rsid w:val="004D58D0"/>
    <w:rsid w:val="004D5972"/>
    <w:rsid w:val="004D59CD"/>
    <w:rsid w:val="004D5DDC"/>
    <w:rsid w:val="004D5EA0"/>
    <w:rsid w:val="004D5F24"/>
    <w:rsid w:val="004D5F53"/>
    <w:rsid w:val="004D5FA7"/>
    <w:rsid w:val="004D653E"/>
    <w:rsid w:val="004D6688"/>
    <w:rsid w:val="004D6915"/>
    <w:rsid w:val="004D6C21"/>
    <w:rsid w:val="004D70B7"/>
    <w:rsid w:val="004D71A3"/>
    <w:rsid w:val="004D71E5"/>
    <w:rsid w:val="004D72DD"/>
    <w:rsid w:val="004D73CB"/>
    <w:rsid w:val="004D7557"/>
    <w:rsid w:val="004D7957"/>
    <w:rsid w:val="004D7C7C"/>
    <w:rsid w:val="004E005D"/>
    <w:rsid w:val="004E0103"/>
    <w:rsid w:val="004E01A9"/>
    <w:rsid w:val="004E02D4"/>
    <w:rsid w:val="004E02D5"/>
    <w:rsid w:val="004E04C6"/>
    <w:rsid w:val="004E0539"/>
    <w:rsid w:val="004E06BC"/>
    <w:rsid w:val="004E06C5"/>
    <w:rsid w:val="004E0779"/>
    <w:rsid w:val="004E0972"/>
    <w:rsid w:val="004E0B1A"/>
    <w:rsid w:val="004E0C34"/>
    <w:rsid w:val="004E0CCD"/>
    <w:rsid w:val="004E0CFD"/>
    <w:rsid w:val="004E0E03"/>
    <w:rsid w:val="004E0E11"/>
    <w:rsid w:val="004E0E84"/>
    <w:rsid w:val="004E1079"/>
    <w:rsid w:val="004E1634"/>
    <w:rsid w:val="004E172B"/>
    <w:rsid w:val="004E1737"/>
    <w:rsid w:val="004E1794"/>
    <w:rsid w:val="004E1918"/>
    <w:rsid w:val="004E197F"/>
    <w:rsid w:val="004E1A7B"/>
    <w:rsid w:val="004E1D18"/>
    <w:rsid w:val="004E1F28"/>
    <w:rsid w:val="004E1F9D"/>
    <w:rsid w:val="004E23C7"/>
    <w:rsid w:val="004E27B5"/>
    <w:rsid w:val="004E288A"/>
    <w:rsid w:val="004E2927"/>
    <w:rsid w:val="004E2A3F"/>
    <w:rsid w:val="004E2C83"/>
    <w:rsid w:val="004E2DF7"/>
    <w:rsid w:val="004E2EDD"/>
    <w:rsid w:val="004E2F03"/>
    <w:rsid w:val="004E307F"/>
    <w:rsid w:val="004E31E5"/>
    <w:rsid w:val="004E3260"/>
    <w:rsid w:val="004E3504"/>
    <w:rsid w:val="004E3507"/>
    <w:rsid w:val="004E366E"/>
    <w:rsid w:val="004E380C"/>
    <w:rsid w:val="004E39A8"/>
    <w:rsid w:val="004E3AEB"/>
    <w:rsid w:val="004E3D33"/>
    <w:rsid w:val="004E3DB4"/>
    <w:rsid w:val="004E40A5"/>
    <w:rsid w:val="004E415D"/>
    <w:rsid w:val="004E416E"/>
    <w:rsid w:val="004E41AF"/>
    <w:rsid w:val="004E4216"/>
    <w:rsid w:val="004E4364"/>
    <w:rsid w:val="004E4671"/>
    <w:rsid w:val="004E4C05"/>
    <w:rsid w:val="004E4D37"/>
    <w:rsid w:val="004E4EC1"/>
    <w:rsid w:val="004E4F0C"/>
    <w:rsid w:val="004E4F24"/>
    <w:rsid w:val="004E51BA"/>
    <w:rsid w:val="004E51D2"/>
    <w:rsid w:val="004E5685"/>
    <w:rsid w:val="004E579E"/>
    <w:rsid w:val="004E58A2"/>
    <w:rsid w:val="004E5B18"/>
    <w:rsid w:val="004E5E61"/>
    <w:rsid w:val="004E5F88"/>
    <w:rsid w:val="004E6212"/>
    <w:rsid w:val="004E62A4"/>
    <w:rsid w:val="004E62B6"/>
    <w:rsid w:val="004E636A"/>
    <w:rsid w:val="004E642A"/>
    <w:rsid w:val="004E69CE"/>
    <w:rsid w:val="004E6A56"/>
    <w:rsid w:val="004E6C2D"/>
    <w:rsid w:val="004E6C53"/>
    <w:rsid w:val="004E6E81"/>
    <w:rsid w:val="004E701D"/>
    <w:rsid w:val="004E716D"/>
    <w:rsid w:val="004E71B3"/>
    <w:rsid w:val="004E727B"/>
    <w:rsid w:val="004E73C4"/>
    <w:rsid w:val="004E7601"/>
    <w:rsid w:val="004E7793"/>
    <w:rsid w:val="004E77A3"/>
    <w:rsid w:val="004E785D"/>
    <w:rsid w:val="004E79B4"/>
    <w:rsid w:val="004E7A86"/>
    <w:rsid w:val="004E7BBD"/>
    <w:rsid w:val="004E7D3B"/>
    <w:rsid w:val="004E7D45"/>
    <w:rsid w:val="004E7D47"/>
    <w:rsid w:val="004E7FD9"/>
    <w:rsid w:val="004F0037"/>
    <w:rsid w:val="004F0217"/>
    <w:rsid w:val="004F0230"/>
    <w:rsid w:val="004F0267"/>
    <w:rsid w:val="004F034D"/>
    <w:rsid w:val="004F03DB"/>
    <w:rsid w:val="004F0674"/>
    <w:rsid w:val="004F06DD"/>
    <w:rsid w:val="004F0737"/>
    <w:rsid w:val="004F0DDE"/>
    <w:rsid w:val="004F0E68"/>
    <w:rsid w:val="004F0E72"/>
    <w:rsid w:val="004F0EB4"/>
    <w:rsid w:val="004F0F11"/>
    <w:rsid w:val="004F0F18"/>
    <w:rsid w:val="004F1175"/>
    <w:rsid w:val="004F130B"/>
    <w:rsid w:val="004F1672"/>
    <w:rsid w:val="004F1A00"/>
    <w:rsid w:val="004F1B6F"/>
    <w:rsid w:val="004F1C7B"/>
    <w:rsid w:val="004F1D07"/>
    <w:rsid w:val="004F1E16"/>
    <w:rsid w:val="004F1EB1"/>
    <w:rsid w:val="004F1FE5"/>
    <w:rsid w:val="004F213C"/>
    <w:rsid w:val="004F215D"/>
    <w:rsid w:val="004F22A0"/>
    <w:rsid w:val="004F2402"/>
    <w:rsid w:val="004F2626"/>
    <w:rsid w:val="004F27F7"/>
    <w:rsid w:val="004F2B75"/>
    <w:rsid w:val="004F2C8C"/>
    <w:rsid w:val="004F2CE0"/>
    <w:rsid w:val="004F31A4"/>
    <w:rsid w:val="004F3225"/>
    <w:rsid w:val="004F3362"/>
    <w:rsid w:val="004F343E"/>
    <w:rsid w:val="004F34C9"/>
    <w:rsid w:val="004F34FF"/>
    <w:rsid w:val="004F3683"/>
    <w:rsid w:val="004F36AC"/>
    <w:rsid w:val="004F36B5"/>
    <w:rsid w:val="004F36CE"/>
    <w:rsid w:val="004F36FD"/>
    <w:rsid w:val="004F3724"/>
    <w:rsid w:val="004F3A21"/>
    <w:rsid w:val="004F3B2E"/>
    <w:rsid w:val="004F3C39"/>
    <w:rsid w:val="004F3D04"/>
    <w:rsid w:val="004F3DB6"/>
    <w:rsid w:val="004F40CF"/>
    <w:rsid w:val="004F4602"/>
    <w:rsid w:val="004F460D"/>
    <w:rsid w:val="004F474F"/>
    <w:rsid w:val="004F4792"/>
    <w:rsid w:val="004F4825"/>
    <w:rsid w:val="004F4948"/>
    <w:rsid w:val="004F4AB9"/>
    <w:rsid w:val="004F4B7E"/>
    <w:rsid w:val="004F51EA"/>
    <w:rsid w:val="004F521C"/>
    <w:rsid w:val="004F522D"/>
    <w:rsid w:val="004F56E2"/>
    <w:rsid w:val="004F5890"/>
    <w:rsid w:val="004F5B17"/>
    <w:rsid w:val="004F625B"/>
    <w:rsid w:val="004F693E"/>
    <w:rsid w:val="004F69B1"/>
    <w:rsid w:val="004F69B5"/>
    <w:rsid w:val="004F6A00"/>
    <w:rsid w:val="004F6ABD"/>
    <w:rsid w:val="004F6B0E"/>
    <w:rsid w:val="004F6C8B"/>
    <w:rsid w:val="004F6D28"/>
    <w:rsid w:val="004F6DC9"/>
    <w:rsid w:val="004F6EBF"/>
    <w:rsid w:val="004F6FB1"/>
    <w:rsid w:val="004F70B3"/>
    <w:rsid w:val="004F7236"/>
    <w:rsid w:val="004F738F"/>
    <w:rsid w:val="004F73C6"/>
    <w:rsid w:val="004F73D5"/>
    <w:rsid w:val="004F74AC"/>
    <w:rsid w:val="004F7A84"/>
    <w:rsid w:val="004F7AB7"/>
    <w:rsid w:val="004F7C00"/>
    <w:rsid w:val="005002BF"/>
    <w:rsid w:val="0050045C"/>
    <w:rsid w:val="00500504"/>
    <w:rsid w:val="005009DC"/>
    <w:rsid w:val="00500F08"/>
    <w:rsid w:val="00500F1F"/>
    <w:rsid w:val="005010F5"/>
    <w:rsid w:val="00501167"/>
    <w:rsid w:val="005012AC"/>
    <w:rsid w:val="005014A3"/>
    <w:rsid w:val="005014D9"/>
    <w:rsid w:val="00501571"/>
    <w:rsid w:val="005015B3"/>
    <w:rsid w:val="0050163B"/>
    <w:rsid w:val="005018A3"/>
    <w:rsid w:val="005018D7"/>
    <w:rsid w:val="00501B94"/>
    <w:rsid w:val="00501D28"/>
    <w:rsid w:val="005021C0"/>
    <w:rsid w:val="005022C1"/>
    <w:rsid w:val="00502376"/>
    <w:rsid w:val="00502507"/>
    <w:rsid w:val="00502653"/>
    <w:rsid w:val="005026BE"/>
    <w:rsid w:val="005026C8"/>
    <w:rsid w:val="005026EB"/>
    <w:rsid w:val="005029C8"/>
    <w:rsid w:val="00502B7F"/>
    <w:rsid w:val="00502D70"/>
    <w:rsid w:val="00502E38"/>
    <w:rsid w:val="00502E54"/>
    <w:rsid w:val="005030F4"/>
    <w:rsid w:val="00503467"/>
    <w:rsid w:val="005034F2"/>
    <w:rsid w:val="00503976"/>
    <w:rsid w:val="00503AD6"/>
    <w:rsid w:val="00503C7C"/>
    <w:rsid w:val="00503CCD"/>
    <w:rsid w:val="00503E6D"/>
    <w:rsid w:val="00503EC6"/>
    <w:rsid w:val="00503F40"/>
    <w:rsid w:val="00503FA2"/>
    <w:rsid w:val="0050402C"/>
    <w:rsid w:val="0050419A"/>
    <w:rsid w:val="005044B9"/>
    <w:rsid w:val="005046F1"/>
    <w:rsid w:val="00504751"/>
    <w:rsid w:val="005049F1"/>
    <w:rsid w:val="005049FB"/>
    <w:rsid w:val="00504A85"/>
    <w:rsid w:val="00504C5A"/>
    <w:rsid w:val="00504E77"/>
    <w:rsid w:val="00504FAD"/>
    <w:rsid w:val="005050CA"/>
    <w:rsid w:val="00505213"/>
    <w:rsid w:val="005052B5"/>
    <w:rsid w:val="005052DD"/>
    <w:rsid w:val="00505516"/>
    <w:rsid w:val="0050555C"/>
    <w:rsid w:val="00505585"/>
    <w:rsid w:val="005055EA"/>
    <w:rsid w:val="005055F9"/>
    <w:rsid w:val="0050573E"/>
    <w:rsid w:val="00505842"/>
    <w:rsid w:val="0050599E"/>
    <w:rsid w:val="00505A7D"/>
    <w:rsid w:val="00505C5C"/>
    <w:rsid w:val="00505DDC"/>
    <w:rsid w:val="00505E99"/>
    <w:rsid w:val="00505F5B"/>
    <w:rsid w:val="0050600F"/>
    <w:rsid w:val="00506186"/>
    <w:rsid w:val="00506297"/>
    <w:rsid w:val="00506391"/>
    <w:rsid w:val="005063FD"/>
    <w:rsid w:val="005064C2"/>
    <w:rsid w:val="00506647"/>
    <w:rsid w:val="005066BA"/>
    <w:rsid w:val="005069A3"/>
    <w:rsid w:val="005069CD"/>
    <w:rsid w:val="00506D28"/>
    <w:rsid w:val="00506DAC"/>
    <w:rsid w:val="00506EB2"/>
    <w:rsid w:val="0050700F"/>
    <w:rsid w:val="0050782B"/>
    <w:rsid w:val="00507E3F"/>
    <w:rsid w:val="00510175"/>
    <w:rsid w:val="005101F3"/>
    <w:rsid w:val="00510327"/>
    <w:rsid w:val="00510585"/>
    <w:rsid w:val="00510BDE"/>
    <w:rsid w:val="00510CFD"/>
    <w:rsid w:val="00510DD7"/>
    <w:rsid w:val="005113AA"/>
    <w:rsid w:val="00511753"/>
    <w:rsid w:val="005117DB"/>
    <w:rsid w:val="00511B31"/>
    <w:rsid w:val="00511EB7"/>
    <w:rsid w:val="005125FC"/>
    <w:rsid w:val="005127D9"/>
    <w:rsid w:val="005128AA"/>
    <w:rsid w:val="00512FB1"/>
    <w:rsid w:val="005134E1"/>
    <w:rsid w:val="0051355C"/>
    <w:rsid w:val="005136C8"/>
    <w:rsid w:val="005137D5"/>
    <w:rsid w:val="00513836"/>
    <w:rsid w:val="00513859"/>
    <w:rsid w:val="00513914"/>
    <w:rsid w:val="00513C38"/>
    <w:rsid w:val="00513EE0"/>
    <w:rsid w:val="0051400E"/>
    <w:rsid w:val="00514177"/>
    <w:rsid w:val="005142DA"/>
    <w:rsid w:val="0051449F"/>
    <w:rsid w:val="005145CB"/>
    <w:rsid w:val="005147B0"/>
    <w:rsid w:val="00514921"/>
    <w:rsid w:val="0051494B"/>
    <w:rsid w:val="005149C6"/>
    <w:rsid w:val="00514A4A"/>
    <w:rsid w:val="00514B9B"/>
    <w:rsid w:val="00514CE9"/>
    <w:rsid w:val="00514F20"/>
    <w:rsid w:val="00514F65"/>
    <w:rsid w:val="0051514D"/>
    <w:rsid w:val="0051540B"/>
    <w:rsid w:val="00515570"/>
    <w:rsid w:val="005156D8"/>
    <w:rsid w:val="005157E5"/>
    <w:rsid w:val="00515A17"/>
    <w:rsid w:val="00515A4F"/>
    <w:rsid w:val="00515BAD"/>
    <w:rsid w:val="00515BF7"/>
    <w:rsid w:val="00515C08"/>
    <w:rsid w:val="00515CC2"/>
    <w:rsid w:val="0051603F"/>
    <w:rsid w:val="005163C1"/>
    <w:rsid w:val="00516487"/>
    <w:rsid w:val="005164B0"/>
    <w:rsid w:val="0051667A"/>
    <w:rsid w:val="00516B3E"/>
    <w:rsid w:val="00516F15"/>
    <w:rsid w:val="005172EB"/>
    <w:rsid w:val="0051751C"/>
    <w:rsid w:val="0051758D"/>
    <w:rsid w:val="00517663"/>
    <w:rsid w:val="00517870"/>
    <w:rsid w:val="00517B7D"/>
    <w:rsid w:val="00517F37"/>
    <w:rsid w:val="00517FDB"/>
    <w:rsid w:val="005202E4"/>
    <w:rsid w:val="00520317"/>
    <w:rsid w:val="00520652"/>
    <w:rsid w:val="005207A1"/>
    <w:rsid w:val="0052082D"/>
    <w:rsid w:val="005208E2"/>
    <w:rsid w:val="005209AB"/>
    <w:rsid w:val="00520B60"/>
    <w:rsid w:val="00520BF5"/>
    <w:rsid w:val="00520CAC"/>
    <w:rsid w:val="00520F0F"/>
    <w:rsid w:val="00520F8B"/>
    <w:rsid w:val="00521038"/>
    <w:rsid w:val="00521271"/>
    <w:rsid w:val="0052165D"/>
    <w:rsid w:val="0052185C"/>
    <w:rsid w:val="0052193D"/>
    <w:rsid w:val="00521B85"/>
    <w:rsid w:val="0052213E"/>
    <w:rsid w:val="0052227E"/>
    <w:rsid w:val="0052247D"/>
    <w:rsid w:val="0052257A"/>
    <w:rsid w:val="00522D5C"/>
    <w:rsid w:val="00522FD6"/>
    <w:rsid w:val="00522FF8"/>
    <w:rsid w:val="00523056"/>
    <w:rsid w:val="00523057"/>
    <w:rsid w:val="005230B4"/>
    <w:rsid w:val="0052320F"/>
    <w:rsid w:val="0052326A"/>
    <w:rsid w:val="005237C7"/>
    <w:rsid w:val="00523C1B"/>
    <w:rsid w:val="00523F04"/>
    <w:rsid w:val="00524189"/>
    <w:rsid w:val="005241B3"/>
    <w:rsid w:val="00524346"/>
    <w:rsid w:val="005244D1"/>
    <w:rsid w:val="00524738"/>
    <w:rsid w:val="00524A12"/>
    <w:rsid w:val="00524BFD"/>
    <w:rsid w:val="00524C81"/>
    <w:rsid w:val="00524FD5"/>
    <w:rsid w:val="0052530F"/>
    <w:rsid w:val="00525720"/>
    <w:rsid w:val="00525738"/>
    <w:rsid w:val="00525B30"/>
    <w:rsid w:val="00525F81"/>
    <w:rsid w:val="005260F8"/>
    <w:rsid w:val="00526514"/>
    <w:rsid w:val="0052667D"/>
    <w:rsid w:val="00526922"/>
    <w:rsid w:val="00526C0F"/>
    <w:rsid w:val="00526DF9"/>
    <w:rsid w:val="0052702C"/>
    <w:rsid w:val="005272DA"/>
    <w:rsid w:val="00527588"/>
    <w:rsid w:val="00527636"/>
    <w:rsid w:val="00527847"/>
    <w:rsid w:val="00527C21"/>
    <w:rsid w:val="00527CFD"/>
    <w:rsid w:val="00527E51"/>
    <w:rsid w:val="00527F5E"/>
    <w:rsid w:val="00530239"/>
    <w:rsid w:val="005304F8"/>
    <w:rsid w:val="005305F7"/>
    <w:rsid w:val="00530698"/>
    <w:rsid w:val="00530771"/>
    <w:rsid w:val="00530788"/>
    <w:rsid w:val="00530808"/>
    <w:rsid w:val="00530995"/>
    <w:rsid w:val="00530A0A"/>
    <w:rsid w:val="00530A46"/>
    <w:rsid w:val="00530ABF"/>
    <w:rsid w:val="00530BC1"/>
    <w:rsid w:val="00530CEA"/>
    <w:rsid w:val="00530D91"/>
    <w:rsid w:val="005313AB"/>
    <w:rsid w:val="0053142E"/>
    <w:rsid w:val="005317C0"/>
    <w:rsid w:val="005319FE"/>
    <w:rsid w:val="00531C8B"/>
    <w:rsid w:val="00531CDD"/>
    <w:rsid w:val="00531CFB"/>
    <w:rsid w:val="00531D97"/>
    <w:rsid w:val="00531DB7"/>
    <w:rsid w:val="00531FF7"/>
    <w:rsid w:val="00532124"/>
    <w:rsid w:val="0053222C"/>
    <w:rsid w:val="005324D1"/>
    <w:rsid w:val="00532563"/>
    <w:rsid w:val="00532934"/>
    <w:rsid w:val="0053299B"/>
    <w:rsid w:val="005329C7"/>
    <w:rsid w:val="00532AC0"/>
    <w:rsid w:val="00532B54"/>
    <w:rsid w:val="00532BDF"/>
    <w:rsid w:val="00532C57"/>
    <w:rsid w:val="00532C5F"/>
    <w:rsid w:val="00532C93"/>
    <w:rsid w:val="00532CE7"/>
    <w:rsid w:val="00532DC5"/>
    <w:rsid w:val="00532E39"/>
    <w:rsid w:val="00532EB9"/>
    <w:rsid w:val="0053308E"/>
    <w:rsid w:val="00533178"/>
    <w:rsid w:val="00533277"/>
    <w:rsid w:val="005332A8"/>
    <w:rsid w:val="005332DD"/>
    <w:rsid w:val="00533374"/>
    <w:rsid w:val="005333FA"/>
    <w:rsid w:val="00533561"/>
    <w:rsid w:val="00533572"/>
    <w:rsid w:val="00533800"/>
    <w:rsid w:val="00533845"/>
    <w:rsid w:val="005338B1"/>
    <w:rsid w:val="005339C7"/>
    <w:rsid w:val="00533A55"/>
    <w:rsid w:val="00533AB2"/>
    <w:rsid w:val="00533B0A"/>
    <w:rsid w:val="00533E83"/>
    <w:rsid w:val="0053415C"/>
    <w:rsid w:val="005342C3"/>
    <w:rsid w:val="005344A9"/>
    <w:rsid w:val="005345CC"/>
    <w:rsid w:val="005347AC"/>
    <w:rsid w:val="00534915"/>
    <w:rsid w:val="00534962"/>
    <w:rsid w:val="00534994"/>
    <w:rsid w:val="00534B8B"/>
    <w:rsid w:val="00534E49"/>
    <w:rsid w:val="00534E4A"/>
    <w:rsid w:val="00534F01"/>
    <w:rsid w:val="005350A6"/>
    <w:rsid w:val="0053516D"/>
    <w:rsid w:val="0053521D"/>
    <w:rsid w:val="005354F4"/>
    <w:rsid w:val="00535593"/>
    <w:rsid w:val="005355BC"/>
    <w:rsid w:val="0053561D"/>
    <w:rsid w:val="0053563C"/>
    <w:rsid w:val="0053587D"/>
    <w:rsid w:val="00535D49"/>
    <w:rsid w:val="00535FB7"/>
    <w:rsid w:val="00535FF7"/>
    <w:rsid w:val="0053602E"/>
    <w:rsid w:val="005362A8"/>
    <w:rsid w:val="005362D9"/>
    <w:rsid w:val="005363EA"/>
    <w:rsid w:val="00536658"/>
    <w:rsid w:val="00536B37"/>
    <w:rsid w:val="00536F22"/>
    <w:rsid w:val="0053767F"/>
    <w:rsid w:val="00537711"/>
    <w:rsid w:val="005377D0"/>
    <w:rsid w:val="0053780E"/>
    <w:rsid w:val="0053786F"/>
    <w:rsid w:val="00537CBF"/>
    <w:rsid w:val="00537DBE"/>
    <w:rsid w:val="00537ED7"/>
    <w:rsid w:val="00537F29"/>
    <w:rsid w:val="00540657"/>
    <w:rsid w:val="005408F6"/>
    <w:rsid w:val="005409FA"/>
    <w:rsid w:val="00540C05"/>
    <w:rsid w:val="00540C6D"/>
    <w:rsid w:val="00540C74"/>
    <w:rsid w:val="00540ED4"/>
    <w:rsid w:val="00540EFA"/>
    <w:rsid w:val="00540F66"/>
    <w:rsid w:val="0054101D"/>
    <w:rsid w:val="0054106B"/>
    <w:rsid w:val="005410AC"/>
    <w:rsid w:val="0054117A"/>
    <w:rsid w:val="005412D3"/>
    <w:rsid w:val="00541351"/>
    <w:rsid w:val="005413B5"/>
    <w:rsid w:val="005416CB"/>
    <w:rsid w:val="005416D8"/>
    <w:rsid w:val="0054185B"/>
    <w:rsid w:val="00541DC3"/>
    <w:rsid w:val="00541EBE"/>
    <w:rsid w:val="00541FBD"/>
    <w:rsid w:val="0054223D"/>
    <w:rsid w:val="0054255E"/>
    <w:rsid w:val="00542587"/>
    <w:rsid w:val="00542600"/>
    <w:rsid w:val="00542620"/>
    <w:rsid w:val="00542638"/>
    <w:rsid w:val="00542743"/>
    <w:rsid w:val="005427EC"/>
    <w:rsid w:val="00542826"/>
    <w:rsid w:val="00542A75"/>
    <w:rsid w:val="00542C5C"/>
    <w:rsid w:val="00542FC6"/>
    <w:rsid w:val="00543050"/>
    <w:rsid w:val="00543103"/>
    <w:rsid w:val="0054323E"/>
    <w:rsid w:val="0054353B"/>
    <w:rsid w:val="005436A7"/>
    <w:rsid w:val="005438E2"/>
    <w:rsid w:val="0054391B"/>
    <w:rsid w:val="00543BC0"/>
    <w:rsid w:val="00543BFF"/>
    <w:rsid w:val="00543D14"/>
    <w:rsid w:val="005440EF"/>
    <w:rsid w:val="00544280"/>
    <w:rsid w:val="005443AB"/>
    <w:rsid w:val="00544442"/>
    <w:rsid w:val="0054451B"/>
    <w:rsid w:val="00544534"/>
    <w:rsid w:val="00544559"/>
    <w:rsid w:val="00544968"/>
    <w:rsid w:val="00544CC5"/>
    <w:rsid w:val="00544D08"/>
    <w:rsid w:val="00544DC8"/>
    <w:rsid w:val="00545009"/>
    <w:rsid w:val="00545139"/>
    <w:rsid w:val="00545179"/>
    <w:rsid w:val="005451C2"/>
    <w:rsid w:val="005456A7"/>
    <w:rsid w:val="00545876"/>
    <w:rsid w:val="0054588F"/>
    <w:rsid w:val="00545930"/>
    <w:rsid w:val="00545C9B"/>
    <w:rsid w:val="00545D21"/>
    <w:rsid w:val="0054627D"/>
    <w:rsid w:val="005464A7"/>
    <w:rsid w:val="00546577"/>
    <w:rsid w:val="005467B3"/>
    <w:rsid w:val="00546833"/>
    <w:rsid w:val="005468E2"/>
    <w:rsid w:val="005469FD"/>
    <w:rsid w:val="00546E0C"/>
    <w:rsid w:val="00546E59"/>
    <w:rsid w:val="00547040"/>
    <w:rsid w:val="005470E4"/>
    <w:rsid w:val="0054716D"/>
    <w:rsid w:val="00547175"/>
    <w:rsid w:val="00547315"/>
    <w:rsid w:val="0054760F"/>
    <w:rsid w:val="0054779C"/>
    <w:rsid w:val="005477A1"/>
    <w:rsid w:val="00547849"/>
    <w:rsid w:val="00547A34"/>
    <w:rsid w:val="00547ABC"/>
    <w:rsid w:val="00547B0A"/>
    <w:rsid w:val="00547B67"/>
    <w:rsid w:val="00547F2F"/>
    <w:rsid w:val="005500F9"/>
    <w:rsid w:val="0055015B"/>
    <w:rsid w:val="00550176"/>
    <w:rsid w:val="00550388"/>
    <w:rsid w:val="00550450"/>
    <w:rsid w:val="00550507"/>
    <w:rsid w:val="005506CF"/>
    <w:rsid w:val="00550718"/>
    <w:rsid w:val="0055077E"/>
    <w:rsid w:val="00550B9E"/>
    <w:rsid w:val="005518BE"/>
    <w:rsid w:val="00551BB3"/>
    <w:rsid w:val="00551CFC"/>
    <w:rsid w:val="00551F02"/>
    <w:rsid w:val="0055229D"/>
    <w:rsid w:val="005523D4"/>
    <w:rsid w:val="0055240D"/>
    <w:rsid w:val="0055259F"/>
    <w:rsid w:val="00552612"/>
    <w:rsid w:val="00552681"/>
    <w:rsid w:val="005526B9"/>
    <w:rsid w:val="005528DB"/>
    <w:rsid w:val="005529F0"/>
    <w:rsid w:val="00552AB3"/>
    <w:rsid w:val="00552AD1"/>
    <w:rsid w:val="00552AD5"/>
    <w:rsid w:val="00552BB6"/>
    <w:rsid w:val="00552C15"/>
    <w:rsid w:val="00552ED0"/>
    <w:rsid w:val="0055308A"/>
    <w:rsid w:val="00553181"/>
    <w:rsid w:val="00553193"/>
    <w:rsid w:val="005531EF"/>
    <w:rsid w:val="00553318"/>
    <w:rsid w:val="00553392"/>
    <w:rsid w:val="00553433"/>
    <w:rsid w:val="005537AC"/>
    <w:rsid w:val="00553CA6"/>
    <w:rsid w:val="00553D09"/>
    <w:rsid w:val="00553D10"/>
    <w:rsid w:val="00553D91"/>
    <w:rsid w:val="00553E67"/>
    <w:rsid w:val="00554167"/>
    <w:rsid w:val="00554170"/>
    <w:rsid w:val="005543AF"/>
    <w:rsid w:val="00554418"/>
    <w:rsid w:val="005545F5"/>
    <w:rsid w:val="00554612"/>
    <w:rsid w:val="005549BE"/>
    <w:rsid w:val="005549D5"/>
    <w:rsid w:val="00554C64"/>
    <w:rsid w:val="00554D41"/>
    <w:rsid w:val="0055503F"/>
    <w:rsid w:val="00555193"/>
    <w:rsid w:val="005554BF"/>
    <w:rsid w:val="00555594"/>
    <w:rsid w:val="0055568F"/>
    <w:rsid w:val="00555867"/>
    <w:rsid w:val="0055590B"/>
    <w:rsid w:val="00555AC4"/>
    <w:rsid w:val="00555BE1"/>
    <w:rsid w:val="00555C64"/>
    <w:rsid w:val="00555CC1"/>
    <w:rsid w:val="00555D3C"/>
    <w:rsid w:val="00555DE9"/>
    <w:rsid w:val="00555FC5"/>
    <w:rsid w:val="00555FD4"/>
    <w:rsid w:val="0055600B"/>
    <w:rsid w:val="00556327"/>
    <w:rsid w:val="0055645C"/>
    <w:rsid w:val="00556511"/>
    <w:rsid w:val="00556656"/>
    <w:rsid w:val="005566E1"/>
    <w:rsid w:val="005567EB"/>
    <w:rsid w:val="00556C7C"/>
    <w:rsid w:val="00556ECB"/>
    <w:rsid w:val="00556F22"/>
    <w:rsid w:val="00556F86"/>
    <w:rsid w:val="00556F90"/>
    <w:rsid w:val="005570E7"/>
    <w:rsid w:val="00557128"/>
    <w:rsid w:val="005571C9"/>
    <w:rsid w:val="0055737D"/>
    <w:rsid w:val="00557396"/>
    <w:rsid w:val="00557422"/>
    <w:rsid w:val="00557449"/>
    <w:rsid w:val="0055753D"/>
    <w:rsid w:val="0055796D"/>
    <w:rsid w:val="005579AF"/>
    <w:rsid w:val="00557A6D"/>
    <w:rsid w:val="00557CCF"/>
    <w:rsid w:val="0056002B"/>
    <w:rsid w:val="00560080"/>
    <w:rsid w:val="0056016D"/>
    <w:rsid w:val="00560301"/>
    <w:rsid w:val="005603A7"/>
    <w:rsid w:val="00560437"/>
    <w:rsid w:val="0056044E"/>
    <w:rsid w:val="00560523"/>
    <w:rsid w:val="005606D0"/>
    <w:rsid w:val="00560947"/>
    <w:rsid w:val="00560B24"/>
    <w:rsid w:val="00560EC0"/>
    <w:rsid w:val="00560F59"/>
    <w:rsid w:val="00561261"/>
    <w:rsid w:val="005612C8"/>
    <w:rsid w:val="005612EE"/>
    <w:rsid w:val="00561444"/>
    <w:rsid w:val="00561467"/>
    <w:rsid w:val="0056167C"/>
    <w:rsid w:val="00561875"/>
    <w:rsid w:val="005618E7"/>
    <w:rsid w:val="00561B61"/>
    <w:rsid w:val="00561CC3"/>
    <w:rsid w:val="00561CC7"/>
    <w:rsid w:val="00561DB7"/>
    <w:rsid w:val="00561E94"/>
    <w:rsid w:val="00562078"/>
    <w:rsid w:val="0056208A"/>
    <w:rsid w:val="005620B4"/>
    <w:rsid w:val="005620CC"/>
    <w:rsid w:val="005620D3"/>
    <w:rsid w:val="00562114"/>
    <w:rsid w:val="00562136"/>
    <w:rsid w:val="00562260"/>
    <w:rsid w:val="005622C1"/>
    <w:rsid w:val="005625C4"/>
    <w:rsid w:val="005626B3"/>
    <w:rsid w:val="005628A5"/>
    <w:rsid w:val="00562B23"/>
    <w:rsid w:val="00562C33"/>
    <w:rsid w:val="00562E01"/>
    <w:rsid w:val="00562E51"/>
    <w:rsid w:val="00562E91"/>
    <w:rsid w:val="00562ECF"/>
    <w:rsid w:val="0056315A"/>
    <w:rsid w:val="00563427"/>
    <w:rsid w:val="005638A7"/>
    <w:rsid w:val="0056399F"/>
    <w:rsid w:val="005639ED"/>
    <w:rsid w:val="00563A62"/>
    <w:rsid w:val="00563D2A"/>
    <w:rsid w:val="00563E46"/>
    <w:rsid w:val="0056418E"/>
    <w:rsid w:val="005643C5"/>
    <w:rsid w:val="0056442F"/>
    <w:rsid w:val="00564792"/>
    <w:rsid w:val="00564954"/>
    <w:rsid w:val="00564AB4"/>
    <w:rsid w:val="00564B56"/>
    <w:rsid w:val="00564BBF"/>
    <w:rsid w:val="00564D15"/>
    <w:rsid w:val="00564E31"/>
    <w:rsid w:val="00564E60"/>
    <w:rsid w:val="0056507C"/>
    <w:rsid w:val="005652B3"/>
    <w:rsid w:val="0056563E"/>
    <w:rsid w:val="0056594A"/>
    <w:rsid w:val="00565959"/>
    <w:rsid w:val="005659F3"/>
    <w:rsid w:val="00565B05"/>
    <w:rsid w:val="00565B81"/>
    <w:rsid w:val="00565B88"/>
    <w:rsid w:val="00565E70"/>
    <w:rsid w:val="005661D3"/>
    <w:rsid w:val="00566269"/>
    <w:rsid w:val="005664E5"/>
    <w:rsid w:val="0056657B"/>
    <w:rsid w:val="0056659D"/>
    <w:rsid w:val="005667D3"/>
    <w:rsid w:val="005668BF"/>
    <w:rsid w:val="005668EF"/>
    <w:rsid w:val="00566AE3"/>
    <w:rsid w:val="00566AEE"/>
    <w:rsid w:val="00566DB5"/>
    <w:rsid w:val="00567036"/>
    <w:rsid w:val="00567055"/>
    <w:rsid w:val="0056714B"/>
    <w:rsid w:val="00567373"/>
    <w:rsid w:val="0056741A"/>
    <w:rsid w:val="005678C1"/>
    <w:rsid w:val="00567A26"/>
    <w:rsid w:val="00567B23"/>
    <w:rsid w:val="00567CAD"/>
    <w:rsid w:val="00567E97"/>
    <w:rsid w:val="0057028C"/>
    <w:rsid w:val="00570324"/>
    <w:rsid w:val="00570546"/>
    <w:rsid w:val="0057057A"/>
    <w:rsid w:val="0057057D"/>
    <w:rsid w:val="005705D1"/>
    <w:rsid w:val="0057098A"/>
    <w:rsid w:val="00570B1E"/>
    <w:rsid w:val="00570B2E"/>
    <w:rsid w:val="00570C06"/>
    <w:rsid w:val="00570CEA"/>
    <w:rsid w:val="00570F0B"/>
    <w:rsid w:val="0057103E"/>
    <w:rsid w:val="00571125"/>
    <w:rsid w:val="0057126C"/>
    <w:rsid w:val="0057129E"/>
    <w:rsid w:val="00571540"/>
    <w:rsid w:val="005716A0"/>
    <w:rsid w:val="00571718"/>
    <w:rsid w:val="0057174A"/>
    <w:rsid w:val="005718CF"/>
    <w:rsid w:val="005718EE"/>
    <w:rsid w:val="00571A9A"/>
    <w:rsid w:val="00571AF8"/>
    <w:rsid w:val="00571B41"/>
    <w:rsid w:val="00571C59"/>
    <w:rsid w:val="00571C92"/>
    <w:rsid w:val="00571DFD"/>
    <w:rsid w:val="00571F2B"/>
    <w:rsid w:val="005721E0"/>
    <w:rsid w:val="0057235C"/>
    <w:rsid w:val="005723BD"/>
    <w:rsid w:val="005724FE"/>
    <w:rsid w:val="00572646"/>
    <w:rsid w:val="005726E2"/>
    <w:rsid w:val="0057270B"/>
    <w:rsid w:val="00572972"/>
    <w:rsid w:val="00572B57"/>
    <w:rsid w:val="00573072"/>
    <w:rsid w:val="00573316"/>
    <w:rsid w:val="00573364"/>
    <w:rsid w:val="0057360B"/>
    <w:rsid w:val="005736A3"/>
    <w:rsid w:val="00573726"/>
    <w:rsid w:val="0057376D"/>
    <w:rsid w:val="00573948"/>
    <w:rsid w:val="0057396A"/>
    <w:rsid w:val="00573ADD"/>
    <w:rsid w:val="00573DA9"/>
    <w:rsid w:val="00573E15"/>
    <w:rsid w:val="00573E35"/>
    <w:rsid w:val="00573E90"/>
    <w:rsid w:val="00574009"/>
    <w:rsid w:val="00574147"/>
    <w:rsid w:val="00574174"/>
    <w:rsid w:val="005742C4"/>
    <w:rsid w:val="00574741"/>
    <w:rsid w:val="005748B9"/>
    <w:rsid w:val="00574B65"/>
    <w:rsid w:val="00574EFE"/>
    <w:rsid w:val="005751E7"/>
    <w:rsid w:val="0057524A"/>
    <w:rsid w:val="00575461"/>
    <w:rsid w:val="005754EA"/>
    <w:rsid w:val="005755B9"/>
    <w:rsid w:val="0057565C"/>
    <w:rsid w:val="0057568B"/>
    <w:rsid w:val="00575978"/>
    <w:rsid w:val="00575BB8"/>
    <w:rsid w:val="00575C46"/>
    <w:rsid w:val="0057605F"/>
    <w:rsid w:val="005760F3"/>
    <w:rsid w:val="00576207"/>
    <w:rsid w:val="0057620A"/>
    <w:rsid w:val="005762EA"/>
    <w:rsid w:val="00576721"/>
    <w:rsid w:val="005767D6"/>
    <w:rsid w:val="005769EC"/>
    <w:rsid w:val="00576A61"/>
    <w:rsid w:val="00576C0B"/>
    <w:rsid w:val="00576C46"/>
    <w:rsid w:val="00577019"/>
    <w:rsid w:val="005770AE"/>
    <w:rsid w:val="005770E2"/>
    <w:rsid w:val="00577289"/>
    <w:rsid w:val="00577406"/>
    <w:rsid w:val="005777AD"/>
    <w:rsid w:val="00577B35"/>
    <w:rsid w:val="00577E34"/>
    <w:rsid w:val="00577E7F"/>
    <w:rsid w:val="00577FD0"/>
    <w:rsid w:val="005800B0"/>
    <w:rsid w:val="005800DC"/>
    <w:rsid w:val="0058018B"/>
    <w:rsid w:val="005801DE"/>
    <w:rsid w:val="0058023E"/>
    <w:rsid w:val="005803A6"/>
    <w:rsid w:val="005803BA"/>
    <w:rsid w:val="005803DC"/>
    <w:rsid w:val="005804FD"/>
    <w:rsid w:val="005806A3"/>
    <w:rsid w:val="0058085F"/>
    <w:rsid w:val="005808D9"/>
    <w:rsid w:val="00580AA9"/>
    <w:rsid w:val="00580DF1"/>
    <w:rsid w:val="00580E4D"/>
    <w:rsid w:val="00580E53"/>
    <w:rsid w:val="00580E5C"/>
    <w:rsid w:val="00581129"/>
    <w:rsid w:val="0058133B"/>
    <w:rsid w:val="0058140A"/>
    <w:rsid w:val="0058149A"/>
    <w:rsid w:val="0058168A"/>
    <w:rsid w:val="00581690"/>
    <w:rsid w:val="0058172C"/>
    <w:rsid w:val="00581BC8"/>
    <w:rsid w:val="00581D22"/>
    <w:rsid w:val="00581FE8"/>
    <w:rsid w:val="005824F2"/>
    <w:rsid w:val="005825AC"/>
    <w:rsid w:val="00582843"/>
    <w:rsid w:val="00582B01"/>
    <w:rsid w:val="00582C1D"/>
    <w:rsid w:val="00582E48"/>
    <w:rsid w:val="0058319E"/>
    <w:rsid w:val="00583207"/>
    <w:rsid w:val="00583227"/>
    <w:rsid w:val="0058339C"/>
    <w:rsid w:val="005833AA"/>
    <w:rsid w:val="0058355D"/>
    <w:rsid w:val="00583580"/>
    <w:rsid w:val="005835C2"/>
    <w:rsid w:val="00583643"/>
    <w:rsid w:val="0058385A"/>
    <w:rsid w:val="0058397A"/>
    <w:rsid w:val="005839E3"/>
    <w:rsid w:val="00583C4D"/>
    <w:rsid w:val="00583F0E"/>
    <w:rsid w:val="00583F10"/>
    <w:rsid w:val="005840C0"/>
    <w:rsid w:val="005841E7"/>
    <w:rsid w:val="00584215"/>
    <w:rsid w:val="00584322"/>
    <w:rsid w:val="005844BF"/>
    <w:rsid w:val="00584731"/>
    <w:rsid w:val="00584784"/>
    <w:rsid w:val="005847C4"/>
    <w:rsid w:val="005848D4"/>
    <w:rsid w:val="00584AD7"/>
    <w:rsid w:val="00584C61"/>
    <w:rsid w:val="00584CF9"/>
    <w:rsid w:val="00584D42"/>
    <w:rsid w:val="00584D47"/>
    <w:rsid w:val="00585302"/>
    <w:rsid w:val="00585303"/>
    <w:rsid w:val="0058542B"/>
    <w:rsid w:val="005854A7"/>
    <w:rsid w:val="005854D6"/>
    <w:rsid w:val="0058581A"/>
    <w:rsid w:val="005859C9"/>
    <w:rsid w:val="00585A50"/>
    <w:rsid w:val="00585DD9"/>
    <w:rsid w:val="00585E5D"/>
    <w:rsid w:val="00585EEA"/>
    <w:rsid w:val="005863BA"/>
    <w:rsid w:val="005864A1"/>
    <w:rsid w:val="005864F9"/>
    <w:rsid w:val="005865FB"/>
    <w:rsid w:val="00586723"/>
    <w:rsid w:val="005867F3"/>
    <w:rsid w:val="00586803"/>
    <w:rsid w:val="005868E4"/>
    <w:rsid w:val="00586B1D"/>
    <w:rsid w:val="00586C9B"/>
    <w:rsid w:val="00586D7B"/>
    <w:rsid w:val="005870A1"/>
    <w:rsid w:val="005874C8"/>
    <w:rsid w:val="0058773E"/>
    <w:rsid w:val="00587856"/>
    <w:rsid w:val="005878F7"/>
    <w:rsid w:val="00587B9E"/>
    <w:rsid w:val="00587CDB"/>
    <w:rsid w:val="00587DC4"/>
    <w:rsid w:val="00587E73"/>
    <w:rsid w:val="00587FA1"/>
    <w:rsid w:val="00587FCC"/>
    <w:rsid w:val="00590000"/>
    <w:rsid w:val="00590343"/>
    <w:rsid w:val="00590384"/>
    <w:rsid w:val="00590810"/>
    <w:rsid w:val="0059087C"/>
    <w:rsid w:val="0059099B"/>
    <w:rsid w:val="00590A23"/>
    <w:rsid w:val="00590C2E"/>
    <w:rsid w:val="00590C80"/>
    <w:rsid w:val="00590D84"/>
    <w:rsid w:val="00590D98"/>
    <w:rsid w:val="00590EFB"/>
    <w:rsid w:val="00590F0D"/>
    <w:rsid w:val="00590F29"/>
    <w:rsid w:val="0059199F"/>
    <w:rsid w:val="00591A8C"/>
    <w:rsid w:val="00591C71"/>
    <w:rsid w:val="00591C98"/>
    <w:rsid w:val="00591CCA"/>
    <w:rsid w:val="00591DC3"/>
    <w:rsid w:val="0059233B"/>
    <w:rsid w:val="00592380"/>
    <w:rsid w:val="00592401"/>
    <w:rsid w:val="005929FD"/>
    <w:rsid w:val="00592A61"/>
    <w:rsid w:val="00592EB4"/>
    <w:rsid w:val="00592FB0"/>
    <w:rsid w:val="00592FCB"/>
    <w:rsid w:val="00593064"/>
    <w:rsid w:val="005932EF"/>
    <w:rsid w:val="005934BC"/>
    <w:rsid w:val="00593585"/>
    <w:rsid w:val="00593593"/>
    <w:rsid w:val="005935D4"/>
    <w:rsid w:val="0059369B"/>
    <w:rsid w:val="005938F7"/>
    <w:rsid w:val="00593AFF"/>
    <w:rsid w:val="00593B0C"/>
    <w:rsid w:val="00593D68"/>
    <w:rsid w:val="00593EE3"/>
    <w:rsid w:val="00594165"/>
    <w:rsid w:val="00594223"/>
    <w:rsid w:val="00594353"/>
    <w:rsid w:val="00594599"/>
    <w:rsid w:val="005947F2"/>
    <w:rsid w:val="00594932"/>
    <w:rsid w:val="00594DC2"/>
    <w:rsid w:val="00594E0D"/>
    <w:rsid w:val="00594FA1"/>
    <w:rsid w:val="00595154"/>
    <w:rsid w:val="0059535B"/>
    <w:rsid w:val="0059559A"/>
    <w:rsid w:val="005955D0"/>
    <w:rsid w:val="00595642"/>
    <w:rsid w:val="0059582D"/>
    <w:rsid w:val="00595B92"/>
    <w:rsid w:val="00595E61"/>
    <w:rsid w:val="00595F6F"/>
    <w:rsid w:val="00595F7B"/>
    <w:rsid w:val="00595FA6"/>
    <w:rsid w:val="00596238"/>
    <w:rsid w:val="005962A3"/>
    <w:rsid w:val="00596557"/>
    <w:rsid w:val="005965C5"/>
    <w:rsid w:val="005967F3"/>
    <w:rsid w:val="0059685C"/>
    <w:rsid w:val="005968EB"/>
    <w:rsid w:val="0059692B"/>
    <w:rsid w:val="005969E3"/>
    <w:rsid w:val="00596AE0"/>
    <w:rsid w:val="00596B81"/>
    <w:rsid w:val="00596BEC"/>
    <w:rsid w:val="00596FEE"/>
    <w:rsid w:val="0059747A"/>
    <w:rsid w:val="005974EF"/>
    <w:rsid w:val="005974FC"/>
    <w:rsid w:val="0059750A"/>
    <w:rsid w:val="005978A1"/>
    <w:rsid w:val="00597A4A"/>
    <w:rsid w:val="00597B10"/>
    <w:rsid w:val="00597B4C"/>
    <w:rsid w:val="00597BBE"/>
    <w:rsid w:val="00597BC8"/>
    <w:rsid w:val="00597C02"/>
    <w:rsid w:val="00597D7D"/>
    <w:rsid w:val="00597ECB"/>
    <w:rsid w:val="00597EE8"/>
    <w:rsid w:val="00597FAA"/>
    <w:rsid w:val="005A035B"/>
    <w:rsid w:val="005A05C7"/>
    <w:rsid w:val="005A06E6"/>
    <w:rsid w:val="005A09E7"/>
    <w:rsid w:val="005A0A00"/>
    <w:rsid w:val="005A0AF4"/>
    <w:rsid w:val="005A0D07"/>
    <w:rsid w:val="005A0D21"/>
    <w:rsid w:val="005A0DF0"/>
    <w:rsid w:val="005A0FF8"/>
    <w:rsid w:val="005A1171"/>
    <w:rsid w:val="005A1181"/>
    <w:rsid w:val="005A128E"/>
    <w:rsid w:val="005A13A5"/>
    <w:rsid w:val="005A1486"/>
    <w:rsid w:val="005A15C6"/>
    <w:rsid w:val="005A1719"/>
    <w:rsid w:val="005A1858"/>
    <w:rsid w:val="005A187E"/>
    <w:rsid w:val="005A1F42"/>
    <w:rsid w:val="005A24CD"/>
    <w:rsid w:val="005A2583"/>
    <w:rsid w:val="005A26EE"/>
    <w:rsid w:val="005A2A1C"/>
    <w:rsid w:val="005A2B90"/>
    <w:rsid w:val="005A2F32"/>
    <w:rsid w:val="005A319A"/>
    <w:rsid w:val="005A31B7"/>
    <w:rsid w:val="005A3261"/>
    <w:rsid w:val="005A3A89"/>
    <w:rsid w:val="005A3BDD"/>
    <w:rsid w:val="005A3BF2"/>
    <w:rsid w:val="005A3C97"/>
    <w:rsid w:val="005A3D28"/>
    <w:rsid w:val="005A3EA2"/>
    <w:rsid w:val="005A3F5E"/>
    <w:rsid w:val="005A40B4"/>
    <w:rsid w:val="005A4344"/>
    <w:rsid w:val="005A444E"/>
    <w:rsid w:val="005A44C8"/>
    <w:rsid w:val="005A457F"/>
    <w:rsid w:val="005A458D"/>
    <w:rsid w:val="005A45C6"/>
    <w:rsid w:val="005A46BE"/>
    <w:rsid w:val="005A47EE"/>
    <w:rsid w:val="005A48D4"/>
    <w:rsid w:val="005A4A6F"/>
    <w:rsid w:val="005A4DCB"/>
    <w:rsid w:val="005A4DE5"/>
    <w:rsid w:val="005A4E65"/>
    <w:rsid w:val="005A5086"/>
    <w:rsid w:val="005A53A9"/>
    <w:rsid w:val="005A56A2"/>
    <w:rsid w:val="005A5777"/>
    <w:rsid w:val="005A5B9D"/>
    <w:rsid w:val="005A61F2"/>
    <w:rsid w:val="005A62B4"/>
    <w:rsid w:val="005A64EA"/>
    <w:rsid w:val="005A65A2"/>
    <w:rsid w:val="005A65AA"/>
    <w:rsid w:val="005A68F5"/>
    <w:rsid w:val="005A6CF5"/>
    <w:rsid w:val="005A6EDC"/>
    <w:rsid w:val="005A6F24"/>
    <w:rsid w:val="005A7166"/>
    <w:rsid w:val="005A719F"/>
    <w:rsid w:val="005A737E"/>
    <w:rsid w:val="005A7704"/>
    <w:rsid w:val="005A7872"/>
    <w:rsid w:val="005A78C3"/>
    <w:rsid w:val="005A7993"/>
    <w:rsid w:val="005A7A46"/>
    <w:rsid w:val="005A7B2B"/>
    <w:rsid w:val="005A7DA2"/>
    <w:rsid w:val="005A7F17"/>
    <w:rsid w:val="005A7F65"/>
    <w:rsid w:val="005A7FCA"/>
    <w:rsid w:val="005B0052"/>
    <w:rsid w:val="005B0358"/>
    <w:rsid w:val="005B048A"/>
    <w:rsid w:val="005B0602"/>
    <w:rsid w:val="005B0A4A"/>
    <w:rsid w:val="005B0C6D"/>
    <w:rsid w:val="005B0ECF"/>
    <w:rsid w:val="005B0FC7"/>
    <w:rsid w:val="005B0FCF"/>
    <w:rsid w:val="005B1033"/>
    <w:rsid w:val="005B1049"/>
    <w:rsid w:val="005B1257"/>
    <w:rsid w:val="005B13E7"/>
    <w:rsid w:val="005B1656"/>
    <w:rsid w:val="005B1682"/>
    <w:rsid w:val="005B16B8"/>
    <w:rsid w:val="005B1C50"/>
    <w:rsid w:val="005B20CE"/>
    <w:rsid w:val="005B22FD"/>
    <w:rsid w:val="005B2396"/>
    <w:rsid w:val="005B2619"/>
    <w:rsid w:val="005B2668"/>
    <w:rsid w:val="005B2850"/>
    <w:rsid w:val="005B29CE"/>
    <w:rsid w:val="005B2D71"/>
    <w:rsid w:val="005B2DAF"/>
    <w:rsid w:val="005B2FEC"/>
    <w:rsid w:val="005B3092"/>
    <w:rsid w:val="005B318E"/>
    <w:rsid w:val="005B328B"/>
    <w:rsid w:val="005B34AB"/>
    <w:rsid w:val="005B362A"/>
    <w:rsid w:val="005B381D"/>
    <w:rsid w:val="005B3889"/>
    <w:rsid w:val="005B38C2"/>
    <w:rsid w:val="005B394E"/>
    <w:rsid w:val="005B3ABB"/>
    <w:rsid w:val="005B3B7E"/>
    <w:rsid w:val="005B3BEC"/>
    <w:rsid w:val="005B3D49"/>
    <w:rsid w:val="005B3D8B"/>
    <w:rsid w:val="005B3E3F"/>
    <w:rsid w:val="005B3FF5"/>
    <w:rsid w:val="005B3FFC"/>
    <w:rsid w:val="005B4425"/>
    <w:rsid w:val="005B45F5"/>
    <w:rsid w:val="005B4794"/>
    <w:rsid w:val="005B4838"/>
    <w:rsid w:val="005B4ADE"/>
    <w:rsid w:val="005B4B8D"/>
    <w:rsid w:val="005B4C51"/>
    <w:rsid w:val="005B4E40"/>
    <w:rsid w:val="005B56B7"/>
    <w:rsid w:val="005B57A5"/>
    <w:rsid w:val="005B58C0"/>
    <w:rsid w:val="005B5C1B"/>
    <w:rsid w:val="005B5D0A"/>
    <w:rsid w:val="005B5D6B"/>
    <w:rsid w:val="005B5EBA"/>
    <w:rsid w:val="005B6182"/>
    <w:rsid w:val="005B627A"/>
    <w:rsid w:val="005B63C4"/>
    <w:rsid w:val="005B6839"/>
    <w:rsid w:val="005B69FB"/>
    <w:rsid w:val="005B6AB0"/>
    <w:rsid w:val="005B6AF5"/>
    <w:rsid w:val="005B6D43"/>
    <w:rsid w:val="005B6E01"/>
    <w:rsid w:val="005B6F26"/>
    <w:rsid w:val="005B6F4A"/>
    <w:rsid w:val="005B71C7"/>
    <w:rsid w:val="005B7291"/>
    <w:rsid w:val="005B7317"/>
    <w:rsid w:val="005B7904"/>
    <w:rsid w:val="005B79A8"/>
    <w:rsid w:val="005B7B71"/>
    <w:rsid w:val="005B7C63"/>
    <w:rsid w:val="005B7CBC"/>
    <w:rsid w:val="005B7DBF"/>
    <w:rsid w:val="005BA5E4"/>
    <w:rsid w:val="005C0078"/>
    <w:rsid w:val="005C042A"/>
    <w:rsid w:val="005C04DD"/>
    <w:rsid w:val="005C0567"/>
    <w:rsid w:val="005C0578"/>
    <w:rsid w:val="005C05E1"/>
    <w:rsid w:val="005C0848"/>
    <w:rsid w:val="005C0AB6"/>
    <w:rsid w:val="005C1102"/>
    <w:rsid w:val="005C1299"/>
    <w:rsid w:val="005C1463"/>
    <w:rsid w:val="005C14B3"/>
    <w:rsid w:val="005C14C6"/>
    <w:rsid w:val="005C14CC"/>
    <w:rsid w:val="005C1829"/>
    <w:rsid w:val="005C1ADA"/>
    <w:rsid w:val="005C1F94"/>
    <w:rsid w:val="005C21D4"/>
    <w:rsid w:val="005C2385"/>
    <w:rsid w:val="005C2425"/>
    <w:rsid w:val="005C2514"/>
    <w:rsid w:val="005C2529"/>
    <w:rsid w:val="005C2592"/>
    <w:rsid w:val="005C292B"/>
    <w:rsid w:val="005C2975"/>
    <w:rsid w:val="005C2A82"/>
    <w:rsid w:val="005C2A85"/>
    <w:rsid w:val="005C2C1A"/>
    <w:rsid w:val="005C2F59"/>
    <w:rsid w:val="005C329D"/>
    <w:rsid w:val="005C35A1"/>
    <w:rsid w:val="005C3B57"/>
    <w:rsid w:val="005C3DCF"/>
    <w:rsid w:val="005C3E21"/>
    <w:rsid w:val="005C404C"/>
    <w:rsid w:val="005C4254"/>
    <w:rsid w:val="005C42EF"/>
    <w:rsid w:val="005C4324"/>
    <w:rsid w:val="005C438C"/>
    <w:rsid w:val="005C4788"/>
    <w:rsid w:val="005C4A87"/>
    <w:rsid w:val="005C4B9E"/>
    <w:rsid w:val="005C4C21"/>
    <w:rsid w:val="005C4C6A"/>
    <w:rsid w:val="005C4D59"/>
    <w:rsid w:val="005C4D89"/>
    <w:rsid w:val="005C4DC1"/>
    <w:rsid w:val="005C4F0C"/>
    <w:rsid w:val="005C504C"/>
    <w:rsid w:val="005C51C3"/>
    <w:rsid w:val="005C536E"/>
    <w:rsid w:val="005C5632"/>
    <w:rsid w:val="005C56D6"/>
    <w:rsid w:val="005C575C"/>
    <w:rsid w:val="005C57FF"/>
    <w:rsid w:val="005C5C3F"/>
    <w:rsid w:val="005C5FC7"/>
    <w:rsid w:val="005C6091"/>
    <w:rsid w:val="005C630A"/>
    <w:rsid w:val="005C6350"/>
    <w:rsid w:val="005C6402"/>
    <w:rsid w:val="005C65DD"/>
    <w:rsid w:val="005C6637"/>
    <w:rsid w:val="005C67C3"/>
    <w:rsid w:val="005C691E"/>
    <w:rsid w:val="005C6BD2"/>
    <w:rsid w:val="005C6CFB"/>
    <w:rsid w:val="005C6E78"/>
    <w:rsid w:val="005C7087"/>
    <w:rsid w:val="005C7191"/>
    <w:rsid w:val="005C7198"/>
    <w:rsid w:val="005C741F"/>
    <w:rsid w:val="005C7450"/>
    <w:rsid w:val="005C7591"/>
    <w:rsid w:val="005C76C9"/>
    <w:rsid w:val="005C77FF"/>
    <w:rsid w:val="005C7897"/>
    <w:rsid w:val="005C79C9"/>
    <w:rsid w:val="005C7A4C"/>
    <w:rsid w:val="005C7A57"/>
    <w:rsid w:val="005C7B32"/>
    <w:rsid w:val="005C7DF9"/>
    <w:rsid w:val="005CCE00"/>
    <w:rsid w:val="005D01BD"/>
    <w:rsid w:val="005D01F1"/>
    <w:rsid w:val="005D0276"/>
    <w:rsid w:val="005D035C"/>
    <w:rsid w:val="005D03EF"/>
    <w:rsid w:val="005D03FB"/>
    <w:rsid w:val="005D04AF"/>
    <w:rsid w:val="005D0662"/>
    <w:rsid w:val="005D0752"/>
    <w:rsid w:val="005D0A58"/>
    <w:rsid w:val="005D0A77"/>
    <w:rsid w:val="005D0CF7"/>
    <w:rsid w:val="005D0D6C"/>
    <w:rsid w:val="005D0E28"/>
    <w:rsid w:val="005D0FFA"/>
    <w:rsid w:val="005D1027"/>
    <w:rsid w:val="005D1037"/>
    <w:rsid w:val="005D106A"/>
    <w:rsid w:val="005D1087"/>
    <w:rsid w:val="005D1202"/>
    <w:rsid w:val="005D121A"/>
    <w:rsid w:val="005D1335"/>
    <w:rsid w:val="005D1391"/>
    <w:rsid w:val="005D13E7"/>
    <w:rsid w:val="005D15DF"/>
    <w:rsid w:val="005D1868"/>
    <w:rsid w:val="005D1A27"/>
    <w:rsid w:val="005D1A54"/>
    <w:rsid w:val="005D1BFB"/>
    <w:rsid w:val="005D1C78"/>
    <w:rsid w:val="005D1CC7"/>
    <w:rsid w:val="005D242C"/>
    <w:rsid w:val="005D2568"/>
    <w:rsid w:val="005D2739"/>
    <w:rsid w:val="005D283A"/>
    <w:rsid w:val="005D28DF"/>
    <w:rsid w:val="005D292A"/>
    <w:rsid w:val="005D2A0A"/>
    <w:rsid w:val="005D2B37"/>
    <w:rsid w:val="005D2C7A"/>
    <w:rsid w:val="005D2EAC"/>
    <w:rsid w:val="005D2F39"/>
    <w:rsid w:val="005D3040"/>
    <w:rsid w:val="005D31DA"/>
    <w:rsid w:val="005D3489"/>
    <w:rsid w:val="005D35BE"/>
    <w:rsid w:val="005D368A"/>
    <w:rsid w:val="005D36B1"/>
    <w:rsid w:val="005D3B80"/>
    <w:rsid w:val="005D3CA0"/>
    <w:rsid w:val="005D3F2E"/>
    <w:rsid w:val="005D4252"/>
    <w:rsid w:val="005D42D0"/>
    <w:rsid w:val="005D448A"/>
    <w:rsid w:val="005D4819"/>
    <w:rsid w:val="005D4A0B"/>
    <w:rsid w:val="005D4A10"/>
    <w:rsid w:val="005D4C6E"/>
    <w:rsid w:val="005D50E4"/>
    <w:rsid w:val="005D524D"/>
    <w:rsid w:val="005D52B0"/>
    <w:rsid w:val="005D53BC"/>
    <w:rsid w:val="005D54EF"/>
    <w:rsid w:val="005D580E"/>
    <w:rsid w:val="005D5846"/>
    <w:rsid w:val="005D595C"/>
    <w:rsid w:val="005D5991"/>
    <w:rsid w:val="005D5C73"/>
    <w:rsid w:val="005D5CE4"/>
    <w:rsid w:val="005D5FCC"/>
    <w:rsid w:val="005D5FFE"/>
    <w:rsid w:val="005D601A"/>
    <w:rsid w:val="005D606E"/>
    <w:rsid w:val="005D64CC"/>
    <w:rsid w:val="005D64E9"/>
    <w:rsid w:val="005D65A7"/>
    <w:rsid w:val="005D66B0"/>
    <w:rsid w:val="005D673D"/>
    <w:rsid w:val="005D6789"/>
    <w:rsid w:val="005D680E"/>
    <w:rsid w:val="005D6A90"/>
    <w:rsid w:val="005D6CF6"/>
    <w:rsid w:val="005D712E"/>
    <w:rsid w:val="005D71C2"/>
    <w:rsid w:val="005D72D5"/>
    <w:rsid w:val="005D746B"/>
    <w:rsid w:val="005D7540"/>
    <w:rsid w:val="005D77A9"/>
    <w:rsid w:val="005D79B2"/>
    <w:rsid w:val="005D7A1A"/>
    <w:rsid w:val="005D7AE1"/>
    <w:rsid w:val="005D7D37"/>
    <w:rsid w:val="005D7E19"/>
    <w:rsid w:val="005D7E34"/>
    <w:rsid w:val="005E035A"/>
    <w:rsid w:val="005E03D3"/>
    <w:rsid w:val="005E0467"/>
    <w:rsid w:val="005E062A"/>
    <w:rsid w:val="005E08A1"/>
    <w:rsid w:val="005E08F4"/>
    <w:rsid w:val="005E09A5"/>
    <w:rsid w:val="005E0A47"/>
    <w:rsid w:val="005E0CF1"/>
    <w:rsid w:val="005E0E81"/>
    <w:rsid w:val="005E13C3"/>
    <w:rsid w:val="005E1402"/>
    <w:rsid w:val="005E1416"/>
    <w:rsid w:val="005E177A"/>
    <w:rsid w:val="005E1BC1"/>
    <w:rsid w:val="005E2475"/>
    <w:rsid w:val="005E2648"/>
    <w:rsid w:val="005E26BA"/>
    <w:rsid w:val="005E2909"/>
    <w:rsid w:val="005E2A8E"/>
    <w:rsid w:val="005E2B9B"/>
    <w:rsid w:val="005E2C79"/>
    <w:rsid w:val="005E2D75"/>
    <w:rsid w:val="005E2EBE"/>
    <w:rsid w:val="005E319A"/>
    <w:rsid w:val="005E32C6"/>
    <w:rsid w:val="005E371D"/>
    <w:rsid w:val="005E381D"/>
    <w:rsid w:val="005E3856"/>
    <w:rsid w:val="005E3866"/>
    <w:rsid w:val="005E3913"/>
    <w:rsid w:val="005E3A51"/>
    <w:rsid w:val="005E3B39"/>
    <w:rsid w:val="005E3E47"/>
    <w:rsid w:val="005E3FA4"/>
    <w:rsid w:val="005E4088"/>
    <w:rsid w:val="005E413D"/>
    <w:rsid w:val="005E44FA"/>
    <w:rsid w:val="005E4530"/>
    <w:rsid w:val="005E4599"/>
    <w:rsid w:val="005E4691"/>
    <w:rsid w:val="005E46E8"/>
    <w:rsid w:val="005E46EE"/>
    <w:rsid w:val="005E48DB"/>
    <w:rsid w:val="005E4DCA"/>
    <w:rsid w:val="005E4E8F"/>
    <w:rsid w:val="005E502F"/>
    <w:rsid w:val="005E51F9"/>
    <w:rsid w:val="005E5380"/>
    <w:rsid w:val="005E540B"/>
    <w:rsid w:val="005E543D"/>
    <w:rsid w:val="005E58F9"/>
    <w:rsid w:val="005E593C"/>
    <w:rsid w:val="005E60A4"/>
    <w:rsid w:val="005E63B1"/>
    <w:rsid w:val="005E650F"/>
    <w:rsid w:val="005E6AAA"/>
    <w:rsid w:val="005E6B65"/>
    <w:rsid w:val="005E6B79"/>
    <w:rsid w:val="005E6BEE"/>
    <w:rsid w:val="005E6C5D"/>
    <w:rsid w:val="005E6C6D"/>
    <w:rsid w:val="005E6CA8"/>
    <w:rsid w:val="005E6CF6"/>
    <w:rsid w:val="005E6F2F"/>
    <w:rsid w:val="005E723E"/>
    <w:rsid w:val="005E7302"/>
    <w:rsid w:val="005E73A9"/>
    <w:rsid w:val="005E75E5"/>
    <w:rsid w:val="005E76B9"/>
    <w:rsid w:val="005E76D0"/>
    <w:rsid w:val="005E7908"/>
    <w:rsid w:val="005E79FF"/>
    <w:rsid w:val="005E7B89"/>
    <w:rsid w:val="005E7F95"/>
    <w:rsid w:val="005F00F5"/>
    <w:rsid w:val="005F01DD"/>
    <w:rsid w:val="005F02D2"/>
    <w:rsid w:val="005F08D4"/>
    <w:rsid w:val="005F0941"/>
    <w:rsid w:val="005F097A"/>
    <w:rsid w:val="005F0A04"/>
    <w:rsid w:val="005F0A46"/>
    <w:rsid w:val="005F0A83"/>
    <w:rsid w:val="005F0B02"/>
    <w:rsid w:val="005F0BBA"/>
    <w:rsid w:val="005F0CB4"/>
    <w:rsid w:val="005F0D2E"/>
    <w:rsid w:val="005F0FEE"/>
    <w:rsid w:val="005F1326"/>
    <w:rsid w:val="005F13F7"/>
    <w:rsid w:val="005F14A5"/>
    <w:rsid w:val="005F1714"/>
    <w:rsid w:val="005F1B39"/>
    <w:rsid w:val="005F1C0D"/>
    <w:rsid w:val="005F1C86"/>
    <w:rsid w:val="005F1D0C"/>
    <w:rsid w:val="005F1FC6"/>
    <w:rsid w:val="005F2281"/>
    <w:rsid w:val="005F229C"/>
    <w:rsid w:val="005F278F"/>
    <w:rsid w:val="005F2C7E"/>
    <w:rsid w:val="005F2F1E"/>
    <w:rsid w:val="005F2F8C"/>
    <w:rsid w:val="005F329C"/>
    <w:rsid w:val="005F39D0"/>
    <w:rsid w:val="005F3A0E"/>
    <w:rsid w:val="005F3F62"/>
    <w:rsid w:val="005F4202"/>
    <w:rsid w:val="005F4481"/>
    <w:rsid w:val="005F448E"/>
    <w:rsid w:val="005F45B9"/>
    <w:rsid w:val="005F4633"/>
    <w:rsid w:val="005F4C09"/>
    <w:rsid w:val="005F4F25"/>
    <w:rsid w:val="005F4F78"/>
    <w:rsid w:val="005F5003"/>
    <w:rsid w:val="005F5034"/>
    <w:rsid w:val="005F50C1"/>
    <w:rsid w:val="005F5165"/>
    <w:rsid w:val="005F518F"/>
    <w:rsid w:val="005F5211"/>
    <w:rsid w:val="005F53C5"/>
    <w:rsid w:val="005F5443"/>
    <w:rsid w:val="005F551C"/>
    <w:rsid w:val="005F5622"/>
    <w:rsid w:val="005F57BC"/>
    <w:rsid w:val="005F5811"/>
    <w:rsid w:val="005F5BF6"/>
    <w:rsid w:val="005F5ED3"/>
    <w:rsid w:val="005F6195"/>
    <w:rsid w:val="005F6217"/>
    <w:rsid w:val="005F63DC"/>
    <w:rsid w:val="005F63E2"/>
    <w:rsid w:val="005F64B3"/>
    <w:rsid w:val="005F6514"/>
    <w:rsid w:val="005F671B"/>
    <w:rsid w:val="005F688A"/>
    <w:rsid w:val="005F68B1"/>
    <w:rsid w:val="005F6AE8"/>
    <w:rsid w:val="005F6E11"/>
    <w:rsid w:val="005F7274"/>
    <w:rsid w:val="005F72A1"/>
    <w:rsid w:val="005F736D"/>
    <w:rsid w:val="005F74DD"/>
    <w:rsid w:val="005F78F8"/>
    <w:rsid w:val="005F7A41"/>
    <w:rsid w:val="005F7E27"/>
    <w:rsid w:val="005F7EC0"/>
    <w:rsid w:val="00600152"/>
    <w:rsid w:val="00600285"/>
    <w:rsid w:val="00600326"/>
    <w:rsid w:val="00600347"/>
    <w:rsid w:val="00600405"/>
    <w:rsid w:val="00600462"/>
    <w:rsid w:val="00600591"/>
    <w:rsid w:val="00600737"/>
    <w:rsid w:val="006008A5"/>
    <w:rsid w:val="0060093E"/>
    <w:rsid w:val="00600D25"/>
    <w:rsid w:val="00600EDF"/>
    <w:rsid w:val="006011A2"/>
    <w:rsid w:val="0060136F"/>
    <w:rsid w:val="0060143A"/>
    <w:rsid w:val="006016FB"/>
    <w:rsid w:val="0060174D"/>
    <w:rsid w:val="006017B8"/>
    <w:rsid w:val="006017DE"/>
    <w:rsid w:val="00601C36"/>
    <w:rsid w:val="00601D13"/>
    <w:rsid w:val="00601DAB"/>
    <w:rsid w:val="00602045"/>
    <w:rsid w:val="00602476"/>
    <w:rsid w:val="00602491"/>
    <w:rsid w:val="006026A9"/>
    <w:rsid w:val="006028ED"/>
    <w:rsid w:val="00602A6B"/>
    <w:rsid w:val="00602E41"/>
    <w:rsid w:val="00603019"/>
    <w:rsid w:val="006031A7"/>
    <w:rsid w:val="006031FD"/>
    <w:rsid w:val="0060321C"/>
    <w:rsid w:val="0060374E"/>
    <w:rsid w:val="0060381A"/>
    <w:rsid w:val="00603856"/>
    <w:rsid w:val="0060387E"/>
    <w:rsid w:val="006039EE"/>
    <w:rsid w:val="00603A73"/>
    <w:rsid w:val="00603C3D"/>
    <w:rsid w:val="00603CBA"/>
    <w:rsid w:val="00603D15"/>
    <w:rsid w:val="00603EC1"/>
    <w:rsid w:val="00603FA0"/>
    <w:rsid w:val="00604103"/>
    <w:rsid w:val="00604210"/>
    <w:rsid w:val="0060425A"/>
    <w:rsid w:val="00604351"/>
    <w:rsid w:val="00604419"/>
    <w:rsid w:val="0060441C"/>
    <w:rsid w:val="00604495"/>
    <w:rsid w:val="0060469C"/>
    <w:rsid w:val="0060471A"/>
    <w:rsid w:val="00604736"/>
    <w:rsid w:val="006047AA"/>
    <w:rsid w:val="00604958"/>
    <w:rsid w:val="00604CAB"/>
    <w:rsid w:val="00604CF0"/>
    <w:rsid w:val="00604E16"/>
    <w:rsid w:val="00604F72"/>
    <w:rsid w:val="0060543B"/>
    <w:rsid w:val="00605661"/>
    <w:rsid w:val="00605669"/>
    <w:rsid w:val="006057B6"/>
    <w:rsid w:val="00605C7C"/>
    <w:rsid w:val="00605D01"/>
    <w:rsid w:val="00605D92"/>
    <w:rsid w:val="00605EA6"/>
    <w:rsid w:val="00605FC6"/>
    <w:rsid w:val="00606070"/>
    <w:rsid w:val="00606370"/>
    <w:rsid w:val="006063E1"/>
    <w:rsid w:val="00606478"/>
    <w:rsid w:val="006064D5"/>
    <w:rsid w:val="0060650A"/>
    <w:rsid w:val="00606678"/>
    <w:rsid w:val="006067AC"/>
    <w:rsid w:val="00606B39"/>
    <w:rsid w:val="00606D3C"/>
    <w:rsid w:val="00606FF8"/>
    <w:rsid w:val="006070F7"/>
    <w:rsid w:val="00607168"/>
    <w:rsid w:val="00607376"/>
    <w:rsid w:val="006073FB"/>
    <w:rsid w:val="006074DD"/>
    <w:rsid w:val="0060756D"/>
    <w:rsid w:val="00607639"/>
    <w:rsid w:val="00607657"/>
    <w:rsid w:val="00607B29"/>
    <w:rsid w:val="00607D3C"/>
    <w:rsid w:val="0061021F"/>
    <w:rsid w:val="0061045D"/>
    <w:rsid w:val="006104FC"/>
    <w:rsid w:val="00610947"/>
    <w:rsid w:val="00610A78"/>
    <w:rsid w:val="00611090"/>
    <w:rsid w:val="006112D5"/>
    <w:rsid w:val="006114CB"/>
    <w:rsid w:val="006118B0"/>
    <w:rsid w:val="00611924"/>
    <w:rsid w:val="00611B6B"/>
    <w:rsid w:val="00611F78"/>
    <w:rsid w:val="006120CB"/>
    <w:rsid w:val="0061215B"/>
    <w:rsid w:val="006125D5"/>
    <w:rsid w:val="00612697"/>
    <w:rsid w:val="00612769"/>
    <w:rsid w:val="00612826"/>
    <w:rsid w:val="006128B4"/>
    <w:rsid w:val="00612A5F"/>
    <w:rsid w:val="00612A93"/>
    <w:rsid w:val="00612DC5"/>
    <w:rsid w:val="00612FF8"/>
    <w:rsid w:val="006131B8"/>
    <w:rsid w:val="0061339E"/>
    <w:rsid w:val="00613491"/>
    <w:rsid w:val="00613522"/>
    <w:rsid w:val="00613751"/>
    <w:rsid w:val="006137D7"/>
    <w:rsid w:val="00613B1A"/>
    <w:rsid w:val="00613D40"/>
    <w:rsid w:val="00614115"/>
    <w:rsid w:val="006142B9"/>
    <w:rsid w:val="00614440"/>
    <w:rsid w:val="00614721"/>
    <w:rsid w:val="00614A86"/>
    <w:rsid w:val="00614ECE"/>
    <w:rsid w:val="00614FE9"/>
    <w:rsid w:val="0061503A"/>
    <w:rsid w:val="0061537C"/>
    <w:rsid w:val="0061560A"/>
    <w:rsid w:val="006156A8"/>
    <w:rsid w:val="006158AD"/>
    <w:rsid w:val="00615A8C"/>
    <w:rsid w:val="00615B67"/>
    <w:rsid w:val="00615BA0"/>
    <w:rsid w:val="00615C89"/>
    <w:rsid w:val="00615C98"/>
    <w:rsid w:val="00615EC6"/>
    <w:rsid w:val="00615F73"/>
    <w:rsid w:val="0061623F"/>
    <w:rsid w:val="00616286"/>
    <w:rsid w:val="006168BC"/>
    <w:rsid w:val="00616BAC"/>
    <w:rsid w:val="00616D69"/>
    <w:rsid w:val="00616E6B"/>
    <w:rsid w:val="00616F41"/>
    <w:rsid w:val="00617107"/>
    <w:rsid w:val="00617194"/>
    <w:rsid w:val="00617263"/>
    <w:rsid w:val="0061760C"/>
    <w:rsid w:val="00617BC3"/>
    <w:rsid w:val="00617C76"/>
    <w:rsid w:val="00617D1A"/>
    <w:rsid w:val="00617D3B"/>
    <w:rsid w:val="00617F88"/>
    <w:rsid w:val="00617FF2"/>
    <w:rsid w:val="0062012F"/>
    <w:rsid w:val="00620193"/>
    <w:rsid w:val="006202BE"/>
    <w:rsid w:val="00620382"/>
    <w:rsid w:val="006204ED"/>
    <w:rsid w:val="0062053B"/>
    <w:rsid w:val="0062060A"/>
    <w:rsid w:val="0062086F"/>
    <w:rsid w:val="00620DCC"/>
    <w:rsid w:val="00620EEA"/>
    <w:rsid w:val="00620FAD"/>
    <w:rsid w:val="0062103B"/>
    <w:rsid w:val="0062110B"/>
    <w:rsid w:val="00621292"/>
    <w:rsid w:val="00621428"/>
    <w:rsid w:val="00621459"/>
    <w:rsid w:val="00621586"/>
    <w:rsid w:val="00621750"/>
    <w:rsid w:val="0062187A"/>
    <w:rsid w:val="006218AD"/>
    <w:rsid w:val="00621968"/>
    <w:rsid w:val="00621B7B"/>
    <w:rsid w:val="00621BE6"/>
    <w:rsid w:val="00621C36"/>
    <w:rsid w:val="00621E45"/>
    <w:rsid w:val="00621F5B"/>
    <w:rsid w:val="00622046"/>
    <w:rsid w:val="00622231"/>
    <w:rsid w:val="0062255F"/>
    <w:rsid w:val="00622643"/>
    <w:rsid w:val="006226BE"/>
    <w:rsid w:val="00622B1A"/>
    <w:rsid w:val="00622D11"/>
    <w:rsid w:val="00622D39"/>
    <w:rsid w:val="00623116"/>
    <w:rsid w:val="006232DB"/>
    <w:rsid w:val="00623405"/>
    <w:rsid w:val="0062347A"/>
    <w:rsid w:val="0062373E"/>
    <w:rsid w:val="0062388D"/>
    <w:rsid w:val="006238B0"/>
    <w:rsid w:val="00623A84"/>
    <w:rsid w:val="00623B98"/>
    <w:rsid w:val="00623DBD"/>
    <w:rsid w:val="006240C6"/>
    <w:rsid w:val="006242EA"/>
    <w:rsid w:val="0062467C"/>
    <w:rsid w:val="0062469D"/>
    <w:rsid w:val="00624710"/>
    <w:rsid w:val="006248DE"/>
    <w:rsid w:val="00624938"/>
    <w:rsid w:val="0062499B"/>
    <w:rsid w:val="00624AE0"/>
    <w:rsid w:val="00624BBF"/>
    <w:rsid w:val="00624C13"/>
    <w:rsid w:val="00624C9B"/>
    <w:rsid w:val="00624D6F"/>
    <w:rsid w:val="00624E47"/>
    <w:rsid w:val="00625284"/>
    <w:rsid w:val="00625298"/>
    <w:rsid w:val="00625413"/>
    <w:rsid w:val="00625825"/>
    <w:rsid w:val="00625988"/>
    <w:rsid w:val="00625B41"/>
    <w:rsid w:val="00625CFB"/>
    <w:rsid w:val="00625E32"/>
    <w:rsid w:val="0062616C"/>
    <w:rsid w:val="00626272"/>
    <w:rsid w:val="006262AE"/>
    <w:rsid w:val="0062631A"/>
    <w:rsid w:val="006264DA"/>
    <w:rsid w:val="00626575"/>
    <w:rsid w:val="0062661A"/>
    <w:rsid w:val="006266F2"/>
    <w:rsid w:val="00626ADA"/>
    <w:rsid w:val="00626D32"/>
    <w:rsid w:val="00626D64"/>
    <w:rsid w:val="00626D86"/>
    <w:rsid w:val="00626EF4"/>
    <w:rsid w:val="00626F8A"/>
    <w:rsid w:val="00627414"/>
    <w:rsid w:val="00627571"/>
    <w:rsid w:val="00627CE3"/>
    <w:rsid w:val="00627F4F"/>
    <w:rsid w:val="006301C5"/>
    <w:rsid w:val="00630368"/>
    <w:rsid w:val="00630467"/>
    <w:rsid w:val="006304B8"/>
    <w:rsid w:val="00630556"/>
    <w:rsid w:val="00630650"/>
    <w:rsid w:val="00630906"/>
    <w:rsid w:val="00630908"/>
    <w:rsid w:val="00630982"/>
    <w:rsid w:val="00630C29"/>
    <w:rsid w:val="00630E7D"/>
    <w:rsid w:val="0063124D"/>
    <w:rsid w:val="00631903"/>
    <w:rsid w:val="00631C0D"/>
    <w:rsid w:val="00631D90"/>
    <w:rsid w:val="00631DC7"/>
    <w:rsid w:val="00632017"/>
    <w:rsid w:val="00632110"/>
    <w:rsid w:val="006322AB"/>
    <w:rsid w:val="006323A5"/>
    <w:rsid w:val="00632590"/>
    <w:rsid w:val="00632648"/>
    <w:rsid w:val="0063268A"/>
    <w:rsid w:val="006326CB"/>
    <w:rsid w:val="006326EB"/>
    <w:rsid w:val="00632725"/>
    <w:rsid w:val="006328FC"/>
    <w:rsid w:val="006329F4"/>
    <w:rsid w:val="00632B15"/>
    <w:rsid w:val="00632BF2"/>
    <w:rsid w:val="00632DAB"/>
    <w:rsid w:val="00632DB7"/>
    <w:rsid w:val="006330F7"/>
    <w:rsid w:val="00633158"/>
    <w:rsid w:val="0063352A"/>
    <w:rsid w:val="00633624"/>
    <w:rsid w:val="00633709"/>
    <w:rsid w:val="006337BE"/>
    <w:rsid w:val="00633826"/>
    <w:rsid w:val="006339BE"/>
    <w:rsid w:val="00633A51"/>
    <w:rsid w:val="00633DAB"/>
    <w:rsid w:val="00633E8B"/>
    <w:rsid w:val="00633F20"/>
    <w:rsid w:val="00633F35"/>
    <w:rsid w:val="006342BF"/>
    <w:rsid w:val="00634413"/>
    <w:rsid w:val="006344C0"/>
    <w:rsid w:val="0063460B"/>
    <w:rsid w:val="00634639"/>
    <w:rsid w:val="00634693"/>
    <w:rsid w:val="006346AA"/>
    <w:rsid w:val="006346CE"/>
    <w:rsid w:val="00634782"/>
    <w:rsid w:val="00634A57"/>
    <w:rsid w:val="00634DCB"/>
    <w:rsid w:val="00634EE6"/>
    <w:rsid w:val="006357FA"/>
    <w:rsid w:val="00635B53"/>
    <w:rsid w:val="00635B6D"/>
    <w:rsid w:val="00635B81"/>
    <w:rsid w:val="00635BE0"/>
    <w:rsid w:val="00635BF5"/>
    <w:rsid w:val="00635CA2"/>
    <w:rsid w:val="00635E0E"/>
    <w:rsid w:val="00635E51"/>
    <w:rsid w:val="00635FE9"/>
    <w:rsid w:val="006361B9"/>
    <w:rsid w:val="006362CE"/>
    <w:rsid w:val="006368AB"/>
    <w:rsid w:val="00636953"/>
    <w:rsid w:val="00636955"/>
    <w:rsid w:val="00636960"/>
    <w:rsid w:val="006369BE"/>
    <w:rsid w:val="00636A4A"/>
    <w:rsid w:val="00636AD9"/>
    <w:rsid w:val="006370AE"/>
    <w:rsid w:val="00637291"/>
    <w:rsid w:val="006374D8"/>
    <w:rsid w:val="0063751F"/>
    <w:rsid w:val="00637777"/>
    <w:rsid w:val="006378E8"/>
    <w:rsid w:val="00637974"/>
    <w:rsid w:val="00637A6B"/>
    <w:rsid w:val="00637AC1"/>
    <w:rsid w:val="00637AF9"/>
    <w:rsid w:val="00637EA7"/>
    <w:rsid w:val="006400D2"/>
    <w:rsid w:val="0064028A"/>
    <w:rsid w:val="0064029E"/>
    <w:rsid w:val="00640334"/>
    <w:rsid w:val="00640419"/>
    <w:rsid w:val="00640567"/>
    <w:rsid w:val="00640607"/>
    <w:rsid w:val="00640A06"/>
    <w:rsid w:val="00640B86"/>
    <w:rsid w:val="00640C6B"/>
    <w:rsid w:val="0064105B"/>
    <w:rsid w:val="006410A2"/>
    <w:rsid w:val="00641160"/>
    <w:rsid w:val="00641195"/>
    <w:rsid w:val="006415AD"/>
    <w:rsid w:val="0064182E"/>
    <w:rsid w:val="00641B4E"/>
    <w:rsid w:val="00641B6D"/>
    <w:rsid w:val="00641C64"/>
    <w:rsid w:val="00641D19"/>
    <w:rsid w:val="00641D30"/>
    <w:rsid w:val="00641F89"/>
    <w:rsid w:val="006425DB"/>
    <w:rsid w:val="00642C9A"/>
    <w:rsid w:val="00642CC6"/>
    <w:rsid w:val="00643219"/>
    <w:rsid w:val="0064352B"/>
    <w:rsid w:val="00643762"/>
    <w:rsid w:val="006437BA"/>
    <w:rsid w:val="00643A12"/>
    <w:rsid w:val="00643C1B"/>
    <w:rsid w:val="00643C1C"/>
    <w:rsid w:val="00643C3B"/>
    <w:rsid w:val="00643D77"/>
    <w:rsid w:val="00643D89"/>
    <w:rsid w:val="00643DF1"/>
    <w:rsid w:val="00643EE1"/>
    <w:rsid w:val="00643F1B"/>
    <w:rsid w:val="00643FA4"/>
    <w:rsid w:val="006441CC"/>
    <w:rsid w:val="0064428E"/>
    <w:rsid w:val="0064449A"/>
    <w:rsid w:val="00644802"/>
    <w:rsid w:val="0064496C"/>
    <w:rsid w:val="00644977"/>
    <w:rsid w:val="00644DB8"/>
    <w:rsid w:val="00644E5A"/>
    <w:rsid w:val="0064501F"/>
    <w:rsid w:val="00645093"/>
    <w:rsid w:val="00645221"/>
    <w:rsid w:val="006453FA"/>
    <w:rsid w:val="00645960"/>
    <w:rsid w:val="00645CE2"/>
    <w:rsid w:val="00645DEE"/>
    <w:rsid w:val="006460FD"/>
    <w:rsid w:val="006461E9"/>
    <w:rsid w:val="00646338"/>
    <w:rsid w:val="006466B6"/>
    <w:rsid w:val="00646946"/>
    <w:rsid w:val="0064694F"/>
    <w:rsid w:val="00646A15"/>
    <w:rsid w:val="00646B00"/>
    <w:rsid w:val="00646DEB"/>
    <w:rsid w:val="00646E06"/>
    <w:rsid w:val="00647258"/>
    <w:rsid w:val="00647289"/>
    <w:rsid w:val="006472E6"/>
    <w:rsid w:val="006475C1"/>
    <w:rsid w:val="00647633"/>
    <w:rsid w:val="00647720"/>
    <w:rsid w:val="0064774F"/>
    <w:rsid w:val="00647851"/>
    <w:rsid w:val="00647896"/>
    <w:rsid w:val="00647988"/>
    <w:rsid w:val="00647A0C"/>
    <w:rsid w:val="00647C81"/>
    <w:rsid w:val="0064BEE4"/>
    <w:rsid w:val="0064E08B"/>
    <w:rsid w:val="006501AB"/>
    <w:rsid w:val="00650317"/>
    <w:rsid w:val="00650406"/>
    <w:rsid w:val="006506E7"/>
    <w:rsid w:val="006506FF"/>
    <w:rsid w:val="0065086E"/>
    <w:rsid w:val="00650883"/>
    <w:rsid w:val="00650A00"/>
    <w:rsid w:val="00650BC5"/>
    <w:rsid w:val="00650E86"/>
    <w:rsid w:val="00650F05"/>
    <w:rsid w:val="00651087"/>
    <w:rsid w:val="00651586"/>
    <w:rsid w:val="00651B22"/>
    <w:rsid w:val="00651BA8"/>
    <w:rsid w:val="00651C27"/>
    <w:rsid w:val="00651CF8"/>
    <w:rsid w:val="00651E08"/>
    <w:rsid w:val="00651EB7"/>
    <w:rsid w:val="00651FC4"/>
    <w:rsid w:val="00652390"/>
    <w:rsid w:val="00652582"/>
    <w:rsid w:val="0065258C"/>
    <w:rsid w:val="00652763"/>
    <w:rsid w:val="0065279B"/>
    <w:rsid w:val="00652814"/>
    <w:rsid w:val="00652958"/>
    <w:rsid w:val="00652CBD"/>
    <w:rsid w:val="00652EDF"/>
    <w:rsid w:val="00652F1D"/>
    <w:rsid w:val="00652F48"/>
    <w:rsid w:val="006531BC"/>
    <w:rsid w:val="00653317"/>
    <w:rsid w:val="00653393"/>
    <w:rsid w:val="00653451"/>
    <w:rsid w:val="00653585"/>
    <w:rsid w:val="00653713"/>
    <w:rsid w:val="00653A1E"/>
    <w:rsid w:val="00653B4D"/>
    <w:rsid w:val="00653B9F"/>
    <w:rsid w:val="00653C08"/>
    <w:rsid w:val="00653D61"/>
    <w:rsid w:val="00653D7C"/>
    <w:rsid w:val="006542B5"/>
    <w:rsid w:val="006544F9"/>
    <w:rsid w:val="0065460F"/>
    <w:rsid w:val="00654ED8"/>
    <w:rsid w:val="00654EF2"/>
    <w:rsid w:val="00654FEA"/>
    <w:rsid w:val="00655152"/>
    <w:rsid w:val="0065527E"/>
    <w:rsid w:val="006555A5"/>
    <w:rsid w:val="006555AA"/>
    <w:rsid w:val="00655D5B"/>
    <w:rsid w:val="00655D8D"/>
    <w:rsid w:val="00655D91"/>
    <w:rsid w:val="00655EA3"/>
    <w:rsid w:val="00655FAF"/>
    <w:rsid w:val="00656326"/>
    <w:rsid w:val="00656334"/>
    <w:rsid w:val="006563B8"/>
    <w:rsid w:val="006566A3"/>
    <w:rsid w:val="00656821"/>
    <w:rsid w:val="00656975"/>
    <w:rsid w:val="00656C5A"/>
    <w:rsid w:val="00656C8D"/>
    <w:rsid w:val="00657128"/>
    <w:rsid w:val="006573E9"/>
    <w:rsid w:val="0065753C"/>
    <w:rsid w:val="00657628"/>
    <w:rsid w:val="00657634"/>
    <w:rsid w:val="006577C0"/>
    <w:rsid w:val="00657815"/>
    <w:rsid w:val="00657A72"/>
    <w:rsid w:val="00657B4A"/>
    <w:rsid w:val="00657BD3"/>
    <w:rsid w:val="00657C12"/>
    <w:rsid w:val="00657E80"/>
    <w:rsid w:val="0066006E"/>
    <w:rsid w:val="00660423"/>
    <w:rsid w:val="0066065C"/>
    <w:rsid w:val="0066068D"/>
    <w:rsid w:val="0066074A"/>
    <w:rsid w:val="00660BAC"/>
    <w:rsid w:val="00660CBD"/>
    <w:rsid w:val="00660D41"/>
    <w:rsid w:val="0066116F"/>
    <w:rsid w:val="00661271"/>
    <w:rsid w:val="00661CD3"/>
    <w:rsid w:val="00661D88"/>
    <w:rsid w:val="00662048"/>
    <w:rsid w:val="006620E5"/>
    <w:rsid w:val="0066222C"/>
    <w:rsid w:val="0066232E"/>
    <w:rsid w:val="006623CA"/>
    <w:rsid w:val="006626CC"/>
    <w:rsid w:val="0066270C"/>
    <w:rsid w:val="0066288E"/>
    <w:rsid w:val="006629CF"/>
    <w:rsid w:val="00662DFC"/>
    <w:rsid w:val="00662EB1"/>
    <w:rsid w:val="0066312C"/>
    <w:rsid w:val="006631B5"/>
    <w:rsid w:val="006633E8"/>
    <w:rsid w:val="00663460"/>
    <w:rsid w:val="006638AF"/>
    <w:rsid w:val="006639AF"/>
    <w:rsid w:val="006639C3"/>
    <w:rsid w:val="00663AB6"/>
    <w:rsid w:val="00663BCB"/>
    <w:rsid w:val="00663BEB"/>
    <w:rsid w:val="00663C2A"/>
    <w:rsid w:val="00663F6D"/>
    <w:rsid w:val="00664024"/>
    <w:rsid w:val="0066405E"/>
    <w:rsid w:val="006640AA"/>
    <w:rsid w:val="006645CD"/>
    <w:rsid w:val="00664718"/>
    <w:rsid w:val="00664987"/>
    <w:rsid w:val="006649E4"/>
    <w:rsid w:val="00664B64"/>
    <w:rsid w:val="00664EA0"/>
    <w:rsid w:val="00664F06"/>
    <w:rsid w:val="006650D8"/>
    <w:rsid w:val="00665136"/>
    <w:rsid w:val="00665196"/>
    <w:rsid w:val="006652C8"/>
    <w:rsid w:val="006654B2"/>
    <w:rsid w:val="00665514"/>
    <w:rsid w:val="00665610"/>
    <w:rsid w:val="00665BC3"/>
    <w:rsid w:val="00665F58"/>
    <w:rsid w:val="00666071"/>
    <w:rsid w:val="0066614E"/>
    <w:rsid w:val="0066627B"/>
    <w:rsid w:val="006664C9"/>
    <w:rsid w:val="00666670"/>
    <w:rsid w:val="00666790"/>
    <w:rsid w:val="006667F0"/>
    <w:rsid w:val="00666926"/>
    <w:rsid w:val="00666A2D"/>
    <w:rsid w:val="00666BE7"/>
    <w:rsid w:val="00666E06"/>
    <w:rsid w:val="00666EFE"/>
    <w:rsid w:val="00666F43"/>
    <w:rsid w:val="0066787A"/>
    <w:rsid w:val="006678E4"/>
    <w:rsid w:val="006678F4"/>
    <w:rsid w:val="00667A70"/>
    <w:rsid w:val="00667A9C"/>
    <w:rsid w:val="00667AD8"/>
    <w:rsid w:val="00667CC6"/>
    <w:rsid w:val="006701BC"/>
    <w:rsid w:val="006703E2"/>
    <w:rsid w:val="0067065F"/>
    <w:rsid w:val="00670C89"/>
    <w:rsid w:val="00670D87"/>
    <w:rsid w:val="00670F59"/>
    <w:rsid w:val="00671043"/>
    <w:rsid w:val="006712A7"/>
    <w:rsid w:val="0067145E"/>
    <w:rsid w:val="006715D2"/>
    <w:rsid w:val="006715F8"/>
    <w:rsid w:val="00671626"/>
    <w:rsid w:val="0067175E"/>
    <w:rsid w:val="00671943"/>
    <w:rsid w:val="00671AE2"/>
    <w:rsid w:val="00671BD0"/>
    <w:rsid w:val="00671D50"/>
    <w:rsid w:val="00671F49"/>
    <w:rsid w:val="00671FE6"/>
    <w:rsid w:val="006720C4"/>
    <w:rsid w:val="00672224"/>
    <w:rsid w:val="006723A7"/>
    <w:rsid w:val="006725C5"/>
    <w:rsid w:val="00672630"/>
    <w:rsid w:val="00672EBC"/>
    <w:rsid w:val="006730B4"/>
    <w:rsid w:val="006730CC"/>
    <w:rsid w:val="00673242"/>
    <w:rsid w:val="00673256"/>
    <w:rsid w:val="006732C2"/>
    <w:rsid w:val="0067354E"/>
    <w:rsid w:val="00673B19"/>
    <w:rsid w:val="00673B3C"/>
    <w:rsid w:val="00673BB2"/>
    <w:rsid w:val="00674143"/>
    <w:rsid w:val="006747D8"/>
    <w:rsid w:val="00674865"/>
    <w:rsid w:val="00674CBA"/>
    <w:rsid w:val="00674CCB"/>
    <w:rsid w:val="00674DB7"/>
    <w:rsid w:val="00674ECA"/>
    <w:rsid w:val="00674EEC"/>
    <w:rsid w:val="00674F07"/>
    <w:rsid w:val="00674F57"/>
    <w:rsid w:val="006750C1"/>
    <w:rsid w:val="0067519B"/>
    <w:rsid w:val="006751D7"/>
    <w:rsid w:val="00675682"/>
    <w:rsid w:val="0067581D"/>
    <w:rsid w:val="00675839"/>
    <w:rsid w:val="00675892"/>
    <w:rsid w:val="006759A8"/>
    <w:rsid w:val="006759D5"/>
    <w:rsid w:val="00675BE5"/>
    <w:rsid w:val="00675C80"/>
    <w:rsid w:val="00675CFC"/>
    <w:rsid w:val="00675D1A"/>
    <w:rsid w:val="00675E6B"/>
    <w:rsid w:val="00675F76"/>
    <w:rsid w:val="006761E4"/>
    <w:rsid w:val="006761F6"/>
    <w:rsid w:val="006762B2"/>
    <w:rsid w:val="006766C5"/>
    <w:rsid w:val="006767E3"/>
    <w:rsid w:val="00676865"/>
    <w:rsid w:val="00676FE8"/>
    <w:rsid w:val="00677001"/>
    <w:rsid w:val="0067700A"/>
    <w:rsid w:val="00677091"/>
    <w:rsid w:val="006771DA"/>
    <w:rsid w:val="00677216"/>
    <w:rsid w:val="0067725D"/>
    <w:rsid w:val="0067738F"/>
    <w:rsid w:val="00677513"/>
    <w:rsid w:val="0067756F"/>
    <w:rsid w:val="006776A2"/>
    <w:rsid w:val="006776D8"/>
    <w:rsid w:val="006777A8"/>
    <w:rsid w:val="006778A9"/>
    <w:rsid w:val="0067790D"/>
    <w:rsid w:val="00677998"/>
    <w:rsid w:val="00677BFD"/>
    <w:rsid w:val="00677C61"/>
    <w:rsid w:val="00677CB5"/>
    <w:rsid w:val="00677F27"/>
    <w:rsid w:val="00677F36"/>
    <w:rsid w:val="00677FBE"/>
    <w:rsid w:val="0068045C"/>
    <w:rsid w:val="006805D4"/>
    <w:rsid w:val="00680631"/>
    <w:rsid w:val="0068065B"/>
    <w:rsid w:val="006808FF"/>
    <w:rsid w:val="0068099D"/>
    <w:rsid w:val="00680B47"/>
    <w:rsid w:val="00680D27"/>
    <w:rsid w:val="00680DA7"/>
    <w:rsid w:val="00680E2C"/>
    <w:rsid w:val="00680F1B"/>
    <w:rsid w:val="00681146"/>
    <w:rsid w:val="0068131D"/>
    <w:rsid w:val="006814C6"/>
    <w:rsid w:val="0068153B"/>
    <w:rsid w:val="006815E6"/>
    <w:rsid w:val="006815FE"/>
    <w:rsid w:val="0068161E"/>
    <w:rsid w:val="0068172A"/>
    <w:rsid w:val="00681763"/>
    <w:rsid w:val="00681815"/>
    <w:rsid w:val="0068194B"/>
    <w:rsid w:val="006819FD"/>
    <w:rsid w:val="00681A71"/>
    <w:rsid w:val="00681CFF"/>
    <w:rsid w:val="00681D98"/>
    <w:rsid w:val="00681E25"/>
    <w:rsid w:val="00682288"/>
    <w:rsid w:val="00682416"/>
    <w:rsid w:val="0068241B"/>
    <w:rsid w:val="0068242C"/>
    <w:rsid w:val="006828E0"/>
    <w:rsid w:val="00682C74"/>
    <w:rsid w:val="00682E4E"/>
    <w:rsid w:val="00683163"/>
    <w:rsid w:val="00683227"/>
    <w:rsid w:val="006836C2"/>
    <w:rsid w:val="0068376D"/>
    <w:rsid w:val="00683BBA"/>
    <w:rsid w:val="00683C40"/>
    <w:rsid w:val="00683C4D"/>
    <w:rsid w:val="00683F12"/>
    <w:rsid w:val="00683F69"/>
    <w:rsid w:val="0068406B"/>
    <w:rsid w:val="006842F5"/>
    <w:rsid w:val="006843E1"/>
    <w:rsid w:val="006846D3"/>
    <w:rsid w:val="00684779"/>
    <w:rsid w:val="0068486C"/>
    <w:rsid w:val="00684D4C"/>
    <w:rsid w:val="00684E27"/>
    <w:rsid w:val="0068503F"/>
    <w:rsid w:val="0068528D"/>
    <w:rsid w:val="0068531E"/>
    <w:rsid w:val="006854D9"/>
    <w:rsid w:val="006855A3"/>
    <w:rsid w:val="00685738"/>
    <w:rsid w:val="006858D6"/>
    <w:rsid w:val="00685ACA"/>
    <w:rsid w:val="0068602D"/>
    <w:rsid w:val="0068619B"/>
    <w:rsid w:val="006861A4"/>
    <w:rsid w:val="0068656E"/>
    <w:rsid w:val="006867E6"/>
    <w:rsid w:val="00686817"/>
    <w:rsid w:val="00686867"/>
    <w:rsid w:val="00686917"/>
    <w:rsid w:val="00686998"/>
    <w:rsid w:val="006869EC"/>
    <w:rsid w:val="00686B07"/>
    <w:rsid w:val="00686C33"/>
    <w:rsid w:val="00686D71"/>
    <w:rsid w:val="00686F58"/>
    <w:rsid w:val="0068729E"/>
    <w:rsid w:val="00687611"/>
    <w:rsid w:val="0068765D"/>
    <w:rsid w:val="00687A51"/>
    <w:rsid w:val="00687AC3"/>
    <w:rsid w:val="00687B68"/>
    <w:rsid w:val="00687B7D"/>
    <w:rsid w:val="00687CDD"/>
    <w:rsid w:val="00687E4D"/>
    <w:rsid w:val="00690030"/>
    <w:rsid w:val="006900B6"/>
    <w:rsid w:val="006902FB"/>
    <w:rsid w:val="0069045D"/>
    <w:rsid w:val="0069047B"/>
    <w:rsid w:val="006904A0"/>
    <w:rsid w:val="006904E6"/>
    <w:rsid w:val="0069060E"/>
    <w:rsid w:val="00690700"/>
    <w:rsid w:val="006909BC"/>
    <w:rsid w:val="00690BD3"/>
    <w:rsid w:val="00690C7B"/>
    <w:rsid w:val="00690D97"/>
    <w:rsid w:val="00690E7A"/>
    <w:rsid w:val="00690EF5"/>
    <w:rsid w:val="00690F49"/>
    <w:rsid w:val="00690FBF"/>
    <w:rsid w:val="0069140E"/>
    <w:rsid w:val="006914E6"/>
    <w:rsid w:val="006915BC"/>
    <w:rsid w:val="00691785"/>
    <w:rsid w:val="00691C3E"/>
    <w:rsid w:val="00691F65"/>
    <w:rsid w:val="006920AA"/>
    <w:rsid w:val="006920FB"/>
    <w:rsid w:val="006921FA"/>
    <w:rsid w:val="006927A6"/>
    <w:rsid w:val="006927AC"/>
    <w:rsid w:val="006928F2"/>
    <w:rsid w:val="00692945"/>
    <w:rsid w:val="00692A9C"/>
    <w:rsid w:val="00692B90"/>
    <w:rsid w:val="00692BF0"/>
    <w:rsid w:val="00692D91"/>
    <w:rsid w:val="00692F79"/>
    <w:rsid w:val="00692FAA"/>
    <w:rsid w:val="006931BA"/>
    <w:rsid w:val="00693242"/>
    <w:rsid w:val="006937BE"/>
    <w:rsid w:val="00693A74"/>
    <w:rsid w:val="00693CC3"/>
    <w:rsid w:val="00693DE1"/>
    <w:rsid w:val="0069418F"/>
    <w:rsid w:val="00694266"/>
    <w:rsid w:val="006942D2"/>
    <w:rsid w:val="0069435F"/>
    <w:rsid w:val="006944CA"/>
    <w:rsid w:val="00694550"/>
    <w:rsid w:val="006948D6"/>
    <w:rsid w:val="00694A4B"/>
    <w:rsid w:val="006950F3"/>
    <w:rsid w:val="006951D3"/>
    <w:rsid w:val="006952A8"/>
    <w:rsid w:val="00695459"/>
    <w:rsid w:val="0069547B"/>
    <w:rsid w:val="00695575"/>
    <w:rsid w:val="006956E8"/>
    <w:rsid w:val="00695845"/>
    <w:rsid w:val="006958DC"/>
    <w:rsid w:val="00695980"/>
    <w:rsid w:val="00695C77"/>
    <w:rsid w:val="00695D08"/>
    <w:rsid w:val="00695D68"/>
    <w:rsid w:val="00695FFB"/>
    <w:rsid w:val="0069621A"/>
    <w:rsid w:val="006962D6"/>
    <w:rsid w:val="00696480"/>
    <w:rsid w:val="00696689"/>
    <w:rsid w:val="00696AD8"/>
    <w:rsid w:val="00696F38"/>
    <w:rsid w:val="00697125"/>
    <w:rsid w:val="006972C8"/>
    <w:rsid w:val="006974FC"/>
    <w:rsid w:val="0069755A"/>
    <w:rsid w:val="006975D4"/>
    <w:rsid w:val="00697603"/>
    <w:rsid w:val="00697622"/>
    <w:rsid w:val="006976BE"/>
    <w:rsid w:val="006976F0"/>
    <w:rsid w:val="00697726"/>
    <w:rsid w:val="0069779D"/>
    <w:rsid w:val="0069793C"/>
    <w:rsid w:val="006979EF"/>
    <w:rsid w:val="006979FA"/>
    <w:rsid w:val="00697BD1"/>
    <w:rsid w:val="00697D7A"/>
    <w:rsid w:val="00697DFF"/>
    <w:rsid w:val="00697F78"/>
    <w:rsid w:val="006A0426"/>
    <w:rsid w:val="006A068A"/>
    <w:rsid w:val="006A06DE"/>
    <w:rsid w:val="006A070E"/>
    <w:rsid w:val="006A099F"/>
    <w:rsid w:val="006A0A4D"/>
    <w:rsid w:val="006A0AFD"/>
    <w:rsid w:val="006A0B79"/>
    <w:rsid w:val="006A0CDD"/>
    <w:rsid w:val="006A0D33"/>
    <w:rsid w:val="006A0DB9"/>
    <w:rsid w:val="006A1039"/>
    <w:rsid w:val="006A1A46"/>
    <w:rsid w:val="006A1AD9"/>
    <w:rsid w:val="006A1B2F"/>
    <w:rsid w:val="006A1EF6"/>
    <w:rsid w:val="006A1F71"/>
    <w:rsid w:val="006A1FA1"/>
    <w:rsid w:val="006A2013"/>
    <w:rsid w:val="006A20D0"/>
    <w:rsid w:val="006A21A9"/>
    <w:rsid w:val="006A22CC"/>
    <w:rsid w:val="006A262A"/>
    <w:rsid w:val="006A2644"/>
    <w:rsid w:val="006A268C"/>
    <w:rsid w:val="006A2889"/>
    <w:rsid w:val="006A2B75"/>
    <w:rsid w:val="006A2B93"/>
    <w:rsid w:val="006A2CA3"/>
    <w:rsid w:val="006A3103"/>
    <w:rsid w:val="006A3480"/>
    <w:rsid w:val="006A35E9"/>
    <w:rsid w:val="006A361C"/>
    <w:rsid w:val="006A3A0E"/>
    <w:rsid w:val="006A3BB1"/>
    <w:rsid w:val="006A3C49"/>
    <w:rsid w:val="006A3E3E"/>
    <w:rsid w:val="006A3F0A"/>
    <w:rsid w:val="006A41AF"/>
    <w:rsid w:val="006A4325"/>
    <w:rsid w:val="006A4558"/>
    <w:rsid w:val="006A45C3"/>
    <w:rsid w:val="006A4658"/>
    <w:rsid w:val="006A4760"/>
    <w:rsid w:val="006A4780"/>
    <w:rsid w:val="006A48E6"/>
    <w:rsid w:val="006A4999"/>
    <w:rsid w:val="006A49CE"/>
    <w:rsid w:val="006A4A63"/>
    <w:rsid w:val="006A4AA9"/>
    <w:rsid w:val="006A4DC6"/>
    <w:rsid w:val="006A4F36"/>
    <w:rsid w:val="006A4F44"/>
    <w:rsid w:val="006A5140"/>
    <w:rsid w:val="006A514A"/>
    <w:rsid w:val="006A514B"/>
    <w:rsid w:val="006A5153"/>
    <w:rsid w:val="006A5387"/>
    <w:rsid w:val="006A567A"/>
    <w:rsid w:val="006A5932"/>
    <w:rsid w:val="006A5BE2"/>
    <w:rsid w:val="006A5D16"/>
    <w:rsid w:val="006A5E4B"/>
    <w:rsid w:val="006A5EA8"/>
    <w:rsid w:val="006A60C1"/>
    <w:rsid w:val="006A6414"/>
    <w:rsid w:val="006A644F"/>
    <w:rsid w:val="006A6671"/>
    <w:rsid w:val="006A66A7"/>
    <w:rsid w:val="006A66EC"/>
    <w:rsid w:val="006A68FF"/>
    <w:rsid w:val="006A6A01"/>
    <w:rsid w:val="006A6B0F"/>
    <w:rsid w:val="006A6B5C"/>
    <w:rsid w:val="006A6BB4"/>
    <w:rsid w:val="006A6C83"/>
    <w:rsid w:val="006A6CE9"/>
    <w:rsid w:val="006A6E05"/>
    <w:rsid w:val="006A6E9F"/>
    <w:rsid w:val="006A6ED2"/>
    <w:rsid w:val="006A703C"/>
    <w:rsid w:val="006A704F"/>
    <w:rsid w:val="006A7126"/>
    <w:rsid w:val="006A72B9"/>
    <w:rsid w:val="006A7464"/>
    <w:rsid w:val="006A776F"/>
    <w:rsid w:val="006A77B6"/>
    <w:rsid w:val="006A77ED"/>
    <w:rsid w:val="006A78F4"/>
    <w:rsid w:val="006A7AE4"/>
    <w:rsid w:val="006A7E40"/>
    <w:rsid w:val="006A7FB9"/>
    <w:rsid w:val="006B0006"/>
    <w:rsid w:val="006B01ED"/>
    <w:rsid w:val="006B03A1"/>
    <w:rsid w:val="006B08A1"/>
    <w:rsid w:val="006B09BA"/>
    <w:rsid w:val="006B0C2A"/>
    <w:rsid w:val="006B0D1F"/>
    <w:rsid w:val="006B17AD"/>
    <w:rsid w:val="006B17DD"/>
    <w:rsid w:val="006B1AE9"/>
    <w:rsid w:val="006B1BEA"/>
    <w:rsid w:val="006B1C22"/>
    <w:rsid w:val="006B1F7E"/>
    <w:rsid w:val="006B2709"/>
    <w:rsid w:val="006B283C"/>
    <w:rsid w:val="006B2A5C"/>
    <w:rsid w:val="006B2A9D"/>
    <w:rsid w:val="006B2AD6"/>
    <w:rsid w:val="006B2CB5"/>
    <w:rsid w:val="006B2E00"/>
    <w:rsid w:val="006B2E2A"/>
    <w:rsid w:val="006B3104"/>
    <w:rsid w:val="006B32D4"/>
    <w:rsid w:val="006B3317"/>
    <w:rsid w:val="006B35BB"/>
    <w:rsid w:val="006B36CC"/>
    <w:rsid w:val="006B3799"/>
    <w:rsid w:val="006B3B77"/>
    <w:rsid w:val="006B3C5F"/>
    <w:rsid w:val="006B3D53"/>
    <w:rsid w:val="006B3E18"/>
    <w:rsid w:val="006B3F7F"/>
    <w:rsid w:val="006B42A1"/>
    <w:rsid w:val="006B4441"/>
    <w:rsid w:val="006B44AF"/>
    <w:rsid w:val="006B45C3"/>
    <w:rsid w:val="006B4621"/>
    <w:rsid w:val="006B46B7"/>
    <w:rsid w:val="006B4926"/>
    <w:rsid w:val="006B4944"/>
    <w:rsid w:val="006B4A58"/>
    <w:rsid w:val="006B4A72"/>
    <w:rsid w:val="006B4E40"/>
    <w:rsid w:val="006B5060"/>
    <w:rsid w:val="006B5122"/>
    <w:rsid w:val="006B51C5"/>
    <w:rsid w:val="006B51DD"/>
    <w:rsid w:val="006B54B9"/>
    <w:rsid w:val="006B568F"/>
    <w:rsid w:val="006B5956"/>
    <w:rsid w:val="006B5E0A"/>
    <w:rsid w:val="006B5F9F"/>
    <w:rsid w:val="006B64C9"/>
    <w:rsid w:val="006B662A"/>
    <w:rsid w:val="006B666E"/>
    <w:rsid w:val="006B6B0E"/>
    <w:rsid w:val="006B6CDA"/>
    <w:rsid w:val="006B6D1E"/>
    <w:rsid w:val="006B71A2"/>
    <w:rsid w:val="006B71A7"/>
    <w:rsid w:val="006B71D0"/>
    <w:rsid w:val="006B7378"/>
    <w:rsid w:val="006B74CD"/>
    <w:rsid w:val="006B75A4"/>
    <w:rsid w:val="006B76F5"/>
    <w:rsid w:val="006B76FD"/>
    <w:rsid w:val="006B7C04"/>
    <w:rsid w:val="006B7DDB"/>
    <w:rsid w:val="006B7E9F"/>
    <w:rsid w:val="006C0032"/>
    <w:rsid w:val="006C00BE"/>
    <w:rsid w:val="006C0391"/>
    <w:rsid w:val="006C0459"/>
    <w:rsid w:val="006C075C"/>
    <w:rsid w:val="006C0923"/>
    <w:rsid w:val="006C0C0E"/>
    <w:rsid w:val="006C0D1F"/>
    <w:rsid w:val="006C0FAD"/>
    <w:rsid w:val="006C186C"/>
    <w:rsid w:val="006C19E2"/>
    <w:rsid w:val="006C1B1D"/>
    <w:rsid w:val="006C1B77"/>
    <w:rsid w:val="006C1B78"/>
    <w:rsid w:val="006C1C1C"/>
    <w:rsid w:val="006C1CA3"/>
    <w:rsid w:val="006C1D7A"/>
    <w:rsid w:val="006C1DC5"/>
    <w:rsid w:val="006C1E72"/>
    <w:rsid w:val="006C2038"/>
    <w:rsid w:val="006C21CE"/>
    <w:rsid w:val="006C2314"/>
    <w:rsid w:val="006C23D1"/>
    <w:rsid w:val="006C24B9"/>
    <w:rsid w:val="006C2796"/>
    <w:rsid w:val="006C2932"/>
    <w:rsid w:val="006C2A87"/>
    <w:rsid w:val="006C2B86"/>
    <w:rsid w:val="006C2D3E"/>
    <w:rsid w:val="006C2F85"/>
    <w:rsid w:val="006C3087"/>
    <w:rsid w:val="006C324C"/>
    <w:rsid w:val="006C34BF"/>
    <w:rsid w:val="006C3568"/>
    <w:rsid w:val="006C3657"/>
    <w:rsid w:val="006C3A4E"/>
    <w:rsid w:val="006C3B21"/>
    <w:rsid w:val="006C3D40"/>
    <w:rsid w:val="006C3FD9"/>
    <w:rsid w:val="006C3FE7"/>
    <w:rsid w:val="006C407F"/>
    <w:rsid w:val="006C40A6"/>
    <w:rsid w:val="006C4967"/>
    <w:rsid w:val="006C4A41"/>
    <w:rsid w:val="006C4B40"/>
    <w:rsid w:val="006C4D03"/>
    <w:rsid w:val="006C4E4B"/>
    <w:rsid w:val="006C5323"/>
    <w:rsid w:val="006C541C"/>
    <w:rsid w:val="006C55FA"/>
    <w:rsid w:val="006C583F"/>
    <w:rsid w:val="006C5939"/>
    <w:rsid w:val="006C59FF"/>
    <w:rsid w:val="006C5A70"/>
    <w:rsid w:val="006C5C00"/>
    <w:rsid w:val="006C5C9D"/>
    <w:rsid w:val="006C5EC2"/>
    <w:rsid w:val="006C6055"/>
    <w:rsid w:val="006C686D"/>
    <w:rsid w:val="006C68C3"/>
    <w:rsid w:val="006C6BFF"/>
    <w:rsid w:val="006C6D6C"/>
    <w:rsid w:val="006C7312"/>
    <w:rsid w:val="006C7657"/>
    <w:rsid w:val="006C7706"/>
    <w:rsid w:val="006C7780"/>
    <w:rsid w:val="006C7E06"/>
    <w:rsid w:val="006C7EE8"/>
    <w:rsid w:val="006D0363"/>
    <w:rsid w:val="006D04CC"/>
    <w:rsid w:val="006D06D3"/>
    <w:rsid w:val="006D07A5"/>
    <w:rsid w:val="006D07C8"/>
    <w:rsid w:val="006D085B"/>
    <w:rsid w:val="006D0897"/>
    <w:rsid w:val="006D0B48"/>
    <w:rsid w:val="006D0B6E"/>
    <w:rsid w:val="006D0D95"/>
    <w:rsid w:val="006D110B"/>
    <w:rsid w:val="006D1140"/>
    <w:rsid w:val="006D11D9"/>
    <w:rsid w:val="006D13DA"/>
    <w:rsid w:val="006D15F7"/>
    <w:rsid w:val="006D1672"/>
    <w:rsid w:val="006D171E"/>
    <w:rsid w:val="006D17C1"/>
    <w:rsid w:val="006D1A1E"/>
    <w:rsid w:val="006D1AF9"/>
    <w:rsid w:val="006D1B09"/>
    <w:rsid w:val="006D1B24"/>
    <w:rsid w:val="006D1B6E"/>
    <w:rsid w:val="006D1BBA"/>
    <w:rsid w:val="006D1C78"/>
    <w:rsid w:val="006D1F8C"/>
    <w:rsid w:val="006D2029"/>
    <w:rsid w:val="006D22B5"/>
    <w:rsid w:val="006D23AA"/>
    <w:rsid w:val="006D2818"/>
    <w:rsid w:val="006D281B"/>
    <w:rsid w:val="006D2E0C"/>
    <w:rsid w:val="006D2E6A"/>
    <w:rsid w:val="006D2EB4"/>
    <w:rsid w:val="006D2F72"/>
    <w:rsid w:val="006D32F5"/>
    <w:rsid w:val="006D330B"/>
    <w:rsid w:val="006D331B"/>
    <w:rsid w:val="006D3324"/>
    <w:rsid w:val="006D33D5"/>
    <w:rsid w:val="006D34A3"/>
    <w:rsid w:val="006D36FD"/>
    <w:rsid w:val="006D376D"/>
    <w:rsid w:val="006D3815"/>
    <w:rsid w:val="006D393B"/>
    <w:rsid w:val="006D3DD0"/>
    <w:rsid w:val="006D3E10"/>
    <w:rsid w:val="006D3EA9"/>
    <w:rsid w:val="006D4102"/>
    <w:rsid w:val="006D41DD"/>
    <w:rsid w:val="006D4269"/>
    <w:rsid w:val="006D42EF"/>
    <w:rsid w:val="006D4341"/>
    <w:rsid w:val="006D4418"/>
    <w:rsid w:val="006D44B7"/>
    <w:rsid w:val="006D44C7"/>
    <w:rsid w:val="006D452F"/>
    <w:rsid w:val="006D456D"/>
    <w:rsid w:val="006D469C"/>
    <w:rsid w:val="006D470F"/>
    <w:rsid w:val="006D4710"/>
    <w:rsid w:val="006D4976"/>
    <w:rsid w:val="006D4BD7"/>
    <w:rsid w:val="006D4F68"/>
    <w:rsid w:val="006D4F93"/>
    <w:rsid w:val="006D5149"/>
    <w:rsid w:val="006D572D"/>
    <w:rsid w:val="006D5780"/>
    <w:rsid w:val="006D5848"/>
    <w:rsid w:val="006D5C81"/>
    <w:rsid w:val="006D5CC3"/>
    <w:rsid w:val="006D5E2E"/>
    <w:rsid w:val="006D5F02"/>
    <w:rsid w:val="006D6122"/>
    <w:rsid w:val="006D6370"/>
    <w:rsid w:val="006D645D"/>
    <w:rsid w:val="006D64A8"/>
    <w:rsid w:val="006D64DC"/>
    <w:rsid w:val="006D6559"/>
    <w:rsid w:val="006D670C"/>
    <w:rsid w:val="006D6E4B"/>
    <w:rsid w:val="006D6F36"/>
    <w:rsid w:val="006D6FA7"/>
    <w:rsid w:val="006D717C"/>
    <w:rsid w:val="006D7243"/>
    <w:rsid w:val="006D7338"/>
    <w:rsid w:val="006D74FF"/>
    <w:rsid w:val="006D7946"/>
    <w:rsid w:val="006D7A3A"/>
    <w:rsid w:val="006D7B9C"/>
    <w:rsid w:val="006D7C47"/>
    <w:rsid w:val="006D7EBC"/>
    <w:rsid w:val="006E00FB"/>
    <w:rsid w:val="006E0103"/>
    <w:rsid w:val="006E019B"/>
    <w:rsid w:val="006E01A9"/>
    <w:rsid w:val="006E02E5"/>
    <w:rsid w:val="006E04E2"/>
    <w:rsid w:val="006E05AD"/>
    <w:rsid w:val="006E0666"/>
    <w:rsid w:val="006E0D6C"/>
    <w:rsid w:val="006E0D79"/>
    <w:rsid w:val="006E0FB9"/>
    <w:rsid w:val="006E112E"/>
    <w:rsid w:val="006E12F0"/>
    <w:rsid w:val="006E17A7"/>
    <w:rsid w:val="006E1875"/>
    <w:rsid w:val="006E1911"/>
    <w:rsid w:val="006E1A09"/>
    <w:rsid w:val="006E1AFE"/>
    <w:rsid w:val="006E1B57"/>
    <w:rsid w:val="006E1DCB"/>
    <w:rsid w:val="006E210D"/>
    <w:rsid w:val="006E21EA"/>
    <w:rsid w:val="006E221B"/>
    <w:rsid w:val="006E22C5"/>
    <w:rsid w:val="006E24A1"/>
    <w:rsid w:val="006E24A8"/>
    <w:rsid w:val="006E264A"/>
    <w:rsid w:val="006E2779"/>
    <w:rsid w:val="006E282F"/>
    <w:rsid w:val="006E2A68"/>
    <w:rsid w:val="006E2AC7"/>
    <w:rsid w:val="006E2B22"/>
    <w:rsid w:val="006E2B26"/>
    <w:rsid w:val="006E2E4B"/>
    <w:rsid w:val="006E340A"/>
    <w:rsid w:val="006E36B0"/>
    <w:rsid w:val="006E36D3"/>
    <w:rsid w:val="006E36D8"/>
    <w:rsid w:val="006E36F0"/>
    <w:rsid w:val="006E3732"/>
    <w:rsid w:val="006E3E6D"/>
    <w:rsid w:val="006E414D"/>
    <w:rsid w:val="006E41B1"/>
    <w:rsid w:val="006E41C5"/>
    <w:rsid w:val="006E43E7"/>
    <w:rsid w:val="006E45FA"/>
    <w:rsid w:val="006E4646"/>
    <w:rsid w:val="006E4B88"/>
    <w:rsid w:val="006E4C32"/>
    <w:rsid w:val="006E4F81"/>
    <w:rsid w:val="006E4FE9"/>
    <w:rsid w:val="006E5070"/>
    <w:rsid w:val="006E51B2"/>
    <w:rsid w:val="006E536E"/>
    <w:rsid w:val="006E5416"/>
    <w:rsid w:val="006E54DC"/>
    <w:rsid w:val="006E57A6"/>
    <w:rsid w:val="006E5901"/>
    <w:rsid w:val="006E5A0D"/>
    <w:rsid w:val="006E5B7D"/>
    <w:rsid w:val="006E5BEE"/>
    <w:rsid w:val="006E5DC2"/>
    <w:rsid w:val="006E5EF0"/>
    <w:rsid w:val="006E6045"/>
    <w:rsid w:val="006E6250"/>
    <w:rsid w:val="006E6535"/>
    <w:rsid w:val="006E65F3"/>
    <w:rsid w:val="006E670B"/>
    <w:rsid w:val="006E67B3"/>
    <w:rsid w:val="006E6ADC"/>
    <w:rsid w:val="006E6BC8"/>
    <w:rsid w:val="006E6BD5"/>
    <w:rsid w:val="006E6BEF"/>
    <w:rsid w:val="006E6C27"/>
    <w:rsid w:val="006E6F2F"/>
    <w:rsid w:val="006E738C"/>
    <w:rsid w:val="006E73C8"/>
    <w:rsid w:val="006E750F"/>
    <w:rsid w:val="006E76C6"/>
    <w:rsid w:val="006E76DC"/>
    <w:rsid w:val="006E7ACD"/>
    <w:rsid w:val="006E7B22"/>
    <w:rsid w:val="006E7B36"/>
    <w:rsid w:val="006E7DA6"/>
    <w:rsid w:val="006E7DAC"/>
    <w:rsid w:val="006E7E1E"/>
    <w:rsid w:val="006E7E6E"/>
    <w:rsid w:val="006EF91E"/>
    <w:rsid w:val="006F0076"/>
    <w:rsid w:val="006F0354"/>
    <w:rsid w:val="006F0421"/>
    <w:rsid w:val="006F043A"/>
    <w:rsid w:val="006F0523"/>
    <w:rsid w:val="006F064F"/>
    <w:rsid w:val="006F0A2E"/>
    <w:rsid w:val="006F0C21"/>
    <w:rsid w:val="006F0CCD"/>
    <w:rsid w:val="006F0D81"/>
    <w:rsid w:val="006F0E2D"/>
    <w:rsid w:val="006F14C2"/>
    <w:rsid w:val="006F15D2"/>
    <w:rsid w:val="006F1A0C"/>
    <w:rsid w:val="006F1AB9"/>
    <w:rsid w:val="006F1B50"/>
    <w:rsid w:val="006F1BB1"/>
    <w:rsid w:val="006F1C58"/>
    <w:rsid w:val="006F1D06"/>
    <w:rsid w:val="006F1D31"/>
    <w:rsid w:val="006F1D7E"/>
    <w:rsid w:val="006F1DEE"/>
    <w:rsid w:val="006F20BF"/>
    <w:rsid w:val="006F2151"/>
    <w:rsid w:val="006F2182"/>
    <w:rsid w:val="006F21D7"/>
    <w:rsid w:val="006F2287"/>
    <w:rsid w:val="006F2340"/>
    <w:rsid w:val="006F24A1"/>
    <w:rsid w:val="006F24DD"/>
    <w:rsid w:val="006F254F"/>
    <w:rsid w:val="006F2856"/>
    <w:rsid w:val="006F2AA0"/>
    <w:rsid w:val="006F2B11"/>
    <w:rsid w:val="006F2D4C"/>
    <w:rsid w:val="006F2FFD"/>
    <w:rsid w:val="006F3133"/>
    <w:rsid w:val="006F33E9"/>
    <w:rsid w:val="006F3698"/>
    <w:rsid w:val="006F36EA"/>
    <w:rsid w:val="006F38C8"/>
    <w:rsid w:val="006F394A"/>
    <w:rsid w:val="006F3967"/>
    <w:rsid w:val="006F3A2E"/>
    <w:rsid w:val="006F3F98"/>
    <w:rsid w:val="006F4231"/>
    <w:rsid w:val="006F4249"/>
    <w:rsid w:val="006F44D5"/>
    <w:rsid w:val="006F45B7"/>
    <w:rsid w:val="006F4630"/>
    <w:rsid w:val="006F4909"/>
    <w:rsid w:val="006F4A8C"/>
    <w:rsid w:val="006F4BB0"/>
    <w:rsid w:val="006F4BCA"/>
    <w:rsid w:val="006F5020"/>
    <w:rsid w:val="006F507C"/>
    <w:rsid w:val="006F5398"/>
    <w:rsid w:val="006F539A"/>
    <w:rsid w:val="006F5674"/>
    <w:rsid w:val="006F56CB"/>
    <w:rsid w:val="006F5A66"/>
    <w:rsid w:val="006F5CF5"/>
    <w:rsid w:val="006F6342"/>
    <w:rsid w:val="006F6344"/>
    <w:rsid w:val="006F6378"/>
    <w:rsid w:val="006F64E8"/>
    <w:rsid w:val="006F6569"/>
    <w:rsid w:val="006F658D"/>
    <w:rsid w:val="006F66C3"/>
    <w:rsid w:val="006F66E0"/>
    <w:rsid w:val="006F69CA"/>
    <w:rsid w:val="006F70F7"/>
    <w:rsid w:val="006F7317"/>
    <w:rsid w:val="006F7593"/>
    <w:rsid w:val="006F7824"/>
    <w:rsid w:val="006F7A61"/>
    <w:rsid w:val="006F7C23"/>
    <w:rsid w:val="006F7E71"/>
    <w:rsid w:val="006F7F7B"/>
    <w:rsid w:val="006F7FFB"/>
    <w:rsid w:val="007002D6"/>
    <w:rsid w:val="007002F9"/>
    <w:rsid w:val="0070033C"/>
    <w:rsid w:val="00700545"/>
    <w:rsid w:val="00700580"/>
    <w:rsid w:val="007005C0"/>
    <w:rsid w:val="00700661"/>
    <w:rsid w:val="007008A6"/>
    <w:rsid w:val="00700912"/>
    <w:rsid w:val="00700CED"/>
    <w:rsid w:val="00700D5B"/>
    <w:rsid w:val="00700E5A"/>
    <w:rsid w:val="00700F8F"/>
    <w:rsid w:val="00701348"/>
    <w:rsid w:val="00701445"/>
    <w:rsid w:val="0070145D"/>
    <w:rsid w:val="00701745"/>
    <w:rsid w:val="0070177F"/>
    <w:rsid w:val="00701848"/>
    <w:rsid w:val="00701DAB"/>
    <w:rsid w:val="00701DBC"/>
    <w:rsid w:val="007020FD"/>
    <w:rsid w:val="00702556"/>
    <w:rsid w:val="00702794"/>
    <w:rsid w:val="007029E2"/>
    <w:rsid w:val="00702B4D"/>
    <w:rsid w:val="00702C19"/>
    <w:rsid w:val="00702F8C"/>
    <w:rsid w:val="00703149"/>
    <w:rsid w:val="00703491"/>
    <w:rsid w:val="00703503"/>
    <w:rsid w:val="00703559"/>
    <w:rsid w:val="007035C4"/>
    <w:rsid w:val="0070373A"/>
    <w:rsid w:val="007037A9"/>
    <w:rsid w:val="007038F8"/>
    <w:rsid w:val="00703960"/>
    <w:rsid w:val="00703BE1"/>
    <w:rsid w:val="00703C98"/>
    <w:rsid w:val="007040E6"/>
    <w:rsid w:val="00704204"/>
    <w:rsid w:val="00704376"/>
    <w:rsid w:val="00704465"/>
    <w:rsid w:val="00704535"/>
    <w:rsid w:val="0070459E"/>
    <w:rsid w:val="00704615"/>
    <w:rsid w:val="0070464A"/>
    <w:rsid w:val="00704751"/>
    <w:rsid w:val="00704993"/>
    <w:rsid w:val="00704B85"/>
    <w:rsid w:val="00704DD5"/>
    <w:rsid w:val="00704F14"/>
    <w:rsid w:val="00704FA7"/>
    <w:rsid w:val="00704FB1"/>
    <w:rsid w:val="0070503B"/>
    <w:rsid w:val="007051E2"/>
    <w:rsid w:val="0070546D"/>
    <w:rsid w:val="0070582B"/>
    <w:rsid w:val="007058E1"/>
    <w:rsid w:val="007059A7"/>
    <w:rsid w:val="00705A11"/>
    <w:rsid w:val="00705CE7"/>
    <w:rsid w:val="00705E40"/>
    <w:rsid w:val="00705F18"/>
    <w:rsid w:val="007060FE"/>
    <w:rsid w:val="00706173"/>
    <w:rsid w:val="007062A9"/>
    <w:rsid w:val="007062AB"/>
    <w:rsid w:val="007062EC"/>
    <w:rsid w:val="0070632E"/>
    <w:rsid w:val="0070647C"/>
    <w:rsid w:val="0070654E"/>
    <w:rsid w:val="00706585"/>
    <w:rsid w:val="0070694E"/>
    <w:rsid w:val="00707274"/>
    <w:rsid w:val="00707503"/>
    <w:rsid w:val="00707712"/>
    <w:rsid w:val="0070778C"/>
    <w:rsid w:val="00707A3F"/>
    <w:rsid w:val="00707BE1"/>
    <w:rsid w:val="00707BFD"/>
    <w:rsid w:val="007100AA"/>
    <w:rsid w:val="007100EC"/>
    <w:rsid w:val="007101C0"/>
    <w:rsid w:val="007101C5"/>
    <w:rsid w:val="00710525"/>
    <w:rsid w:val="0071057F"/>
    <w:rsid w:val="00710A9D"/>
    <w:rsid w:val="00710CE7"/>
    <w:rsid w:val="00710EAD"/>
    <w:rsid w:val="00710F76"/>
    <w:rsid w:val="00711085"/>
    <w:rsid w:val="007110E3"/>
    <w:rsid w:val="007115F1"/>
    <w:rsid w:val="0071168E"/>
    <w:rsid w:val="00711920"/>
    <w:rsid w:val="00711921"/>
    <w:rsid w:val="00711976"/>
    <w:rsid w:val="00711E19"/>
    <w:rsid w:val="00711EAA"/>
    <w:rsid w:val="007120AC"/>
    <w:rsid w:val="007120BD"/>
    <w:rsid w:val="007121FD"/>
    <w:rsid w:val="007123D3"/>
    <w:rsid w:val="00712462"/>
    <w:rsid w:val="007124D0"/>
    <w:rsid w:val="00712514"/>
    <w:rsid w:val="00712580"/>
    <w:rsid w:val="0071281F"/>
    <w:rsid w:val="00712825"/>
    <w:rsid w:val="00712929"/>
    <w:rsid w:val="007129B1"/>
    <w:rsid w:val="00712A1B"/>
    <w:rsid w:val="00712ED6"/>
    <w:rsid w:val="00712EF0"/>
    <w:rsid w:val="00712FC7"/>
    <w:rsid w:val="00713035"/>
    <w:rsid w:val="00713108"/>
    <w:rsid w:val="007131B6"/>
    <w:rsid w:val="007132E7"/>
    <w:rsid w:val="007135A9"/>
    <w:rsid w:val="00713716"/>
    <w:rsid w:val="0071380E"/>
    <w:rsid w:val="00713954"/>
    <w:rsid w:val="00713CCA"/>
    <w:rsid w:val="00713E28"/>
    <w:rsid w:val="00713EB2"/>
    <w:rsid w:val="0071413E"/>
    <w:rsid w:val="0071442D"/>
    <w:rsid w:val="0071449D"/>
    <w:rsid w:val="007144C1"/>
    <w:rsid w:val="00714580"/>
    <w:rsid w:val="0071478D"/>
    <w:rsid w:val="00714B29"/>
    <w:rsid w:val="00714CDE"/>
    <w:rsid w:val="00714E23"/>
    <w:rsid w:val="0071501E"/>
    <w:rsid w:val="007150B8"/>
    <w:rsid w:val="00715107"/>
    <w:rsid w:val="00715403"/>
    <w:rsid w:val="007155E0"/>
    <w:rsid w:val="007156CC"/>
    <w:rsid w:val="0071578E"/>
    <w:rsid w:val="0071590A"/>
    <w:rsid w:val="00715A59"/>
    <w:rsid w:val="00715ABF"/>
    <w:rsid w:val="00715C4F"/>
    <w:rsid w:val="00715DCC"/>
    <w:rsid w:val="00715F15"/>
    <w:rsid w:val="00716108"/>
    <w:rsid w:val="0071638D"/>
    <w:rsid w:val="00716624"/>
    <w:rsid w:val="00716CB4"/>
    <w:rsid w:val="00716CF6"/>
    <w:rsid w:val="00716E9E"/>
    <w:rsid w:val="007172F7"/>
    <w:rsid w:val="00717353"/>
    <w:rsid w:val="00717361"/>
    <w:rsid w:val="00717429"/>
    <w:rsid w:val="007175F1"/>
    <w:rsid w:val="00717744"/>
    <w:rsid w:val="007178DF"/>
    <w:rsid w:val="00717AEE"/>
    <w:rsid w:val="00717BB5"/>
    <w:rsid w:val="00717C13"/>
    <w:rsid w:val="00720122"/>
    <w:rsid w:val="007203D6"/>
    <w:rsid w:val="007204B1"/>
    <w:rsid w:val="0072074C"/>
    <w:rsid w:val="00720758"/>
    <w:rsid w:val="007207B5"/>
    <w:rsid w:val="007207BB"/>
    <w:rsid w:val="0072094B"/>
    <w:rsid w:val="00720A1E"/>
    <w:rsid w:val="00720D18"/>
    <w:rsid w:val="00720E60"/>
    <w:rsid w:val="0072130C"/>
    <w:rsid w:val="00721A9D"/>
    <w:rsid w:val="00721C26"/>
    <w:rsid w:val="00721C2D"/>
    <w:rsid w:val="00722158"/>
    <w:rsid w:val="00722272"/>
    <w:rsid w:val="0072228F"/>
    <w:rsid w:val="0072250B"/>
    <w:rsid w:val="00722555"/>
    <w:rsid w:val="00722770"/>
    <w:rsid w:val="007229EC"/>
    <w:rsid w:val="00722A9E"/>
    <w:rsid w:val="00722B92"/>
    <w:rsid w:val="00722D89"/>
    <w:rsid w:val="00722F40"/>
    <w:rsid w:val="00722F6E"/>
    <w:rsid w:val="00723130"/>
    <w:rsid w:val="00723134"/>
    <w:rsid w:val="0072329C"/>
    <w:rsid w:val="007232A1"/>
    <w:rsid w:val="007232CC"/>
    <w:rsid w:val="00723343"/>
    <w:rsid w:val="00723407"/>
    <w:rsid w:val="00723646"/>
    <w:rsid w:val="007238AB"/>
    <w:rsid w:val="007238C4"/>
    <w:rsid w:val="00723EA3"/>
    <w:rsid w:val="00723F86"/>
    <w:rsid w:val="00723FB1"/>
    <w:rsid w:val="007240C2"/>
    <w:rsid w:val="00724317"/>
    <w:rsid w:val="00724383"/>
    <w:rsid w:val="00724443"/>
    <w:rsid w:val="007244DF"/>
    <w:rsid w:val="007245F7"/>
    <w:rsid w:val="00724B2C"/>
    <w:rsid w:val="00724B31"/>
    <w:rsid w:val="00724BFE"/>
    <w:rsid w:val="00724D16"/>
    <w:rsid w:val="00724D33"/>
    <w:rsid w:val="00724EAF"/>
    <w:rsid w:val="00724EB8"/>
    <w:rsid w:val="0072508F"/>
    <w:rsid w:val="0072515B"/>
    <w:rsid w:val="007252E2"/>
    <w:rsid w:val="007252FD"/>
    <w:rsid w:val="0072546B"/>
    <w:rsid w:val="00725501"/>
    <w:rsid w:val="00725793"/>
    <w:rsid w:val="00725A28"/>
    <w:rsid w:val="00725A3D"/>
    <w:rsid w:val="00725BC3"/>
    <w:rsid w:val="00725C2A"/>
    <w:rsid w:val="00725CD5"/>
    <w:rsid w:val="00725F9B"/>
    <w:rsid w:val="0072603A"/>
    <w:rsid w:val="0072619D"/>
    <w:rsid w:val="0072632B"/>
    <w:rsid w:val="00726393"/>
    <w:rsid w:val="00726409"/>
    <w:rsid w:val="007264C3"/>
    <w:rsid w:val="00726546"/>
    <w:rsid w:val="00726711"/>
    <w:rsid w:val="007269CC"/>
    <w:rsid w:val="00726BD8"/>
    <w:rsid w:val="00726C23"/>
    <w:rsid w:val="00726C69"/>
    <w:rsid w:val="00726D9C"/>
    <w:rsid w:val="00726E16"/>
    <w:rsid w:val="00726E44"/>
    <w:rsid w:val="00726F20"/>
    <w:rsid w:val="00727548"/>
    <w:rsid w:val="007275F4"/>
    <w:rsid w:val="00727831"/>
    <w:rsid w:val="00727889"/>
    <w:rsid w:val="00727A15"/>
    <w:rsid w:val="00727AB5"/>
    <w:rsid w:val="00727B52"/>
    <w:rsid w:val="00727B54"/>
    <w:rsid w:val="00727CD8"/>
    <w:rsid w:val="00727D51"/>
    <w:rsid w:val="00727DB7"/>
    <w:rsid w:val="00727E16"/>
    <w:rsid w:val="00730093"/>
    <w:rsid w:val="007302B3"/>
    <w:rsid w:val="00730340"/>
    <w:rsid w:val="007303EE"/>
    <w:rsid w:val="00730429"/>
    <w:rsid w:val="0073049A"/>
    <w:rsid w:val="007305AB"/>
    <w:rsid w:val="0073061A"/>
    <w:rsid w:val="007306BE"/>
    <w:rsid w:val="007306DD"/>
    <w:rsid w:val="00730890"/>
    <w:rsid w:val="007310A6"/>
    <w:rsid w:val="0073129C"/>
    <w:rsid w:val="00731B03"/>
    <w:rsid w:val="00731BC0"/>
    <w:rsid w:val="00731CA5"/>
    <w:rsid w:val="00731E23"/>
    <w:rsid w:val="00731E6A"/>
    <w:rsid w:val="00731EBA"/>
    <w:rsid w:val="00732026"/>
    <w:rsid w:val="007320D1"/>
    <w:rsid w:val="00732119"/>
    <w:rsid w:val="007321B2"/>
    <w:rsid w:val="00732304"/>
    <w:rsid w:val="007324A9"/>
    <w:rsid w:val="00732668"/>
    <w:rsid w:val="00732885"/>
    <w:rsid w:val="00732AE9"/>
    <w:rsid w:val="00732B60"/>
    <w:rsid w:val="00732C0A"/>
    <w:rsid w:val="00732C0D"/>
    <w:rsid w:val="00732CFF"/>
    <w:rsid w:val="00732EE1"/>
    <w:rsid w:val="00733127"/>
    <w:rsid w:val="00733474"/>
    <w:rsid w:val="00733515"/>
    <w:rsid w:val="007335E4"/>
    <w:rsid w:val="00733643"/>
    <w:rsid w:val="007339C0"/>
    <w:rsid w:val="007339C3"/>
    <w:rsid w:val="00733AB7"/>
    <w:rsid w:val="00733E15"/>
    <w:rsid w:val="00734162"/>
    <w:rsid w:val="00734506"/>
    <w:rsid w:val="00734753"/>
    <w:rsid w:val="00734C0F"/>
    <w:rsid w:val="00734FA6"/>
    <w:rsid w:val="00734FC9"/>
    <w:rsid w:val="0073542A"/>
    <w:rsid w:val="007355AE"/>
    <w:rsid w:val="007359EF"/>
    <w:rsid w:val="00735A6C"/>
    <w:rsid w:val="00735B00"/>
    <w:rsid w:val="00735B4D"/>
    <w:rsid w:val="00735C63"/>
    <w:rsid w:val="00735C83"/>
    <w:rsid w:val="007361F5"/>
    <w:rsid w:val="007362A6"/>
    <w:rsid w:val="007363A9"/>
    <w:rsid w:val="007367E6"/>
    <w:rsid w:val="00736841"/>
    <w:rsid w:val="00736AC9"/>
    <w:rsid w:val="00736BC1"/>
    <w:rsid w:val="0073725B"/>
    <w:rsid w:val="007372EC"/>
    <w:rsid w:val="007374EF"/>
    <w:rsid w:val="00737743"/>
    <w:rsid w:val="007377E8"/>
    <w:rsid w:val="0073795A"/>
    <w:rsid w:val="00737967"/>
    <w:rsid w:val="00737B02"/>
    <w:rsid w:val="00737BC2"/>
    <w:rsid w:val="00737C4B"/>
    <w:rsid w:val="00737D9D"/>
    <w:rsid w:val="0074007A"/>
    <w:rsid w:val="00740294"/>
    <w:rsid w:val="0074029F"/>
    <w:rsid w:val="007402EB"/>
    <w:rsid w:val="0074056A"/>
    <w:rsid w:val="007408B3"/>
    <w:rsid w:val="00740940"/>
    <w:rsid w:val="007409D3"/>
    <w:rsid w:val="00740C14"/>
    <w:rsid w:val="007411F0"/>
    <w:rsid w:val="0074128B"/>
    <w:rsid w:val="007412ED"/>
    <w:rsid w:val="007413EA"/>
    <w:rsid w:val="007415B8"/>
    <w:rsid w:val="00741638"/>
    <w:rsid w:val="00741853"/>
    <w:rsid w:val="00741FF9"/>
    <w:rsid w:val="00742315"/>
    <w:rsid w:val="007423C1"/>
    <w:rsid w:val="00742551"/>
    <w:rsid w:val="00742579"/>
    <w:rsid w:val="00742902"/>
    <w:rsid w:val="00742BA8"/>
    <w:rsid w:val="00742D7C"/>
    <w:rsid w:val="00742EA9"/>
    <w:rsid w:val="00742EFA"/>
    <w:rsid w:val="0074302C"/>
    <w:rsid w:val="00743544"/>
    <w:rsid w:val="0074384F"/>
    <w:rsid w:val="00743B15"/>
    <w:rsid w:val="00743B2B"/>
    <w:rsid w:val="00743B6B"/>
    <w:rsid w:val="00743B81"/>
    <w:rsid w:val="00743E39"/>
    <w:rsid w:val="00743FBF"/>
    <w:rsid w:val="00743FDC"/>
    <w:rsid w:val="0074426A"/>
    <w:rsid w:val="007444F1"/>
    <w:rsid w:val="007446D8"/>
    <w:rsid w:val="007447AE"/>
    <w:rsid w:val="00744968"/>
    <w:rsid w:val="00744C1B"/>
    <w:rsid w:val="00744C96"/>
    <w:rsid w:val="00744CC9"/>
    <w:rsid w:val="00744E45"/>
    <w:rsid w:val="0074501E"/>
    <w:rsid w:val="0074570E"/>
    <w:rsid w:val="00745732"/>
    <w:rsid w:val="007457E2"/>
    <w:rsid w:val="0074586F"/>
    <w:rsid w:val="007458F2"/>
    <w:rsid w:val="0074595E"/>
    <w:rsid w:val="00745A4F"/>
    <w:rsid w:val="00745AAF"/>
    <w:rsid w:val="00745BEE"/>
    <w:rsid w:val="00745D7A"/>
    <w:rsid w:val="00745FDB"/>
    <w:rsid w:val="007462DD"/>
    <w:rsid w:val="00746445"/>
    <w:rsid w:val="0074662D"/>
    <w:rsid w:val="00746677"/>
    <w:rsid w:val="00746685"/>
    <w:rsid w:val="00746812"/>
    <w:rsid w:val="00746C93"/>
    <w:rsid w:val="00746E0E"/>
    <w:rsid w:val="00746ED9"/>
    <w:rsid w:val="00746F9B"/>
    <w:rsid w:val="0074715B"/>
    <w:rsid w:val="0074725E"/>
    <w:rsid w:val="00747359"/>
    <w:rsid w:val="007473D2"/>
    <w:rsid w:val="00747407"/>
    <w:rsid w:val="0074740D"/>
    <w:rsid w:val="007476FE"/>
    <w:rsid w:val="00747957"/>
    <w:rsid w:val="00747995"/>
    <w:rsid w:val="00747A25"/>
    <w:rsid w:val="00747BB0"/>
    <w:rsid w:val="00747C90"/>
    <w:rsid w:val="007500B9"/>
    <w:rsid w:val="007503C1"/>
    <w:rsid w:val="00750813"/>
    <w:rsid w:val="0075093C"/>
    <w:rsid w:val="00750EA5"/>
    <w:rsid w:val="00750EE8"/>
    <w:rsid w:val="0075117A"/>
    <w:rsid w:val="00751412"/>
    <w:rsid w:val="00751640"/>
    <w:rsid w:val="0075189F"/>
    <w:rsid w:val="00751D2E"/>
    <w:rsid w:val="00751DB0"/>
    <w:rsid w:val="00751E3C"/>
    <w:rsid w:val="0075210A"/>
    <w:rsid w:val="0075212E"/>
    <w:rsid w:val="00752168"/>
    <w:rsid w:val="00752289"/>
    <w:rsid w:val="007522F4"/>
    <w:rsid w:val="00752333"/>
    <w:rsid w:val="00752435"/>
    <w:rsid w:val="0075253F"/>
    <w:rsid w:val="00752643"/>
    <w:rsid w:val="007526C1"/>
    <w:rsid w:val="0075276A"/>
    <w:rsid w:val="0075293A"/>
    <w:rsid w:val="00752965"/>
    <w:rsid w:val="00752B3A"/>
    <w:rsid w:val="00752B78"/>
    <w:rsid w:val="00752BF1"/>
    <w:rsid w:val="00753032"/>
    <w:rsid w:val="007530B7"/>
    <w:rsid w:val="007530D1"/>
    <w:rsid w:val="0075324F"/>
    <w:rsid w:val="007532A7"/>
    <w:rsid w:val="0075339F"/>
    <w:rsid w:val="0075344E"/>
    <w:rsid w:val="00753741"/>
    <w:rsid w:val="007537DA"/>
    <w:rsid w:val="00753CC2"/>
    <w:rsid w:val="00753D79"/>
    <w:rsid w:val="00753E60"/>
    <w:rsid w:val="007542E6"/>
    <w:rsid w:val="007544C4"/>
    <w:rsid w:val="007545BC"/>
    <w:rsid w:val="007545DC"/>
    <w:rsid w:val="00754672"/>
    <w:rsid w:val="007546AF"/>
    <w:rsid w:val="007547B8"/>
    <w:rsid w:val="00754A23"/>
    <w:rsid w:val="00754B89"/>
    <w:rsid w:val="00754B91"/>
    <w:rsid w:val="00754C3B"/>
    <w:rsid w:val="00754C7F"/>
    <w:rsid w:val="00754CBF"/>
    <w:rsid w:val="00754F41"/>
    <w:rsid w:val="0075501B"/>
    <w:rsid w:val="00755146"/>
    <w:rsid w:val="0075546B"/>
    <w:rsid w:val="007555CF"/>
    <w:rsid w:val="007556D6"/>
    <w:rsid w:val="007557AC"/>
    <w:rsid w:val="00755E32"/>
    <w:rsid w:val="00756012"/>
    <w:rsid w:val="00756329"/>
    <w:rsid w:val="00756339"/>
    <w:rsid w:val="00756704"/>
    <w:rsid w:val="0075674B"/>
    <w:rsid w:val="00756815"/>
    <w:rsid w:val="00756874"/>
    <w:rsid w:val="00756926"/>
    <w:rsid w:val="0075698D"/>
    <w:rsid w:val="007569C1"/>
    <w:rsid w:val="00756CBF"/>
    <w:rsid w:val="00756CE2"/>
    <w:rsid w:val="00756DEA"/>
    <w:rsid w:val="00756FAD"/>
    <w:rsid w:val="00757242"/>
    <w:rsid w:val="007573EE"/>
    <w:rsid w:val="00757AA7"/>
    <w:rsid w:val="00757B8A"/>
    <w:rsid w:val="00757BF4"/>
    <w:rsid w:val="00757E74"/>
    <w:rsid w:val="0076025E"/>
    <w:rsid w:val="00760482"/>
    <w:rsid w:val="00760A41"/>
    <w:rsid w:val="00760A6C"/>
    <w:rsid w:val="00760B79"/>
    <w:rsid w:val="00760DE7"/>
    <w:rsid w:val="00760DF7"/>
    <w:rsid w:val="00760EE2"/>
    <w:rsid w:val="00761035"/>
    <w:rsid w:val="007611B0"/>
    <w:rsid w:val="007612BC"/>
    <w:rsid w:val="00761702"/>
    <w:rsid w:val="00761742"/>
    <w:rsid w:val="007618F2"/>
    <w:rsid w:val="0076196B"/>
    <w:rsid w:val="00761A92"/>
    <w:rsid w:val="00761CDC"/>
    <w:rsid w:val="00761EBF"/>
    <w:rsid w:val="00761F85"/>
    <w:rsid w:val="00762078"/>
    <w:rsid w:val="00762087"/>
    <w:rsid w:val="00762110"/>
    <w:rsid w:val="007622E1"/>
    <w:rsid w:val="0076236D"/>
    <w:rsid w:val="007624E1"/>
    <w:rsid w:val="0076271D"/>
    <w:rsid w:val="00762740"/>
    <w:rsid w:val="00762766"/>
    <w:rsid w:val="0076280B"/>
    <w:rsid w:val="0076283B"/>
    <w:rsid w:val="007629D5"/>
    <w:rsid w:val="007629DE"/>
    <w:rsid w:val="00762D05"/>
    <w:rsid w:val="00762D60"/>
    <w:rsid w:val="00762DD4"/>
    <w:rsid w:val="00762E01"/>
    <w:rsid w:val="00763004"/>
    <w:rsid w:val="00763496"/>
    <w:rsid w:val="0076355C"/>
    <w:rsid w:val="007635C1"/>
    <w:rsid w:val="00763677"/>
    <w:rsid w:val="00763745"/>
    <w:rsid w:val="00763BF9"/>
    <w:rsid w:val="00763D92"/>
    <w:rsid w:val="00763E0F"/>
    <w:rsid w:val="007641E9"/>
    <w:rsid w:val="00764294"/>
    <w:rsid w:val="007642BB"/>
    <w:rsid w:val="00764303"/>
    <w:rsid w:val="007644B5"/>
    <w:rsid w:val="0076466C"/>
    <w:rsid w:val="00764677"/>
    <w:rsid w:val="007647C8"/>
    <w:rsid w:val="00764963"/>
    <w:rsid w:val="00764B54"/>
    <w:rsid w:val="00764B5E"/>
    <w:rsid w:val="00764C77"/>
    <w:rsid w:val="00764F3C"/>
    <w:rsid w:val="00764F44"/>
    <w:rsid w:val="00764F71"/>
    <w:rsid w:val="0076518C"/>
    <w:rsid w:val="00765700"/>
    <w:rsid w:val="0076577D"/>
    <w:rsid w:val="00765799"/>
    <w:rsid w:val="007657E1"/>
    <w:rsid w:val="007657F8"/>
    <w:rsid w:val="00765B61"/>
    <w:rsid w:val="00765B78"/>
    <w:rsid w:val="00765C18"/>
    <w:rsid w:val="00765C1D"/>
    <w:rsid w:val="00765C6B"/>
    <w:rsid w:val="00765E3E"/>
    <w:rsid w:val="00766122"/>
    <w:rsid w:val="0076644F"/>
    <w:rsid w:val="00766518"/>
    <w:rsid w:val="007665AA"/>
    <w:rsid w:val="007665C8"/>
    <w:rsid w:val="0076674B"/>
    <w:rsid w:val="007668AC"/>
    <w:rsid w:val="007669E0"/>
    <w:rsid w:val="00766A95"/>
    <w:rsid w:val="00766C3C"/>
    <w:rsid w:val="00766C5C"/>
    <w:rsid w:val="00766E76"/>
    <w:rsid w:val="00766FAB"/>
    <w:rsid w:val="0076703B"/>
    <w:rsid w:val="00767600"/>
    <w:rsid w:val="007676EE"/>
    <w:rsid w:val="00767A94"/>
    <w:rsid w:val="00767B8C"/>
    <w:rsid w:val="00767BA6"/>
    <w:rsid w:val="00767F4B"/>
    <w:rsid w:val="00767FAA"/>
    <w:rsid w:val="00770170"/>
    <w:rsid w:val="007702BB"/>
    <w:rsid w:val="00770328"/>
    <w:rsid w:val="00770404"/>
    <w:rsid w:val="00770532"/>
    <w:rsid w:val="00770559"/>
    <w:rsid w:val="007706F5"/>
    <w:rsid w:val="00770751"/>
    <w:rsid w:val="00770A3C"/>
    <w:rsid w:val="00771047"/>
    <w:rsid w:val="00771498"/>
    <w:rsid w:val="0077170E"/>
    <w:rsid w:val="0077181F"/>
    <w:rsid w:val="00771BED"/>
    <w:rsid w:val="00771F04"/>
    <w:rsid w:val="00772231"/>
    <w:rsid w:val="0077246E"/>
    <w:rsid w:val="0077276C"/>
    <w:rsid w:val="00772A22"/>
    <w:rsid w:val="00772D6B"/>
    <w:rsid w:val="00772DEA"/>
    <w:rsid w:val="007730F0"/>
    <w:rsid w:val="007734A8"/>
    <w:rsid w:val="00773633"/>
    <w:rsid w:val="00773962"/>
    <w:rsid w:val="00773AD9"/>
    <w:rsid w:val="00773C45"/>
    <w:rsid w:val="00773E0F"/>
    <w:rsid w:val="00774035"/>
    <w:rsid w:val="0077406C"/>
    <w:rsid w:val="00774117"/>
    <w:rsid w:val="00774361"/>
    <w:rsid w:val="0077436A"/>
    <w:rsid w:val="00774588"/>
    <w:rsid w:val="007747DC"/>
    <w:rsid w:val="00774928"/>
    <w:rsid w:val="007749AE"/>
    <w:rsid w:val="00774BE5"/>
    <w:rsid w:val="00774D8F"/>
    <w:rsid w:val="00774DB6"/>
    <w:rsid w:val="00774ECC"/>
    <w:rsid w:val="00774F2D"/>
    <w:rsid w:val="0077523F"/>
    <w:rsid w:val="00775376"/>
    <w:rsid w:val="007753D8"/>
    <w:rsid w:val="00775658"/>
    <w:rsid w:val="0077576D"/>
    <w:rsid w:val="00775797"/>
    <w:rsid w:val="0077594A"/>
    <w:rsid w:val="007759C8"/>
    <w:rsid w:val="00775ACF"/>
    <w:rsid w:val="00775C01"/>
    <w:rsid w:val="00775C78"/>
    <w:rsid w:val="00775C82"/>
    <w:rsid w:val="00775D41"/>
    <w:rsid w:val="00775D90"/>
    <w:rsid w:val="00775D9A"/>
    <w:rsid w:val="00775E4B"/>
    <w:rsid w:val="00775F70"/>
    <w:rsid w:val="007761A3"/>
    <w:rsid w:val="00776227"/>
    <w:rsid w:val="00776525"/>
    <w:rsid w:val="00776607"/>
    <w:rsid w:val="007768D2"/>
    <w:rsid w:val="00776964"/>
    <w:rsid w:val="00776AAB"/>
    <w:rsid w:val="00776AAC"/>
    <w:rsid w:val="00776E4C"/>
    <w:rsid w:val="00776FD7"/>
    <w:rsid w:val="00777276"/>
    <w:rsid w:val="007772E8"/>
    <w:rsid w:val="00777309"/>
    <w:rsid w:val="007775C0"/>
    <w:rsid w:val="007776B0"/>
    <w:rsid w:val="007777F8"/>
    <w:rsid w:val="0077791E"/>
    <w:rsid w:val="00777981"/>
    <w:rsid w:val="00777A7F"/>
    <w:rsid w:val="00777B9A"/>
    <w:rsid w:val="007804BE"/>
    <w:rsid w:val="007805C4"/>
    <w:rsid w:val="0078061E"/>
    <w:rsid w:val="007806EF"/>
    <w:rsid w:val="00780733"/>
    <w:rsid w:val="007809F0"/>
    <w:rsid w:val="00780ADF"/>
    <w:rsid w:val="00780C85"/>
    <w:rsid w:val="00780CC0"/>
    <w:rsid w:val="00780EE0"/>
    <w:rsid w:val="00781347"/>
    <w:rsid w:val="007813AF"/>
    <w:rsid w:val="00781647"/>
    <w:rsid w:val="00781791"/>
    <w:rsid w:val="00781A47"/>
    <w:rsid w:val="00781A65"/>
    <w:rsid w:val="00781C35"/>
    <w:rsid w:val="00781C4B"/>
    <w:rsid w:val="00781E30"/>
    <w:rsid w:val="007820FA"/>
    <w:rsid w:val="00782242"/>
    <w:rsid w:val="0078228A"/>
    <w:rsid w:val="0078262E"/>
    <w:rsid w:val="00782688"/>
    <w:rsid w:val="007827BC"/>
    <w:rsid w:val="00782C45"/>
    <w:rsid w:val="00782CCA"/>
    <w:rsid w:val="00782D52"/>
    <w:rsid w:val="00782D97"/>
    <w:rsid w:val="007830AF"/>
    <w:rsid w:val="007830FC"/>
    <w:rsid w:val="00783167"/>
    <w:rsid w:val="00783286"/>
    <w:rsid w:val="007833D9"/>
    <w:rsid w:val="007834C9"/>
    <w:rsid w:val="007836EE"/>
    <w:rsid w:val="00783730"/>
    <w:rsid w:val="007838BA"/>
    <w:rsid w:val="00783AA5"/>
    <w:rsid w:val="00783B03"/>
    <w:rsid w:val="00783CA7"/>
    <w:rsid w:val="00783CBB"/>
    <w:rsid w:val="00783E0D"/>
    <w:rsid w:val="00783E82"/>
    <w:rsid w:val="00783F0E"/>
    <w:rsid w:val="007841CB"/>
    <w:rsid w:val="00784286"/>
    <w:rsid w:val="007844BD"/>
    <w:rsid w:val="00784742"/>
    <w:rsid w:val="007849F0"/>
    <w:rsid w:val="00784B54"/>
    <w:rsid w:val="00784E39"/>
    <w:rsid w:val="0078503F"/>
    <w:rsid w:val="0078527E"/>
    <w:rsid w:val="00785378"/>
    <w:rsid w:val="007853DB"/>
    <w:rsid w:val="007854D2"/>
    <w:rsid w:val="007854FA"/>
    <w:rsid w:val="0078554A"/>
    <w:rsid w:val="007855DF"/>
    <w:rsid w:val="007856A2"/>
    <w:rsid w:val="0078578F"/>
    <w:rsid w:val="00785BC0"/>
    <w:rsid w:val="00785BC9"/>
    <w:rsid w:val="00785D40"/>
    <w:rsid w:val="00785D98"/>
    <w:rsid w:val="00785DD5"/>
    <w:rsid w:val="00785E09"/>
    <w:rsid w:val="0078601C"/>
    <w:rsid w:val="00786029"/>
    <w:rsid w:val="0078631F"/>
    <w:rsid w:val="00786429"/>
    <w:rsid w:val="00786454"/>
    <w:rsid w:val="007865B6"/>
    <w:rsid w:val="007865CE"/>
    <w:rsid w:val="0078685D"/>
    <w:rsid w:val="00786903"/>
    <w:rsid w:val="00786C41"/>
    <w:rsid w:val="00787622"/>
    <w:rsid w:val="0078783C"/>
    <w:rsid w:val="007878D6"/>
    <w:rsid w:val="007878FC"/>
    <w:rsid w:val="00787AB6"/>
    <w:rsid w:val="00787E1F"/>
    <w:rsid w:val="00787E99"/>
    <w:rsid w:val="00787F40"/>
    <w:rsid w:val="00787FFE"/>
    <w:rsid w:val="0079047D"/>
    <w:rsid w:val="007904CC"/>
    <w:rsid w:val="007907D3"/>
    <w:rsid w:val="00790886"/>
    <w:rsid w:val="00790A96"/>
    <w:rsid w:val="00790BE3"/>
    <w:rsid w:val="00790FC4"/>
    <w:rsid w:val="0079106C"/>
    <w:rsid w:val="007910DC"/>
    <w:rsid w:val="007911A3"/>
    <w:rsid w:val="007911A7"/>
    <w:rsid w:val="0079149A"/>
    <w:rsid w:val="007914E2"/>
    <w:rsid w:val="007918AB"/>
    <w:rsid w:val="0079196F"/>
    <w:rsid w:val="00791AB0"/>
    <w:rsid w:val="00791F32"/>
    <w:rsid w:val="007924B8"/>
    <w:rsid w:val="007924DA"/>
    <w:rsid w:val="0079261F"/>
    <w:rsid w:val="00792709"/>
    <w:rsid w:val="007927C6"/>
    <w:rsid w:val="00792800"/>
    <w:rsid w:val="00792969"/>
    <w:rsid w:val="007929EB"/>
    <w:rsid w:val="00793121"/>
    <w:rsid w:val="007932A8"/>
    <w:rsid w:val="007935B5"/>
    <w:rsid w:val="00793681"/>
    <w:rsid w:val="00793A61"/>
    <w:rsid w:val="00793AF5"/>
    <w:rsid w:val="00793B34"/>
    <w:rsid w:val="00793C18"/>
    <w:rsid w:val="00793D38"/>
    <w:rsid w:val="00793D57"/>
    <w:rsid w:val="00793ECD"/>
    <w:rsid w:val="0079400F"/>
    <w:rsid w:val="0079407D"/>
    <w:rsid w:val="00794090"/>
    <w:rsid w:val="0079413D"/>
    <w:rsid w:val="00794290"/>
    <w:rsid w:val="00794436"/>
    <w:rsid w:val="00794441"/>
    <w:rsid w:val="0079466E"/>
    <w:rsid w:val="007947ED"/>
    <w:rsid w:val="0079480A"/>
    <w:rsid w:val="00794AE4"/>
    <w:rsid w:val="00794CC8"/>
    <w:rsid w:val="00794CF9"/>
    <w:rsid w:val="00794D74"/>
    <w:rsid w:val="00794E1D"/>
    <w:rsid w:val="00794EB1"/>
    <w:rsid w:val="00795015"/>
    <w:rsid w:val="00795197"/>
    <w:rsid w:val="007952F5"/>
    <w:rsid w:val="00795328"/>
    <w:rsid w:val="0079542D"/>
    <w:rsid w:val="00795B06"/>
    <w:rsid w:val="00795B63"/>
    <w:rsid w:val="00795B7D"/>
    <w:rsid w:val="00795CB4"/>
    <w:rsid w:val="00795CE1"/>
    <w:rsid w:val="00795D7A"/>
    <w:rsid w:val="00796008"/>
    <w:rsid w:val="00796312"/>
    <w:rsid w:val="00796416"/>
    <w:rsid w:val="0079684E"/>
    <w:rsid w:val="00796941"/>
    <w:rsid w:val="00796BF6"/>
    <w:rsid w:val="00796D20"/>
    <w:rsid w:val="00796FEA"/>
    <w:rsid w:val="00797064"/>
    <w:rsid w:val="00797155"/>
    <w:rsid w:val="00797275"/>
    <w:rsid w:val="00797379"/>
    <w:rsid w:val="0079750E"/>
    <w:rsid w:val="00797773"/>
    <w:rsid w:val="0079784A"/>
    <w:rsid w:val="007979AB"/>
    <w:rsid w:val="007979F6"/>
    <w:rsid w:val="00797AD2"/>
    <w:rsid w:val="00797B04"/>
    <w:rsid w:val="00797B26"/>
    <w:rsid w:val="00797CA0"/>
    <w:rsid w:val="00797E6D"/>
    <w:rsid w:val="00797EC5"/>
    <w:rsid w:val="007A00AF"/>
    <w:rsid w:val="007A03BA"/>
    <w:rsid w:val="007A0422"/>
    <w:rsid w:val="007A0859"/>
    <w:rsid w:val="007A0B2E"/>
    <w:rsid w:val="007A0FA9"/>
    <w:rsid w:val="007A10E4"/>
    <w:rsid w:val="007A11D0"/>
    <w:rsid w:val="007A1421"/>
    <w:rsid w:val="007A16C0"/>
    <w:rsid w:val="007A190E"/>
    <w:rsid w:val="007A19E5"/>
    <w:rsid w:val="007A1A50"/>
    <w:rsid w:val="007A1E3C"/>
    <w:rsid w:val="007A20C5"/>
    <w:rsid w:val="007A2246"/>
    <w:rsid w:val="007A2267"/>
    <w:rsid w:val="007A22C5"/>
    <w:rsid w:val="007A24C0"/>
    <w:rsid w:val="007A26C6"/>
    <w:rsid w:val="007A285F"/>
    <w:rsid w:val="007A2BDF"/>
    <w:rsid w:val="007A2CAA"/>
    <w:rsid w:val="007A2D09"/>
    <w:rsid w:val="007A2FBF"/>
    <w:rsid w:val="007A322C"/>
    <w:rsid w:val="007A33FE"/>
    <w:rsid w:val="007A3416"/>
    <w:rsid w:val="007A344F"/>
    <w:rsid w:val="007A34B5"/>
    <w:rsid w:val="007A3556"/>
    <w:rsid w:val="007A356B"/>
    <w:rsid w:val="007A39FB"/>
    <w:rsid w:val="007A3B49"/>
    <w:rsid w:val="007A3B7C"/>
    <w:rsid w:val="007A3BF6"/>
    <w:rsid w:val="007A3D04"/>
    <w:rsid w:val="007A3D48"/>
    <w:rsid w:val="007A3FDD"/>
    <w:rsid w:val="007A42AC"/>
    <w:rsid w:val="007A433A"/>
    <w:rsid w:val="007A442E"/>
    <w:rsid w:val="007A4579"/>
    <w:rsid w:val="007A45B3"/>
    <w:rsid w:val="007A4A33"/>
    <w:rsid w:val="007A4A75"/>
    <w:rsid w:val="007A4E19"/>
    <w:rsid w:val="007A5064"/>
    <w:rsid w:val="007A51A3"/>
    <w:rsid w:val="007A5310"/>
    <w:rsid w:val="007A53A2"/>
    <w:rsid w:val="007A566A"/>
    <w:rsid w:val="007A571A"/>
    <w:rsid w:val="007A57A6"/>
    <w:rsid w:val="007A5803"/>
    <w:rsid w:val="007A599C"/>
    <w:rsid w:val="007A5A0E"/>
    <w:rsid w:val="007A5A1D"/>
    <w:rsid w:val="007A5A2B"/>
    <w:rsid w:val="007A5BC9"/>
    <w:rsid w:val="007A5BEC"/>
    <w:rsid w:val="007A5C61"/>
    <w:rsid w:val="007A5CA2"/>
    <w:rsid w:val="007A5EBC"/>
    <w:rsid w:val="007A6340"/>
    <w:rsid w:val="007A6520"/>
    <w:rsid w:val="007A6561"/>
    <w:rsid w:val="007A65B1"/>
    <w:rsid w:val="007A66C0"/>
    <w:rsid w:val="007A6747"/>
    <w:rsid w:val="007A675F"/>
    <w:rsid w:val="007A67CA"/>
    <w:rsid w:val="007A6A44"/>
    <w:rsid w:val="007A6B26"/>
    <w:rsid w:val="007A6E30"/>
    <w:rsid w:val="007A6E39"/>
    <w:rsid w:val="007A7050"/>
    <w:rsid w:val="007A70B1"/>
    <w:rsid w:val="007A73DF"/>
    <w:rsid w:val="007A7533"/>
    <w:rsid w:val="007A780B"/>
    <w:rsid w:val="007A7884"/>
    <w:rsid w:val="007A799B"/>
    <w:rsid w:val="007A7B77"/>
    <w:rsid w:val="007A7D40"/>
    <w:rsid w:val="007A7DCB"/>
    <w:rsid w:val="007B0007"/>
    <w:rsid w:val="007B00FC"/>
    <w:rsid w:val="007B0194"/>
    <w:rsid w:val="007B049C"/>
    <w:rsid w:val="007B04B9"/>
    <w:rsid w:val="007B04DD"/>
    <w:rsid w:val="007B050B"/>
    <w:rsid w:val="007B06A1"/>
    <w:rsid w:val="007B0741"/>
    <w:rsid w:val="007B0AF7"/>
    <w:rsid w:val="007B0D81"/>
    <w:rsid w:val="007B0D8B"/>
    <w:rsid w:val="007B0E7C"/>
    <w:rsid w:val="007B0F2D"/>
    <w:rsid w:val="007B10B3"/>
    <w:rsid w:val="007B118D"/>
    <w:rsid w:val="007B11EF"/>
    <w:rsid w:val="007B1556"/>
    <w:rsid w:val="007B1651"/>
    <w:rsid w:val="007B17A1"/>
    <w:rsid w:val="007B18BC"/>
    <w:rsid w:val="007B1929"/>
    <w:rsid w:val="007B192A"/>
    <w:rsid w:val="007B1955"/>
    <w:rsid w:val="007B1E0F"/>
    <w:rsid w:val="007B1F9C"/>
    <w:rsid w:val="007B20ED"/>
    <w:rsid w:val="007B227A"/>
    <w:rsid w:val="007B22A9"/>
    <w:rsid w:val="007B22D2"/>
    <w:rsid w:val="007B2317"/>
    <w:rsid w:val="007B23BA"/>
    <w:rsid w:val="007B2575"/>
    <w:rsid w:val="007B266A"/>
    <w:rsid w:val="007B2A19"/>
    <w:rsid w:val="007B2C12"/>
    <w:rsid w:val="007B2D12"/>
    <w:rsid w:val="007B2F3F"/>
    <w:rsid w:val="007B3261"/>
    <w:rsid w:val="007B3546"/>
    <w:rsid w:val="007B3633"/>
    <w:rsid w:val="007B3860"/>
    <w:rsid w:val="007B38DF"/>
    <w:rsid w:val="007B39B4"/>
    <w:rsid w:val="007B3A56"/>
    <w:rsid w:val="007B3B69"/>
    <w:rsid w:val="007B3BA7"/>
    <w:rsid w:val="007B3D4A"/>
    <w:rsid w:val="007B3F99"/>
    <w:rsid w:val="007B4025"/>
    <w:rsid w:val="007B4166"/>
    <w:rsid w:val="007B433D"/>
    <w:rsid w:val="007B43B5"/>
    <w:rsid w:val="007B449F"/>
    <w:rsid w:val="007B46CC"/>
    <w:rsid w:val="007B4730"/>
    <w:rsid w:val="007B4757"/>
    <w:rsid w:val="007B48F0"/>
    <w:rsid w:val="007B4AA5"/>
    <w:rsid w:val="007B4B0F"/>
    <w:rsid w:val="007B4EC9"/>
    <w:rsid w:val="007B5063"/>
    <w:rsid w:val="007B528F"/>
    <w:rsid w:val="007B547B"/>
    <w:rsid w:val="007B5504"/>
    <w:rsid w:val="007B580D"/>
    <w:rsid w:val="007B596A"/>
    <w:rsid w:val="007B5A39"/>
    <w:rsid w:val="007B5C57"/>
    <w:rsid w:val="007B5DA1"/>
    <w:rsid w:val="007B5DBF"/>
    <w:rsid w:val="007B5DCC"/>
    <w:rsid w:val="007B5EB1"/>
    <w:rsid w:val="007B6063"/>
    <w:rsid w:val="007B6164"/>
    <w:rsid w:val="007B6337"/>
    <w:rsid w:val="007B65FE"/>
    <w:rsid w:val="007B67E8"/>
    <w:rsid w:val="007B67EA"/>
    <w:rsid w:val="007B680C"/>
    <w:rsid w:val="007B6A27"/>
    <w:rsid w:val="007B6B29"/>
    <w:rsid w:val="007B6CD2"/>
    <w:rsid w:val="007B6ED9"/>
    <w:rsid w:val="007B6F80"/>
    <w:rsid w:val="007B7035"/>
    <w:rsid w:val="007B718B"/>
    <w:rsid w:val="007B71F4"/>
    <w:rsid w:val="007B74BC"/>
    <w:rsid w:val="007B74DD"/>
    <w:rsid w:val="007B7600"/>
    <w:rsid w:val="007B76DA"/>
    <w:rsid w:val="007B770F"/>
    <w:rsid w:val="007B775A"/>
    <w:rsid w:val="007B7781"/>
    <w:rsid w:val="007B77E1"/>
    <w:rsid w:val="007B78F0"/>
    <w:rsid w:val="007B7D1D"/>
    <w:rsid w:val="007B7E8E"/>
    <w:rsid w:val="007B7F60"/>
    <w:rsid w:val="007B7FF0"/>
    <w:rsid w:val="007C0024"/>
    <w:rsid w:val="007C01ED"/>
    <w:rsid w:val="007C0217"/>
    <w:rsid w:val="007C0333"/>
    <w:rsid w:val="007C04F2"/>
    <w:rsid w:val="007C0841"/>
    <w:rsid w:val="007C0A29"/>
    <w:rsid w:val="007C0A8D"/>
    <w:rsid w:val="007C0AFD"/>
    <w:rsid w:val="007C0B4A"/>
    <w:rsid w:val="007C0B88"/>
    <w:rsid w:val="007C0C96"/>
    <w:rsid w:val="007C1091"/>
    <w:rsid w:val="007C109D"/>
    <w:rsid w:val="007C10D3"/>
    <w:rsid w:val="007C1349"/>
    <w:rsid w:val="007C134D"/>
    <w:rsid w:val="007C1373"/>
    <w:rsid w:val="007C1653"/>
    <w:rsid w:val="007C167A"/>
    <w:rsid w:val="007C1703"/>
    <w:rsid w:val="007C18D2"/>
    <w:rsid w:val="007C1B1E"/>
    <w:rsid w:val="007C1B9F"/>
    <w:rsid w:val="007C1BD5"/>
    <w:rsid w:val="007C1C4E"/>
    <w:rsid w:val="007C1CCF"/>
    <w:rsid w:val="007C20C7"/>
    <w:rsid w:val="007C2584"/>
    <w:rsid w:val="007C25CB"/>
    <w:rsid w:val="007C25D7"/>
    <w:rsid w:val="007C261F"/>
    <w:rsid w:val="007C2926"/>
    <w:rsid w:val="007C2982"/>
    <w:rsid w:val="007C29BC"/>
    <w:rsid w:val="007C2A17"/>
    <w:rsid w:val="007C2F16"/>
    <w:rsid w:val="007C3196"/>
    <w:rsid w:val="007C32A5"/>
    <w:rsid w:val="007C333A"/>
    <w:rsid w:val="007C3491"/>
    <w:rsid w:val="007C34C1"/>
    <w:rsid w:val="007C36B5"/>
    <w:rsid w:val="007C36F8"/>
    <w:rsid w:val="007C3769"/>
    <w:rsid w:val="007C397C"/>
    <w:rsid w:val="007C3BF3"/>
    <w:rsid w:val="007C3C9F"/>
    <w:rsid w:val="007C3FD6"/>
    <w:rsid w:val="007C4014"/>
    <w:rsid w:val="007C41D1"/>
    <w:rsid w:val="007C434B"/>
    <w:rsid w:val="007C4555"/>
    <w:rsid w:val="007C47EB"/>
    <w:rsid w:val="007C480E"/>
    <w:rsid w:val="007C49BF"/>
    <w:rsid w:val="007C4A3F"/>
    <w:rsid w:val="007C4AE8"/>
    <w:rsid w:val="007C4DB1"/>
    <w:rsid w:val="007C5207"/>
    <w:rsid w:val="007C5560"/>
    <w:rsid w:val="007C557F"/>
    <w:rsid w:val="007C55B7"/>
    <w:rsid w:val="007C56BA"/>
    <w:rsid w:val="007C5795"/>
    <w:rsid w:val="007C5849"/>
    <w:rsid w:val="007C5C7B"/>
    <w:rsid w:val="007C5C8A"/>
    <w:rsid w:val="007C5CCC"/>
    <w:rsid w:val="007C5D65"/>
    <w:rsid w:val="007C5DFC"/>
    <w:rsid w:val="007C5E98"/>
    <w:rsid w:val="007C6323"/>
    <w:rsid w:val="007C65A2"/>
    <w:rsid w:val="007C67DB"/>
    <w:rsid w:val="007C68FF"/>
    <w:rsid w:val="007C6C85"/>
    <w:rsid w:val="007C6EB4"/>
    <w:rsid w:val="007C6FC0"/>
    <w:rsid w:val="007C708F"/>
    <w:rsid w:val="007C719D"/>
    <w:rsid w:val="007C733C"/>
    <w:rsid w:val="007C7496"/>
    <w:rsid w:val="007C7645"/>
    <w:rsid w:val="007C790A"/>
    <w:rsid w:val="007C7914"/>
    <w:rsid w:val="007C7CED"/>
    <w:rsid w:val="007D02CD"/>
    <w:rsid w:val="007D0318"/>
    <w:rsid w:val="007D03FE"/>
    <w:rsid w:val="007D0537"/>
    <w:rsid w:val="007D07C8"/>
    <w:rsid w:val="007D094B"/>
    <w:rsid w:val="007D0A46"/>
    <w:rsid w:val="007D0AF1"/>
    <w:rsid w:val="007D0C63"/>
    <w:rsid w:val="007D0DC1"/>
    <w:rsid w:val="007D0ED9"/>
    <w:rsid w:val="007D0F91"/>
    <w:rsid w:val="007D12F8"/>
    <w:rsid w:val="007D162A"/>
    <w:rsid w:val="007D16DF"/>
    <w:rsid w:val="007D1711"/>
    <w:rsid w:val="007D1945"/>
    <w:rsid w:val="007D1A05"/>
    <w:rsid w:val="007D1FA7"/>
    <w:rsid w:val="007D1FDA"/>
    <w:rsid w:val="007D2128"/>
    <w:rsid w:val="007D221A"/>
    <w:rsid w:val="007D238D"/>
    <w:rsid w:val="007D2493"/>
    <w:rsid w:val="007D25A0"/>
    <w:rsid w:val="007D276C"/>
    <w:rsid w:val="007D2791"/>
    <w:rsid w:val="007D2877"/>
    <w:rsid w:val="007D2912"/>
    <w:rsid w:val="007D299D"/>
    <w:rsid w:val="007D2B6B"/>
    <w:rsid w:val="007D2C11"/>
    <w:rsid w:val="007D2D3C"/>
    <w:rsid w:val="007D2EA1"/>
    <w:rsid w:val="007D2F3A"/>
    <w:rsid w:val="007D2F6E"/>
    <w:rsid w:val="007D2FAC"/>
    <w:rsid w:val="007D32BE"/>
    <w:rsid w:val="007D3BAF"/>
    <w:rsid w:val="007D3FBC"/>
    <w:rsid w:val="007D4050"/>
    <w:rsid w:val="007D4298"/>
    <w:rsid w:val="007D4497"/>
    <w:rsid w:val="007D47F2"/>
    <w:rsid w:val="007D4808"/>
    <w:rsid w:val="007D4A64"/>
    <w:rsid w:val="007D4BE3"/>
    <w:rsid w:val="007D4D2B"/>
    <w:rsid w:val="007D5213"/>
    <w:rsid w:val="007D5267"/>
    <w:rsid w:val="007D540A"/>
    <w:rsid w:val="007D55BE"/>
    <w:rsid w:val="007D58AE"/>
    <w:rsid w:val="007D5DED"/>
    <w:rsid w:val="007D5FF7"/>
    <w:rsid w:val="007D615C"/>
    <w:rsid w:val="007D6247"/>
    <w:rsid w:val="007D642F"/>
    <w:rsid w:val="007D6644"/>
    <w:rsid w:val="007D686C"/>
    <w:rsid w:val="007D69A0"/>
    <w:rsid w:val="007D69BA"/>
    <w:rsid w:val="007D6A0D"/>
    <w:rsid w:val="007D6BC9"/>
    <w:rsid w:val="007D6CE0"/>
    <w:rsid w:val="007D6CE8"/>
    <w:rsid w:val="007D6F88"/>
    <w:rsid w:val="007D71C9"/>
    <w:rsid w:val="007D7500"/>
    <w:rsid w:val="007D7567"/>
    <w:rsid w:val="007D75DB"/>
    <w:rsid w:val="007D7B40"/>
    <w:rsid w:val="007D7D49"/>
    <w:rsid w:val="007D7E3C"/>
    <w:rsid w:val="007D7F68"/>
    <w:rsid w:val="007D7FD9"/>
    <w:rsid w:val="007E005B"/>
    <w:rsid w:val="007E018D"/>
    <w:rsid w:val="007E0614"/>
    <w:rsid w:val="007E0662"/>
    <w:rsid w:val="007E09A2"/>
    <w:rsid w:val="007E0A5E"/>
    <w:rsid w:val="007E0B52"/>
    <w:rsid w:val="007E0D84"/>
    <w:rsid w:val="007E0F39"/>
    <w:rsid w:val="007E0F53"/>
    <w:rsid w:val="007E0F59"/>
    <w:rsid w:val="007E1197"/>
    <w:rsid w:val="007E124B"/>
    <w:rsid w:val="007E1336"/>
    <w:rsid w:val="007E138D"/>
    <w:rsid w:val="007E13C1"/>
    <w:rsid w:val="007E1542"/>
    <w:rsid w:val="007E154E"/>
    <w:rsid w:val="007E1595"/>
    <w:rsid w:val="007E1791"/>
    <w:rsid w:val="007E199C"/>
    <w:rsid w:val="007E1A47"/>
    <w:rsid w:val="007E1D77"/>
    <w:rsid w:val="007E1F27"/>
    <w:rsid w:val="007E28DC"/>
    <w:rsid w:val="007E28FE"/>
    <w:rsid w:val="007E2AA0"/>
    <w:rsid w:val="007E2AA9"/>
    <w:rsid w:val="007E2FBE"/>
    <w:rsid w:val="007E2FE1"/>
    <w:rsid w:val="007E3002"/>
    <w:rsid w:val="007E31EE"/>
    <w:rsid w:val="007E32FD"/>
    <w:rsid w:val="007E3606"/>
    <w:rsid w:val="007E366C"/>
    <w:rsid w:val="007E3B99"/>
    <w:rsid w:val="007E3EAF"/>
    <w:rsid w:val="007E41F3"/>
    <w:rsid w:val="007E4293"/>
    <w:rsid w:val="007E42C6"/>
    <w:rsid w:val="007E42E7"/>
    <w:rsid w:val="007E4538"/>
    <w:rsid w:val="007E45CB"/>
    <w:rsid w:val="007E46EB"/>
    <w:rsid w:val="007E47BD"/>
    <w:rsid w:val="007E48B0"/>
    <w:rsid w:val="007E4946"/>
    <w:rsid w:val="007E4B32"/>
    <w:rsid w:val="007E4BDF"/>
    <w:rsid w:val="007E4CE9"/>
    <w:rsid w:val="007E4DCA"/>
    <w:rsid w:val="007E4E23"/>
    <w:rsid w:val="007E4EAD"/>
    <w:rsid w:val="007E5041"/>
    <w:rsid w:val="007E50DF"/>
    <w:rsid w:val="007E511A"/>
    <w:rsid w:val="007E5273"/>
    <w:rsid w:val="007E5352"/>
    <w:rsid w:val="007E5449"/>
    <w:rsid w:val="007E552B"/>
    <w:rsid w:val="007E56DE"/>
    <w:rsid w:val="007E5815"/>
    <w:rsid w:val="007E5B11"/>
    <w:rsid w:val="007E5C8C"/>
    <w:rsid w:val="007E5DE3"/>
    <w:rsid w:val="007E5E10"/>
    <w:rsid w:val="007E60D3"/>
    <w:rsid w:val="007E60FC"/>
    <w:rsid w:val="007E61CE"/>
    <w:rsid w:val="007E636E"/>
    <w:rsid w:val="007E6544"/>
    <w:rsid w:val="007E6739"/>
    <w:rsid w:val="007E677C"/>
    <w:rsid w:val="007E6788"/>
    <w:rsid w:val="007E67AE"/>
    <w:rsid w:val="007E693D"/>
    <w:rsid w:val="007E6BB5"/>
    <w:rsid w:val="007E6CB1"/>
    <w:rsid w:val="007E6E14"/>
    <w:rsid w:val="007E7114"/>
    <w:rsid w:val="007E721C"/>
    <w:rsid w:val="007E737C"/>
    <w:rsid w:val="007E7476"/>
    <w:rsid w:val="007E75BD"/>
    <w:rsid w:val="007E762B"/>
    <w:rsid w:val="007E7712"/>
    <w:rsid w:val="007E7A6E"/>
    <w:rsid w:val="007E7CB8"/>
    <w:rsid w:val="007E7E29"/>
    <w:rsid w:val="007F00DA"/>
    <w:rsid w:val="007F013A"/>
    <w:rsid w:val="007F0190"/>
    <w:rsid w:val="007F0288"/>
    <w:rsid w:val="007F0777"/>
    <w:rsid w:val="007F0833"/>
    <w:rsid w:val="007F08FF"/>
    <w:rsid w:val="007F09C2"/>
    <w:rsid w:val="007F0CDA"/>
    <w:rsid w:val="007F0E06"/>
    <w:rsid w:val="007F0EBC"/>
    <w:rsid w:val="007F0F5C"/>
    <w:rsid w:val="007F102C"/>
    <w:rsid w:val="007F1036"/>
    <w:rsid w:val="007F11FB"/>
    <w:rsid w:val="007F12BE"/>
    <w:rsid w:val="007F13F1"/>
    <w:rsid w:val="007F14FE"/>
    <w:rsid w:val="007F1690"/>
    <w:rsid w:val="007F1A04"/>
    <w:rsid w:val="007F1B76"/>
    <w:rsid w:val="007F1E00"/>
    <w:rsid w:val="007F1FC3"/>
    <w:rsid w:val="007F208C"/>
    <w:rsid w:val="007F2145"/>
    <w:rsid w:val="007F2327"/>
    <w:rsid w:val="007F2356"/>
    <w:rsid w:val="007F236C"/>
    <w:rsid w:val="007F2519"/>
    <w:rsid w:val="007F27AA"/>
    <w:rsid w:val="007F27D8"/>
    <w:rsid w:val="007F2824"/>
    <w:rsid w:val="007F2CCF"/>
    <w:rsid w:val="007F2DBD"/>
    <w:rsid w:val="007F2EC7"/>
    <w:rsid w:val="007F2F5D"/>
    <w:rsid w:val="007F300C"/>
    <w:rsid w:val="007F31EF"/>
    <w:rsid w:val="007F32F8"/>
    <w:rsid w:val="007F349D"/>
    <w:rsid w:val="007F392A"/>
    <w:rsid w:val="007F392F"/>
    <w:rsid w:val="007F3BD6"/>
    <w:rsid w:val="007F3E44"/>
    <w:rsid w:val="007F42A2"/>
    <w:rsid w:val="007F4310"/>
    <w:rsid w:val="007F436C"/>
    <w:rsid w:val="007F4390"/>
    <w:rsid w:val="007F4470"/>
    <w:rsid w:val="007F462A"/>
    <w:rsid w:val="007F46D6"/>
    <w:rsid w:val="007F48AA"/>
    <w:rsid w:val="007F4950"/>
    <w:rsid w:val="007F4A7C"/>
    <w:rsid w:val="007F4C35"/>
    <w:rsid w:val="007F5160"/>
    <w:rsid w:val="007F5461"/>
    <w:rsid w:val="007F549D"/>
    <w:rsid w:val="007F552B"/>
    <w:rsid w:val="007F5783"/>
    <w:rsid w:val="007F5A15"/>
    <w:rsid w:val="007F5A4C"/>
    <w:rsid w:val="007F5ED3"/>
    <w:rsid w:val="007F6010"/>
    <w:rsid w:val="007F624F"/>
    <w:rsid w:val="007F6283"/>
    <w:rsid w:val="007F66E7"/>
    <w:rsid w:val="007F67B6"/>
    <w:rsid w:val="007F6C85"/>
    <w:rsid w:val="007F6C91"/>
    <w:rsid w:val="007F6D27"/>
    <w:rsid w:val="007F6DFD"/>
    <w:rsid w:val="007F6E99"/>
    <w:rsid w:val="007F711E"/>
    <w:rsid w:val="007F7235"/>
    <w:rsid w:val="007F725A"/>
    <w:rsid w:val="007F7393"/>
    <w:rsid w:val="007F73D6"/>
    <w:rsid w:val="007F73D7"/>
    <w:rsid w:val="007F7552"/>
    <w:rsid w:val="007F79DD"/>
    <w:rsid w:val="007F7D96"/>
    <w:rsid w:val="007F7E1F"/>
    <w:rsid w:val="008002DF"/>
    <w:rsid w:val="008007B1"/>
    <w:rsid w:val="008009A2"/>
    <w:rsid w:val="00800AAF"/>
    <w:rsid w:val="00800E0B"/>
    <w:rsid w:val="00800E5A"/>
    <w:rsid w:val="0080123B"/>
    <w:rsid w:val="00801334"/>
    <w:rsid w:val="008013F6"/>
    <w:rsid w:val="00801448"/>
    <w:rsid w:val="00801599"/>
    <w:rsid w:val="00801C7F"/>
    <w:rsid w:val="00801C98"/>
    <w:rsid w:val="00801E39"/>
    <w:rsid w:val="008020A8"/>
    <w:rsid w:val="00802145"/>
    <w:rsid w:val="00802188"/>
    <w:rsid w:val="0080227C"/>
    <w:rsid w:val="008024CA"/>
    <w:rsid w:val="008025A5"/>
    <w:rsid w:val="0080274E"/>
    <w:rsid w:val="00802B4D"/>
    <w:rsid w:val="00803061"/>
    <w:rsid w:val="00803102"/>
    <w:rsid w:val="0080325A"/>
    <w:rsid w:val="0080334F"/>
    <w:rsid w:val="008035E5"/>
    <w:rsid w:val="00803622"/>
    <w:rsid w:val="008036EC"/>
    <w:rsid w:val="00803726"/>
    <w:rsid w:val="008038B9"/>
    <w:rsid w:val="008038F0"/>
    <w:rsid w:val="008039A6"/>
    <w:rsid w:val="00803A8D"/>
    <w:rsid w:val="00803AB0"/>
    <w:rsid w:val="00803B00"/>
    <w:rsid w:val="00803B75"/>
    <w:rsid w:val="00803C05"/>
    <w:rsid w:val="00803D27"/>
    <w:rsid w:val="00803ECD"/>
    <w:rsid w:val="0080422C"/>
    <w:rsid w:val="0080424A"/>
    <w:rsid w:val="0080440D"/>
    <w:rsid w:val="00804643"/>
    <w:rsid w:val="008046A4"/>
    <w:rsid w:val="008047C4"/>
    <w:rsid w:val="00804A38"/>
    <w:rsid w:val="00804D1E"/>
    <w:rsid w:val="00804D6B"/>
    <w:rsid w:val="00804DFD"/>
    <w:rsid w:val="00805094"/>
    <w:rsid w:val="00805407"/>
    <w:rsid w:val="0080560E"/>
    <w:rsid w:val="00805798"/>
    <w:rsid w:val="0080599B"/>
    <w:rsid w:val="008059DB"/>
    <w:rsid w:val="00805B72"/>
    <w:rsid w:val="00805BB0"/>
    <w:rsid w:val="00805DC1"/>
    <w:rsid w:val="00805E5E"/>
    <w:rsid w:val="00805FF8"/>
    <w:rsid w:val="0080658F"/>
    <w:rsid w:val="008066B1"/>
    <w:rsid w:val="00806968"/>
    <w:rsid w:val="008069F2"/>
    <w:rsid w:val="00806A8D"/>
    <w:rsid w:val="00806B32"/>
    <w:rsid w:val="00806C9D"/>
    <w:rsid w:val="00806D35"/>
    <w:rsid w:val="00806DB6"/>
    <w:rsid w:val="008074A2"/>
    <w:rsid w:val="008076A1"/>
    <w:rsid w:val="00807763"/>
    <w:rsid w:val="00807822"/>
    <w:rsid w:val="00807A0D"/>
    <w:rsid w:val="00807B56"/>
    <w:rsid w:val="00810041"/>
    <w:rsid w:val="00810615"/>
    <w:rsid w:val="008106A7"/>
    <w:rsid w:val="00810D4B"/>
    <w:rsid w:val="00810FF7"/>
    <w:rsid w:val="008111CB"/>
    <w:rsid w:val="008111EE"/>
    <w:rsid w:val="00811312"/>
    <w:rsid w:val="008115FE"/>
    <w:rsid w:val="00811873"/>
    <w:rsid w:val="00811B15"/>
    <w:rsid w:val="00811BDD"/>
    <w:rsid w:val="00811E8B"/>
    <w:rsid w:val="0081206B"/>
    <w:rsid w:val="0081207A"/>
    <w:rsid w:val="0081210A"/>
    <w:rsid w:val="0081229E"/>
    <w:rsid w:val="0081278C"/>
    <w:rsid w:val="0081297D"/>
    <w:rsid w:val="00812AD7"/>
    <w:rsid w:val="00812B38"/>
    <w:rsid w:val="00812B43"/>
    <w:rsid w:val="00812BDD"/>
    <w:rsid w:val="00812D73"/>
    <w:rsid w:val="00812DB5"/>
    <w:rsid w:val="008130B8"/>
    <w:rsid w:val="0081329E"/>
    <w:rsid w:val="0081358E"/>
    <w:rsid w:val="0081367A"/>
    <w:rsid w:val="008136E7"/>
    <w:rsid w:val="00813AA0"/>
    <w:rsid w:val="00813B46"/>
    <w:rsid w:val="00813C1F"/>
    <w:rsid w:val="00813E8A"/>
    <w:rsid w:val="00813F3B"/>
    <w:rsid w:val="00813F5D"/>
    <w:rsid w:val="008140B4"/>
    <w:rsid w:val="008142B6"/>
    <w:rsid w:val="008145B1"/>
    <w:rsid w:val="00814668"/>
    <w:rsid w:val="00814874"/>
    <w:rsid w:val="00814A44"/>
    <w:rsid w:val="00814A90"/>
    <w:rsid w:val="00814AC7"/>
    <w:rsid w:val="00814B45"/>
    <w:rsid w:val="00814C71"/>
    <w:rsid w:val="00814CEA"/>
    <w:rsid w:val="00814FC6"/>
    <w:rsid w:val="008150D7"/>
    <w:rsid w:val="00815138"/>
    <w:rsid w:val="008153BC"/>
    <w:rsid w:val="008156A2"/>
    <w:rsid w:val="008156BE"/>
    <w:rsid w:val="00815942"/>
    <w:rsid w:val="008159FC"/>
    <w:rsid w:val="00815A5C"/>
    <w:rsid w:val="00815C49"/>
    <w:rsid w:val="00815CB5"/>
    <w:rsid w:val="00815CC4"/>
    <w:rsid w:val="00815E05"/>
    <w:rsid w:val="00815F8C"/>
    <w:rsid w:val="00816029"/>
    <w:rsid w:val="008164DA"/>
    <w:rsid w:val="008165C0"/>
    <w:rsid w:val="00816A89"/>
    <w:rsid w:val="00816C5B"/>
    <w:rsid w:val="00816D01"/>
    <w:rsid w:val="00816F4A"/>
    <w:rsid w:val="00816FE3"/>
    <w:rsid w:val="008170A9"/>
    <w:rsid w:val="0081743C"/>
    <w:rsid w:val="00817507"/>
    <w:rsid w:val="008175B8"/>
    <w:rsid w:val="008175D9"/>
    <w:rsid w:val="008178D8"/>
    <w:rsid w:val="00817B75"/>
    <w:rsid w:val="00817BEE"/>
    <w:rsid w:val="00817CCC"/>
    <w:rsid w:val="00817D2C"/>
    <w:rsid w:val="00817D83"/>
    <w:rsid w:val="00817DD0"/>
    <w:rsid w:val="00817E78"/>
    <w:rsid w:val="00817F53"/>
    <w:rsid w:val="00820086"/>
    <w:rsid w:val="00820197"/>
    <w:rsid w:val="00820513"/>
    <w:rsid w:val="00820628"/>
    <w:rsid w:val="008206BB"/>
    <w:rsid w:val="00820707"/>
    <w:rsid w:val="00820A90"/>
    <w:rsid w:val="00820AAD"/>
    <w:rsid w:val="00820B3F"/>
    <w:rsid w:val="00820DBC"/>
    <w:rsid w:val="00820EA2"/>
    <w:rsid w:val="008210CC"/>
    <w:rsid w:val="008211FC"/>
    <w:rsid w:val="0082135B"/>
    <w:rsid w:val="008215FC"/>
    <w:rsid w:val="008216D4"/>
    <w:rsid w:val="008219C4"/>
    <w:rsid w:val="008219E1"/>
    <w:rsid w:val="00821C24"/>
    <w:rsid w:val="00821D0F"/>
    <w:rsid w:val="00821EEF"/>
    <w:rsid w:val="00821FAE"/>
    <w:rsid w:val="00822054"/>
    <w:rsid w:val="008221AF"/>
    <w:rsid w:val="008225E3"/>
    <w:rsid w:val="00822697"/>
    <w:rsid w:val="00822748"/>
    <w:rsid w:val="00822883"/>
    <w:rsid w:val="00822E4E"/>
    <w:rsid w:val="00822F02"/>
    <w:rsid w:val="00822FBB"/>
    <w:rsid w:val="00822FED"/>
    <w:rsid w:val="0082312E"/>
    <w:rsid w:val="0082335A"/>
    <w:rsid w:val="0082335E"/>
    <w:rsid w:val="00823661"/>
    <w:rsid w:val="00823712"/>
    <w:rsid w:val="00823B04"/>
    <w:rsid w:val="00823EA2"/>
    <w:rsid w:val="008240D0"/>
    <w:rsid w:val="00824131"/>
    <w:rsid w:val="00824297"/>
    <w:rsid w:val="00824454"/>
    <w:rsid w:val="0082458E"/>
    <w:rsid w:val="00825350"/>
    <w:rsid w:val="00825860"/>
    <w:rsid w:val="00825865"/>
    <w:rsid w:val="00825956"/>
    <w:rsid w:val="008259DA"/>
    <w:rsid w:val="00825B29"/>
    <w:rsid w:val="00825B4F"/>
    <w:rsid w:val="00825B6D"/>
    <w:rsid w:val="00825D08"/>
    <w:rsid w:val="00825D0C"/>
    <w:rsid w:val="00825E5C"/>
    <w:rsid w:val="00825EE7"/>
    <w:rsid w:val="00825F41"/>
    <w:rsid w:val="00826013"/>
    <w:rsid w:val="00826064"/>
    <w:rsid w:val="008260FB"/>
    <w:rsid w:val="008264CC"/>
    <w:rsid w:val="00826AEA"/>
    <w:rsid w:val="00826C23"/>
    <w:rsid w:val="00826C82"/>
    <w:rsid w:val="00826D2F"/>
    <w:rsid w:val="008270AB"/>
    <w:rsid w:val="00827113"/>
    <w:rsid w:val="00827260"/>
    <w:rsid w:val="00827425"/>
    <w:rsid w:val="00827458"/>
    <w:rsid w:val="008275FC"/>
    <w:rsid w:val="00827829"/>
    <w:rsid w:val="00827901"/>
    <w:rsid w:val="00827945"/>
    <w:rsid w:val="00827963"/>
    <w:rsid w:val="00827A31"/>
    <w:rsid w:val="00827CD4"/>
    <w:rsid w:val="00827D5A"/>
    <w:rsid w:val="00827F41"/>
    <w:rsid w:val="00827FCA"/>
    <w:rsid w:val="0083026A"/>
    <w:rsid w:val="008302E4"/>
    <w:rsid w:val="00830335"/>
    <w:rsid w:val="00830353"/>
    <w:rsid w:val="008304FA"/>
    <w:rsid w:val="008305AD"/>
    <w:rsid w:val="008307C9"/>
    <w:rsid w:val="008307FF"/>
    <w:rsid w:val="00830839"/>
    <w:rsid w:val="00830B47"/>
    <w:rsid w:val="00830CFB"/>
    <w:rsid w:val="00830E3D"/>
    <w:rsid w:val="0083106C"/>
    <w:rsid w:val="008311B7"/>
    <w:rsid w:val="008312F8"/>
    <w:rsid w:val="00831482"/>
    <w:rsid w:val="008314C1"/>
    <w:rsid w:val="00831552"/>
    <w:rsid w:val="00831838"/>
    <w:rsid w:val="008319FE"/>
    <w:rsid w:val="00831BC7"/>
    <w:rsid w:val="00831C04"/>
    <w:rsid w:val="00831CDA"/>
    <w:rsid w:val="00832162"/>
    <w:rsid w:val="00832587"/>
    <w:rsid w:val="008325C4"/>
    <w:rsid w:val="00832633"/>
    <w:rsid w:val="008326FB"/>
    <w:rsid w:val="00832926"/>
    <w:rsid w:val="00832A3A"/>
    <w:rsid w:val="00832A98"/>
    <w:rsid w:val="00832B0C"/>
    <w:rsid w:val="00832CD7"/>
    <w:rsid w:val="00832CDF"/>
    <w:rsid w:val="00832D25"/>
    <w:rsid w:val="00832F0F"/>
    <w:rsid w:val="008333FF"/>
    <w:rsid w:val="008334CB"/>
    <w:rsid w:val="008335C3"/>
    <w:rsid w:val="0083383F"/>
    <w:rsid w:val="00833ADF"/>
    <w:rsid w:val="00833C92"/>
    <w:rsid w:val="00833CE3"/>
    <w:rsid w:val="00833E3D"/>
    <w:rsid w:val="00833E8A"/>
    <w:rsid w:val="0083404B"/>
    <w:rsid w:val="0083411C"/>
    <w:rsid w:val="008342E6"/>
    <w:rsid w:val="00834553"/>
    <w:rsid w:val="00834845"/>
    <w:rsid w:val="00834989"/>
    <w:rsid w:val="00834A02"/>
    <w:rsid w:val="00834E44"/>
    <w:rsid w:val="00834E5F"/>
    <w:rsid w:val="00834ECF"/>
    <w:rsid w:val="0083549B"/>
    <w:rsid w:val="00835562"/>
    <w:rsid w:val="008359F5"/>
    <w:rsid w:val="00835E8B"/>
    <w:rsid w:val="00836067"/>
    <w:rsid w:val="00836167"/>
    <w:rsid w:val="008362DE"/>
    <w:rsid w:val="008364BB"/>
    <w:rsid w:val="008364C5"/>
    <w:rsid w:val="00836591"/>
    <w:rsid w:val="0083690C"/>
    <w:rsid w:val="00836959"/>
    <w:rsid w:val="00836A7A"/>
    <w:rsid w:val="00836B5B"/>
    <w:rsid w:val="00836C99"/>
    <w:rsid w:val="00836CA4"/>
    <w:rsid w:val="00836E13"/>
    <w:rsid w:val="00836F7F"/>
    <w:rsid w:val="00837512"/>
    <w:rsid w:val="00837BB0"/>
    <w:rsid w:val="00837D37"/>
    <w:rsid w:val="0083B753"/>
    <w:rsid w:val="0084022D"/>
    <w:rsid w:val="00840232"/>
    <w:rsid w:val="00840667"/>
    <w:rsid w:val="008406FF"/>
    <w:rsid w:val="008409B2"/>
    <w:rsid w:val="00840ABB"/>
    <w:rsid w:val="00840C7A"/>
    <w:rsid w:val="00840EA7"/>
    <w:rsid w:val="00840F72"/>
    <w:rsid w:val="008410B2"/>
    <w:rsid w:val="008415C9"/>
    <w:rsid w:val="00841787"/>
    <w:rsid w:val="0084188C"/>
    <w:rsid w:val="00841951"/>
    <w:rsid w:val="00841970"/>
    <w:rsid w:val="00841AE0"/>
    <w:rsid w:val="00841AE4"/>
    <w:rsid w:val="00841B6F"/>
    <w:rsid w:val="00841E69"/>
    <w:rsid w:val="00841F4D"/>
    <w:rsid w:val="0084213D"/>
    <w:rsid w:val="00842304"/>
    <w:rsid w:val="0084260B"/>
    <w:rsid w:val="00842644"/>
    <w:rsid w:val="008426A2"/>
    <w:rsid w:val="0084271D"/>
    <w:rsid w:val="0084288D"/>
    <w:rsid w:val="008428BE"/>
    <w:rsid w:val="00842AB5"/>
    <w:rsid w:val="00842B32"/>
    <w:rsid w:val="00842C64"/>
    <w:rsid w:val="00842CF4"/>
    <w:rsid w:val="00842F57"/>
    <w:rsid w:val="00843023"/>
    <w:rsid w:val="008431D1"/>
    <w:rsid w:val="008432C1"/>
    <w:rsid w:val="008432F1"/>
    <w:rsid w:val="00843476"/>
    <w:rsid w:val="0084353C"/>
    <w:rsid w:val="0084361E"/>
    <w:rsid w:val="00843675"/>
    <w:rsid w:val="0084372B"/>
    <w:rsid w:val="008438A9"/>
    <w:rsid w:val="00843AC3"/>
    <w:rsid w:val="00844323"/>
    <w:rsid w:val="00844419"/>
    <w:rsid w:val="00844886"/>
    <w:rsid w:val="008448AF"/>
    <w:rsid w:val="0084537D"/>
    <w:rsid w:val="00845A4B"/>
    <w:rsid w:val="00845A9E"/>
    <w:rsid w:val="00845B18"/>
    <w:rsid w:val="00845C72"/>
    <w:rsid w:val="00845F89"/>
    <w:rsid w:val="008460A9"/>
    <w:rsid w:val="00846233"/>
    <w:rsid w:val="0084644A"/>
    <w:rsid w:val="00846B53"/>
    <w:rsid w:val="00846E3D"/>
    <w:rsid w:val="00846EB3"/>
    <w:rsid w:val="00846F24"/>
    <w:rsid w:val="008470C2"/>
    <w:rsid w:val="0084727A"/>
    <w:rsid w:val="00847622"/>
    <w:rsid w:val="0084798F"/>
    <w:rsid w:val="008479DF"/>
    <w:rsid w:val="00847A6F"/>
    <w:rsid w:val="00847B4E"/>
    <w:rsid w:val="00847D3D"/>
    <w:rsid w:val="00847EC9"/>
    <w:rsid w:val="00847F82"/>
    <w:rsid w:val="0085017A"/>
    <w:rsid w:val="008501DD"/>
    <w:rsid w:val="00850412"/>
    <w:rsid w:val="008504C0"/>
    <w:rsid w:val="0085058D"/>
    <w:rsid w:val="0085077A"/>
    <w:rsid w:val="0085086A"/>
    <w:rsid w:val="0085094E"/>
    <w:rsid w:val="00850B59"/>
    <w:rsid w:val="00850D2C"/>
    <w:rsid w:val="00851031"/>
    <w:rsid w:val="008511A7"/>
    <w:rsid w:val="008511BE"/>
    <w:rsid w:val="008512F4"/>
    <w:rsid w:val="008515A2"/>
    <w:rsid w:val="0085182C"/>
    <w:rsid w:val="00851920"/>
    <w:rsid w:val="00851A01"/>
    <w:rsid w:val="00851CEE"/>
    <w:rsid w:val="00851E4E"/>
    <w:rsid w:val="00851FA2"/>
    <w:rsid w:val="00852232"/>
    <w:rsid w:val="00852316"/>
    <w:rsid w:val="00852725"/>
    <w:rsid w:val="00852945"/>
    <w:rsid w:val="00852A4C"/>
    <w:rsid w:val="00852BDE"/>
    <w:rsid w:val="00852DE7"/>
    <w:rsid w:val="00852E73"/>
    <w:rsid w:val="00853192"/>
    <w:rsid w:val="008534CE"/>
    <w:rsid w:val="00853C07"/>
    <w:rsid w:val="00853D48"/>
    <w:rsid w:val="00853FDF"/>
    <w:rsid w:val="0085427A"/>
    <w:rsid w:val="008542E1"/>
    <w:rsid w:val="00854BCC"/>
    <w:rsid w:val="00854C22"/>
    <w:rsid w:val="00854CD5"/>
    <w:rsid w:val="00854D42"/>
    <w:rsid w:val="00854ECC"/>
    <w:rsid w:val="00854FDE"/>
    <w:rsid w:val="0085573E"/>
    <w:rsid w:val="00855A6B"/>
    <w:rsid w:val="00855B9D"/>
    <w:rsid w:val="00855D16"/>
    <w:rsid w:val="00855E44"/>
    <w:rsid w:val="0085640E"/>
    <w:rsid w:val="00856428"/>
    <w:rsid w:val="0085643B"/>
    <w:rsid w:val="0085645D"/>
    <w:rsid w:val="00856727"/>
    <w:rsid w:val="00856930"/>
    <w:rsid w:val="0085698C"/>
    <w:rsid w:val="00856EDE"/>
    <w:rsid w:val="00856F16"/>
    <w:rsid w:val="00856FD0"/>
    <w:rsid w:val="0085764A"/>
    <w:rsid w:val="0085798F"/>
    <w:rsid w:val="008579C1"/>
    <w:rsid w:val="00860071"/>
    <w:rsid w:val="008602CC"/>
    <w:rsid w:val="008603D3"/>
    <w:rsid w:val="00860465"/>
    <w:rsid w:val="00860663"/>
    <w:rsid w:val="0086075A"/>
    <w:rsid w:val="0086079C"/>
    <w:rsid w:val="0086083C"/>
    <w:rsid w:val="00860A7C"/>
    <w:rsid w:val="00860C99"/>
    <w:rsid w:val="00861205"/>
    <w:rsid w:val="0086182B"/>
    <w:rsid w:val="00861916"/>
    <w:rsid w:val="00861A49"/>
    <w:rsid w:val="00861AEE"/>
    <w:rsid w:val="00861BFC"/>
    <w:rsid w:val="00861D9F"/>
    <w:rsid w:val="00861E25"/>
    <w:rsid w:val="00862006"/>
    <w:rsid w:val="00862098"/>
    <w:rsid w:val="008620AA"/>
    <w:rsid w:val="0086234C"/>
    <w:rsid w:val="008627A0"/>
    <w:rsid w:val="00862932"/>
    <w:rsid w:val="00862D32"/>
    <w:rsid w:val="00862D77"/>
    <w:rsid w:val="00862DB9"/>
    <w:rsid w:val="00862DC0"/>
    <w:rsid w:val="008634D0"/>
    <w:rsid w:val="008634F4"/>
    <w:rsid w:val="00863634"/>
    <w:rsid w:val="00863661"/>
    <w:rsid w:val="0086369A"/>
    <w:rsid w:val="008637FC"/>
    <w:rsid w:val="00863D4E"/>
    <w:rsid w:val="00863DD6"/>
    <w:rsid w:val="00863EA6"/>
    <w:rsid w:val="00863F7F"/>
    <w:rsid w:val="008640D7"/>
    <w:rsid w:val="00864101"/>
    <w:rsid w:val="008644AD"/>
    <w:rsid w:val="008646FB"/>
    <w:rsid w:val="00864840"/>
    <w:rsid w:val="00864A6A"/>
    <w:rsid w:val="00864A94"/>
    <w:rsid w:val="00864D1D"/>
    <w:rsid w:val="00864E68"/>
    <w:rsid w:val="00864ECE"/>
    <w:rsid w:val="00864F64"/>
    <w:rsid w:val="00865035"/>
    <w:rsid w:val="00865300"/>
    <w:rsid w:val="00865304"/>
    <w:rsid w:val="008658E4"/>
    <w:rsid w:val="00865A27"/>
    <w:rsid w:val="00865B77"/>
    <w:rsid w:val="00865BFB"/>
    <w:rsid w:val="00865C61"/>
    <w:rsid w:val="00865D08"/>
    <w:rsid w:val="00866041"/>
    <w:rsid w:val="0086617F"/>
    <w:rsid w:val="00866182"/>
    <w:rsid w:val="008661DA"/>
    <w:rsid w:val="00866388"/>
    <w:rsid w:val="00866493"/>
    <w:rsid w:val="00866496"/>
    <w:rsid w:val="008665B8"/>
    <w:rsid w:val="00866657"/>
    <w:rsid w:val="00866690"/>
    <w:rsid w:val="008668A6"/>
    <w:rsid w:val="00866E59"/>
    <w:rsid w:val="0086729C"/>
    <w:rsid w:val="008672D4"/>
    <w:rsid w:val="00867305"/>
    <w:rsid w:val="00867313"/>
    <w:rsid w:val="0086744F"/>
    <w:rsid w:val="0086764A"/>
    <w:rsid w:val="00867722"/>
    <w:rsid w:val="0086784D"/>
    <w:rsid w:val="0086797B"/>
    <w:rsid w:val="00867AFA"/>
    <w:rsid w:val="00867B80"/>
    <w:rsid w:val="00870219"/>
    <w:rsid w:val="00870505"/>
    <w:rsid w:val="008705C2"/>
    <w:rsid w:val="00870630"/>
    <w:rsid w:val="00870770"/>
    <w:rsid w:val="00870846"/>
    <w:rsid w:val="00870901"/>
    <w:rsid w:val="00870B24"/>
    <w:rsid w:val="00870D31"/>
    <w:rsid w:val="00870E06"/>
    <w:rsid w:val="00870F24"/>
    <w:rsid w:val="00871083"/>
    <w:rsid w:val="0087140E"/>
    <w:rsid w:val="00871554"/>
    <w:rsid w:val="008715B4"/>
    <w:rsid w:val="00871660"/>
    <w:rsid w:val="00871AF9"/>
    <w:rsid w:val="00871CFA"/>
    <w:rsid w:val="00871E57"/>
    <w:rsid w:val="008720CC"/>
    <w:rsid w:val="008720E1"/>
    <w:rsid w:val="008722B8"/>
    <w:rsid w:val="0087246B"/>
    <w:rsid w:val="00872963"/>
    <w:rsid w:val="00872AF1"/>
    <w:rsid w:val="00872F7E"/>
    <w:rsid w:val="00872FCF"/>
    <w:rsid w:val="008730EF"/>
    <w:rsid w:val="00873274"/>
    <w:rsid w:val="00873758"/>
    <w:rsid w:val="00873873"/>
    <w:rsid w:val="008738EF"/>
    <w:rsid w:val="008739A0"/>
    <w:rsid w:val="00873BF5"/>
    <w:rsid w:val="00873C8F"/>
    <w:rsid w:val="00873CAF"/>
    <w:rsid w:val="00873D2F"/>
    <w:rsid w:val="00873F8B"/>
    <w:rsid w:val="008742E8"/>
    <w:rsid w:val="008742FA"/>
    <w:rsid w:val="008748B5"/>
    <w:rsid w:val="008748C8"/>
    <w:rsid w:val="00874939"/>
    <w:rsid w:val="00874955"/>
    <w:rsid w:val="00874AEE"/>
    <w:rsid w:val="00874BD0"/>
    <w:rsid w:val="00874DBC"/>
    <w:rsid w:val="00874FB7"/>
    <w:rsid w:val="00875082"/>
    <w:rsid w:val="008750B4"/>
    <w:rsid w:val="0087511E"/>
    <w:rsid w:val="0087538B"/>
    <w:rsid w:val="0087551A"/>
    <w:rsid w:val="00875533"/>
    <w:rsid w:val="008758EB"/>
    <w:rsid w:val="00875C28"/>
    <w:rsid w:val="00875C2A"/>
    <w:rsid w:val="00875EC4"/>
    <w:rsid w:val="00875F73"/>
    <w:rsid w:val="00875F76"/>
    <w:rsid w:val="008764FF"/>
    <w:rsid w:val="008766EF"/>
    <w:rsid w:val="0087684F"/>
    <w:rsid w:val="00876918"/>
    <w:rsid w:val="00876A87"/>
    <w:rsid w:val="00876AAD"/>
    <w:rsid w:val="00876C43"/>
    <w:rsid w:val="00876F9F"/>
    <w:rsid w:val="0087707E"/>
    <w:rsid w:val="008771D0"/>
    <w:rsid w:val="00877264"/>
    <w:rsid w:val="008775CB"/>
    <w:rsid w:val="00877626"/>
    <w:rsid w:val="0087769F"/>
    <w:rsid w:val="008777EE"/>
    <w:rsid w:val="00877921"/>
    <w:rsid w:val="008779F8"/>
    <w:rsid w:val="00877A12"/>
    <w:rsid w:val="00877C50"/>
    <w:rsid w:val="00877CC4"/>
    <w:rsid w:val="00877EA4"/>
    <w:rsid w:val="00877F3D"/>
    <w:rsid w:val="00880196"/>
    <w:rsid w:val="00880280"/>
    <w:rsid w:val="00880371"/>
    <w:rsid w:val="008806CA"/>
    <w:rsid w:val="008806F2"/>
    <w:rsid w:val="0088072D"/>
    <w:rsid w:val="00880966"/>
    <w:rsid w:val="00880B12"/>
    <w:rsid w:val="00880E62"/>
    <w:rsid w:val="00880ECF"/>
    <w:rsid w:val="00880ED8"/>
    <w:rsid w:val="00881127"/>
    <w:rsid w:val="0088155A"/>
    <w:rsid w:val="00881658"/>
    <w:rsid w:val="008818F9"/>
    <w:rsid w:val="00881918"/>
    <w:rsid w:val="00881AA1"/>
    <w:rsid w:val="00881B98"/>
    <w:rsid w:val="00881BAB"/>
    <w:rsid w:val="00881E5E"/>
    <w:rsid w:val="00881F0F"/>
    <w:rsid w:val="0088206B"/>
    <w:rsid w:val="00882A32"/>
    <w:rsid w:val="00882BBB"/>
    <w:rsid w:val="00882BCA"/>
    <w:rsid w:val="00882C08"/>
    <w:rsid w:val="00882D0C"/>
    <w:rsid w:val="00882D41"/>
    <w:rsid w:val="00882E56"/>
    <w:rsid w:val="00882EF7"/>
    <w:rsid w:val="00883003"/>
    <w:rsid w:val="0088386E"/>
    <w:rsid w:val="00883936"/>
    <w:rsid w:val="008839B8"/>
    <w:rsid w:val="00883DE1"/>
    <w:rsid w:val="00883F62"/>
    <w:rsid w:val="0088427A"/>
    <w:rsid w:val="00884389"/>
    <w:rsid w:val="008845E2"/>
    <w:rsid w:val="008847A3"/>
    <w:rsid w:val="008847A4"/>
    <w:rsid w:val="008849DA"/>
    <w:rsid w:val="00884ABD"/>
    <w:rsid w:val="00884AF1"/>
    <w:rsid w:val="00884BD2"/>
    <w:rsid w:val="00884DD8"/>
    <w:rsid w:val="00884E81"/>
    <w:rsid w:val="00884EA9"/>
    <w:rsid w:val="00884EDA"/>
    <w:rsid w:val="0088520F"/>
    <w:rsid w:val="008853CC"/>
    <w:rsid w:val="008856C9"/>
    <w:rsid w:val="008857E4"/>
    <w:rsid w:val="008858FF"/>
    <w:rsid w:val="008859C8"/>
    <w:rsid w:val="00885AA7"/>
    <w:rsid w:val="00885B5B"/>
    <w:rsid w:val="00885D68"/>
    <w:rsid w:val="00885E92"/>
    <w:rsid w:val="00885FF9"/>
    <w:rsid w:val="00886135"/>
    <w:rsid w:val="00886145"/>
    <w:rsid w:val="008861DF"/>
    <w:rsid w:val="00886276"/>
    <w:rsid w:val="008864F0"/>
    <w:rsid w:val="008865FD"/>
    <w:rsid w:val="0088661A"/>
    <w:rsid w:val="00886644"/>
    <w:rsid w:val="00886762"/>
    <w:rsid w:val="0088677C"/>
    <w:rsid w:val="008867BE"/>
    <w:rsid w:val="008868F4"/>
    <w:rsid w:val="008869E4"/>
    <w:rsid w:val="00886DCA"/>
    <w:rsid w:val="00886FF8"/>
    <w:rsid w:val="00887019"/>
    <w:rsid w:val="00887101"/>
    <w:rsid w:val="00887263"/>
    <w:rsid w:val="00887299"/>
    <w:rsid w:val="008873CB"/>
    <w:rsid w:val="008874A8"/>
    <w:rsid w:val="0088779C"/>
    <w:rsid w:val="008877F4"/>
    <w:rsid w:val="00887817"/>
    <w:rsid w:val="0088786A"/>
    <w:rsid w:val="00887878"/>
    <w:rsid w:val="00887883"/>
    <w:rsid w:val="008878A1"/>
    <w:rsid w:val="00887A2C"/>
    <w:rsid w:val="00887A87"/>
    <w:rsid w:val="00887D5F"/>
    <w:rsid w:val="00887D70"/>
    <w:rsid w:val="00887E59"/>
    <w:rsid w:val="00887E7D"/>
    <w:rsid w:val="00890197"/>
    <w:rsid w:val="00890211"/>
    <w:rsid w:val="0089035D"/>
    <w:rsid w:val="00890539"/>
    <w:rsid w:val="00890551"/>
    <w:rsid w:val="00890672"/>
    <w:rsid w:val="00890823"/>
    <w:rsid w:val="008908E7"/>
    <w:rsid w:val="00890A7B"/>
    <w:rsid w:val="00890B24"/>
    <w:rsid w:val="00890C49"/>
    <w:rsid w:val="00890F87"/>
    <w:rsid w:val="0089113A"/>
    <w:rsid w:val="0089122A"/>
    <w:rsid w:val="0089145D"/>
    <w:rsid w:val="00891582"/>
    <w:rsid w:val="00891AB4"/>
    <w:rsid w:val="00891B25"/>
    <w:rsid w:val="00891C8C"/>
    <w:rsid w:val="00891CA9"/>
    <w:rsid w:val="00891F35"/>
    <w:rsid w:val="0089202E"/>
    <w:rsid w:val="0089239B"/>
    <w:rsid w:val="0089269E"/>
    <w:rsid w:val="0089270A"/>
    <w:rsid w:val="008928CB"/>
    <w:rsid w:val="00892C5F"/>
    <w:rsid w:val="00892C70"/>
    <w:rsid w:val="00892C7C"/>
    <w:rsid w:val="00892F62"/>
    <w:rsid w:val="00892FF9"/>
    <w:rsid w:val="00892FFF"/>
    <w:rsid w:val="0089340D"/>
    <w:rsid w:val="0089347B"/>
    <w:rsid w:val="008934D1"/>
    <w:rsid w:val="00893762"/>
    <w:rsid w:val="00893955"/>
    <w:rsid w:val="008939A9"/>
    <w:rsid w:val="00893AD6"/>
    <w:rsid w:val="00893C33"/>
    <w:rsid w:val="00893C78"/>
    <w:rsid w:val="00893ED8"/>
    <w:rsid w:val="00893F0B"/>
    <w:rsid w:val="0089414B"/>
    <w:rsid w:val="008941B4"/>
    <w:rsid w:val="00894579"/>
    <w:rsid w:val="008946CE"/>
    <w:rsid w:val="008948D4"/>
    <w:rsid w:val="00894AB9"/>
    <w:rsid w:val="00894B67"/>
    <w:rsid w:val="00894B7C"/>
    <w:rsid w:val="00895032"/>
    <w:rsid w:val="008952E0"/>
    <w:rsid w:val="008955A5"/>
    <w:rsid w:val="0089570C"/>
    <w:rsid w:val="00895BA4"/>
    <w:rsid w:val="00895F54"/>
    <w:rsid w:val="008961D9"/>
    <w:rsid w:val="008964B1"/>
    <w:rsid w:val="00896698"/>
    <w:rsid w:val="008966B5"/>
    <w:rsid w:val="008966CA"/>
    <w:rsid w:val="0089672D"/>
    <w:rsid w:val="00896ABA"/>
    <w:rsid w:val="00896B25"/>
    <w:rsid w:val="00896B6E"/>
    <w:rsid w:val="00896D6F"/>
    <w:rsid w:val="00896E09"/>
    <w:rsid w:val="008978C0"/>
    <w:rsid w:val="00897ABF"/>
    <w:rsid w:val="00897B10"/>
    <w:rsid w:val="00897B51"/>
    <w:rsid w:val="00897EC1"/>
    <w:rsid w:val="00897ED9"/>
    <w:rsid w:val="008A0170"/>
    <w:rsid w:val="008A05F9"/>
    <w:rsid w:val="008A0668"/>
    <w:rsid w:val="008A0833"/>
    <w:rsid w:val="008A091D"/>
    <w:rsid w:val="008A0AB3"/>
    <w:rsid w:val="008A0DD1"/>
    <w:rsid w:val="008A0FB6"/>
    <w:rsid w:val="008A0FFD"/>
    <w:rsid w:val="008A1196"/>
    <w:rsid w:val="008A14AB"/>
    <w:rsid w:val="008A1518"/>
    <w:rsid w:val="008A1684"/>
    <w:rsid w:val="008A1985"/>
    <w:rsid w:val="008A19D4"/>
    <w:rsid w:val="008A1C7E"/>
    <w:rsid w:val="008A1C8F"/>
    <w:rsid w:val="008A1F58"/>
    <w:rsid w:val="008A2375"/>
    <w:rsid w:val="008A23B4"/>
    <w:rsid w:val="008A24F8"/>
    <w:rsid w:val="008A25D3"/>
    <w:rsid w:val="008A2880"/>
    <w:rsid w:val="008A28E9"/>
    <w:rsid w:val="008A29C3"/>
    <w:rsid w:val="008A2AD5"/>
    <w:rsid w:val="008A2B4E"/>
    <w:rsid w:val="008A2E4D"/>
    <w:rsid w:val="008A2E61"/>
    <w:rsid w:val="008A2E83"/>
    <w:rsid w:val="008A2EA3"/>
    <w:rsid w:val="008A2EED"/>
    <w:rsid w:val="008A310B"/>
    <w:rsid w:val="008A3679"/>
    <w:rsid w:val="008A371F"/>
    <w:rsid w:val="008A378F"/>
    <w:rsid w:val="008A37FE"/>
    <w:rsid w:val="008A3851"/>
    <w:rsid w:val="008A3A98"/>
    <w:rsid w:val="008A3B02"/>
    <w:rsid w:val="008A3DC6"/>
    <w:rsid w:val="008A436B"/>
    <w:rsid w:val="008A44A6"/>
    <w:rsid w:val="008A4500"/>
    <w:rsid w:val="008A4589"/>
    <w:rsid w:val="008A4611"/>
    <w:rsid w:val="008A4619"/>
    <w:rsid w:val="008A488E"/>
    <w:rsid w:val="008A48CE"/>
    <w:rsid w:val="008A49E4"/>
    <w:rsid w:val="008A4B22"/>
    <w:rsid w:val="008A4B6F"/>
    <w:rsid w:val="008A5095"/>
    <w:rsid w:val="008A514B"/>
    <w:rsid w:val="008A5429"/>
    <w:rsid w:val="008A553D"/>
    <w:rsid w:val="008A55BD"/>
    <w:rsid w:val="008A5635"/>
    <w:rsid w:val="008A569B"/>
    <w:rsid w:val="008A5727"/>
    <w:rsid w:val="008A5835"/>
    <w:rsid w:val="008A59B0"/>
    <w:rsid w:val="008A5B1A"/>
    <w:rsid w:val="008A5C75"/>
    <w:rsid w:val="008A5CA4"/>
    <w:rsid w:val="008A5D84"/>
    <w:rsid w:val="008A5E5C"/>
    <w:rsid w:val="008A5F56"/>
    <w:rsid w:val="008A6190"/>
    <w:rsid w:val="008A61C0"/>
    <w:rsid w:val="008A6231"/>
    <w:rsid w:val="008A623D"/>
    <w:rsid w:val="008A62AD"/>
    <w:rsid w:val="008A63C3"/>
    <w:rsid w:val="008A6685"/>
    <w:rsid w:val="008A6884"/>
    <w:rsid w:val="008A6885"/>
    <w:rsid w:val="008A695B"/>
    <w:rsid w:val="008A6962"/>
    <w:rsid w:val="008A6983"/>
    <w:rsid w:val="008A6CAD"/>
    <w:rsid w:val="008A6DFD"/>
    <w:rsid w:val="008A6E66"/>
    <w:rsid w:val="008A74EE"/>
    <w:rsid w:val="008A7655"/>
    <w:rsid w:val="008A7936"/>
    <w:rsid w:val="008A7A0E"/>
    <w:rsid w:val="008A7ACC"/>
    <w:rsid w:val="008A7C28"/>
    <w:rsid w:val="008A7D39"/>
    <w:rsid w:val="008A7D40"/>
    <w:rsid w:val="008B00F4"/>
    <w:rsid w:val="008B03D9"/>
    <w:rsid w:val="008B07E4"/>
    <w:rsid w:val="008B07FC"/>
    <w:rsid w:val="008B0A64"/>
    <w:rsid w:val="008B0A74"/>
    <w:rsid w:val="008B0C67"/>
    <w:rsid w:val="008B0C84"/>
    <w:rsid w:val="008B0D37"/>
    <w:rsid w:val="008B0D69"/>
    <w:rsid w:val="008B0EB6"/>
    <w:rsid w:val="008B0F9F"/>
    <w:rsid w:val="008B1075"/>
    <w:rsid w:val="008B11CB"/>
    <w:rsid w:val="008B1686"/>
    <w:rsid w:val="008B177A"/>
    <w:rsid w:val="008B1975"/>
    <w:rsid w:val="008B1A90"/>
    <w:rsid w:val="008B1B27"/>
    <w:rsid w:val="008B1FBA"/>
    <w:rsid w:val="008B20E1"/>
    <w:rsid w:val="008B21F5"/>
    <w:rsid w:val="008B2415"/>
    <w:rsid w:val="008B28A8"/>
    <w:rsid w:val="008B2953"/>
    <w:rsid w:val="008B30F2"/>
    <w:rsid w:val="008B32F3"/>
    <w:rsid w:val="008B35B1"/>
    <w:rsid w:val="008B35C8"/>
    <w:rsid w:val="008B3B1F"/>
    <w:rsid w:val="008B3B2C"/>
    <w:rsid w:val="008B3BD3"/>
    <w:rsid w:val="008B3DEF"/>
    <w:rsid w:val="008B4105"/>
    <w:rsid w:val="008B4173"/>
    <w:rsid w:val="008B4203"/>
    <w:rsid w:val="008B437A"/>
    <w:rsid w:val="008B43A6"/>
    <w:rsid w:val="008B4591"/>
    <w:rsid w:val="008B470B"/>
    <w:rsid w:val="008B498B"/>
    <w:rsid w:val="008B4B18"/>
    <w:rsid w:val="008B4E5D"/>
    <w:rsid w:val="008B4ECB"/>
    <w:rsid w:val="008B4EDE"/>
    <w:rsid w:val="008B504E"/>
    <w:rsid w:val="008B5254"/>
    <w:rsid w:val="008B5266"/>
    <w:rsid w:val="008B56CC"/>
    <w:rsid w:val="008B56DD"/>
    <w:rsid w:val="008B5725"/>
    <w:rsid w:val="008B587A"/>
    <w:rsid w:val="008B5A75"/>
    <w:rsid w:val="008B5AD6"/>
    <w:rsid w:val="008B5D43"/>
    <w:rsid w:val="008B5E9F"/>
    <w:rsid w:val="008B60A7"/>
    <w:rsid w:val="008B6104"/>
    <w:rsid w:val="008B622F"/>
    <w:rsid w:val="008B62D0"/>
    <w:rsid w:val="008B6516"/>
    <w:rsid w:val="008B6574"/>
    <w:rsid w:val="008B66B2"/>
    <w:rsid w:val="008B67AA"/>
    <w:rsid w:val="008B67BB"/>
    <w:rsid w:val="008B6800"/>
    <w:rsid w:val="008B6821"/>
    <w:rsid w:val="008B6AC0"/>
    <w:rsid w:val="008B6AED"/>
    <w:rsid w:val="008B6FDE"/>
    <w:rsid w:val="008B71E6"/>
    <w:rsid w:val="008B71F8"/>
    <w:rsid w:val="008B7245"/>
    <w:rsid w:val="008B726D"/>
    <w:rsid w:val="008B72E3"/>
    <w:rsid w:val="008B7315"/>
    <w:rsid w:val="008B7725"/>
    <w:rsid w:val="008B7826"/>
    <w:rsid w:val="008B7898"/>
    <w:rsid w:val="008B7DE2"/>
    <w:rsid w:val="008B7EDE"/>
    <w:rsid w:val="008C011A"/>
    <w:rsid w:val="008C071A"/>
    <w:rsid w:val="008C0872"/>
    <w:rsid w:val="008C0A7B"/>
    <w:rsid w:val="008C13EF"/>
    <w:rsid w:val="008C156C"/>
    <w:rsid w:val="008C1590"/>
    <w:rsid w:val="008C1599"/>
    <w:rsid w:val="008C159B"/>
    <w:rsid w:val="008C1767"/>
    <w:rsid w:val="008C17A8"/>
    <w:rsid w:val="008C18CA"/>
    <w:rsid w:val="008C1A4D"/>
    <w:rsid w:val="008C1BEF"/>
    <w:rsid w:val="008C1CA3"/>
    <w:rsid w:val="008C21D8"/>
    <w:rsid w:val="008C2356"/>
    <w:rsid w:val="008C24A4"/>
    <w:rsid w:val="008C25B4"/>
    <w:rsid w:val="008C2822"/>
    <w:rsid w:val="008C2B63"/>
    <w:rsid w:val="008C2DAA"/>
    <w:rsid w:val="008C2DEC"/>
    <w:rsid w:val="008C2E23"/>
    <w:rsid w:val="008C2ED1"/>
    <w:rsid w:val="008C2F48"/>
    <w:rsid w:val="008C318C"/>
    <w:rsid w:val="008C319D"/>
    <w:rsid w:val="008C334B"/>
    <w:rsid w:val="008C36C6"/>
    <w:rsid w:val="008C3B26"/>
    <w:rsid w:val="008C4088"/>
    <w:rsid w:val="008C409D"/>
    <w:rsid w:val="008C4128"/>
    <w:rsid w:val="008C45A3"/>
    <w:rsid w:val="008C4707"/>
    <w:rsid w:val="008C47CE"/>
    <w:rsid w:val="008C48CE"/>
    <w:rsid w:val="008C493A"/>
    <w:rsid w:val="008C498B"/>
    <w:rsid w:val="008C4B30"/>
    <w:rsid w:val="008C4DD8"/>
    <w:rsid w:val="008C53E4"/>
    <w:rsid w:val="008C5418"/>
    <w:rsid w:val="008C5633"/>
    <w:rsid w:val="008C570A"/>
    <w:rsid w:val="008C5A8F"/>
    <w:rsid w:val="008C5AC5"/>
    <w:rsid w:val="008C5C24"/>
    <w:rsid w:val="008C5D6C"/>
    <w:rsid w:val="008C5F14"/>
    <w:rsid w:val="008C60D7"/>
    <w:rsid w:val="008C6476"/>
    <w:rsid w:val="008C64B9"/>
    <w:rsid w:val="008C6560"/>
    <w:rsid w:val="008C656E"/>
    <w:rsid w:val="008C6614"/>
    <w:rsid w:val="008C6713"/>
    <w:rsid w:val="008C6ACB"/>
    <w:rsid w:val="008C6AD4"/>
    <w:rsid w:val="008C6C55"/>
    <w:rsid w:val="008C6C84"/>
    <w:rsid w:val="008C6E07"/>
    <w:rsid w:val="008C7110"/>
    <w:rsid w:val="008C7271"/>
    <w:rsid w:val="008C7361"/>
    <w:rsid w:val="008C737F"/>
    <w:rsid w:val="008C74F0"/>
    <w:rsid w:val="008C76D8"/>
    <w:rsid w:val="008C7781"/>
    <w:rsid w:val="008C7876"/>
    <w:rsid w:val="008C78C1"/>
    <w:rsid w:val="008C78D2"/>
    <w:rsid w:val="008C78DD"/>
    <w:rsid w:val="008C7BE0"/>
    <w:rsid w:val="008C7D38"/>
    <w:rsid w:val="008C7DEE"/>
    <w:rsid w:val="008C7EB4"/>
    <w:rsid w:val="008C7F7E"/>
    <w:rsid w:val="008D009F"/>
    <w:rsid w:val="008D040B"/>
    <w:rsid w:val="008D05EF"/>
    <w:rsid w:val="008D0773"/>
    <w:rsid w:val="008D07B0"/>
    <w:rsid w:val="008D0A54"/>
    <w:rsid w:val="008D0B9B"/>
    <w:rsid w:val="008D0B9D"/>
    <w:rsid w:val="008D0D35"/>
    <w:rsid w:val="008D0DA5"/>
    <w:rsid w:val="008D0DD7"/>
    <w:rsid w:val="008D1151"/>
    <w:rsid w:val="008D1756"/>
    <w:rsid w:val="008D1A43"/>
    <w:rsid w:val="008D1A86"/>
    <w:rsid w:val="008D1E31"/>
    <w:rsid w:val="008D22DB"/>
    <w:rsid w:val="008D240F"/>
    <w:rsid w:val="008D267F"/>
    <w:rsid w:val="008D268F"/>
    <w:rsid w:val="008D2836"/>
    <w:rsid w:val="008D2A1F"/>
    <w:rsid w:val="008D2BFC"/>
    <w:rsid w:val="008D2EBA"/>
    <w:rsid w:val="008D2F8D"/>
    <w:rsid w:val="008D3242"/>
    <w:rsid w:val="008D3267"/>
    <w:rsid w:val="008D334A"/>
    <w:rsid w:val="008D334C"/>
    <w:rsid w:val="008D355C"/>
    <w:rsid w:val="008D361D"/>
    <w:rsid w:val="008D3633"/>
    <w:rsid w:val="008D36C5"/>
    <w:rsid w:val="008D3A0C"/>
    <w:rsid w:val="008D3AB3"/>
    <w:rsid w:val="008D3F0E"/>
    <w:rsid w:val="008D3FD4"/>
    <w:rsid w:val="008D44D1"/>
    <w:rsid w:val="008D45FF"/>
    <w:rsid w:val="008D4785"/>
    <w:rsid w:val="008D47BB"/>
    <w:rsid w:val="008D47E3"/>
    <w:rsid w:val="008D488B"/>
    <w:rsid w:val="008D4947"/>
    <w:rsid w:val="008D4CC5"/>
    <w:rsid w:val="008D4DEC"/>
    <w:rsid w:val="008D4FFD"/>
    <w:rsid w:val="008D52FE"/>
    <w:rsid w:val="008D5391"/>
    <w:rsid w:val="008D5510"/>
    <w:rsid w:val="008D576B"/>
    <w:rsid w:val="008D58EE"/>
    <w:rsid w:val="008D5B64"/>
    <w:rsid w:val="008D5BB4"/>
    <w:rsid w:val="008D5CD7"/>
    <w:rsid w:val="008D5D2E"/>
    <w:rsid w:val="008D5EA4"/>
    <w:rsid w:val="008D6098"/>
    <w:rsid w:val="008D6102"/>
    <w:rsid w:val="008D615A"/>
    <w:rsid w:val="008D6180"/>
    <w:rsid w:val="008D62A9"/>
    <w:rsid w:val="008D62D9"/>
    <w:rsid w:val="008D65EE"/>
    <w:rsid w:val="008D6735"/>
    <w:rsid w:val="008D6793"/>
    <w:rsid w:val="008D6853"/>
    <w:rsid w:val="008D6A20"/>
    <w:rsid w:val="008D6C05"/>
    <w:rsid w:val="008D6C3A"/>
    <w:rsid w:val="008D6C7A"/>
    <w:rsid w:val="008D6DA3"/>
    <w:rsid w:val="008D6E97"/>
    <w:rsid w:val="008D705A"/>
    <w:rsid w:val="008D7099"/>
    <w:rsid w:val="008D709F"/>
    <w:rsid w:val="008D70A4"/>
    <w:rsid w:val="008D70F6"/>
    <w:rsid w:val="008D7178"/>
    <w:rsid w:val="008D717D"/>
    <w:rsid w:val="008D7195"/>
    <w:rsid w:val="008D7309"/>
    <w:rsid w:val="008D733F"/>
    <w:rsid w:val="008D739C"/>
    <w:rsid w:val="008D73EE"/>
    <w:rsid w:val="008D75F9"/>
    <w:rsid w:val="008D7679"/>
    <w:rsid w:val="008D76DF"/>
    <w:rsid w:val="008D7973"/>
    <w:rsid w:val="008D79C2"/>
    <w:rsid w:val="008D79C3"/>
    <w:rsid w:val="008D7C37"/>
    <w:rsid w:val="008D7E08"/>
    <w:rsid w:val="008E00D4"/>
    <w:rsid w:val="008E02AD"/>
    <w:rsid w:val="008E05C9"/>
    <w:rsid w:val="008E07C6"/>
    <w:rsid w:val="008E07F5"/>
    <w:rsid w:val="008E0A20"/>
    <w:rsid w:val="008E0C81"/>
    <w:rsid w:val="008E0E4C"/>
    <w:rsid w:val="008E0EE8"/>
    <w:rsid w:val="008E12DF"/>
    <w:rsid w:val="008E13CB"/>
    <w:rsid w:val="008E13E3"/>
    <w:rsid w:val="008E160D"/>
    <w:rsid w:val="008E183D"/>
    <w:rsid w:val="008E1912"/>
    <w:rsid w:val="008E1C74"/>
    <w:rsid w:val="008E212B"/>
    <w:rsid w:val="008E2414"/>
    <w:rsid w:val="008E26DB"/>
    <w:rsid w:val="008E26EA"/>
    <w:rsid w:val="008E2799"/>
    <w:rsid w:val="008E27E4"/>
    <w:rsid w:val="008E3028"/>
    <w:rsid w:val="008E30C0"/>
    <w:rsid w:val="008E314D"/>
    <w:rsid w:val="008E3151"/>
    <w:rsid w:val="008E36F1"/>
    <w:rsid w:val="008E37A6"/>
    <w:rsid w:val="008E3AC4"/>
    <w:rsid w:val="008E3B52"/>
    <w:rsid w:val="008E3BDC"/>
    <w:rsid w:val="008E3D17"/>
    <w:rsid w:val="008E3E0F"/>
    <w:rsid w:val="008E3E10"/>
    <w:rsid w:val="008E3E96"/>
    <w:rsid w:val="008E4120"/>
    <w:rsid w:val="008E43B8"/>
    <w:rsid w:val="008E43F6"/>
    <w:rsid w:val="008E46A9"/>
    <w:rsid w:val="008E482E"/>
    <w:rsid w:val="008E4BB5"/>
    <w:rsid w:val="008E4CFE"/>
    <w:rsid w:val="008E4F24"/>
    <w:rsid w:val="008E54E2"/>
    <w:rsid w:val="008E57CD"/>
    <w:rsid w:val="008E594A"/>
    <w:rsid w:val="008E5B4F"/>
    <w:rsid w:val="008E5C85"/>
    <w:rsid w:val="008E5C94"/>
    <w:rsid w:val="008E6051"/>
    <w:rsid w:val="008E6082"/>
    <w:rsid w:val="008E665F"/>
    <w:rsid w:val="008E66F9"/>
    <w:rsid w:val="008E67FC"/>
    <w:rsid w:val="008E691D"/>
    <w:rsid w:val="008E6A18"/>
    <w:rsid w:val="008E6E79"/>
    <w:rsid w:val="008E703E"/>
    <w:rsid w:val="008E71F6"/>
    <w:rsid w:val="008E72FB"/>
    <w:rsid w:val="008E73AF"/>
    <w:rsid w:val="008E7473"/>
    <w:rsid w:val="008E7478"/>
    <w:rsid w:val="008E75C4"/>
    <w:rsid w:val="008E75FA"/>
    <w:rsid w:val="008E7846"/>
    <w:rsid w:val="008E7864"/>
    <w:rsid w:val="008E78FB"/>
    <w:rsid w:val="008E7970"/>
    <w:rsid w:val="008E7A3B"/>
    <w:rsid w:val="008F00E5"/>
    <w:rsid w:val="008F00FE"/>
    <w:rsid w:val="008F02B4"/>
    <w:rsid w:val="008F057C"/>
    <w:rsid w:val="008F0888"/>
    <w:rsid w:val="008F09D6"/>
    <w:rsid w:val="008F0BBD"/>
    <w:rsid w:val="008F0C76"/>
    <w:rsid w:val="008F0DA0"/>
    <w:rsid w:val="008F0E02"/>
    <w:rsid w:val="008F0E6D"/>
    <w:rsid w:val="008F0EF5"/>
    <w:rsid w:val="008F0FF4"/>
    <w:rsid w:val="008F171A"/>
    <w:rsid w:val="008F1856"/>
    <w:rsid w:val="008F19B7"/>
    <w:rsid w:val="008F1BD9"/>
    <w:rsid w:val="008F1D7A"/>
    <w:rsid w:val="008F2268"/>
    <w:rsid w:val="008F2765"/>
    <w:rsid w:val="008F2B08"/>
    <w:rsid w:val="008F2D5E"/>
    <w:rsid w:val="008F2ED8"/>
    <w:rsid w:val="008F3179"/>
    <w:rsid w:val="008F32DF"/>
    <w:rsid w:val="008F360C"/>
    <w:rsid w:val="008F3629"/>
    <w:rsid w:val="008F36D2"/>
    <w:rsid w:val="008F3B4F"/>
    <w:rsid w:val="008F3B8A"/>
    <w:rsid w:val="008F3BE5"/>
    <w:rsid w:val="008F3C46"/>
    <w:rsid w:val="008F3D44"/>
    <w:rsid w:val="008F3D89"/>
    <w:rsid w:val="008F4041"/>
    <w:rsid w:val="008F429E"/>
    <w:rsid w:val="008F4392"/>
    <w:rsid w:val="008F43A1"/>
    <w:rsid w:val="008F43C7"/>
    <w:rsid w:val="008F4583"/>
    <w:rsid w:val="008F45C4"/>
    <w:rsid w:val="008F466E"/>
    <w:rsid w:val="008F46AF"/>
    <w:rsid w:val="008F46E3"/>
    <w:rsid w:val="008F46F2"/>
    <w:rsid w:val="008F47D6"/>
    <w:rsid w:val="008F4807"/>
    <w:rsid w:val="008F4AC4"/>
    <w:rsid w:val="008F4CEA"/>
    <w:rsid w:val="008F4E07"/>
    <w:rsid w:val="008F4EAC"/>
    <w:rsid w:val="008F50BD"/>
    <w:rsid w:val="008F515F"/>
    <w:rsid w:val="008F51CB"/>
    <w:rsid w:val="008F5339"/>
    <w:rsid w:val="008F563C"/>
    <w:rsid w:val="008F59CB"/>
    <w:rsid w:val="008F5CCA"/>
    <w:rsid w:val="008F5D4D"/>
    <w:rsid w:val="008F5DD7"/>
    <w:rsid w:val="008F5E48"/>
    <w:rsid w:val="008F60B2"/>
    <w:rsid w:val="008F63CC"/>
    <w:rsid w:val="008F6423"/>
    <w:rsid w:val="008F690C"/>
    <w:rsid w:val="008F6B38"/>
    <w:rsid w:val="008F6FD5"/>
    <w:rsid w:val="008F72B8"/>
    <w:rsid w:val="008F74EC"/>
    <w:rsid w:val="008F762F"/>
    <w:rsid w:val="008F7D2F"/>
    <w:rsid w:val="008F7D4C"/>
    <w:rsid w:val="008F7EB3"/>
    <w:rsid w:val="008F7F66"/>
    <w:rsid w:val="008F7F8B"/>
    <w:rsid w:val="008F7F98"/>
    <w:rsid w:val="009001FC"/>
    <w:rsid w:val="00900331"/>
    <w:rsid w:val="00900391"/>
    <w:rsid w:val="009003B2"/>
    <w:rsid w:val="0090058E"/>
    <w:rsid w:val="0090064E"/>
    <w:rsid w:val="009006BD"/>
    <w:rsid w:val="009006BF"/>
    <w:rsid w:val="00900801"/>
    <w:rsid w:val="00900A0E"/>
    <w:rsid w:val="00900BF7"/>
    <w:rsid w:val="00900E62"/>
    <w:rsid w:val="00901109"/>
    <w:rsid w:val="009011F0"/>
    <w:rsid w:val="00901237"/>
    <w:rsid w:val="0090145A"/>
    <w:rsid w:val="00901486"/>
    <w:rsid w:val="00901683"/>
    <w:rsid w:val="00901910"/>
    <w:rsid w:val="00901B18"/>
    <w:rsid w:val="0090232C"/>
    <w:rsid w:val="009025A4"/>
    <w:rsid w:val="0090262C"/>
    <w:rsid w:val="00902775"/>
    <w:rsid w:val="0090278A"/>
    <w:rsid w:val="0090283B"/>
    <w:rsid w:val="009028DD"/>
    <w:rsid w:val="00902A57"/>
    <w:rsid w:val="00902BEB"/>
    <w:rsid w:val="00902C1D"/>
    <w:rsid w:val="00902CFA"/>
    <w:rsid w:val="00902D09"/>
    <w:rsid w:val="00902D0E"/>
    <w:rsid w:val="009034CA"/>
    <w:rsid w:val="0090363C"/>
    <w:rsid w:val="009038B8"/>
    <w:rsid w:val="00903951"/>
    <w:rsid w:val="0090397B"/>
    <w:rsid w:val="00903B11"/>
    <w:rsid w:val="00903C46"/>
    <w:rsid w:val="009040A4"/>
    <w:rsid w:val="009041C7"/>
    <w:rsid w:val="009045B8"/>
    <w:rsid w:val="00904670"/>
    <w:rsid w:val="00904676"/>
    <w:rsid w:val="009046EC"/>
    <w:rsid w:val="0090491C"/>
    <w:rsid w:val="0090516D"/>
    <w:rsid w:val="0090517F"/>
    <w:rsid w:val="00905180"/>
    <w:rsid w:val="00905299"/>
    <w:rsid w:val="009052A9"/>
    <w:rsid w:val="0090540A"/>
    <w:rsid w:val="009056D4"/>
    <w:rsid w:val="009059AB"/>
    <w:rsid w:val="00905B0E"/>
    <w:rsid w:val="00905BB5"/>
    <w:rsid w:val="00905E6B"/>
    <w:rsid w:val="00905F08"/>
    <w:rsid w:val="00905FC4"/>
    <w:rsid w:val="0090604D"/>
    <w:rsid w:val="009062ED"/>
    <w:rsid w:val="0090634C"/>
    <w:rsid w:val="00906388"/>
    <w:rsid w:val="0090673B"/>
    <w:rsid w:val="00906AF0"/>
    <w:rsid w:val="00906B72"/>
    <w:rsid w:val="00906B90"/>
    <w:rsid w:val="00906BF6"/>
    <w:rsid w:val="00906CC2"/>
    <w:rsid w:val="00906EEB"/>
    <w:rsid w:val="009070A1"/>
    <w:rsid w:val="00907272"/>
    <w:rsid w:val="00907497"/>
    <w:rsid w:val="00907817"/>
    <w:rsid w:val="00907829"/>
    <w:rsid w:val="00907AEE"/>
    <w:rsid w:val="00907D1E"/>
    <w:rsid w:val="00907D20"/>
    <w:rsid w:val="00907F9D"/>
    <w:rsid w:val="00910088"/>
    <w:rsid w:val="009100F9"/>
    <w:rsid w:val="009103B4"/>
    <w:rsid w:val="00910603"/>
    <w:rsid w:val="00910655"/>
    <w:rsid w:val="009106F5"/>
    <w:rsid w:val="00910C01"/>
    <w:rsid w:val="00910C18"/>
    <w:rsid w:val="00910C31"/>
    <w:rsid w:val="00910F99"/>
    <w:rsid w:val="00911011"/>
    <w:rsid w:val="00911175"/>
    <w:rsid w:val="0091136D"/>
    <w:rsid w:val="009113D1"/>
    <w:rsid w:val="009113E0"/>
    <w:rsid w:val="00911453"/>
    <w:rsid w:val="00911571"/>
    <w:rsid w:val="009118E8"/>
    <w:rsid w:val="00911A0C"/>
    <w:rsid w:val="00911CB0"/>
    <w:rsid w:val="00911D37"/>
    <w:rsid w:val="00911DE6"/>
    <w:rsid w:val="009120B2"/>
    <w:rsid w:val="00912215"/>
    <w:rsid w:val="009122C3"/>
    <w:rsid w:val="009125D0"/>
    <w:rsid w:val="00912A0D"/>
    <w:rsid w:val="00912C27"/>
    <w:rsid w:val="00912CD1"/>
    <w:rsid w:val="00913037"/>
    <w:rsid w:val="00913145"/>
    <w:rsid w:val="00913341"/>
    <w:rsid w:val="009135A1"/>
    <w:rsid w:val="00913777"/>
    <w:rsid w:val="009139E8"/>
    <w:rsid w:val="00913AD6"/>
    <w:rsid w:val="00913E36"/>
    <w:rsid w:val="009140AA"/>
    <w:rsid w:val="0091410B"/>
    <w:rsid w:val="009141C8"/>
    <w:rsid w:val="009141CA"/>
    <w:rsid w:val="00914351"/>
    <w:rsid w:val="00914608"/>
    <w:rsid w:val="009146F0"/>
    <w:rsid w:val="00914A69"/>
    <w:rsid w:val="00914C58"/>
    <w:rsid w:val="00914EA1"/>
    <w:rsid w:val="00914F27"/>
    <w:rsid w:val="009158B6"/>
    <w:rsid w:val="00915AA3"/>
    <w:rsid w:val="00915AE3"/>
    <w:rsid w:val="00915C7B"/>
    <w:rsid w:val="00915CCB"/>
    <w:rsid w:val="00915FD1"/>
    <w:rsid w:val="0091607A"/>
    <w:rsid w:val="009161A4"/>
    <w:rsid w:val="009163E0"/>
    <w:rsid w:val="0091659A"/>
    <w:rsid w:val="009166EA"/>
    <w:rsid w:val="009167CB"/>
    <w:rsid w:val="009167E7"/>
    <w:rsid w:val="00916852"/>
    <w:rsid w:val="00916881"/>
    <w:rsid w:val="00916956"/>
    <w:rsid w:val="009169BB"/>
    <w:rsid w:val="009169E3"/>
    <w:rsid w:val="00916A06"/>
    <w:rsid w:val="00916A15"/>
    <w:rsid w:val="00916B0A"/>
    <w:rsid w:val="00916B67"/>
    <w:rsid w:val="00916DD3"/>
    <w:rsid w:val="00916ED5"/>
    <w:rsid w:val="00916F02"/>
    <w:rsid w:val="00916FB3"/>
    <w:rsid w:val="00916FDB"/>
    <w:rsid w:val="0091710E"/>
    <w:rsid w:val="009171A8"/>
    <w:rsid w:val="00917597"/>
    <w:rsid w:val="00917CF5"/>
    <w:rsid w:val="00917D91"/>
    <w:rsid w:val="00917F26"/>
    <w:rsid w:val="0092005C"/>
    <w:rsid w:val="009201CC"/>
    <w:rsid w:val="00920234"/>
    <w:rsid w:val="0092040E"/>
    <w:rsid w:val="00920519"/>
    <w:rsid w:val="00920770"/>
    <w:rsid w:val="00920BA4"/>
    <w:rsid w:val="00920CF1"/>
    <w:rsid w:val="00920D1D"/>
    <w:rsid w:val="009210D1"/>
    <w:rsid w:val="009211D8"/>
    <w:rsid w:val="0092122E"/>
    <w:rsid w:val="0092197E"/>
    <w:rsid w:val="00921A55"/>
    <w:rsid w:val="00921ACA"/>
    <w:rsid w:val="00921AFD"/>
    <w:rsid w:val="00921D04"/>
    <w:rsid w:val="00921E43"/>
    <w:rsid w:val="00922010"/>
    <w:rsid w:val="00922320"/>
    <w:rsid w:val="009225D4"/>
    <w:rsid w:val="00922B21"/>
    <w:rsid w:val="00922C75"/>
    <w:rsid w:val="00922E1F"/>
    <w:rsid w:val="0092306E"/>
    <w:rsid w:val="009230B6"/>
    <w:rsid w:val="0092314A"/>
    <w:rsid w:val="009231C5"/>
    <w:rsid w:val="00923384"/>
    <w:rsid w:val="009234BF"/>
    <w:rsid w:val="0092372C"/>
    <w:rsid w:val="0092381D"/>
    <w:rsid w:val="00923C12"/>
    <w:rsid w:val="00923C4F"/>
    <w:rsid w:val="00923D02"/>
    <w:rsid w:val="00923E96"/>
    <w:rsid w:val="00924105"/>
    <w:rsid w:val="00924566"/>
    <w:rsid w:val="0092469A"/>
    <w:rsid w:val="00924902"/>
    <w:rsid w:val="009249EE"/>
    <w:rsid w:val="00924B4D"/>
    <w:rsid w:val="00925463"/>
    <w:rsid w:val="00925624"/>
    <w:rsid w:val="00925696"/>
    <w:rsid w:val="009257C5"/>
    <w:rsid w:val="00925EEA"/>
    <w:rsid w:val="0092607F"/>
    <w:rsid w:val="00926433"/>
    <w:rsid w:val="009267BA"/>
    <w:rsid w:val="009268A0"/>
    <w:rsid w:val="00926972"/>
    <w:rsid w:val="00926988"/>
    <w:rsid w:val="009269B2"/>
    <w:rsid w:val="00926A2D"/>
    <w:rsid w:val="00926A47"/>
    <w:rsid w:val="00926E59"/>
    <w:rsid w:val="0092707A"/>
    <w:rsid w:val="009271F9"/>
    <w:rsid w:val="009273BC"/>
    <w:rsid w:val="00927546"/>
    <w:rsid w:val="009278E6"/>
    <w:rsid w:val="00927916"/>
    <w:rsid w:val="009279BB"/>
    <w:rsid w:val="0093007B"/>
    <w:rsid w:val="009301E7"/>
    <w:rsid w:val="0093035F"/>
    <w:rsid w:val="009303DD"/>
    <w:rsid w:val="00930577"/>
    <w:rsid w:val="009306D0"/>
    <w:rsid w:val="00930726"/>
    <w:rsid w:val="00930749"/>
    <w:rsid w:val="00930774"/>
    <w:rsid w:val="00930BA6"/>
    <w:rsid w:val="00930C6F"/>
    <w:rsid w:val="00930CEC"/>
    <w:rsid w:val="00931301"/>
    <w:rsid w:val="00931429"/>
    <w:rsid w:val="00931469"/>
    <w:rsid w:val="009317B6"/>
    <w:rsid w:val="009317F9"/>
    <w:rsid w:val="00931830"/>
    <w:rsid w:val="009318AF"/>
    <w:rsid w:val="00931979"/>
    <w:rsid w:val="00931AF4"/>
    <w:rsid w:val="00931B79"/>
    <w:rsid w:val="00931D84"/>
    <w:rsid w:val="00931EFC"/>
    <w:rsid w:val="00931F95"/>
    <w:rsid w:val="009321CA"/>
    <w:rsid w:val="0093225F"/>
    <w:rsid w:val="009323EC"/>
    <w:rsid w:val="0093264B"/>
    <w:rsid w:val="00932D0D"/>
    <w:rsid w:val="00932ED8"/>
    <w:rsid w:val="0093302E"/>
    <w:rsid w:val="0093307B"/>
    <w:rsid w:val="00933580"/>
    <w:rsid w:val="009337B8"/>
    <w:rsid w:val="00933874"/>
    <w:rsid w:val="00933988"/>
    <w:rsid w:val="00933A60"/>
    <w:rsid w:val="00933B75"/>
    <w:rsid w:val="00933BC2"/>
    <w:rsid w:val="00933BE4"/>
    <w:rsid w:val="00933E0B"/>
    <w:rsid w:val="00934079"/>
    <w:rsid w:val="0093409F"/>
    <w:rsid w:val="00934197"/>
    <w:rsid w:val="00934403"/>
    <w:rsid w:val="00934701"/>
    <w:rsid w:val="00934772"/>
    <w:rsid w:val="00934B08"/>
    <w:rsid w:val="00934BAC"/>
    <w:rsid w:val="00934D59"/>
    <w:rsid w:val="00935223"/>
    <w:rsid w:val="00935AEB"/>
    <w:rsid w:val="00935B10"/>
    <w:rsid w:val="00935B65"/>
    <w:rsid w:val="00935BC9"/>
    <w:rsid w:val="009361B8"/>
    <w:rsid w:val="0093634E"/>
    <w:rsid w:val="00936750"/>
    <w:rsid w:val="00936787"/>
    <w:rsid w:val="00936944"/>
    <w:rsid w:val="00936BAC"/>
    <w:rsid w:val="00937416"/>
    <w:rsid w:val="00937423"/>
    <w:rsid w:val="0093758C"/>
    <w:rsid w:val="009376B7"/>
    <w:rsid w:val="00937799"/>
    <w:rsid w:val="0093782D"/>
    <w:rsid w:val="00937AE9"/>
    <w:rsid w:val="00937EC9"/>
    <w:rsid w:val="0094024A"/>
    <w:rsid w:val="009402F6"/>
    <w:rsid w:val="00940709"/>
    <w:rsid w:val="00940759"/>
    <w:rsid w:val="00940994"/>
    <w:rsid w:val="00940B6F"/>
    <w:rsid w:val="00940CFB"/>
    <w:rsid w:val="00940D81"/>
    <w:rsid w:val="00940ECB"/>
    <w:rsid w:val="00940FD2"/>
    <w:rsid w:val="00941010"/>
    <w:rsid w:val="00941221"/>
    <w:rsid w:val="00941274"/>
    <w:rsid w:val="00941289"/>
    <w:rsid w:val="0094177F"/>
    <w:rsid w:val="00941C7E"/>
    <w:rsid w:val="00941D63"/>
    <w:rsid w:val="00941D6F"/>
    <w:rsid w:val="00941E86"/>
    <w:rsid w:val="00941F37"/>
    <w:rsid w:val="00941FC2"/>
    <w:rsid w:val="00942053"/>
    <w:rsid w:val="0094213E"/>
    <w:rsid w:val="0094224D"/>
    <w:rsid w:val="00942419"/>
    <w:rsid w:val="0094258D"/>
    <w:rsid w:val="00942693"/>
    <w:rsid w:val="009427A5"/>
    <w:rsid w:val="009427C5"/>
    <w:rsid w:val="009428C5"/>
    <w:rsid w:val="009428DE"/>
    <w:rsid w:val="0094297A"/>
    <w:rsid w:val="00942B64"/>
    <w:rsid w:val="00942E62"/>
    <w:rsid w:val="00942FB9"/>
    <w:rsid w:val="0094325C"/>
    <w:rsid w:val="00943431"/>
    <w:rsid w:val="00943448"/>
    <w:rsid w:val="00943475"/>
    <w:rsid w:val="009434D6"/>
    <w:rsid w:val="00943524"/>
    <w:rsid w:val="0094360C"/>
    <w:rsid w:val="0094380C"/>
    <w:rsid w:val="009438D4"/>
    <w:rsid w:val="00943B0C"/>
    <w:rsid w:val="00943D89"/>
    <w:rsid w:val="00944194"/>
    <w:rsid w:val="0094425D"/>
    <w:rsid w:val="009442C6"/>
    <w:rsid w:val="009445AE"/>
    <w:rsid w:val="00944672"/>
    <w:rsid w:val="009446F5"/>
    <w:rsid w:val="009447E6"/>
    <w:rsid w:val="009449E6"/>
    <w:rsid w:val="00944BD9"/>
    <w:rsid w:val="00944BF0"/>
    <w:rsid w:val="00944D9E"/>
    <w:rsid w:val="0094518A"/>
    <w:rsid w:val="009451DB"/>
    <w:rsid w:val="00945207"/>
    <w:rsid w:val="00945235"/>
    <w:rsid w:val="00945300"/>
    <w:rsid w:val="00945641"/>
    <w:rsid w:val="009456D8"/>
    <w:rsid w:val="00945868"/>
    <w:rsid w:val="00945A00"/>
    <w:rsid w:val="00945BC0"/>
    <w:rsid w:val="00946393"/>
    <w:rsid w:val="00946862"/>
    <w:rsid w:val="009468C0"/>
    <w:rsid w:val="009468C2"/>
    <w:rsid w:val="00946ADC"/>
    <w:rsid w:val="00946B49"/>
    <w:rsid w:val="00946D38"/>
    <w:rsid w:val="00946DD3"/>
    <w:rsid w:val="00946FC8"/>
    <w:rsid w:val="0094700E"/>
    <w:rsid w:val="00947102"/>
    <w:rsid w:val="0094716B"/>
    <w:rsid w:val="009476D4"/>
    <w:rsid w:val="0094778A"/>
    <w:rsid w:val="009478E9"/>
    <w:rsid w:val="00947B7C"/>
    <w:rsid w:val="00947E32"/>
    <w:rsid w:val="00950068"/>
    <w:rsid w:val="00950148"/>
    <w:rsid w:val="0095016A"/>
    <w:rsid w:val="0095021B"/>
    <w:rsid w:val="00950639"/>
    <w:rsid w:val="00950884"/>
    <w:rsid w:val="00950B26"/>
    <w:rsid w:val="00950B33"/>
    <w:rsid w:val="00950EB6"/>
    <w:rsid w:val="00951434"/>
    <w:rsid w:val="009514FC"/>
    <w:rsid w:val="009516B0"/>
    <w:rsid w:val="0095180F"/>
    <w:rsid w:val="00951861"/>
    <w:rsid w:val="009519E0"/>
    <w:rsid w:val="009519FB"/>
    <w:rsid w:val="00951A65"/>
    <w:rsid w:val="00951BA0"/>
    <w:rsid w:val="00951C91"/>
    <w:rsid w:val="00951D57"/>
    <w:rsid w:val="00951F4B"/>
    <w:rsid w:val="00951F72"/>
    <w:rsid w:val="0095227E"/>
    <w:rsid w:val="00952405"/>
    <w:rsid w:val="00952559"/>
    <w:rsid w:val="00952628"/>
    <w:rsid w:val="00952982"/>
    <w:rsid w:val="009529A9"/>
    <w:rsid w:val="00952AAD"/>
    <w:rsid w:val="00952E9C"/>
    <w:rsid w:val="00953014"/>
    <w:rsid w:val="009530B0"/>
    <w:rsid w:val="009532BC"/>
    <w:rsid w:val="00953338"/>
    <w:rsid w:val="00953678"/>
    <w:rsid w:val="0095396D"/>
    <w:rsid w:val="009539E9"/>
    <w:rsid w:val="00953C3F"/>
    <w:rsid w:val="009540FF"/>
    <w:rsid w:val="00954247"/>
    <w:rsid w:val="00954294"/>
    <w:rsid w:val="009543BE"/>
    <w:rsid w:val="0095440B"/>
    <w:rsid w:val="00954554"/>
    <w:rsid w:val="009545D0"/>
    <w:rsid w:val="009545E2"/>
    <w:rsid w:val="009546E7"/>
    <w:rsid w:val="0095498A"/>
    <w:rsid w:val="00954C13"/>
    <w:rsid w:val="00954F39"/>
    <w:rsid w:val="00955141"/>
    <w:rsid w:val="009551AA"/>
    <w:rsid w:val="009551BB"/>
    <w:rsid w:val="009552E4"/>
    <w:rsid w:val="00955324"/>
    <w:rsid w:val="0095564A"/>
    <w:rsid w:val="009557D7"/>
    <w:rsid w:val="009557F9"/>
    <w:rsid w:val="00955924"/>
    <w:rsid w:val="00955DDA"/>
    <w:rsid w:val="00955E87"/>
    <w:rsid w:val="00956013"/>
    <w:rsid w:val="0095660F"/>
    <w:rsid w:val="0095672E"/>
    <w:rsid w:val="0095676E"/>
    <w:rsid w:val="009567D7"/>
    <w:rsid w:val="00956897"/>
    <w:rsid w:val="00956979"/>
    <w:rsid w:val="009569FF"/>
    <w:rsid w:val="00956D42"/>
    <w:rsid w:val="00956DE8"/>
    <w:rsid w:val="00956E09"/>
    <w:rsid w:val="00956EBA"/>
    <w:rsid w:val="00956F40"/>
    <w:rsid w:val="0095706E"/>
    <w:rsid w:val="009570DB"/>
    <w:rsid w:val="0095728C"/>
    <w:rsid w:val="0095749A"/>
    <w:rsid w:val="0095762F"/>
    <w:rsid w:val="00957775"/>
    <w:rsid w:val="009577F9"/>
    <w:rsid w:val="0095782C"/>
    <w:rsid w:val="00957A6A"/>
    <w:rsid w:val="00957E2C"/>
    <w:rsid w:val="00957F1D"/>
    <w:rsid w:val="00957F72"/>
    <w:rsid w:val="009602A4"/>
    <w:rsid w:val="009602DE"/>
    <w:rsid w:val="009603BD"/>
    <w:rsid w:val="009605CD"/>
    <w:rsid w:val="0096061F"/>
    <w:rsid w:val="00960B8E"/>
    <w:rsid w:val="00960E1F"/>
    <w:rsid w:val="009610CA"/>
    <w:rsid w:val="009610EA"/>
    <w:rsid w:val="0096135B"/>
    <w:rsid w:val="0096137B"/>
    <w:rsid w:val="009614A3"/>
    <w:rsid w:val="009617EF"/>
    <w:rsid w:val="00961961"/>
    <w:rsid w:val="00961D73"/>
    <w:rsid w:val="009621BB"/>
    <w:rsid w:val="009621E4"/>
    <w:rsid w:val="009622CF"/>
    <w:rsid w:val="0096236A"/>
    <w:rsid w:val="009625F9"/>
    <w:rsid w:val="00962894"/>
    <w:rsid w:val="00962DA8"/>
    <w:rsid w:val="00962F67"/>
    <w:rsid w:val="00963004"/>
    <w:rsid w:val="00963237"/>
    <w:rsid w:val="00963331"/>
    <w:rsid w:val="009636E5"/>
    <w:rsid w:val="0096374B"/>
    <w:rsid w:val="00963865"/>
    <w:rsid w:val="00963ABE"/>
    <w:rsid w:val="00963CD4"/>
    <w:rsid w:val="00963D55"/>
    <w:rsid w:val="00964024"/>
    <w:rsid w:val="009642FA"/>
    <w:rsid w:val="009645A5"/>
    <w:rsid w:val="00964699"/>
    <w:rsid w:val="009647EE"/>
    <w:rsid w:val="0096494B"/>
    <w:rsid w:val="00964CD6"/>
    <w:rsid w:val="00964DC4"/>
    <w:rsid w:val="00964DE6"/>
    <w:rsid w:val="00965057"/>
    <w:rsid w:val="009650E0"/>
    <w:rsid w:val="009654EB"/>
    <w:rsid w:val="009656F1"/>
    <w:rsid w:val="00965A7C"/>
    <w:rsid w:val="00965A8B"/>
    <w:rsid w:val="00965CB0"/>
    <w:rsid w:val="00966086"/>
    <w:rsid w:val="0096609C"/>
    <w:rsid w:val="0096650B"/>
    <w:rsid w:val="00966579"/>
    <w:rsid w:val="0096666B"/>
    <w:rsid w:val="00966A00"/>
    <w:rsid w:val="00966B6B"/>
    <w:rsid w:val="00966C9B"/>
    <w:rsid w:val="00966E04"/>
    <w:rsid w:val="00966EE0"/>
    <w:rsid w:val="00966EFF"/>
    <w:rsid w:val="009670A4"/>
    <w:rsid w:val="009670BA"/>
    <w:rsid w:val="00967195"/>
    <w:rsid w:val="009675D7"/>
    <w:rsid w:val="0096768E"/>
    <w:rsid w:val="009678F8"/>
    <w:rsid w:val="00967974"/>
    <w:rsid w:val="00967C4F"/>
    <w:rsid w:val="00967C58"/>
    <w:rsid w:val="00967D9D"/>
    <w:rsid w:val="00967DDD"/>
    <w:rsid w:val="00967FAE"/>
    <w:rsid w:val="00967FE1"/>
    <w:rsid w:val="009700F6"/>
    <w:rsid w:val="009705A6"/>
    <w:rsid w:val="00970881"/>
    <w:rsid w:val="00970A76"/>
    <w:rsid w:val="00970B7B"/>
    <w:rsid w:val="00970B91"/>
    <w:rsid w:val="00970C46"/>
    <w:rsid w:val="00970ED2"/>
    <w:rsid w:val="00971036"/>
    <w:rsid w:val="00971083"/>
    <w:rsid w:val="009710AC"/>
    <w:rsid w:val="0097111C"/>
    <w:rsid w:val="009712D0"/>
    <w:rsid w:val="009715F2"/>
    <w:rsid w:val="0097180C"/>
    <w:rsid w:val="00971B17"/>
    <w:rsid w:val="00971BEA"/>
    <w:rsid w:val="00971C81"/>
    <w:rsid w:val="00971E66"/>
    <w:rsid w:val="00971ED7"/>
    <w:rsid w:val="00972446"/>
    <w:rsid w:val="0097245A"/>
    <w:rsid w:val="009725F1"/>
    <w:rsid w:val="00972929"/>
    <w:rsid w:val="00972A73"/>
    <w:rsid w:val="00972B4B"/>
    <w:rsid w:val="00972DB0"/>
    <w:rsid w:val="00972F7D"/>
    <w:rsid w:val="00972F9C"/>
    <w:rsid w:val="009735E4"/>
    <w:rsid w:val="009736F6"/>
    <w:rsid w:val="009737F5"/>
    <w:rsid w:val="0097398B"/>
    <w:rsid w:val="00973AD7"/>
    <w:rsid w:val="00973C93"/>
    <w:rsid w:val="00973FD5"/>
    <w:rsid w:val="00974035"/>
    <w:rsid w:val="009741C8"/>
    <w:rsid w:val="00974383"/>
    <w:rsid w:val="00974880"/>
    <w:rsid w:val="00974BE9"/>
    <w:rsid w:val="00974C41"/>
    <w:rsid w:val="00974C43"/>
    <w:rsid w:val="00974E50"/>
    <w:rsid w:val="00975200"/>
    <w:rsid w:val="0097529D"/>
    <w:rsid w:val="00975344"/>
    <w:rsid w:val="0097579A"/>
    <w:rsid w:val="009757E3"/>
    <w:rsid w:val="00975843"/>
    <w:rsid w:val="00975D0F"/>
    <w:rsid w:val="009762BB"/>
    <w:rsid w:val="009764AC"/>
    <w:rsid w:val="00976759"/>
    <w:rsid w:val="00976856"/>
    <w:rsid w:val="00976914"/>
    <w:rsid w:val="0097698C"/>
    <w:rsid w:val="00976C21"/>
    <w:rsid w:val="009770B2"/>
    <w:rsid w:val="009770DA"/>
    <w:rsid w:val="009773A7"/>
    <w:rsid w:val="009776D0"/>
    <w:rsid w:val="009778BF"/>
    <w:rsid w:val="00977A55"/>
    <w:rsid w:val="00977E2F"/>
    <w:rsid w:val="00977EC0"/>
    <w:rsid w:val="009802E9"/>
    <w:rsid w:val="0098054A"/>
    <w:rsid w:val="009805E4"/>
    <w:rsid w:val="009806BD"/>
    <w:rsid w:val="00980CB0"/>
    <w:rsid w:val="00981193"/>
    <w:rsid w:val="00981268"/>
    <w:rsid w:val="0098140B"/>
    <w:rsid w:val="00981655"/>
    <w:rsid w:val="009817DA"/>
    <w:rsid w:val="0098180A"/>
    <w:rsid w:val="00981AE0"/>
    <w:rsid w:val="00981B79"/>
    <w:rsid w:val="00981EBD"/>
    <w:rsid w:val="00981F39"/>
    <w:rsid w:val="0098204F"/>
    <w:rsid w:val="009823E7"/>
    <w:rsid w:val="00982B39"/>
    <w:rsid w:val="00982FEB"/>
    <w:rsid w:val="00983000"/>
    <w:rsid w:val="00983075"/>
    <w:rsid w:val="00983688"/>
    <w:rsid w:val="009837A3"/>
    <w:rsid w:val="009837FD"/>
    <w:rsid w:val="009838CA"/>
    <w:rsid w:val="00983959"/>
    <w:rsid w:val="009839C1"/>
    <w:rsid w:val="00983BAD"/>
    <w:rsid w:val="00983D61"/>
    <w:rsid w:val="00984168"/>
    <w:rsid w:val="00984249"/>
    <w:rsid w:val="009842E6"/>
    <w:rsid w:val="00984542"/>
    <w:rsid w:val="00984752"/>
    <w:rsid w:val="00984878"/>
    <w:rsid w:val="00984A26"/>
    <w:rsid w:val="009850AA"/>
    <w:rsid w:val="009851CE"/>
    <w:rsid w:val="00985408"/>
    <w:rsid w:val="0098561C"/>
    <w:rsid w:val="00985635"/>
    <w:rsid w:val="00985A34"/>
    <w:rsid w:val="00985AE1"/>
    <w:rsid w:val="00985B99"/>
    <w:rsid w:val="00985BA3"/>
    <w:rsid w:val="00985BB3"/>
    <w:rsid w:val="00985DA7"/>
    <w:rsid w:val="009861BF"/>
    <w:rsid w:val="0098621A"/>
    <w:rsid w:val="00986359"/>
    <w:rsid w:val="009863B1"/>
    <w:rsid w:val="009865E2"/>
    <w:rsid w:val="009866B8"/>
    <w:rsid w:val="009866D2"/>
    <w:rsid w:val="00986713"/>
    <w:rsid w:val="00986892"/>
    <w:rsid w:val="009868BD"/>
    <w:rsid w:val="009869BA"/>
    <w:rsid w:val="00986BEB"/>
    <w:rsid w:val="00986F2A"/>
    <w:rsid w:val="00986F61"/>
    <w:rsid w:val="0098730E"/>
    <w:rsid w:val="009879B0"/>
    <w:rsid w:val="00987ADF"/>
    <w:rsid w:val="00987BD7"/>
    <w:rsid w:val="00987D11"/>
    <w:rsid w:val="00987D92"/>
    <w:rsid w:val="00987DB0"/>
    <w:rsid w:val="00987E2D"/>
    <w:rsid w:val="00987E5F"/>
    <w:rsid w:val="00987F48"/>
    <w:rsid w:val="0099048E"/>
    <w:rsid w:val="009906A6"/>
    <w:rsid w:val="00990769"/>
    <w:rsid w:val="00990981"/>
    <w:rsid w:val="00990AE4"/>
    <w:rsid w:val="00990C3E"/>
    <w:rsid w:val="009912D3"/>
    <w:rsid w:val="009913B2"/>
    <w:rsid w:val="0099152A"/>
    <w:rsid w:val="009915E0"/>
    <w:rsid w:val="00991803"/>
    <w:rsid w:val="00991963"/>
    <w:rsid w:val="00991BF6"/>
    <w:rsid w:val="00991D63"/>
    <w:rsid w:val="00991EC8"/>
    <w:rsid w:val="00991FF9"/>
    <w:rsid w:val="009922FE"/>
    <w:rsid w:val="0099236B"/>
    <w:rsid w:val="00992486"/>
    <w:rsid w:val="009925D2"/>
    <w:rsid w:val="0099264A"/>
    <w:rsid w:val="0099279F"/>
    <w:rsid w:val="00992A18"/>
    <w:rsid w:val="00992CFA"/>
    <w:rsid w:val="00992D4B"/>
    <w:rsid w:val="00992F50"/>
    <w:rsid w:val="00992F90"/>
    <w:rsid w:val="00993102"/>
    <w:rsid w:val="009932BA"/>
    <w:rsid w:val="0099338B"/>
    <w:rsid w:val="00993390"/>
    <w:rsid w:val="009934DA"/>
    <w:rsid w:val="00993761"/>
    <w:rsid w:val="0099381F"/>
    <w:rsid w:val="00993955"/>
    <w:rsid w:val="00993AAB"/>
    <w:rsid w:val="00993B0E"/>
    <w:rsid w:val="00993B90"/>
    <w:rsid w:val="00993C7E"/>
    <w:rsid w:val="00993C9D"/>
    <w:rsid w:val="00993F36"/>
    <w:rsid w:val="00993F96"/>
    <w:rsid w:val="00993FF5"/>
    <w:rsid w:val="00994053"/>
    <w:rsid w:val="009943D4"/>
    <w:rsid w:val="009944EB"/>
    <w:rsid w:val="0099469A"/>
    <w:rsid w:val="0099481E"/>
    <w:rsid w:val="009948AC"/>
    <w:rsid w:val="00994D3A"/>
    <w:rsid w:val="00994DD7"/>
    <w:rsid w:val="00994F18"/>
    <w:rsid w:val="00994F1D"/>
    <w:rsid w:val="00994F78"/>
    <w:rsid w:val="00994F8D"/>
    <w:rsid w:val="00994FEA"/>
    <w:rsid w:val="0099524D"/>
    <w:rsid w:val="0099528E"/>
    <w:rsid w:val="0099571F"/>
    <w:rsid w:val="009957C9"/>
    <w:rsid w:val="009959D5"/>
    <w:rsid w:val="00995CC2"/>
    <w:rsid w:val="00995E59"/>
    <w:rsid w:val="00995F44"/>
    <w:rsid w:val="009966AB"/>
    <w:rsid w:val="009969AF"/>
    <w:rsid w:val="00996D15"/>
    <w:rsid w:val="00996DF8"/>
    <w:rsid w:val="009971A6"/>
    <w:rsid w:val="00997209"/>
    <w:rsid w:val="009973DB"/>
    <w:rsid w:val="009974B9"/>
    <w:rsid w:val="00997899"/>
    <w:rsid w:val="00997A84"/>
    <w:rsid w:val="00997B71"/>
    <w:rsid w:val="009A000D"/>
    <w:rsid w:val="009A0147"/>
    <w:rsid w:val="009A0326"/>
    <w:rsid w:val="009A03F0"/>
    <w:rsid w:val="009A0589"/>
    <w:rsid w:val="009A05F7"/>
    <w:rsid w:val="009A0603"/>
    <w:rsid w:val="009A06A1"/>
    <w:rsid w:val="009A06D6"/>
    <w:rsid w:val="009A077C"/>
    <w:rsid w:val="009A0987"/>
    <w:rsid w:val="009A0AC6"/>
    <w:rsid w:val="009A0AD3"/>
    <w:rsid w:val="009A0B88"/>
    <w:rsid w:val="009A0D0E"/>
    <w:rsid w:val="009A0E78"/>
    <w:rsid w:val="009A0F8B"/>
    <w:rsid w:val="009A1064"/>
    <w:rsid w:val="009A1122"/>
    <w:rsid w:val="009A137E"/>
    <w:rsid w:val="009A16FF"/>
    <w:rsid w:val="009A1AC2"/>
    <w:rsid w:val="009A1B5B"/>
    <w:rsid w:val="009A1DA0"/>
    <w:rsid w:val="009A2233"/>
    <w:rsid w:val="009A2476"/>
    <w:rsid w:val="009A27F6"/>
    <w:rsid w:val="009A284D"/>
    <w:rsid w:val="009A28BF"/>
    <w:rsid w:val="009A2BC2"/>
    <w:rsid w:val="009A2DBB"/>
    <w:rsid w:val="009A2DD1"/>
    <w:rsid w:val="009A2E56"/>
    <w:rsid w:val="009A2EE8"/>
    <w:rsid w:val="009A2FDC"/>
    <w:rsid w:val="009A3221"/>
    <w:rsid w:val="009A39D7"/>
    <w:rsid w:val="009A3AB3"/>
    <w:rsid w:val="009A3C13"/>
    <w:rsid w:val="009A3CEB"/>
    <w:rsid w:val="009A3F21"/>
    <w:rsid w:val="009A3F95"/>
    <w:rsid w:val="009A40BE"/>
    <w:rsid w:val="009A411A"/>
    <w:rsid w:val="009A4234"/>
    <w:rsid w:val="009A42F3"/>
    <w:rsid w:val="009A43E4"/>
    <w:rsid w:val="009A4507"/>
    <w:rsid w:val="009A4521"/>
    <w:rsid w:val="009A456C"/>
    <w:rsid w:val="009A469D"/>
    <w:rsid w:val="009A46BB"/>
    <w:rsid w:val="009A46CA"/>
    <w:rsid w:val="009A47A5"/>
    <w:rsid w:val="009A4A36"/>
    <w:rsid w:val="009A4B44"/>
    <w:rsid w:val="009A4F4B"/>
    <w:rsid w:val="009A4F5E"/>
    <w:rsid w:val="009A4F7C"/>
    <w:rsid w:val="009A4FDD"/>
    <w:rsid w:val="009A5113"/>
    <w:rsid w:val="009A518C"/>
    <w:rsid w:val="009A5203"/>
    <w:rsid w:val="009A5595"/>
    <w:rsid w:val="009A55C0"/>
    <w:rsid w:val="009A59A6"/>
    <w:rsid w:val="009A5A97"/>
    <w:rsid w:val="009A5AA1"/>
    <w:rsid w:val="009A5B28"/>
    <w:rsid w:val="009A5BEF"/>
    <w:rsid w:val="009A5C15"/>
    <w:rsid w:val="009A5C33"/>
    <w:rsid w:val="009A5CE8"/>
    <w:rsid w:val="009A5E2F"/>
    <w:rsid w:val="009A6105"/>
    <w:rsid w:val="009A623B"/>
    <w:rsid w:val="009A63F6"/>
    <w:rsid w:val="009A64AD"/>
    <w:rsid w:val="009A68BF"/>
    <w:rsid w:val="009A68C4"/>
    <w:rsid w:val="009A6982"/>
    <w:rsid w:val="009A7166"/>
    <w:rsid w:val="009A72A4"/>
    <w:rsid w:val="009A736E"/>
    <w:rsid w:val="009A760B"/>
    <w:rsid w:val="009A7A53"/>
    <w:rsid w:val="009A7B17"/>
    <w:rsid w:val="009A7BCE"/>
    <w:rsid w:val="009A7C3A"/>
    <w:rsid w:val="009A7EEE"/>
    <w:rsid w:val="009B0002"/>
    <w:rsid w:val="009B0106"/>
    <w:rsid w:val="009B0354"/>
    <w:rsid w:val="009B03DB"/>
    <w:rsid w:val="009B051F"/>
    <w:rsid w:val="009B071D"/>
    <w:rsid w:val="009B176D"/>
    <w:rsid w:val="009B1A76"/>
    <w:rsid w:val="009B1B8C"/>
    <w:rsid w:val="009B1BEB"/>
    <w:rsid w:val="009B1E1D"/>
    <w:rsid w:val="009B1F75"/>
    <w:rsid w:val="009B1FAA"/>
    <w:rsid w:val="009B23F7"/>
    <w:rsid w:val="009B264D"/>
    <w:rsid w:val="009B2679"/>
    <w:rsid w:val="009B28FD"/>
    <w:rsid w:val="009B2BE3"/>
    <w:rsid w:val="009B2CCA"/>
    <w:rsid w:val="009B2FD8"/>
    <w:rsid w:val="009B303E"/>
    <w:rsid w:val="009B3346"/>
    <w:rsid w:val="009B3591"/>
    <w:rsid w:val="009B35F5"/>
    <w:rsid w:val="009B360E"/>
    <w:rsid w:val="009B36E2"/>
    <w:rsid w:val="009B374A"/>
    <w:rsid w:val="009B37DF"/>
    <w:rsid w:val="009B3942"/>
    <w:rsid w:val="009B395F"/>
    <w:rsid w:val="009B3A2A"/>
    <w:rsid w:val="009B3A86"/>
    <w:rsid w:val="009B3CC1"/>
    <w:rsid w:val="009B3D10"/>
    <w:rsid w:val="009B3DD4"/>
    <w:rsid w:val="009B3E23"/>
    <w:rsid w:val="009B3E77"/>
    <w:rsid w:val="009B3F3A"/>
    <w:rsid w:val="009B3FFE"/>
    <w:rsid w:val="009B4028"/>
    <w:rsid w:val="009B40A6"/>
    <w:rsid w:val="009B410E"/>
    <w:rsid w:val="009B4198"/>
    <w:rsid w:val="009B42A1"/>
    <w:rsid w:val="009B462A"/>
    <w:rsid w:val="009B4643"/>
    <w:rsid w:val="009B4756"/>
    <w:rsid w:val="009B4902"/>
    <w:rsid w:val="009B4944"/>
    <w:rsid w:val="009B4B42"/>
    <w:rsid w:val="009B4E05"/>
    <w:rsid w:val="009B4EB6"/>
    <w:rsid w:val="009B4EDC"/>
    <w:rsid w:val="009B4EDF"/>
    <w:rsid w:val="009B508F"/>
    <w:rsid w:val="009B515E"/>
    <w:rsid w:val="009B546D"/>
    <w:rsid w:val="009B55F1"/>
    <w:rsid w:val="009B5615"/>
    <w:rsid w:val="009B56AF"/>
    <w:rsid w:val="009B59D2"/>
    <w:rsid w:val="009B5A16"/>
    <w:rsid w:val="009B5D18"/>
    <w:rsid w:val="009B5DC6"/>
    <w:rsid w:val="009B5DF3"/>
    <w:rsid w:val="009B60A1"/>
    <w:rsid w:val="009B61A0"/>
    <w:rsid w:val="009B61E1"/>
    <w:rsid w:val="009B62BC"/>
    <w:rsid w:val="009B631F"/>
    <w:rsid w:val="009B6398"/>
    <w:rsid w:val="009B6919"/>
    <w:rsid w:val="009B6995"/>
    <w:rsid w:val="009B69C7"/>
    <w:rsid w:val="009B69F2"/>
    <w:rsid w:val="009B6BAF"/>
    <w:rsid w:val="009B6C83"/>
    <w:rsid w:val="009B6CAE"/>
    <w:rsid w:val="009B71BA"/>
    <w:rsid w:val="009B7471"/>
    <w:rsid w:val="009B7614"/>
    <w:rsid w:val="009B7AD1"/>
    <w:rsid w:val="009B7CBC"/>
    <w:rsid w:val="009B7DB8"/>
    <w:rsid w:val="009B7E05"/>
    <w:rsid w:val="009B7F89"/>
    <w:rsid w:val="009B7FC1"/>
    <w:rsid w:val="009C02E7"/>
    <w:rsid w:val="009C03B2"/>
    <w:rsid w:val="009C0992"/>
    <w:rsid w:val="009C0A41"/>
    <w:rsid w:val="009C0A66"/>
    <w:rsid w:val="009C0C82"/>
    <w:rsid w:val="009C0D42"/>
    <w:rsid w:val="009C0F46"/>
    <w:rsid w:val="009C1034"/>
    <w:rsid w:val="009C1088"/>
    <w:rsid w:val="009C1373"/>
    <w:rsid w:val="009C1394"/>
    <w:rsid w:val="009C16FE"/>
    <w:rsid w:val="009C18A7"/>
    <w:rsid w:val="009C19C2"/>
    <w:rsid w:val="009C1A58"/>
    <w:rsid w:val="009C1AA6"/>
    <w:rsid w:val="009C1B34"/>
    <w:rsid w:val="009C1EB7"/>
    <w:rsid w:val="009C1EB9"/>
    <w:rsid w:val="009C2008"/>
    <w:rsid w:val="009C22E1"/>
    <w:rsid w:val="009C234C"/>
    <w:rsid w:val="009C2545"/>
    <w:rsid w:val="009C2573"/>
    <w:rsid w:val="009C2870"/>
    <w:rsid w:val="009C28A5"/>
    <w:rsid w:val="009C2A68"/>
    <w:rsid w:val="009C2E73"/>
    <w:rsid w:val="009C3110"/>
    <w:rsid w:val="009C315C"/>
    <w:rsid w:val="009C3170"/>
    <w:rsid w:val="009C33FC"/>
    <w:rsid w:val="009C343B"/>
    <w:rsid w:val="009C357F"/>
    <w:rsid w:val="009C3A0F"/>
    <w:rsid w:val="009C3B4A"/>
    <w:rsid w:val="009C3C16"/>
    <w:rsid w:val="009C3C93"/>
    <w:rsid w:val="009C3DF6"/>
    <w:rsid w:val="009C3F42"/>
    <w:rsid w:val="009C3F74"/>
    <w:rsid w:val="009C4088"/>
    <w:rsid w:val="009C40F8"/>
    <w:rsid w:val="009C4550"/>
    <w:rsid w:val="009C46FF"/>
    <w:rsid w:val="009C4872"/>
    <w:rsid w:val="009C48D4"/>
    <w:rsid w:val="009C4CB1"/>
    <w:rsid w:val="009C4F5C"/>
    <w:rsid w:val="009C52A6"/>
    <w:rsid w:val="009C5369"/>
    <w:rsid w:val="009C54A8"/>
    <w:rsid w:val="009C55F8"/>
    <w:rsid w:val="009C56A4"/>
    <w:rsid w:val="009C5794"/>
    <w:rsid w:val="009C5893"/>
    <w:rsid w:val="009C5995"/>
    <w:rsid w:val="009C5DD6"/>
    <w:rsid w:val="009C5EFE"/>
    <w:rsid w:val="009C60D3"/>
    <w:rsid w:val="009C6483"/>
    <w:rsid w:val="009C64C4"/>
    <w:rsid w:val="009C6659"/>
    <w:rsid w:val="009C696F"/>
    <w:rsid w:val="009C6B26"/>
    <w:rsid w:val="009C6BB0"/>
    <w:rsid w:val="009C6E10"/>
    <w:rsid w:val="009C74C9"/>
    <w:rsid w:val="009C75AA"/>
    <w:rsid w:val="009C779B"/>
    <w:rsid w:val="009C7B18"/>
    <w:rsid w:val="009C7C72"/>
    <w:rsid w:val="009C7E40"/>
    <w:rsid w:val="009D0554"/>
    <w:rsid w:val="009D05E5"/>
    <w:rsid w:val="009D0B0B"/>
    <w:rsid w:val="009D0B4F"/>
    <w:rsid w:val="009D0C0E"/>
    <w:rsid w:val="009D103C"/>
    <w:rsid w:val="009D141F"/>
    <w:rsid w:val="009D15AF"/>
    <w:rsid w:val="009D1798"/>
    <w:rsid w:val="009D1906"/>
    <w:rsid w:val="009D1B31"/>
    <w:rsid w:val="009D1CAA"/>
    <w:rsid w:val="009D1D37"/>
    <w:rsid w:val="009D1DD6"/>
    <w:rsid w:val="009D1E7E"/>
    <w:rsid w:val="009D1FDB"/>
    <w:rsid w:val="009D20B3"/>
    <w:rsid w:val="009D214C"/>
    <w:rsid w:val="009D2277"/>
    <w:rsid w:val="009D2332"/>
    <w:rsid w:val="009D26BA"/>
    <w:rsid w:val="009D27B9"/>
    <w:rsid w:val="009D27CC"/>
    <w:rsid w:val="009D2A70"/>
    <w:rsid w:val="009D2B03"/>
    <w:rsid w:val="009D2DBC"/>
    <w:rsid w:val="009D2DEF"/>
    <w:rsid w:val="009D320C"/>
    <w:rsid w:val="009D34FD"/>
    <w:rsid w:val="009D3569"/>
    <w:rsid w:val="009D38F8"/>
    <w:rsid w:val="009D3A5A"/>
    <w:rsid w:val="009D3E6D"/>
    <w:rsid w:val="009D3E70"/>
    <w:rsid w:val="009D3EFF"/>
    <w:rsid w:val="009D406A"/>
    <w:rsid w:val="009D43F5"/>
    <w:rsid w:val="009D458C"/>
    <w:rsid w:val="009D45AA"/>
    <w:rsid w:val="009D4711"/>
    <w:rsid w:val="009D4904"/>
    <w:rsid w:val="009D4A61"/>
    <w:rsid w:val="009D506A"/>
    <w:rsid w:val="009D52F0"/>
    <w:rsid w:val="009D53E2"/>
    <w:rsid w:val="009D5856"/>
    <w:rsid w:val="009D59BD"/>
    <w:rsid w:val="009D5A4F"/>
    <w:rsid w:val="009D5A5E"/>
    <w:rsid w:val="009D5D7B"/>
    <w:rsid w:val="009D5DF5"/>
    <w:rsid w:val="009D5F68"/>
    <w:rsid w:val="009D5FB3"/>
    <w:rsid w:val="009D6099"/>
    <w:rsid w:val="009D60A7"/>
    <w:rsid w:val="009D617B"/>
    <w:rsid w:val="009D61C1"/>
    <w:rsid w:val="009D6339"/>
    <w:rsid w:val="009D644F"/>
    <w:rsid w:val="009D64B2"/>
    <w:rsid w:val="009D64BD"/>
    <w:rsid w:val="009D6617"/>
    <w:rsid w:val="009D68A3"/>
    <w:rsid w:val="009D702D"/>
    <w:rsid w:val="009D703E"/>
    <w:rsid w:val="009D71FE"/>
    <w:rsid w:val="009D72E0"/>
    <w:rsid w:val="009D74D3"/>
    <w:rsid w:val="009D7521"/>
    <w:rsid w:val="009D7902"/>
    <w:rsid w:val="009D7AB5"/>
    <w:rsid w:val="009D7ADF"/>
    <w:rsid w:val="009D7D8C"/>
    <w:rsid w:val="009D7E4A"/>
    <w:rsid w:val="009D7E8E"/>
    <w:rsid w:val="009D7F38"/>
    <w:rsid w:val="009E0529"/>
    <w:rsid w:val="009E05FE"/>
    <w:rsid w:val="009E0602"/>
    <w:rsid w:val="009E065D"/>
    <w:rsid w:val="009E0A3E"/>
    <w:rsid w:val="009E0B6F"/>
    <w:rsid w:val="009E0C7F"/>
    <w:rsid w:val="009E0D61"/>
    <w:rsid w:val="009E0E87"/>
    <w:rsid w:val="009E0F3C"/>
    <w:rsid w:val="009E10BC"/>
    <w:rsid w:val="009E116F"/>
    <w:rsid w:val="009E11A0"/>
    <w:rsid w:val="009E11E7"/>
    <w:rsid w:val="009E1200"/>
    <w:rsid w:val="009E1270"/>
    <w:rsid w:val="009E1512"/>
    <w:rsid w:val="009E1569"/>
    <w:rsid w:val="009E159D"/>
    <w:rsid w:val="009E19BA"/>
    <w:rsid w:val="009E1B31"/>
    <w:rsid w:val="009E1D06"/>
    <w:rsid w:val="009E1E2F"/>
    <w:rsid w:val="009E2203"/>
    <w:rsid w:val="009E23E8"/>
    <w:rsid w:val="009E2534"/>
    <w:rsid w:val="009E25B7"/>
    <w:rsid w:val="009E27B3"/>
    <w:rsid w:val="009E283A"/>
    <w:rsid w:val="009E2A8D"/>
    <w:rsid w:val="009E2C95"/>
    <w:rsid w:val="009E2E27"/>
    <w:rsid w:val="009E30AD"/>
    <w:rsid w:val="009E31ED"/>
    <w:rsid w:val="009E34B4"/>
    <w:rsid w:val="009E37AF"/>
    <w:rsid w:val="009E398C"/>
    <w:rsid w:val="009E39D5"/>
    <w:rsid w:val="009E3B35"/>
    <w:rsid w:val="009E3BEC"/>
    <w:rsid w:val="009E3CC5"/>
    <w:rsid w:val="009E3D4C"/>
    <w:rsid w:val="009E40B1"/>
    <w:rsid w:val="009E4177"/>
    <w:rsid w:val="009E4191"/>
    <w:rsid w:val="009E4509"/>
    <w:rsid w:val="009E4CF7"/>
    <w:rsid w:val="009E4F90"/>
    <w:rsid w:val="009E4FD2"/>
    <w:rsid w:val="009E5040"/>
    <w:rsid w:val="009E50EB"/>
    <w:rsid w:val="009E5147"/>
    <w:rsid w:val="009E5373"/>
    <w:rsid w:val="009E56F1"/>
    <w:rsid w:val="009E578A"/>
    <w:rsid w:val="009E5977"/>
    <w:rsid w:val="009E5CB2"/>
    <w:rsid w:val="009E5D9F"/>
    <w:rsid w:val="009E5EA5"/>
    <w:rsid w:val="009E5F51"/>
    <w:rsid w:val="009E606E"/>
    <w:rsid w:val="009E619C"/>
    <w:rsid w:val="009E6280"/>
    <w:rsid w:val="009E634D"/>
    <w:rsid w:val="009E638D"/>
    <w:rsid w:val="009E66CC"/>
    <w:rsid w:val="009E6847"/>
    <w:rsid w:val="009E6859"/>
    <w:rsid w:val="009E6A66"/>
    <w:rsid w:val="009E6C87"/>
    <w:rsid w:val="009E6D2A"/>
    <w:rsid w:val="009E6DCF"/>
    <w:rsid w:val="009E6EF0"/>
    <w:rsid w:val="009E7048"/>
    <w:rsid w:val="009E7143"/>
    <w:rsid w:val="009E724C"/>
    <w:rsid w:val="009E7731"/>
    <w:rsid w:val="009E781C"/>
    <w:rsid w:val="009E7998"/>
    <w:rsid w:val="009E7D74"/>
    <w:rsid w:val="009E7E49"/>
    <w:rsid w:val="009E7E4E"/>
    <w:rsid w:val="009E7F6F"/>
    <w:rsid w:val="009ECC2C"/>
    <w:rsid w:val="009F018A"/>
    <w:rsid w:val="009F03CD"/>
    <w:rsid w:val="009F0502"/>
    <w:rsid w:val="009F0535"/>
    <w:rsid w:val="009F05D3"/>
    <w:rsid w:val="009F05EC"/>
    <w:rsid w:val="009F0723"/>
    <w:rsid w:val="009F0978"/>
    <w:rsid w:val="009F0A54"/>
    <w:rsid w:val="009F0C29"/>
    <w:rsid w:val="009F0D72"/>
    <w:rsid w:val="009F0E16"/>
    <w:rsid w:val="009F0EF7"/>
    <w:rsid w:val="009F10B8"/>
    <w:rsid w:val="009F1495"/>
    <w:rsid w:val="009F1500"/>
    <w:rsid w:val="009F15A6"/>
    <w:rsid w:val="009F1A6D"/>
    <w:rsid w:val="009F1E74"/>
    <w:rsid w:val="009F235D"/>
    <w:rsid w:val="009F24B9"/>
    <w:rsid w:val="009F24CC"/>
    <w:rsid w:val="009F2561"/>
    <w:rsid w:val="009F2608"/>
    <w:rsid w:val="009F2654"/>
    <w:rsid w:val="009F29BF"/>
    <w:rsid w:val="009F2BD6"/>
    <w:rsid w:val="009F2CF5"/>
    <w:rsid w:val="009F2D9A"/>
    <w:rsid w:val="009F334D"/>
    <w:rsid w:val="009F3397"/>
    <w:rsid w:val="009F3427"/>
    <w:rsid w:val="009F3593"/>
    <w:rsid w:val="009F3733"/>
    <w:rsid w:val="009F378D"/>
    <w:rsid w:val="009F3945"/>
    <w:rsid w:val="009F3A6C"/>
    <w:rsid w:val="009F3B27"/>
    <w:rsid w:val="009F3BEF"/>
    <w:rsid w:val="009F3C70"/>
    <w:rsid w:val="009F3C9E"/>
    <w:rsid w:val="009F3FE9"/>
    <w:rsid w:val="009F4021"/>
    <w:rsid w:val="009F40E1"/>
    <w:rsid w:val="009F4228"/>
    <w:rsid w:val="009F44A6"/>
    <w:rsid w:val="009F453C"/>
    <w:rsid w:val="009F456C"/>
    <w:rsid w:val="009F4814"/>
    <w:rsid w:val="009F4C03"/>
    <w:rsid w:val="009F4C87"/>
    <w:rsid w:val="009F4D43"/>
    <w:rsid w:val="009F4FAF"/>
    <w:rsid w:val="009F509A"/>
    <w:rsid w:val="009F51FE"/>
    <w:rsid w:val="009F5222"/>
    <w:rsid w:val="009F5892"/>
    <w:rsid w:val="009F5CC9"/>
    <w:rsid w:val="009F5D97"/>
    <w:rsid w:val="009F6401"/>
    <w:rsid w:val="009F6631"/>
    <w:rsid w:val="009F6671"/>
    <w:rsid w:val="009F66D6"/>
    <w:rsid w:val="009F66F5"/>
    <w:rsid w:val="009F68B9"/>
    <w:rsid w:val="009F68C1"/>
    <w:rsid w:val="009F68E4"/>
    <w:rsid w:val="009F6924"/>
    <w:rsid w:val="009F6A73"/>
    <w:rsid w:val="009F6A8D"/>
    <w:rsid w:val="009F6BD8"/>
    <w:rsid w:val="009F6C27"/>
    <w:rsid w:val="009F724F"/>
    <w:rsid w:val="009F776D"/>
    <w:rsid w:val="009F781D"/>
    <w:rsid w:val="009F782D"/>
    <w:rsid w:val="009F794E"/>
    <w:rsid w:val="009F7965"/>
    <w:rsid w:val="009F7E4E"/>
    <w:rsid w:val="009F7FCF"/>
    <w:rsid w:val="00A0005B"/>
    <w:rsid w:val="00A000CA"/>
    <w:rsid w:val="00A00142"/>
    <w:rsid w:val="00A0032F"/>
    <w:rsid w:val="00A00358"/>
    <w:rsid w:val="00A0037B"/>
    <w:rsid w:val="00A0041C"/>
    <w:rsid w:val="00A005F8"/>
    <w:rsid w:val="00A0073B"/>
    <w:rsid w:val="00A00AC4"/>
    <w:rsid w:val="00A00B10"/>
    <w:rsid w:val="00A00B26"/>
    <w:rsid w:val="00A00ED0"/>
    <w:rsid w:val="00A00EE6"/>
    <w:rsid w:val="00A0110F"/>
    <w:rsid w:val="00A01243"/>
    <w:rsid w:val="00A0149E"/>
    <w:rsid w:val="00A01562"/>
    <w:rsid w:val="00A01665"/>
    <w:rsid w:val="00A016E0"/>
    <w:rsid w:val="00A016F7"/>
    <w:rsid w:val="00A018A2"/>
    <w:rsid w:val="00A019DA"/>
    <w:rsid w:val="00A01E07"/>
    <w:rsid w:val="00A020BB"/>
    <w:rsid w:val="00A0214D"/>
    <w:rsid w:val="00A021BD"/>
    <w:rsid w:val="00A0222C"/>
    <w:rsid w:val="00A023DC"/>
    <w:rsid w:val="00A023E5"/>
    <w:rsid w:val="00A028B4"/>
    <w:rsid w:val="00A028E4"/>
    <w:rsid w:val="00A02B7E"/>
    <w:rsid w:val="00A02BF9"/>
    <w:rsid w:val="00A02C73"/>
    <w:rsid w:val="00A02DAB"/>
    <w:rsid w:val="00A02E1B"/>
    <w:rsid w:val="00A02FF4"/>
    <w:rsid w:val="00A03017"/>
    <w:rsid w:val="00A03158"/>
    <w:rsid w:val="00A0342C"/>
    <w:rsid w:val="00A0346C"/>
    <w:rsid w:val="00A0375C"/>
    <w:rsid w:val="00A03772"/>
    <w:rsid w:val="00A038DB"/>
    <w:rsid w:val="00A038FE"/>
    <w:rsid w:val="00A03B41"/>
    <w:rsid w:val="00A03F30"/>
    <w:rsid w:val="00A041F7"/>
    <w:rsid w:val="00A04234"/>
    <w:rsid w:val="00A0426A"/>
    <w:rsid w:val="00A0426C"/>
    <w:rsid w:val="00A043C6"/>
    <w:rsid w:val="00A04434"/>
    <w:rsid w:val="00A04552"/>
    <w:rsid w:val="00A048A1"/>
    <w:rsid w:val="00A04B34"/>
    <w:rsid w:val="00A05354"/>
    <w:rsid w:val="00A0574D"/>
    <w:rsid w:val="00A05B5A"/>
    <w:rsid w:val="00A05B5E"/>
    <w:rsid w:val="00A05CEE"/>
    <w:rsid w:val="00A05CF3"/>
    <w:rsid w:val="00A060D8"/>
    <w:rsid w:val="00A0613C"/>
    <w:rsid w:val="00A06169"/>
    <w:rsid w:val="00A0632E"/>
    <w:rsid w:val="00A06360"/>
    <w:rsid w:val="00A063F5"/>
    <w:rsid w:val="00A0669A"/>
    <w:rsid w:val="00A06983"/>
    <w:rsid w:val="00A0707A"/>
    <w:rsid w:val="00A07089"/>
    <w:rsid w:val="00A07172"/>
    <w:rsid w:val="00A0729F"/>
    <w:rsid w:val="00A075C0"/>
    <w:rsid w:val="00A07794"/>
    <w:rsid w:val="00A07843"/>
    <w:rsid w:val="00A07BF4"/>
    <w:rsid w:val="00A07FEE"/>
    <w:rsid w:val="00A10346"/>
    <w:rsid w:val="00A103F0"/>
    <w:rsid w:val="00A10615"/>
    <w:rsid w:val="00A1072D"/>
    <w:rsid w:val="00A107B9"/>
    <w:rsid w:val="00A107BB"/>
    <w:rsid w:val="00A10A2C"/>
    <w:rsid w:val="00A10BFD"/>
    <w:rsid w:val="00A10D69"/>
    <w:rsid w:val="00A10DB8"/>
    <w:rsid w:val="00A110E9"/>
    <w:rsid w:val="00A113DE"/>
    <w:rsid w:val="00A11632"/>
    <w:rsid w:val="00A11701"/>
    <w:rsid w:val="00A1183E"/>
    <w:rsid w:val="00A118C2"/>
    <w:rsid w:val="00A1190B"/>
    <w:rsid w:val="00A11A4B"/>
    <w:rsid w:val="00A11DB0"/>
    <w:rsid w:val="00A11F45"/>
    <w:rsid w:val="00A11F9A"/>
    <w:rsid w:val="00A11FE9"/>
    <w:rsid w:val="00A12002"/>
    <w:rsid w:val="00A12036"/>
    <w:rsid w:val="00A1213D"/>
    <w:rsid w:val="00A123EF"/>
    <w:rsid w:val="00A123FF"/>
    <w:rsid w:val="00A125B0"/>
    <w:rsid w:val="00A125E8"/>
    <w:rsid w:val="00A126B5"/>
    <w:rsid w:val="00A126DE"/>
    <w:rsid w:val="00A127CC"/>
    <w:rsid w:val="00A12B06"/>
    <w:rsid w:val="00A12DB9"/>
    <w:rsid w:val="00A130FF"/>
    <w:rsid w:val="00A13204"/>
    <w:rsid w:val="00A13292"/>
    <w:rsid w:val="00A134DB"/>
    <w:rsid w:val="00A13505"/>
    <w:rsid w:val="00A1362F"/>
    <w:rsid w:val="00A137C5"/>
    <w:rsid w:val="00A1386E"/>
    <w:rsid w:val="00A13CC8"/>
    <w:rsid w:val="00A13F8B"/>
    <w:rsid w:val="00A142C3"/>
    <w:rsid w:val="00A14529"/>
    <w:rsid w:val="00A14592"/>
    <w:rsid w:val="00A14869"/>
    <w:rsid w:val="00A14CB9"/>
    <w:rsid w:val="00A15180"/>
    <w:rsid w:val="00A1521C"/>
    <w:rsid w:val="00A154D6"/>
    <w:rsid w:val="00A154F2"/>
    <w:rsid w:val="00A155A9"/>
    <w:rsid w:val="00A15892"/>
    <w:rsid w:val="00A15931"/>
    <w:rsid w:val="00A159E1"/>
    <w:rsid w:val="00A16121"/>
    <w:rsid w:val="00A16154"/>
    <w:rsid w:val="00A1634E"/>
    <w:rsid w:val="00A16541"/>
    <w:rsid w:val="00A1662C"/>
    <w:rsid w:val="00A1686D"/>
    <w:rsid w:val="00A168F8"/>
    <w:rsid w:val="00A169F8"/>
    <w:rsid w:val="00A16B02"/>
    <w:rsid w:val="00A16CB4"/>
    <w:rsid w:val="00A16D50"/>
    <w:rsid w:val="00A16D94"/>
    <w:rsid w:val="00A1701B"/>
    <w:rsid w:val="00A17304"/>
    <w:rsid w:val="00A17357"/>
    <w:rsid w:val="00A176C6"/>
    <w:rsid w:val="00A177F3"/>
    <w:rsid w:val="00A17C02"/>
    <w:rsid w:val="00A17DD2"/>
    <w:rsid w:val="00A17DF8"/>
    <w:rsid w:val="00A17DFD"/>
    <w:rsid w:val="00A20190"/>
    <w:rsid w:val="00A202B9"/>
    <w:rsid w:val="00A2031C"/>
    <w:rsid w:val="00A20325"/>
    <w:rsid w:val="00A2041B"/>
    <w:rsid w:val="00A204D1"/>
    <w:rsid w:val="00A2058A"/>
    <w:rsid w:val="00A2081F"/>
    <w:rsid w:val="00A20AAF"/>
    <w:rsid w:val="00A20B59"/>
    <w:rsid w:val="00A20F27"/>
    <w:rsid w:val="00A211EE"/>
    <w:rsid w:val="00A2123F"/>
    <w:rsid w:val="00A212CE"/>
    <w:rsid w:val="00A218AE"/>
    <w:rsid w:val="00A21AE4"/>
    <w:rsid w:val="00A21B8E"/>
    <w:rsid w:val="00A21D31"/>
    <w:rsid w:val="00A21DEC"/>
    <w:rsid w:val="00A21F0A"/>
    <w:rsid w:val="00A22074"/>
    <w:rsid w:val="00A220E9"/>
    <w:rsid w:val="00A22276"/>
    <w:rsid w:val="00A222B4"/>
    <w:rsid w:val="00A2230D"/>
    <w:rsid w:val="00A22548"/>
    <w:rsid w:val="00A2267B"/>
    <w:rsid w:val="00A226A1"/>
    <w:rsid w:val="00A226A6"/>
    <w:rsid w:val="00A226C6"/>
    <w:rsid w:val="00A22894"/>
    <w:rsid w:val="00A2298C"/>
    <w:rsid w:val="00A22A2B"/>
    <w:rsid w:val="00A22B1A"/>
    <w:rsid w:val="00A22B70"/>
    <w:rsid w:val="00A23305"/>
    <w:rsid w:val="00A2358F"/>
    <w:rsid w:val="00A23808"/>
    <w:rsid w:val="00A2395E"/>
    <w:rsid w:val="00A23964"/>
    <w:rsid w:val="00A23B6D"/>
    <w:rsid w:val="00A23C3B"/>
    <w:rsid w:val="00A23D94"/>
    <w:rsid w:val="00A23DD1"/>
    <w:rsid w:val="00A24455"/>
    <w:rsid w:val="00A24B74"/>
    <w:rsid w:val="00A24BFB"/>
    <w:rsid w:val="00A24C82"/>
    <w:rsid w:val="00A24C94"/>
    <w:rsid w:val="00A25130"/>
    <w:rsid w:val="00A25188"/>
    <w:rsid w:val="00A2532D"/>
    <w:rsid w:val="00A254C7"/>
    <w:rsid w:val="00A259A6"/>
    <w:rsid w:val="00A25A11"/>
    <w:rsid w:val="00A25A22"/>
    <w:rsid w:val="00A25A5A"/>
    <w:rsid w:val="00A25D37"/>
    <w:rsid w:val="00A25F35"/>
    <w:rsid w:val="00A2662D"/>
    <w:rsid w:val="00A26657"/>
    <w:rsid w:val="00A26918"/>
    <w:rsid w:val="00A26A39"/>
    <w:rsid w:val="00A26BA9"/>
    <w:rsid w:val="00A26BF5"/>
    <w:rsid w:val="00A27132"/>
    <w:rsid w:val="00A27150"/>
    <w:rsid w:val="00A27203"/>
    <w:rsid w:val="00A2729D"/>
    <w:rsid w:val="00A27489"/>
    <w:rsid w:val="00A278FD"/>
    <w:rsid w:val="00A27D6D"/>
    <w:rsid w:val="00A27DB2"/>
    <w:rsid w:val="00A307B6"/>
    <w:rsid w:val="00A30816"/>
    <w:rsid w:val="00A30823"/>
    <w:rsid w:val="00A3097A"/>
    <w:rsid w:val="00A30A33"/>
    <w:rsid w:val="00A30E01"/>
    <w:rsid w:val="00A3111C"/>
    <w:rsid w:val="00A3115B"/>
    <w:rsid w:val="00A31296"/>
    <w:rsid w:val="00A313B5"/>
    <w:rsid w:val="00A314C6"/>
    <w:rsid w:val="00A3162C"/>
    <w:rsid w:val="00A3193A"/>
    <w:rsid w:val="00A319A4"/>
    <w:rsid w:val="00A31A39"/>
    <w:rsid w:val="00A31ABD"/>
    <w:rsid w:val="00A31B36"/>
    <w:rsid w:val="00A31BCD"/>
    <w:rsid w:val="00A3226A"/>
    <w:rsid w:val="00A3229C"/>
    <w:rsid w:val="00A32372"/>
    <w:rsid w:val="00A326C5"/>
    <w:rsid w:val="00A3274F"/>
    <w:rsid w:val="00A327E0"/>
    <w:rsid w:val="00A3286D"/>
    <w:rsid w:val="00A32B38"/>
    <w:rsid w:val="00A32CAC"/>
    <w:rsid w:val="00A32D68"/>
    <w:rsid w:val="00A3313C"/>
    <w:rsid w:val="00A33B78"/>
    <w:rsid w:val="00A33CD7"/>
    <w:rsid w:val="00A3402E"/>
    <w:rsid w:val="00A3415D"/>
    <w:rsid w:val="00A341F9"/>
    <w:rsid w:val="00A343EB"/>
    <w:rsid w:val="00A34A19"/>
    <w:rsid w:val="00A34C51"/>
    <w:rsid w:val="00A34DF4"/>
    <w:rsid w:val="00A350D8"/>
    <w:rsid w:val="00A3539F"/>
    <w:rsid w:val="00A3561F"/>
    <w:rsid w:val="00A3591A"/>
    <w:rsid w:val="00A35B5D"/>
    <w:rsid w:val="00A35F6B"/>
    <w:rsid w:val="00A364D2"/>
    <w:rsid w:val="00A36554"/>
    <w:rsid w:val="00A36574"/>
    <w:rsid w:val="00A365F1"/>
    <w:rsid w:val="00A36687"/>
    <w:rsid w:val="00A366CB"/>
    <w:rsid w:val="00A36B32"/>
    <w:rsid w:val="00A36BF1"/>
    <w:rsid w:val="00A36E2F"/>
    <w:rsid w:val="00A36F77"/>
    <w:rsid w:val="00A376B9"/>
    <w:rsid w:val="00A37716"/>
    <w:rsid w:val="00A37893"/>
    <w:rsid w:val="00A379EF"/>
    <w:rsid w:val="00A37C51"/>
    <w:rsid w:val="00A37C7E"/>
    <w:rsid w:val="00A400DB"/>
    <w:rsid w:val="00A403F7"/>
    <w:rsid w:val="00A4057E"/>
    <w:rsid w:val="00A405D6"/>
    <w:rsid w:val="00A4065D"/>
    <w:rsid w:val="00A407D4"/>
    <w:rsid w:val="00A407D8"/>
    <w:rsid w:val="00A409EC"/>
    <w:rsid w:val="00A40C48"/>
    <w:rsid w:val="00A40F57"/>
    <w:rsid w:val="00A410DF"/>
    <w:rsid w:val="00A4115E"/>
    <w:rsid w:val="00A412C0"/>
    <w:rsid w:val="00A416E8"/>
    <w:rsid w:val="00A41706"/>
    <w:rsid w:val="00A41DCA"/>
    <w:rsid w:val="00A4206D"/>
    <w:rsid w:val="00A42103"/>
    <w:rsid w:val="00A421A5"/>
    <w:rsid w:val="00A42341"/>
    <w:rsid w:val="00A42597"/>
    <w:rsid w:val="00A429C5"/>
    <w:rsid w:val="00A42B1B"/>
    <w:rsid w:val="00A42CC9"/>
    <w:rsid w:val="00A42DAD"/>
    <w:rsid w:val="00A42EF2"/>
    <w:rsid w:val="00A430AB"/>
    <w:rsid w:val="00A430D0"/>
    <w:rsid w:val="00A432DA"/>
    <w:rsid w:val="00A432E4"/>
    <w:rsid w:val="00A434AD"/>
    <w:rsid w:val="00A437DD"/>
    <w:rsid w:val="00A43835"/>
    <w:rsid w:val="00A4383D"/>
    <w:rsid w:val="00A43C72"/>
    <w:rsid w:val="00A43E1D"/>
    <w:rsid w:val="00A43FE9"/>
    <w:rsid w:val="00A44010"/>
    <w:rsid w:val="00A44219"/>
    <w:rsid w:val="00A443AD"/>
    <w:rsid w:val="00A443CE"/>
    <w:rsid w:val="00A44690"/>
    <w:rsid w:val="00A4470B"/>
    <w:rsid w:val="00A4491E"/>
    <w:rsid w:val="00A44968"/>
    <w:rsid w:val="00A44C37"/>
    <w:rsid w:val="00A44C84"/>
    <w:rsid w:val="00A44CD3"/>
    <w:rsid w:val="00A45021"/>
    <w:rsid w:val="00A45115"/>
    <w:rsid w:val="00A4529F"/>
    <w:rsid w:val="00A454D4"/>
    <w:rsid w:val="00A4551B"/>
    <w:rsid w:val="00A45585"/>
    <w:rsid w:val="00A456F0"/>
    <w:rsid w:val="00A457CA"/>
    <w:rsid w:val="00A45AC1"/>
    <w:rsid w:val="00A45C22"/>
    <w:rsid w:val="00A45E11"/>
    <w:rsid w:val="00A45F1E"/>
    <w:rsid w:val="00A4600A"/>
    <w:rsid w:val="00A466A3"/>
    <w:rsid w:val="00A46771"/>
    <w:rsid w:val="00A46E03"/>
    <w:rsid w:val="00A471AF"/>
    <w:rsid w:val="00A4722D"/>
    <w:rsid w:val="00A47296"/>
    <w:rsid w:val="00A473C7"/>
    <w:rsid w:val="00A475EB"/>
    <w:rsid w:val="00A47C2A"/>
    <w:rsid w:val="00A47CAD"/>
    <w:rsid w:val="00A47D0F"/>
    <w:rsid w:val="00A50269"/>
    <w:rsid w:val="00A50642"/>
    <w:rsid w:val="00A50684"/>
    <w:rsid w:val="00A507BC"/>
    <w:rsid w:val="00A50B9B"/>
    <w:rsid w:val="00A50B9E"/>
    <w:rsid w:val="00A50BB6"/>
    <w:rsid w:val="00A510A0"/>
    <w:rsid w:val="00A510D5"/>
    <w:rsid w:val="00A5123A"/>
    <w:rsid w:val="00A512C2"/>
    <w:rsid w:val="00A5138D"/>
    <w:rsid w:val="00A513D2"/>
    <w:rsid w:val="00A51535"/>
    <w:rsid w:val="00A515D5"/>
    <w:rsid w:val="00A515DB"/>
    <w:rsid w:val="00A516A0"/>
    <w:rsid w:val="00A51736"/>
    <w:rsid w:val="00A518E6"/>
    <w:rsid w:val="00A519F2"/>
    <w:rsid w:val="00A51AA6"/>
    <w:rsid w:val="00A51D07"/>
    <w:rsid w:val="00A51D9F"/>
    <w:rsid w:val="00A51DAA"/>
    <w:rsid w:val="00A51E84"/>
    <w:rsid w:val="00A51EA1"/>
    <w:rsid w:val="00A52305"/>
    <w:rsid w:val="00A525BA"/>
    <w:rsid w:val="00A527DA"/>
    <w:rsid w:val="00A52AFE"/>
    <w:rsid w:val="00A52C37"/>
    <w:rsid w:val="00A52CD1"/>
    <w:rsid w:val="00A52CD9"/>
    <w:rsid w:val="00A52D33"/>
    <w:rsid w:val="00A53095"/>
    <w:rsid w:val="00A5324F"/>
    <w:rsid w:val="00A5354F"/>
    <w:rsid w:val="00A535CD"/>
    <w:rsid w:val="00A53707"/>
    <w:rsid w:val="00A53BB9"/>
    <w:rsid w:val="00A53BF2"/>
    <w:rsid w:val="00A53D4B"/>
    <w:rsid w:val="00A53D7B"/>
    <w:rsid w:val="00A53DD0"/>
    <w:rsid w:val="00A53DFE"/>
    <w:rsid w:val="00A53E6D"/>
    <w:rsid w:val="00A53EC4"/>
    <w:rsid w:val="00A540A6"/>
    <w:rsid w:val="00A5421E"/>
    <w:rsid w:val="00A54310"/>
    <w:rsid w:val="00A54410"/>
    <w:rsid w:val="00A545CA"/>
    <w:rsid w:val="00A54636"/>
    <w:rsid w:val="00A54669"/>
    <w:rsid w:val="00A5491D"/>
    <w:rsid w:val="00A54FA3"/>
    <w:rsid w:val="00A5516E"/>
    <w:rsid w:val="00A55370"/>
    <w:rsid w:val="00A553E9"/>
    <w:rsid w:val="00A5547E"/>
    <w:rsid w:val="00A55521"/>
    <w:rsid w:val="00A5570D"/>
    <w:rsid w:val="00A557B6"/>
    <w:rsid w:val="00A55AE0"/>
    <w:rsid w:val="00A55B12"/>
    <w:rsid w:val="00A55C1D"/>
    <w:rsid w:val="00A55DCF"/>
    <w:rsid w:val="00A55E0A"/>
    <w:rsid w:val="00A55E50"/>
    <w:rsid w:val="00A55E72"/>
    <w:rsid w:val="00A56069"/>
    <w:rsid w:val="00A56075"/>
    <w:rsid w:val="00A56174"/>
    <w:rsid w:val="00A564CD"/>
    <w:rsid w:val="00A565EC"/>
    <w:rsid w:val="00A5666A"/>
    <w:rsid w:val="00A5673D"/>
    <w:rsid w:val="00A56888"/>
    <w:rsid w:val="00A56C7E"/>
    <w:rsid w:val="00A56CDE"/>
    <w:rsid w:val="00A56D1B"/>
    <w:rsid w:val="00A56DAD"/>
    <w:rsid w:val="00A56FF0"/>
    <w:rsid w:val="00A57259"/>
    <w:rsid w:val="00A5733C"/>
    <w:rsid w:val="00A57494"/>
    <w:rsid w:val="00A57497"/>
    <w:rsid w:val="00A57587"/>
    <w:rsid w:val="00A575E1"/>
    <w:rsid w:val="00A57A0F"/>
    <w:rsid w:val="00A57D41"/>
    <w:rsid w:val="00A57E3F"/>
    <w:rsid w:val="00A57FA5"/>
    <w:rsid w:val="00A60697"/>
    <w:rsid w:val="00A606B1"/>
    <w:rsid w:val="00A60852"/>
    <w:rsid w:val="00A608D1"/>
    <w:rsid w:val="00A60AA7"/>
    <w:rsid w:val="00A60AC7"/>
    <w:rsid w:val="00A60B46"/>
    <w:rsid w:val="00A60E5A"/>
    <w:rsid w:val="00A60E67"/>
    <w:rsid w:val="00A60EE7"/>
    <w:rsid w:val="00A6109D"/>
    <w:rsid w:val="00A610FE"/>
    <w:rsid w:val="00A612C8"/>
    <w:rsid w:val="00A612E2"/>
    <w:rsid w:val="00A614A4"/>
    <w:rsid w:val="00A6167F"/>
    <w:rsid w:val="00A6191B"/>
    <w:rsid w:val="00A61930"/>
    <w:rsid w:val="00A61968"/>
    <w:rsid w:val="00A61B36"/>
    <w:rsid w:val="00A61B38"/>
    <w:rsid w:val="00A61DA7"/>
    <w:rsid w:val="00A61DD0"/>
    <w:rsid w:val="00A62012"/>
    <w:rsid w:val="00A622E1"/>
    <w:rsid w:val="00A623E1"/>
    <w:rsid w:val="00A62479"/>
    <w:rsid w:val="00A62ACF"/>
    <w:rsid w:val="00A62C37"/>
    <w:rsid w:val="00A62DFD"/>
    <w:rsid w:val="00A62DFE"/>
    <w:rsid w:val="00A63098"/>
    <w:rsid w:val="00A63286"/>
    <w:rsid w:val="00A633AC"/>
    <w:rsid w:val="00A63714"/>
    <w:rsid w:val="00A63B9A"/>
    <w:rsid w:val="00A63C97"/>
    <w:rsid w:val="00A63FAF"/>
    <w:rsid w:val="00A64031"/>
    <w:rsid w:val="00A640C2"/>
    <w:rsid w:val="00A642B3"/>
    <w:rsid w:val="00A644FA"/>
    <w:rsid w:val="00A64F1E"/>
    <w:rsid w:val="00A6500D"/>
    <w:rsid w:val="00A656C8"/>
    <w:rsid w:val="00A659DE"/>
    <w:rsid w:val="00A65B49"/>
    <w:rsid w:val="00A65CA2"/>
    <w:rsid w:val="00A65F73"/>
    <w:rsid w:val="00A6610E"/>
    <w:rsid w:val="00A66322"/>
    <w:rsid w:val="00A66402"/>
    <w:rsid w:val="00A66613"/>
    <w:rsid w:val="00A6668F"/>
    <w:rsid w:val="00A667F8"/>
    <w:rsid w:val="00A6681D"/>
    <w:rsid w:val="00A66A28"/>
    <w:rsid w:val="00A66A40"/>
    <w:rsid w:val="00A66AEE"/>
    <w:rsid w:val="00A66C80"/>
    <w:rsid w:val="00A6725D"/>
    <w:rsid w:val="00A672B8"/>
    <w:rsid w:val="00A67794"/>
    <w:rsid w:val="00A678A1"/>
    <w:rsid w:val="00A679D0"/>
    <w:rsid w:val="00A67C17"/>
    <w:rsid w:val="00A67C7F"/>
    <w:rsid w:val="00A67CC8"/>
    <w:rsid w:val="00A67D60"/>
    <w:rsid w:val="00A67E18"/>
    <w:rsid w:val="00A67F8D"/>
    <w:rsid w:val="00A70002"/>
    <w:rsid w:val="00A70132"/>
    <w:rsid w:val="00A701CA"/>
    <w:rsid w:val="00A7022D"/>
    <w:rsid w:val="00A7047D"/>
    <w:rsid w:val="00A70630"/>
    <w:rsid w:val="00A706CE"/>
    <w:rsid w:val="00A70874"/>
    <w:rsid w:val="00A70946"/>
    <w:rsid w:val="00A70C9B"/>
    <w:rsid w:val="00A70E49"/>
    <w:rsid w:val="00A70FC6"/>
    <w:rsid w:val="00A70FD4"/>
    <w:rsid w:val="00A71235"/>
    <w:rsid w:val="00A713B8"/>
    <w:rsid w:val="00A71510"/>
    <w:rsid w:val="00A7182C"/>
    <w:rsid w:val="00A71979"/>
    <w:rsid w:val="00A71C1A"/>
    <w:rsid w:val="00A71D5A"/>
    <w:rsid w:val="00A724F8"/>
    <w:rsid w:val="00A725DE"/>
    <w:rsid w:val="00A72789"/>
    <w:rsid w:val="00A72BBB"/>
    <w:rsid w:val="00A72C7D"/>
    <w:rsid w:val="00A72DFE"/>
    <w:rsid w:val="00A73070"/>
    <w:rsid w:val="00A73818"/>
    <w:rsid w:val="00A738FC"/>
    <w:rsid w:val="00A73C59"/>
    <w:rsid w:val="00A73E64"/>
    <w:rsid w:val="00A73F77"/>
    <w:rsid w:val="00A74172"/>
    <w:rsid w:val="00A7445A"/>
    <w:rsid w:val="00A744DF"/>
    <w:rsid w:val="00A7451E"/>
    <w:rsid w:val="00A745B7"/>
    <w:rsid w:val="00A746E9"/>
    <w:rsid w:val="00A747ED"/>
    <w:rsid w:val="00A7487D"/>
    <w:rsid w:val="00A74948"/>
    <w:rsid w:val="00A74BB5"/>
    <w:rsid w:val="00A751E6"/>
    <w:rsid w:val="00A7531D"/>
    <w:rsid w:val="00A75579"/>
    <w:rsid w:val="00A756F5"/>
    <w:rsid w:val="00A75957"/>
    <w:rsid w:val="00A7596A"/>
    <w:rsid w:val="00A75BAE"/>
    <w:rsid w:val="00A75D38"/>
    <w:rsid w:val="00A75E1E"/>
    <w:rsid w:val="00A76402"/>
    <w:rsid w:val="00A76459"/>
    <w:rsid w:val="00A7649C"/>
    <w:rsid w:val="00A764BF"/>
    <w:rsid w:val="00A765DB"/>
    <w:rsid w:val="00A7675F"/>
    <w:rsid w:val="00A768D1"/>
    <w:rsid w:val="00A769F0"/>
    <w:rsid w:val="00A76A50"/>
    <w:rsid w:val="00A76C93"/>
    <w:rsid w:val="00A76F0F"/>
    <w:rsid w:val="00A76F58"/>
    <w:rsid w:val="00A7718B"/>
    <w:rsid w:val="00A774F4"/>
    <w:rsid w:val="00A774F9"/>
    <w:rsid w:val="00A7775B"/>
    <w:rsid w:val="00A77761"/>
    <w:rsid w:val="00A7777E"/>
    <w:rsid w:val="00A777AE"/>
    <w:rsid w:val="00A77CCB"/>
    <w:rsid w:val="00A77EF8"/>
    <w:rsid w:val="00A80132"/>
    <w:rsid w:val="00A803ED"/>
    <w:rsid w:val="00A8053C"/>
    <w:rsid w:val="00A8060F"/>
    <w:rsid w:val="00A80636"/>
    <w:rsid w:val="00A80681"/>
    <w:rsid w:val="00A80A09"/>
    <w:rsid w:val="00A80AE1"/>
    <w:rsid w:val="00A80AE3"/>
    <w:rsid w:val="00A80C5A"/>
    <w:rsid w:val="00A80CD5"/>
    <w:rsid w:val="00A80F98"/>
    <w:rsid w:val="00A80FE5"/>
    <w:rsid w:val="00A8122D"/>
    <w:rsid w:val="00A815C8"/>
    <w:rsid w:val="00A8170B"/>
    <w:rsid w:val="00A81726"/>
    <w:rsid w:val="00A81824"/>
    <w:rsid w:val="00A8189C"/>
    <w:rsid w:val="00A819F1"/>
    <w:rsid w:val="00A81A72"/>
    <w:rsid w:val="00A81D80"/>
    <w:rsid w:val="00A81DA3"/>
    <w:rsid w:val="00A8202B"/>
    <w:rsid w:val="00A821E0"/>
    <w:rsid w:val="00A8249D"/>
    <w:rsid w:val="00A825AB"/>
    <w:rsid w:val="00A825BC"/>
    <w:rsid w:val="00A82821"/>
    <w:rsid w:val="00A8291D"/>
    <w:rsid w:val="00A82D45"/>
    <w:rsid w:val="00A82DC1"/>
    <w:rsid w:val="00A8311E"/>
    <w:rsid w:val="00A831D4"/>
    <w:rsid w:val="00A8321A"/>
    <w:rsid w:val="00A833A1"/>
    <w:rsid w:val="00A83559"/>
    <w:rsid w:val="00A83672"/>
    <w:rsid w:val="00A838E2"/>
    <w:rsid w:val="00A83ACD"/>
    <w:rsid w:val="00A83E63"/>
    <w:rsid w:val="00A84096"/>
    <w:rsid w:val="00A84109"/>
    <w:rsid w:val="00A8415F"/>
    <w:rsid w:val="00A843F7"/>
    <w:rsid w:val="00A846A2"/>
    <w:rsid w:val="00A8478A"/>
    <w:rsid w:val="00A84A45"/>
    <w:rsid w:val="00A84A98"/>
    <w:rsid w:val="00A84B0F"/>
    <w:rsid w:val="00A84B47"/>
    <w:rsid w:val="00A85202"/>
    <w:rsid w:val="00A855E6"/>
    <w:rsid w:val="00A856C1"/>
    <w:rsid w:val="00A8588F"/>
    <w:rsid w:val="00A8594B"/>
    <w:rsid w:val="00A85BE2"/>
    <w:rsid w:val="00A85E51"/>
    <w:rsid w:val="00A860C8"/>
    <w:rsid w:val="00A861F5"/>
    <w:rsid w:val="00A86314"/>
    <w:rsid w:val="00A863A5"/>
    <w:rsid w:val="00A86542"/>
    <w:rsid w:val="00A866A7"/>
    <w:rsid w:val="00A86BBA"/>
    <w:rsid w:val="00A86BFF"/>
    <w:rsid w:val="00A86DE4"/>
    <w:rsid w:val="00A86F31"/>
    <w:rsid w:val="00A8725F"/>
    <w:rsid w:val="00A87309"/>
    <w:rsid w:val="00A87436"/>
    <w:rsid w:val="00A874B8"/>
    <w:rsid w:val="00A8750F"/>
    <w:rsid w:val="00A87755"/>
    <w:rsid w:val="00A87A05"/>
    <w:rsid w:val="00A87BAE"/>
    <w:rsid w:val="00A87D21"/>
    <w:rsid w:val="00A87E63"/>
    <w:rsid w:val="00A87E94"/>
    <w:rsid w:val="00A903E2"/>
    <w:rsid w:val="00A9085D"/>
    <w:rsid w:val="00A90B45"/>
    <w:rsid w:val="00A90C41"/>
    <w:rsid w:val="00A90F50"/>
    <w:rsid w:val="00A910A0"/>
    <w:rsid w:val="00A9116F"/>
    <w:rsid w:val="00A91317"/>
    <w:rsid w:val="00A91570"/>
    <w:rsid w:val="00A91984"/>
    <w:rsid w:val="00A91A76"/>
    <w:rsid w:val="00A91FDA"/>
    <w:rsid w:val="00A9219C"/>
    <w:rsid w:val="00A9299A"/>
    <w:rsid w:val="00A929F4"/>
    <w:rsid w:val="00A92BF9"/>
    <w:rsid w:val="00A92FC8"/>
    <w:rsid w:val="00A93130"/>
    <w:rsid w:val="00A93172"/>
    <w:rsid w:val="00A9318E"/>
    <w:rsid w:val="00A93345"/>
    <w:rsid w:val="00A933B1"/>
    <w:rsid w:val="00A9380C"/>
    <w:rsid w:val="00A93A32"/>
    <w:rsid w:val="00A93A50"/>
    <w:rsid w:val="00A93C59"/>
    <w:rsid w:val="00A93C9F"/>
    <w:rsid w:val="00A93EB7"/>
    <w:rsid w:val="00A93F79"/>
    <w:rsid w:val="00A942D3"/>
    <w:rsid w:val="00A94341"/>
    <w:rsid w:val="00A94386"/>
    <w:rsid w:val="00A9452B"/>
    <w:rsid w:val="00A949D5"/>
    <w:rsid w:val="00A94B75"/>
    <w:rsid w:val="00A94CE7"/>
    <w:rsid w:val="00A9509A"/>
    <w:rsid w:val="00A9510D"/>
    <w:rsid w:val="00A95185"/>
    <w:rsid w:val="00A95401"/>
    <w:rsid w:val="00A95563"/>
    <w:rsid w:val="00A95642"/>
    <w:rsid w:val="00A95A55"/>
    <w:rsid w:val="00A95BAB"/>
    <w:rsid w:val="00A95D4E"/>
    <w:rsid w:val="00A95DFB"/>
    <w:rsid w:val="00A95F74"/>
    <w:rsid w:val="00A95FC9"/>
    <w:rsid w:val="00A960A7"/>
    <w:rsid w:val="00A96532"/>
    <w:rsid w:val="00A96695"/>
    <w:rsid w:val="00A9692D"/>
    <w:rsid w:val="00A96970"/>
    <w:rsid w:val="00A9699C"/>
    <w:rsid w:val="00A96AAB"/>
    <w:rsid w:val="00A96E69"/>
    <w:rsid w:val="00A96EF8"/>
    <w:rsid w:val="00A970D4"/>
    <w:rsid w:val="00A97166"/>
    <w:rsid w:val="00A97179"/>
    <w:rsid w:val="00A97405"/>
    <w:rsid w:val="00A974A7"/>
    <w:rsid w:val="00A9756B"/>
    <w:rsid w:val="00A97643"/>
    <w:rsid w:val="00A9775E"/>
    <w:rsid w:val="00A977DD"/>
    <w:rsid w:val="00A97860"/>
    <w:rsid w:val="00A97B3A"/>
    <w:rsid w:val="00AA0486"/>
    <w:rsid w:val="00AA050E"/>
    <w:rsid w:val="00AA051C"/>
    <w:rsid w:val="00AA0528"/>
    <w:rsid w:val="00AA058F"/>
    <w:rsid w:val="00AA06C5"/>
    <w:rsid w:val="00AA072B"/>
    <w:rsid w:val="00AA0C37"/>
    <w:rsid w:val="00AA0EE9"/>
    <w:rsid w:val="00AA0F44"/>
    <w:rsid w:val="00AA102A"/>
    <w:rsid w:val="00AA10BD"/>
    <w:rsid w:val="00AA121E"/>
    <w:rsid w:val="00AA12F7"/>
    <w:rsid w:val="00AA14E7"/>
    <w:rsid w:val="00AA15CD"/>
    <w:rsid w:val="00AA169B"/>
    <w:rsid w:val="00AA1910"/>
    <w:rsid w:val="00AA1CFF"/>
    <w:rsid w:val="00AA1F61"/>
    <w:rsid w:val="00AA20C7"/>
    <w:rsid w:val="00AA20FB"/>
    <w:rsid w:val="00AA22A4"/>
    <w:rsid w:val="00AA2372"/>
    <w:rsid w:val="00AA25DB"/>
    <w:rsid w:val="00AA277C"/>
    <w:rsid w:val="00AA2B2D"/>
    <w:rsid w:val="00AA2CE2"/>
    <w:rsid w:val="00AA2E9C"/>
    <w:rsid w:val="00AA2EAE"/>
    <w:rsid w:val="00AA2FAB"/>
    <w:rsid w:val="00AA3277"/>
    <w:rsid w:val="00AA3309"/>
    <w:rsid w:val="00AA35D3"/>
    <w:rsid w:val="00AA35F1"/>
    <w:rsid w:val="00AA3832"/>
    <w:rsid w:val="00AA39A5"/>
    <w:rsid w:val="00AA3CEE"/>
    <w:rsid w:val="00AA3D71"/>
    <w:rsid w:val="00AA3EB3"/>
    <w:rsid w:val="00AA3F1F"/>
    <w:rsid w:val="00AA3FFD"/>
    <w:rsid w:val="00AA456D"/>
    <w:rsid w:val="00AA45AB"/>
    <w:rsid w:val="00AA45B9"/>
    <w:rsid w:val="00AA496B"/>
    <w:rsid w:val="00AA4998"/>
    <w:rsid w:val="00AA4CA8"/>
    <w:rsid w:val="00AA4D56"/>
    <w:rsid w:val="00AA4DA8"/>
    <w:rsid w:val="00AA4EAB"/>
    <w:rsid w:val="00AA5243"/>
    <w:rsid w:val="00AA52E3"/>
    <w:rsid w:val="00AA554A"/>
    <w:rsid w:val="00AA580C"/>
    <w:rsid w:val="00AA5977"/>
    <w:rsid w:val="00AA5B65"/>
    <w:rsid w:val="00AA5C74"/>
    <w:rsid w:val="00AA606E"/>
    <w:rsid w:val="00AA63C7"/>
    <w:rsid w:val="00AA66E8"/>
    <w:rsid w:val="00AA6896"/>
    <w:rsid w:val="00AA68B0"/>
    <w:rsid w:val="00AA6DFF"/>
    <w:rsid w:val="00AA6E1F"/>
    <w:rsid w:val="00AA71ED"/>
    <w:rsid w:val="00AA7281"/>
    <w:rsid w:val="00AA735D"/>
    <w:rsid w:val="00AA73D3"/>
    <w:rsid w:val="00AA7495"/>
    <w:rsid w:val="00AA7946"/>
    <w:rsid w:val="00AA7A42"/>
    <w:rsid w:val="00AA7ACA"/>
    <w:rsid w:val="00AA7DBB"/>
    <w:rsid w:val="00AA7F3C"/>
    <w:rsid w:val="00AB0076"/>
    <w:rsid w:val="00AB00A3"/>
    <w:rsid w:val="00AB04FA"/>
    <w:rsid w:val="00AB08C3"/>
    <w:rsid w:val="00AB0A0A"/>
    <w:rsid w:val="00AB0A76"/>
    <w:rsid w:val="00AB0AD9"/>
    <w:rsid w:val="00AB0F77"/>
    <w:rsid w:val="00AB114C"/>
    <w:rsid w:val="00AB11D1"/>
    <w:rsid w:val="00AB13E4"/>
    <w:rsid w:val="00AB14FB"/>
    <w:rsid w:val="00AB1874"/>
    <w:rsid w:val="00AB18A0"/>
    <w:rsid w:val="00AB1B3B"/>
    <w:rsid w:val="00AB1DB8"/>
    <w:rsid w:val="00AB20AF"/>
    <w:rsid w:val="00AB264B"/>
    <w:rsid w:val="00AB2656"/>
    <w:rsid w:val="00AB297C"/>
    <w:rsid w:val="00AB29B3"/>
    <w:rsid w:val="00AB2B39"/>
    <w:rsid w:val="00AB2B72"/>
    <w:rsid w:val="00AB2CBB"/>
    <w:rsid w:val="00AB33A4"/>
    <w:rsid w:val="00AB345A"/>
    <w:rsid w:val="00AB34E3"/>
    <w:rsid w:val="00AB361D"/>
    <w:rsid w:val="00AB3623"/>
    <w:rsid w:val="00AB37A3"/>
    <w:rsid w:val="00AB3B8D"/>
    <w:rsid w:val="00AB3BDB"/>
    <w:rsid w:val="00AB3D7B"/>
    <w:rsid w:val="00AB3E28"/>
    <w:rsid w:val="00AB3E6A"/>
    <w:rsid w:val="00AB4295"/>
    <w:rsid w:val="00AB46B9"/>
    <w:rsid w:val="00AB49A2"/>
    <w:rsid w:val="00AB4A0F"/>
    <w:rsid w:val="00AB4A30"/>
    <w:rsid w:val="00AB4AC2"/>
    <w:rsid w:val="00AB4B01"/>
    <w:rsid w:val="00AB4B31"/>
    <w:rsid w:val="00AB4D2E"/>
    <w:rsid w:val="00AB4F6A"/>
    <w:rsid w:val="00AB5219"/>
    <w:rsid w:val="00AB5536"/>
    <w:rsid w:val="00AB557B"/>
    <w:rsid w:val="00AB594C"/>
    <w:rsid w:val="00AB5FC6"/>
    <w:rsid w:val="00AB60F5"/>
    <w:rsid w:val="00AB64AA"/>
    <w:rsid w:val="00AB654B"/>
    <w:rsid w:val="00AB6714"/>
    <w:rsid w:val="00AB6752"/>
    <w:rsid w:val="00AB69C1"/>
    <w:rsid w:val="00AB6CCF"/>
    <w:rsid w:val="00AB6CED"/>
    <w:rsid w:val="00AB6DB8"/>
    <w:rsid w:val="00AB6DFD"/>
    <w:rsid w:val="00AB700D"/>
    <w:rsid w:val="00AB709B"/>
    <w:rsid w:val="00AB714F"/>
    <w:rsid w:val="00AB79DD"/>
    <w:rsid w:val="00AB7F47"/>
    <w:rsid w:val="00AC013E"/>
    <w:rsid w:val="00AC0305"/>
    <w:rsid w:val="00AC05A8"/>
    <w:rsid w:val="00AC0951"/>
    <w:rsid w:val="00AC0A06"/>
    <w:rsid w:val="00AC0A3E"/>
    <w:rsid w:val="00AC0A6E"/>
    <w:rsid w:val="00AC0FD7"/>
    <w:rsid w:val="00AC107E"/>
    <w:rsid w:val="00AC12E9"/>
    <w:rsid w:val="00AC1358"/>
    <w:rsid w:val="00AC13FA"/>
    <w:rsid w:val="00AC1494"/>
    <w:rsid w:val="00AC1630"/>
    <w:rsid w:val="00AC1956"/>
    <w:rsid w:val="00AC1A5F"/>
    <w:rsid w:val="00AC1F9D"/>
    <w:rsid w:val="00AC20BA"/>
    <w:rsid w:val="00AC23FF"/>
    <w:rsid w:val="00AC255D"/>
    <w:rsid w:val="00AC2631"/>
    <w:rsid w:val="00AC2697"/>
    <w:rsid w:val="00AC281C"/>
    <w:rsid w:val="00AC2944"/>
    <w:rsid w:val="00AC29B3"/>
    <w:rsid w:val="00AC2ECF"/>
    <w:rsid w:val="00AC32B0"/>
    <w:rsid w:val="00AC340B"/>
    <w:rsid w:val="00AC353D"/>
    <w:rsid w:val="00AC386A"/>
    <w:rsid w:val="00AC389B"/>
    <w:rsid w:val="00AC3A3D"/>
    <w:rsid w:val="00AC3A54"/>
    <w:rsid w:val="00AC3A61"/>
    <w:rsid w:val="00AC3BD4"/>
    <w:rsid w:val="00AC3C71"/>
    <w:rsid w:val="00AC3EC9"/>
    <w:rsid w:val="00AC4134"/>
    <w:rsid w:val="00AC4420"/>
    <w:rsid w:val="00AC4539"/>
    <w:rsid w:val="00AC45A5"/>
    <w:rsid w:val="00AC474E"/>
    <w:rsid w:val="00AC48A2"/>
    <w:rsid w:val="00AC499F"/>
    <w:rsid w:val="00AC49A9"/>
    <w:rsid w:val="00AC4A7A"/>
    <w:rsid w:val="00AC4CE2"/>
    <w:rsid w:val="00AC4EFC"/>
    <w:rsid w:val="00AC4F33"/>
    <w:rsid w:val="00AC4FDC"/>
    <w:rsid w:val="00AC5072"/>
    <w:rsid w:val="00AC5219"/>
    <w:rsid w:val="00AC5299"/>
    <w:rsid w:val="00AC5546"/>
    <w:rsid w:val="00AC5689"/>
    <w:rsid w:val="00AC56B6"/>
    <w:rsid w:val="00AC5740"/>
    <w:rsid w:val="00AC581D"/>
    <w:rsid w:val="00AC5920"/>
    <w:rsid w:val="00AC5AB7"/>
    <w:rsid w:val="00AC5B09"/>
    <w:rsid w:val="00AC5B17"/>
    <w:rsid w:val="00AC5BA7"/>
    <w:rsid w:val="00AC5C1B"/>
    <w:rsid w:val="00AC5E19"/>
    <w:rsid w:val="00AC6186"/>
    <w:rsid w:val="00AC61AD"/>
    <w:rsid w:val="00AC69D0"/>
    <w:rsid w:val="00AC6B56"/>
    <w:rsid w:val="00AC6E55"/>
    <w:rsid w:val="00AC6F08"/>
    <w:rsid w:val="00AC6FB4"/>
    <w:rsid w:val="00AC7205"/>
    <w:rsid w:val="00AC72F4"/>
    <w:rsid w:val="00AC7339"/>
    <w:rsid w:val="00AC7395"/>
    <w:rsid w:val="00AC7511"/>
    <w:rsid w:val="00AC75E2"/>
    <w:rsid w:val="00AC780F"/>
    <w:rsid w:val="00AC7923"/>
    <w:rsid w:val="00AC7DA2"/>
    <w:rsid w:val="00AC7DAD"/>
    <w:rsid w:val="00AD004A"/>
    <w:rsid w:val="00AD02D4"/>
    <w:rsid w:val="00AD0424"/>
    <w:rsid w:val="00AD05F4"/>
    <w:rsid w:val="00AD06C9"/>
    <w:rsid w:val="00AD075C"/>
    <w:rsid w:val="00AD0B48"/>
    <w:rsid w:val="00AD0C33"/>
    <w:rsid w:val="00AD113A"/>
    <w:rsid w:val="00AD1228"/>
    <w:rsid w:val="00AD12C9"/>
    <w:rsid w:val="00AD1DEE"/>
    <w:rsid w:val="00AD20CD"/>
    <w:rsid w:val="00AD20D0"/>
    <w:rsid w:val="00AD2143"/>
    <w:rsid w:val="00AD228D"/>
    <w:rsid w:val="00AD22A8"/>
    <w:rsid w:val="00AD234D"/>
    <w:rsid w:val="00AD23DF"/>
    <w:rsid w:val="00AD24C7"/>
    <w:rsid w:val="00AD2795"/>
    <w:rsid w:val="00AD29CD"/>
    <w:rsid w:val="00AD2A3F"/>
    <w:rsid w:val="00AD2D4E"/>
    <w:rsid w:val="00AD2D63"/>
    <w:rsid w:val="00AD2DD7"/>
    <w:rsid w:val="00AD2F6B"/>
    <w:rsid w:val="00AD3291"/>
    <w:rsid w:val="00AD34ED"/>
    <w:rsid w:val="00AD3579"/>
    <w:rsid w:val="00AD358F"/>
    <w:rsid w:val="00AD3699"/>
    <w:rsid w:val="00AD3783"/>
    <w:rsid w:val="00AD39C0"/>
    <w:rsid w:val="00AD3BAD"/>
    <w:rsid w:val="00AD3C7C"/>
    <w:rsid w:val="00AD3F80"/>
    <w:rsid w:val="00AD3F87"/>
    <w:rsid w:val="00AD3F94"/>
    <w:rsid w:val="00AD40C4"/>
    <w:rsid w:val="00AD41DD"/>
    <w:rsid w:val="00AD41FF"/>
    <w:rsid w:val="00AD439A"/>
    <w:rsid w:val="00AD4439"/>
    <w:rsid w:val="00AD452F"/>
    <w:rsid w:val="00AD45D0"/>
    <w:rsid w:val="00AD4744"/>
    <w:rsid w:val="00AD4771"/>
    <w:rsid w:val="00AD48E2"/>
    <w:rsid w:val="00AD4AFD"/>
    <w:rsid w:val="00AD4C0C"/>
    <w:rsid w:val="00AD4C10"/>
    <w:rsid w:val="00AD4C7E"/>
    <w:rsid w:val="00AD4CAF"/>
    <w:rsid w:val="00AD4CDB"/>
    <w:rsid w:val="00AD50E1"/>
    <w:rsid w:val="00AD5444"/>
    <w:rsid w:val="00AD54AB"/>
    <w:rsid w:val="00AD553F"/>
    <w:rsid w:val="00AD5983"/>
    <w:rsid w:val="00AD5B35"/>
    <w:rsid w:val="00AD5C8B"/>
    <w:rsid w:val="00AD5CC1"/>
    <w:rsid w:val="00AD5EB1"/>
    <w:rsid w:val="00AD60D5"/>
    <w:rsid w:val="00AD6147"/>
    <w:rsid w:val="00AD6171"/>
    <w:rsid w:val="00AD61C4"/>
    <w:rsid w:val="00AD6224"/>
    <w:rsid w:val="00AD6329"/>
    <w:rsid w:val="00AD6454"/>
    <w:rsid w:val="00AD652A"/>
    <w:rsid w:val="00AD6636"/>
    <w:rsid w:val="00AD6B39"/>
    <w:rsid w:val="00AD6BB1"/>
    <w:rsid w:val="00AD7100"/>
    <w:rsid w:val="00AD71FB"/>
    <w:rsid w:val="00AD74DE"/>
    <w:rsid w:val="00AD7696"/>
    <w:rsid w:val="00AD778D"/>
    <w:rsid w:val="00AD77FB"/>
    <w:rsid w:val="00AD7951"/>
    <w:rsid w:val="00AD7AAD"/>
    <w:rsid w:val="00AD7EAE"/>
    <w:rsid w:val="00AE0081"/>
    <w:rsid w:val="00AE01B9"/>
    <w:rsid w:val="00AE021D"/>
    <w:rsid w:val="00AE0283"/>
    <w:rsid w:val="00AE035C"/>
    <w:rsid w:val="00AE0817"/>
    <w:rsid w:val="00AE08D0"/>
    <w:rsid w:val="00AE0958"/>
    <w:rsid w:val="00AE0A38"/>
    <w:rsid w:val="00AE0B94"/>
    <w:rsid w:val="00AE0CE2"/>
    <w:rsid w:val="00AE0CFD"/>
    <w:rsid w:val="00AE0DAF"/>
    <w:rsid w:val="00AE0E2A"/>
    <w:rsid w:val="00AE11AD"/>
    <w:rsid w:val="00AE11D0"/>
    <w:rsid w:val="00AE155F"/>
    <w:rsid w:val="00AE15A5"/>
    <w:rsid w:val="00AE15E6"/>
    <w:rsid w:val="00AE176C"/>
    <w:rsid w:val="00AE17CC"/>
    <w:rsid w:val="00AE1829"/>
    <w:rsid w:val="00AE199B"/>
    <w:rsid w:val="00AE1D17"/>
    <w:rsid w:val="00AE1DCD"/>
    <w:rsid w:val="00AE1E06"/>
    <w:rsid w:val="00AE1E55"/>
    <w:rsid w:val="00AE1F48"/>
    <w:rsid w:val="00AE2216"/>
    <w:rsid w:val="00AE2224"/>
    <w:rsid w:val="00AE22FE"/>
    <w:rsid w:val="00AE23AD"/>
    <w:rsid w:val="00AE25F5"/>
    <w:rsid w:val="00AE27E1"/>
    <w:rsid w:val="00AE2B57"/>
    <w:rsid w:val="00AE3307"/>
    <w:rsid w:val="00AE3313"/>
    <w:rsid w:val="00AE3559"/>
    <w:rsid w:val="00AE35CC"/>
    <w:rsid w:val="00AE3657"/>
    <w:rsid w:val="00AE3C1F"/>
    <w:rsid w:val="00AE3FDE"/>
    <w:rsid w:val="00AE40BA"/>
    <w:rsid w:val="00AE4122"/>
    <w:rsid w:val="00AE45FE"/>
    <w:rsid w:val="00AE467F"/>
    <w:rsid w:val="00AE480E"/>
    <w:rsid w:val="00AE4CD9"/>
    <w:rsid w:val="00AE4CFB"/>
    <w:rsid w:val="00AE4E18"/>
    <w:rsid w:val="00AE4F1B"/>
    <w:rsid w:val="00AE52F6"/>
    <w:rsid w:val="00AE5331"/>
    <w:rsid w:val="00AE5348"/>
    <w:rsid w:val="00AE5373"/>
    <w:rsid w:val="00AE5401"/>
    <w:rsid w:val="00AE54F0"/>
    <w:rsid w:val="00AE54FB"/>
    <w:rsid w:val="00AE55F8"/>
    <w:rsid w:val="00AE5650"/>
    <w:rsid w:val="00AE56BF"/>
    <w:rsid w:val="00AE56C1"/>
    <w:rsid w:val="00AE57B2"/>
    <w:rsid w:val="00AE5A32"/>
    <w:rsid w:val="00AE5A43"/>
    <w:rsid w:val="00AE5B30"/>
    <w:rsid w:val="00AE6286"/>
    <w:rsid w:val="00AE62A7"/>
    <w:rsid w:val="00AE632C"/>
    <w:rsid w:val="00AE65F5"/>
    <w:rsid w:val="00AE65F9"/>
    <w:rsid w:val="00AE6B19"/>
    <w:rsid w:val="00AE6F9F"/>
    <w:rsid w:val="00AE7124"/>
    <w:rsid w:val="00AE713A"/>
    <w:rsid w:val="00AE727F"/>
    <w:rsid w:val="00AE72ED"/>
    <w:rsid w:val="00AE731B"/>
    <w:rsid w:val="00AE7536"/>
    <w:rsid w:val="00AE766D"/>
    <w:rsid w:val="00AE76DE"/>
    <w:rsid w:val="00AE770A"/>
    <w:rsid w:val="00AE7FA4"/>
    <w:rsid w:val="00AE7FB7"/>
    <w:rsid w:val="00AF0052"/>
    <w:rsid w:val="00AF007B"/>
    <w:rsid w:val="00AF014C"/>
    <w:rsid w:val="00AF018F"/>
    <w:rsid w:val="00AF0308"/>
    <w:rsid w:val="00AF039E"/>
    <w:rsid w:val="00AF05EA"/>
    <w:rsid w:val="00AF065D"/>
    <w:rsid w:val="00AF0684"/>
    <w:rsid w:val="00AF0779"/>
    <w:rsid w:val="00AF1178"/>
    <w:rsid w:val="00AF11A3"/>
    <w:rsid w:val="00AF11BC"/>
    <w:rsid w:val="00AF12AD"/>
    <w:rsid w:val="00AF143D"/>
    <w:rsid w:val="00AF19E3"/>
    <w:rsid w:val="00AF1A47"/>
    <w:rsid w:val="00AF1B84"/>
    <w:rsid w:val="00AF1BAE"/>
    <w:rsid w:val="00AF1BEE"/>
    <w:rsid w:val="00AF1C7F"/>
    <w:rsid w:val="00AF1CB1"/>
    <w:rsid w:val="00AF1F53"/>
    <w:rsid w:val="00AF21DF"/>
    <w:rsid w:val="00AF2284"/>
    <w:rsid w:val="00AF22BC"/>
    <w:rsid w:val="00AF25A0"/>
    <w:rsid w:val="00AF2A32"/>
    <w:rsid w:val="00AF2B6E"/>
    <w:rsid w:val="00AF2DF2"/>
    <w:rsid w:val="00AF3042"/>
    <w:rsid w:val="00AF3348"/>
    <w:rsid w:val="00AF36AA"/>
    <w:rsid w:val="00AF36C6"/>
    <w:rsid w:val="00AF3968"/>
    <w:rsid w:val="00AF3D75"/>
    <w:rsid w:val="00AF3FE6"/>
    <w:rsid w:val="00AF400A"/>
    <w:rsid w:val="00AF422B"/>
    <w:rsid w:val="00AF4264"/>
    <w:rsid w:val="00AF427F"/>
    <w:rsid w:val="00AF43E1"/>
    <w:rsid w:val="00AF4552"/>
    <w:rsid w:val="00AF45C7"/>
    <w:rsid w:val="00AF49FE"/>
    <w:rsid w:val="00AF4AC1"/>
    <w:rsid w:val="00AF4ACE"/>
    <w:rsid w:val="00AF4C2E"/>
    <w:rsid w:val="00AF4E46"/>
    <w:rsid w:val="00AF503E"/>
    <w:rsid w:val="00AF5097"/>
    <w:rsid w:val="00AF52EE"/>
    <w:rsid w:val="00AF53BA"/>
    <w:rsid w:val="00AF55E9"/>
    <w:rsid w:val="00AF5748"/>
    <w:rsid w:val="00AF5803"/>
    <w:rsid w:val="00AF58D2"/>
    <w:rsid w:val="00AF58EF"/>
    <w:rsid w:val="00AF5E87"/>
    <w:rsid w:val="00AF5FBD"/>
    <w:rsid w:val="00AF6229"/>
    <w:rsid w:val="00AF65DA"/>
    <w:rsid w:val="00AF685D"/>
    <w:rsid w:val="00AF68BC"/>
    <w:rsid w:val="00AF6988"/>
    <w:rsid w:val="00AF69E3"/>
    <w:rsid w:val="00AF6AE1"/>
    <w:rsid w:val="00AF6B78"/>
    <w:rsid w:val="00AF6BD7"/>
    <w:rsid w:val="00AF6E24"/>
    <w:rsid w:val="00AF6FFB"/>
    <w:rsid w:val="00AF7085"/>
    <w:rsid w:val="00AF70A7"/>
    <w:rsid w:val="00AF71F2"/>
    <w:rsid w:val="00AF7212"/>
    <w:rsid w:val="00AF7263"/>
    <w:rsid w:val="00AF72D5"/>
    <w:rsid w:val="00AF73ED"/>
    <w:rsid w:val="00AF755F"/>
    <w:rsid w:val="00AF7825"/>
    <w:rsid w:val="00AF7909"/>
    <w:rsid w:val="00AF7B77"/>
    <w:rsid w:val="00AF7BF0"/>
    <w:rsid w:val="00AF7CD1"/>
    <w:rsid w:val="00AF7E28"/>
    <w:rsid w:val="00AF7F32"/>
    <w:rsid w:val="00B00246"/>
    <w:rsid w:val="00B003E9"/>
    <w:rsid w:val="00B00827"/>
    <w:rsid w:val="00B009F0"/>
    <w:rsid w:val="00B00A96"/>
    <w:rsid w:val="00B00CE9"/>
    <w:rsid w:val="00B00EB2"/>
    <w:rsid w:val="00B00FD4"/>
    <w:rsid w:val="00B00FD9"/>
    <w:rsid w:val="00B01048"/>
    <w:rsid w:val="00B01069"/>
    <w:rsid w:val="00B0126E"/>
    <w:rsid w:val="00B01295"/>
    <w:rsid w:val="00B0134B"/>
    <w:rsid w:val="00B014BA"/>
    <w:rsid w:val="00B01541"/>
    <w:rsid w:val="00B015C3"/>
    <w:rsid w:val="00B016D5"/>
    <w:rsid w:val="00B01E98"/>
    <w:rsid w:val="00B02204"/>
    <w:rsid w:val="00B022F2"/>
    <w:rsid w:val="00B025B0"/>
    <w:rsid w:val="00B0299A"/>
    <w:rsid w:val="00B02B00"/>
    <w:rsid w:val="00B02D02"/>
    <w:rsid w:val="00B02D88"/>
    <w:rsid w:val="00B030FE"/>
    <w:rsid w:val="00B033EB"/>
    <w:rsid w:val="00B03435"/>
    <w:rsid w:val="00B0343D"/>
    <w:rsid w:val="00B035C5"/>
    <w:rsid w:val="00B037AB"/>
    <w:rsid w:val="00B03A1B"/>
    <w:rsid w:val="00B03A6A"/>
    <w:rsid w:val="00B03FBB"/>
    <w:rsid w:val="00B04266"/>
    <w:rsid w:val="00B046CD"/>
    <w:rsid w:val="00B047C0"/>
    <w:rsid w:val="00B048BD"/>
    <w:rsid w:val="00B04AB4"/>
    <w:rsid w:val="00B04D75"/>
    <w:rsid w:val="00B04E61"/>
    <w:rsid w:val="00B04F63"/>
    <w:rsid w:val="00B04F6F"/>
    <w:rsid w:val="00B0514D"/>
    <w:rsid w:val="00B05281"/>
    <w:rsid w:val="00B05322"/>
    <w:rsid w:val="00B05336"/>
    <w:rsid w:val="00B0555B"/>
    <w:rsid w:val="00B0560D"/>
    <w:rsid w:val="00B058A8"/>
    <w:rsid w:val="00B05A50"/>
    <w:rsid w:val="00B05D07"/>
    <w:rsid w:val="00B060B4"/>
    <w:rsid w:val="00B06100"/>
    <w:rsid w:val="00B061EC"/>
    <w:rsid w:val="00B06272"/>
    <w:rsid w:val="00B0629B"/>
    <w:rsid w:val="00B063B6"/>
    <w:rsid w:val="00B06453"/>
    <w:rsid w:val="00B06457"/>
    <w:rsid w:val="00B0651D"/>
    <w:rsid w:val="00B06546"/>
    <w:rsid w:val="00B06642"/>
    <w:rsid w:val="00B0667E"/>
    <w:rsid w:val="00B06816"/>
    <w:rsid w:val="00B0684F"/>
    <w:rsid w:val="00B06972"/>
    <w:rsid w:val="00B06982"/>
    <w:rsid w:val="00B06B19"/>
    <w:rsid w:val="00B06BCC"/>
    <w:rsid w:val="00B06FA1"/>
    <w:rsid w:val="00B06FAA"/>
    <w:rsid w:val="00B07432"/>
    <w:rsid w:val="00B0769D"/>
    <w:rsid w:val="00B076E8"/>
    <w:rsid w:val="00B07794"/>
    <w:rsid w:val="00B07AB4"/>
    <w:rsid w:val="00B07CF7"/>
    <w:rsid w:val="00B07D46"/>
    <w:rsid w:val="00B07DC8"/>
    <w:rsid w:val="00B07DDB"/>
    <w:rsid w:val="00B07E5F"/>
    <w:rsid w:val="00B07E7B"/>
    <w:rsid w:val="00B07E99"/>
    <w:rsid w:val="00B0FF64"/>
    <w:rsid w:val="00B102F2"/>
    <w:rsid w:val="00B103AD"/>
    <w:rsid w:val="00B10438"/>
    <w:rsid w:val="00B1058F"/>
    <w:rsid w:val="00B106CD"/>
    <w:rsid w:val="00B10827"/>
    <w:rsid w:val="00B108A3"/>
    <w:rsid w:val="00B10A6F"/>
    <w:rsid w:val="00B10B1A"/>
    <w:rsid w:val="00B10E5A"/>
    <w:rsid w:val="00B10F3E"/>
    <w:rsid w:val="00B10FB2"/>
    <w:rsid w:val="00B11250"/>
    <w:rsid w:val="00B11378"/>
    <w:rsid w:val="00B114DF"/>
    <w:rsid w:val="00B119F1"/>
    <w:rsid w:val="00B11CB2"/>
    <w:rsid w:val="00B11CC3"/>
    <w:rsid w:val="00B11F0E"/>
    <w:rsid w:val="00B11FEC"/>
    <w:rsid w:val="00B12009"/>
    <w:rsid w:val="00B12303"/>
    <w:rsid w:val="00B12752"/>
    <w:rsid w:val="00B12C6D"/>
    <w:rsid w:val="00B12D2A"/>
    <w:rsid w:val="00B12DE5"/>
    <w:rsid w:val="00B13096"/>
    <w:rsid w:val="00B1327F"/>
    <w:rsid w:val="00B132BF"/>
    <w:rsid w:val="00B13390"/>
    <w:rsid w:val="00B13698"/>
    <w:rsid w:val="00B137BE"/>
    <w:rsid w:val="00B139D1"/>
    <w:rsid w:val="00B13A7C"/>
    <w:rsid w:val="00B13FDE"/>
    <w:rsid w:val="00B14019"/>
    <w:rsid w:val="00B141ED"/>
    <w:rsid w:val="00B14473"/>
    <w:rsid w:val="00B14480"/>
    <w:rsid w:val="00B146B4"/>
    <w:rsid w:val="00B147E7"/>
    <w:rsid w:val="00B148ED"/>
    <w:rsid w:val="00B14B4F"/>
    <w:rsid w:val="00B14CBD"/>
    <w:rsid w:val="00B14E9D"/>
    <w:rsid w:val="00B1500A"/>
    <w:rsid w:val="00B151C0"/>
    <w:rsid w:val="00B152B8"/>
    <w:rsid w:val="00B1544C"/>
    <w:rsid w:val="00B156B6"/>
    <w:rsid w:val="00B157F9"/>
    <w:rsid w:val="00B15C67"/>
    <w:rsid w:val="00B15ECC"/>
    <w:rsid w:val="00B16621"/>
    <w:rsid w:val="00B1664A"/>
    <w:rsid w:val="00B167FE"/>
    <w:rsid w:val="00B16C3A"/>
    <w:rsid w:val="00B16CFC"/>
    <w:rsid w:val="00B16D11"/>
    <w:rsid w:val="00B16FFC"/>
    <w:rsid w:val="00B171EE"/>
    <w:rsid w:val="00B17288"/>
    <w:rsid w:val="00B172D1"/>
    <w:rsid w:val="00B173FC"/>
    <w:rsid w:val="00B17B33"/>
    <w:rsid w:val="00B17B4C"/>
    <w:rsid w:val="00B17B4D"/>
    <w:rsid w:val="00B17B7B"/>
    <w:rsid w:val="00B17ED1"/>
    <w:rsid w:val="00B17F99"/>
    <w:rsid w:val="00B20397"/>
    <w:rsid w:val="00B204D5"/>
    <w:rsid w:val="00B20850"/>
    <w:rsid w:val="00B208EE"/>
    <w:rsid w:val="00B20ED1"/>
    <w:rsid w:val="00B20F74"/>
    <w:rsid w:val="00B2103F"/>
    <w:rsid w:val="00B2118A"/>
    <w:rsid w:val="00B21392"/>
    <w:rsid w:val="00B21610"/>
    <w:rsid w:val="00B21975"/>
    <w:rsid w:val="00B21BE9"/>
    <w:rsid w:val="00B21C67"/>
    <w:rsid w:val="00B21D0F"/>
    <w:rsid w:val="00B226B1"/>
    <w:rsid w:val="00B22A4A"/>
    <w:rsid w:val="00B22DD1"/>
    <w:rsid w:val="00B22F45"/>
    <w:rsid w:val="00B22FC3"/>
    <w:rsid w:val="00B230BC"/>
    <w:rsid w:val="00B23319"/>
    <w:rsid w:val="00B233FD"/>
    <w:rsid w:val="00B237AB"/>
    <w:rsid w:val="00B23A7F"/>
    <w:rsid w:val="00B23C6E"/>
    <w:rsid w:val="00B23FD4"/>
    <w:rsid w:val="00B24019"/>
    <w:rsid w:val="00B24223"/>
    <w:rsid w:val="00B246CE"/>
    <w:rsid w:val="00B24842"/>
    <w:rsid w:val="00B24935"/>
    <w:rsid w:val="00B24B4A"/>
    <w:rsid w:val="00B24C43"/>
    <w:rsid w:val="00B2520A"/>
    <w:rsid w:val="00B25211"/>
    <w:rsid w:val="00B25240"/>
    <w:rsid w:val="00B2532E"/>
    <w:rsid w:val="00B2555D"/>
    <w:rsid w:val="00B25805"/>
    <w:rsid w:val="00B259E1"/>
    <w:rsid w:val="00B25E97"/>
    <w:rsid w:val="00B2607F"/>
    <w:rsid w:val="00B26369"/>
    <w:rsid w:val="00B26388"/>
    <w:rsid w:val="00B26390"/>
    <w:rsid w:val="00B263FD"/>
    <w:rsid w:val="00B26438"/>
    <w:rsid w:val="00B26699"/>
    <w:rsid w:val="00B269BE"/>
    <w:rsid w:val="00B26B57"/>
    <w:rsid w:val="00B26BE1"/>
    <w:rsid w:val="00B26F0A"/>
    <w:rsid w:val="00B26FF8"/>
    <w:rsid w:val="00B27058"/>
    <w:rsid w:val="00B27179"/>
    <w:rsid w:val="00B2727F"/>
    <w:rsid w:val="00B27338"/>
    <w:rsid w:val="00B273DB"/>
    <w:rsid w:val="00B273E7"/>
    <w:rsid w:val="00B274D9"/>
    <w:rsid w:val="00B27812"/>
    <w:rsid w:val="00B27BE9"/>
    <w:rsid w:val="00B27F2E"/>
    <w:rsid w:val="00B27F6E"/>
    <w:rsid w:val="00B27FD0"/>
    <w:rsid w:val="00B3022A"/>
    <w:rsid w:val="00B3025E"/>
    <w:rsid w:val="00B30614"/>
    <w:rsid w:val="00B30651"/>
    <w:rsid w:val="00B30676"/>
    <w:rsid w:val="00B3070F"/>
    <w:rsid w:val="00B30838"/>
    <w:rsid w:val="00B30842"/>
    <w:rsid w:val="00B309B1"/>
    <w:rsid w:val="00B30A55"/>
    <w:rsid w:val="00B30AAB"/>
    <w:rsid w:val="00B30C52"/>
    <w:rsid w:val="00B30D5B"/>
    <w:rsid w:val="00B30E4B"/>
    <w:rsid w:val="00B30F21"/>
    <w:rsid w:val="00B312EE"/>
    <w:rsid w:val="00B31355"/>
    <w:rsid w:val="00B313B4"/>
    <w:rsid w:val="00B31533"/>
    <w:rsid w:val="00B31597"/>
    <w:rsid w:val="00B31AA7"/>
    <w:rsid w:val="00B31C0A"/>
    <w:rsid w:val="00B31EE5"/>
    <w:rsid w:val="00B321F3"/>
    <w:rsid w:val="00B3228B"/>
    <w:rsid w:val="00B323EA"/>
    <w:rsid w:val="00B32514"/>
    <w:rsid w:val="00B3253A"/>
    <w:rsid w:val="00B32850"/>
    <w:rsid w:val="00B329C4"/>
    <w:rsid w:val="00B32A2D"/>
    <w:rsid w:val="00B32C36"/>
    <w:rsid w:val="00B32CCD"/>
    <w:rsid w:val="00B32CE6"/>
    <w:rsid w:val="00B32D56"/>
    <w:rsid w:val="00B33152"/>
    <w:rsid w:val="00B33226"/>
    <w:rsid w:val="00B333F7"/>
    <w:rsid w:val="00B3382B"/>
    <w:rsid w:val="00B33ADE"/>
    <w:rsid w:val="00B33B56"/>
    <w:rsid w:val="00B33BF1"/>
    <w:rsid w:val="00B33D27"/>
    <w:rsid w:val="00B33ED1"/>
    <w:rsid w:val="00B33FC6"/>
    <w:rsid w:val="00B34387"/>
    <w:rsid w:val="00B34667"/>
    <w:rsid w:val="00B34844"/>
    <w:rsid w:val="00B348DC"/>
    <w:rsid w:val="00B349E9"/>
    <w:rsid w:val="00B349F2"/>
    <w:rsid w:val="00B34C6B"/>
    <w:rsid w:val="00B34C77"/>
    <w:rsid w:val="00B34D91"/>
    <w:rsid w:val="00B35349"/>
    <w:rsid w:val="00B356E8"/>
    <w:rsid w:val="00B3574F"/>
    <w:rsid w:val="00B35A76"/>
    <w:rsid w:val="00B35A79"/>
    <w:rsid w:val="00B35C1E"/>
    <w:rsid w:val="00B35E88"/>
    <w:rsid w:val="00B36108"/>
    <w:rsid w:val="00B36226"/>
    <w:rsid w:val="00B3679E"/>
    <w:rsid w:val="00B369C0"/>
    <w:rsid w:val="00B36CAD"/>
    <w:rsid w:val="00B36E7A"/>
    <w:rsid w:val="00B37084"/>
    <w:rsid w:val="00B370D8"/>
    <w:rsid w:val="00B370E6"/>
    <w:rsid w:val="00B373A3"/>
    <w:rsid w:val="00B37438"/>
    <w:rsid w:val="00B374B6"/>
    <w:rsid w:val="00B3765B"/>
    <w:rsid w:val="00B377A7"/>
    <w:rsid w:val="00B3792C"/>
    <w:rsid w:val="00B37964"/>
    <w:rsid w:val="00B379A8"/>
    <w:rsid w:val="00B379CF"/>
    <w:rsid w:val="00B37A08"/>
    <w:rsid w:val="00B37A25"/>
    <w:rsid w:val="00B37B90"/>
    <w:rsid w:val="00B37D53"/>
    <w:rsid w:val="00B37FCE"/>
    <w:rsid w:val="00B40275"/>
    <w:rsid w:val="00B40376"/>
    <w:rsid w:val="00B406E0"/>
    <w:rsid w:val="00B406F7"/>
    <w:rsid w:val="00B4092D"/>
    <w:rsid w:val="00B40CF0"/>
    <w:rsid w:val="00B40D3B"/>
    <w:rsid w:val="00B40EA7"/>
    <w:rsid w:val="00B410D8"/>
    <w:rsid w:val="00B412FD"/>
    <w:rsid w:val="00B41584"/>
    <w:rsid w:val="00B41825"/>
    <w:rsid w:val="00B419A4"/>
    <w:rsid w:val="00B41A0F"/>
    <w:rsid w:val="00B41CE3"/>
    <w:rsid w:val="00B41D5C"/>
    <w:rsid w:val="00B41E5D"/>
    <w:rsid w:val="00B41E9B"/>
    <w:rsid w:val="00B42402"/>
    <w:rsid w:val="00B4251B"/>
    <w:rsid w:val="00B427AF"/>
    <w:rsid w:val="00B42A25"/>
    <w:rsid w:val="00B42B09"/>
    <w:rsid w:val="00B42BE3"/>
    <w:rsid w:val="00B42C15"/>
    <w:rsid w:val="00B42FDA"/>
    <w:rsid w:val="00B42FFC"/>
    <w:rsid w:val="00B43103"/>
    <w:rsid w:val="00B43253"/>
    <w:rsid w:val="00B433F0"/>
    <w:rsid w:val="00B4343C"/>
    <w:rsid w:val="00B436F9"/>
    <w:rsid w:val="00B43818"/>
    <w:rsid w:val="00B439E0"/>
    <w:rsid w:val="00B443BA"/>
    <w:rsid w:val="00B444D7"/>
    <w:rsid w:val="00B4455A"/>
    <w:rsid w:val="00B4458C"/>
    <w:rsid w:val="00B44769"/>
    <w:rsid w:val="00B44E21"/>
    <w:rsid w:val="00B44F22"/>
    <w:rsid w:val="00B455BC"/>
    <w:rsid w:val="00B45784"/>
    <w:rsid w:val="00B45822"/>
    <w:rsid w:val="00B45896"/>
    <w:rsid w:val="00B45952"/>
    <w:rsid w:val="00B45989"/>
    <w:rsid w:val="00B459AE"/>
    <w:rsid w:val="00B45A09"/>
    <w:rsid w:val="00B45B22"/>
    <w:rsid w:val="00B45E67"/>
    <w:rsid w:val="00B46008"/>
    <w:rsid w:val="00B462AA"/>
    <w:rsid w:val="00B46631"/>
    <w:rsid w:val="00B4675D"/>
    <w:rsid w:val="00B46775"/>
    <w:rsid w:val="00B46820"/>
    <w:rsid w:val="00B46848"/>
    <w:rsid w:val="00B46914"/>
    <w:rsid w:val="00B4696B"/>
    <w:rsid w:val="00B46996"/>
    <w:rsid w:val="00B469CF"/>
    <w:rsid w:val="00B469EB"/>
    <w:rsid w:val="00B46B4A"/>
    <w:rsid w:val="00B46FC5"/>
    <w:rsid w:val="00B470A9"/>
    <w:rsid w:val="00B47195"/>
    <w:rsid w:val="00B471D8"/>
    <w:rsid w:val="00B472F0"/>
    <w:rsid w:val="00B474F3"/>
    <w:rsid w:val="00B475B7"/>
    <w:rsid w:val="00B47683"/>
    <w:rsid w:val="00B477E4"/>
    <w:rsid w:val="00B47B03"/>
    <w:rsid w:val="00B47B69"/>
    <w:rsid w:val="00B47BA2"/>
    <w:rsid w:val="00B47C79"/>
    <w:rsid w:val="00B47CAA"/>
    <w:rsid w:val="00B47CF8"/>
    <w:rsid w:val="00B47DBC"/>
    <w:rsid w:val="00B47DD9"/>
    <w:rsid w:val="00B47E96"/>
    <w:rsid w:val="00B47EBE"/>
    <w:rsid w:val="00B47EFA"/>
    <w:rsid w:val="00B50102"/>
    <w:rsid w:val="00B5042D"/>
    <w:rsid w:val="00B507B6"/>
    <w:rsid w:val="00B50A9C"/>
    <w:rsid w:val="00B50B84"/>
    <w:rsid w:val="00B50F98"/>
    <w:rsid w:val="00B50FFD"/>
    <w:rsid w:val="00B51021"/>
    <w:rsid w:val="00B5108C"/>
    <w:rsid w:val="00B51131"/>
    <w:rsid w:val="00B511B1"/>
    <w:rsid w:val="00B512C0"/>
    <w:rsid w:val="00B513C1"/>
    <w:rsid w:val="00B51514"/>
    <w:rsid w:val="00B517CD"/>
    <w:rsid w:val="00B5194A"/>
    <w:rsid w:val="00B51A00"/>
    <w:rsid w:val="00B51AF9"/>
    <w:rsid w:val="00B51D93"/>
    <w:rsid w:val="00B51DCF"/>
    <w:rsid w:val="00B52504"/>
    <w:rsid w:val="00B5255E"/>
    <w:rsid w:val="00B52627"/>
    <w:rsid w:val="00B5279D"/>
    <w:rsid w:val="00B5279F"/>
    <w:rsid w:val="00B527CE"/>
    <w:rsid w:val="00B528C7"/>
    <w:rsid w:val="00B529EF"/>
    <w:rsid w:val="00B52D82"/>
    <w:rsid w:val="00B52E2B"/>
    <w:rsid w:val="00B52EC6"/>
    <w:rsid w:val="00B5328D"/>
    <w:rsid w:val="00B53334"/>
    <w:rsid w:val="00B53D54"/>
    <w:rsid w:val="00B53F1B"/>
    <w:rsid w:val="00B53F86"/>
    <w:rsid w:val="00B5455C"/>
    <w:rsid w:val="00B54784"/>
    <w:rsid w:val="00B54880"/>
    <w:rsid w:val="00B54967"/>
    <w:rsid w:val="00B54B22"/>
    <w:rsid w:val="00B54F4F"/>
    <w:rsid w:val="00B55085"/>
    <w:rsid w:val="00B55250"/>
    <w:rsid w:val="00B5528C"/>
    <w:rsid w:val="00B5546C"/>
    <w:rsid w:val="00B55478"/>
    <w:rsid w:val="00B55575"/>
    <w:rsid w:val="00B555F8"/>
    <w:rsid w:val="00B5562A"/>
    <w:rsid w:val="00B5562C"/>
    <w:rsid w:val="00B558E3"/>
    <w:rsid w:val="00B55A00"/>
    <w:rsid w:val="00B55AE1"/>
    <w:rsid w:val="00B55F6C"/>
    <w:rsid w:val="00B56015"/>
    <w:rsid w:val="00B561CA"/>
    <w:rsid w:val="00B562A3"/>
    <w:rsid w:val="00B565C1"/>
    <w:rsid w:val="00B56726"/>
    <w:rsid w:val="00B56B16"/>
    <w:rsid w:val="00B56B33"/>
    <w:rsid w:val="00B56BD3"/>
    <w:rsid w:val="00B5709E"/>
    <w:rsid w:val="00B57373"/>
    <w:rsid w:val="00B5766F"/>
    <w:rsid w:val="00B57702"/>
    <w:rsid w:val="00B578DC"/>
    <w:rsid w:val="00B57DBB"/>
    <w:rsid w:val="00B601F5"/>
    <w:rsid w:val="00B60883"/>
    <w:rsid w:val="00B609BD"/>
    <w:rsid w:val="00B609E7"/>
    <w:rsid w:val="00B60B72"/>
    <w:rsid w:val="00B60E86"/>
    <w:rsid w:val="00B60F5F"/>
    <w:rsid w:val="00B61197"/>
    <w:rsid w:val="00B6128B"/>
    <w:rsid w:val="00B6163F"/>
    <w:rsid w:val="00B6179E"/>
    <w:rsid w:val="00B617AB"/>
    <w:rsid w:val="00B6181E"/>
    <w:rsid w:val="00B61BCF"/>
    <w:rsid w:val="00B61D86"/>
    <w:rsid w:val="00B6213E"/>
    <w:rsid w:val="00B6223E"/>
    <w:rsid w:val="00B624FB"/>
    <w:rsid w:val="00B62504"/>
    <w:rsid w:val="00B62823"/>
    <w:rsid w:val="00B62836"/>
    <w:rsid w:val="00B628AC"/>
    <w:rsid w:val="00B62A85"/>
    <w:rsid w:val="00B62AFA"/>
    <w:rsid w:val="00B62B9D"/>
    <w:rsid w:val="00B62D8D"/>
    <w:rsid w:val="00B62E4B"/>
    <w:rsid w:val="00B62E52"/>
    <w:rsid w:val="00B62F41"/>
    <w:rsid w:val="00B632E4"/>
    <w:rsid w:val="00B6363D"/>
    <w:rsid w:val="00B636D2"/>
    <w:rsid w:val="00B63734"/>
    <w:rsid w:val="00B6382C"/>
    <w:rsid w:val="00B639B5"/>
    <w:rsid w:val="00B63FC3"/>
    <w:rsid w:val="00B641AD"/>
    <w:rsid w:val="00B642D6"/>
    <w:rsid w:val="00B64470"/>
    <w:rsid w:val="00B64471"/>
    <w:rsid w:val="00B645BC"/>
    <w:rsid w:val="00B646F1"/>
    <w:rsid w:val="00B6482F"/>
    <w:rsid w:val="00B64978"/>
    <w:rsid w:val="00B64D40"/>
    <w:rsid w:val="00B64FB4"/>
    <w:rsid w:val="00B650EC"/>
    <w:rsid w:val="00B6519F"/>
    <w:rsid w:val="00B65456"/>
    <w:rsid w:val="00B65629"/>
    <w:rsid w:val="00B656D8"/>
    <w:rsid w:val="00B65A21"/>
    <w:rsid w:val="00B65C78"/>
    <w:rsid w:val="00B65CF3"/>
    <w:rsid w:val="00B65D5D"/>
    <w:rsid w:val="00B65DBB"/>
    <w:rsid w:val="00B65ED7"/>
    <w:rsid w:val="00B65F00"/>
    <w:rsid w:val="00B66012"/>
    <w:rsid w:val="00B660A8"/>
    <w:rsid w:val="00B66249"/>
    <w:rsid w:val="00B666AE"/>
    <w:rsid w:val="00B66827"/>
    <w:rsid w:val="00B6687F"/>
    <w:rsid w:val="00B668AC"/>
    <w:rsid w:val="00B66917"/>
    <w:rsid w:val="00B66B87"/>
    <w:rsid w:val="00B66F35"/>
    <w:rsid w:val="00B66F8A"/>
    <w:rsid w:val="00B671B9"/>
    <w:rsid w:val="00B673EC"/>
    <w:rsid w:val="00B675FE"/>
    <w:rsid w:val="00B678D1"/>
    <w:rsid w:val="00B67C58"/>
    <w:rsid w:val="00B67E15"/>
    <w:rsid w:val="00B67EC8"/>
    <w:rsid w:val="00B70115"/>
    <w:rsid w:val="00B7046D"/>
    <w:rsid w:val="00B704BA"/>
    <w:rsid w:val="00B7068A"/>
    <w:rsid w:val="00B70926"/>
    <w:rsid w:val="00B70B16"/>
    <w:rsid w:val="00B70F71"/>
    <w:rsid w:val="00B712C5"/>
    <w:rsid w:val="00B714A1"/>
    <w:rsid w:val="00B71517"/>
    <w:rsid w:val="00B71634"/>
    <w:rsid w:val="00B71B14"/>
    <w:rsid w:val="00B71D53"/>
    <w:rsid w:val="00B71DBB"/>
    <w:rsid w:val="00B72229"/>
    <w:rsid w:val="00B72281"/>
    <w:rsid w:val="00B722F8"/>
    <w:rsid w:val="00B72349"/>
    <w:rsid w:val="00B723D3"/>
    <w:rsid w:val="00B723FC"/>
    <w:rsid w:val="00B724D3"/>
    <w:rsid w:val="00B729F2"/>
    <w:rsid w:val="00B72A56"/>
    <w:rsid w:val="00B72C59"/>
    <w:rsid w:val="00B72D05"/>
    <w:rsid w:val="00B72EEE"/>
    <w:rsid w:val="00B7316E"/>
    <w:rsid w:val="00B73205"/>
    <w:rsid w:val="00B732FC"/>
    <w:rsid w:val="00B734E9"/>
    <w:rsid w:val="00B739D0"/>
    <w:rsid w:val="00B742A4"/>
    <w:rsid w:val="00B744E8"/>
    <w:rsid w:val="00B747C8"/>
    <w:rsid w:val="00B747E0"/>
    <w:rsid w:val="00B7496C"/>
    <w:rsid w:val="00B74A23"/>
    <w:rsid w:val="00B74B20"/>
    <w:rsid w:val="00B74C1F"/>
    <w:rsid w:val="00B74C68"/>
    <w:rsid w:val="00B74F93"/>
    <w:rsid w:val="00B7500F"/>
    <w:rsid w:val="00B75014"/>
    <w:rsid w:val="00B75038"/>
    <w:rsid w:val="00B75044"/>
    <w:rsid w:val="00B75271"/>
    <w:rsid w:val="00B75361"/>
    <w:rsid w:val="00B75588"/>
    <w:rsid w:val="00B755B3"/>
    <w:rsid w:val="00B756CA"/>
    <w:rsid w:val="00B758AC"/>
    <w:rsid w:val="00B75C71"/>
    <w:rsid w:val="00B75DB6"/>
    <w:rsid w:val="00B75E9D"/>
    <w:rsid w:val="00B75EF1"/>
    <w:rsid w:val="00B76051"/>
    <w:rsid w:val="00B760D8"/>
    <w:rsid w:val="00B76427"/>
    <w:rsid w:val="00B76746"/>
    <w:rsid w:val="00B76756"/>
    <w:rsid w:val="00B7675E"/>
    <w:rsid w:val="00B7676C"/>
    <w:rsid w:val="00B76EA9"/>
    <w:rsid w:val="00B76F7C"/>
    <w:rsid w:val="00B770A3"/>
    <w:rsid w:val="00B77653"/>
    <w:rsid w:val="00B77702"/>
    <w:rsid w:val="00B77A99"/>
    <w:rsid w:val="00B77F2F"/>
    <w:rsid w:val="00B800F6"/>
    <w:rsid w:val="00B8012D"/>
    <w:rsid w:val="00B80354"/>
    <w:rsid w:val="00B803D4"/>
    <w:rsid w:val="00B8042A"/>
    <w:rsid w:val="00B804CC"/>
    <w:rsid w:val="00B805E3"/>
    <w:rsid w:val="00B80769"/>
    <w:rsid w:val="00B809F9"/>
    <w:rsid w:val="00B80A64"/>
    <w:rsid w:val="00B80D0C"/>
    <w:rsid w:val="00B80DB5"/>
    <w:rsid w:val="00B80EE7"/>
    <w:rsid w:val="00B811E3"/>
    <w:rsid w:val="00B81339"/>
    <w:rsid w:val="00B81666"/>
    <w:rsid w:val="00B81917"/>
    <w:rsid w:val="00B819EA"/>
    <w:rsid w:val="00B81A38"/>
    <w:rsid w:val="00B81AAE"/>
    <w:rsid w:val="00B81BE6"/>
    <w:rsid w:val="00B81D99"/>
    <w:rsid w:val="00B81E2F"/>
    <w:rsid w:val="00B822E9"/>
    <w:rsid w:val="00B82414"/>
    <w:rsid w:val="00B824A0"/>
    <w:rsid w:val="00B8259E"/>
    <w:rsid w:val="00B8267D"/>
    <w:rsid w:val="00B82756"/>
    <w:rsid w:val="00B827DE"/>
    <w:rsid w:val="00B829C6"/>
    <w:rsid w:val="00B82A67"/>
    <w:rsid w:val="00B82D09"/>
    <w:rsid w:val="00B82FEE"/>
    <w:rsid w:val="00B832B2"/>
    <w:rsid w:val="00B8346F"/>
    <w:rsid w:val="00B837DF"/>
    <w:rsid w:val="00B8389D"/>
    <w:rsid w:val="00B83986"/>
    <w:rsid w:val="00B83A79"/>
    <w:rsid w:val="00B83C18"/>
    <w:rsid w:val="00B83E9D"/>
    <w:rsid w:val="00B84042"/>
    <w:rsid w:val="00B841E3"/>
    <w:rsid w:val="00B84202"/>
    <w:rsid w:val="00B84220"/>
    <w:rsid w:val="00B8433E"/>
    <w:rsid w:val="00B8452B"/>
    <w:rsid w:val="00B845B6"/>
    <w:rsid w:val="00B84785"/>
    <w:rsid w:val="00B847A2"/>
    <w:rsid w:val="00B847F4"/>
    <w:rsid w:val="00B84A99"/>
    <w:rsid w:val="00B84BE1"/>
    <w:rsid w:val="00B84D96"/>
    <w:rsid w:val="00B84F06"/>
    <w:rsid w:val="00B84FBA"/>
    <w:rsid w:val="00B85168"/>
    <w:rsid w:val="00B8541E"/>
    <w:rsid w:val="00B854E3"/>
    <w:rsid w:val="00B855BF"/>
    <w:rsid w:val="00B855FE"/>
    <w:rsid w:val="00B856EF"/>
    <w:rsid w:val="00B857D2"/>
    <w:rsid w:val="00B85AB2"/>
    <w:rsid w:val="00B85B27"/>
    <w:rsid w:val="00B85DBD"/>
    <w:rsid w:val="00B85E2D"/>
    <w:rsid w:val="00B85E4D"/>
    <w:rsid w:val="00B860D0"/>
    <w:rsid w:val="00B86A28"/>
    <w:rsid w:val="00B86A9F"/>
    <w:rsid w:val="00B86B2E"/>
    <w:rsid w:val="00B86C60"/>
    <w:rsid w:val="00B86DA3"/>
    <w:rsid w:val="00B86E08"/>
    <w:rsid w:val="00B86E4B"/>
    <w:rsid w:val="00B8710A"/>
    <w:rsid w:val="00B8711B"/>
    <w:rsid w:val="00B871A5"/>
    <w:rsid w:val="00B8725B"/>
    <w:rsid w:val="00B8744E"/>
    <w:rsid w:val="00B8749B"/>
    <w:rsid w:val="00B87509"/>
    <w:rsid w:val="00B87605"/>
    <w:rsid w:val="00B87866"/>
    <w:rsid w:val="00B87C93"/>
    <w:rsid w:val="00B87FFC"/>
    <w:rsid w:val="00B90120"/>
    <w:rsid w:val="00B901BF"/>
    <w:rsid w:val="00B90279"/>
    <w:rsid w:val="00B904C7"/>
    <w:rsid w:val="00B90719"/>
    <w:rsid w:val="00B90723"/>
    <w:rsid w:val="00B90777"/>
    <w:rsid w:val="00B9085F"/>
    <w:rsid w:val="00B90941"/>
    <w:rsid w:val="00B90D08"/>
    <w:rsid w:val="00B90D88"/>
    <w:rsid w:val="00B90EFE"/>
    <w:rsid w:val="00B90F21"/>
    <w:rsid w:val="00B90F63"/>
    <w:rsid w:val="00B911FF"/>
    <w:rsid w:val="00B91441"/>
    <w:rsid w:val="00B91493"/>
    <w:rsid w:val="00B9177D"/>
    <w:rsid w:val="00B918CD"/>
    <w:rsid w:val="00B91CC2"/>
    <w:rsid w:val="00B91F6A"/>
    <w:rsid w:val="00B9216A"/>
    <w:rsid w:val="00B92413"/>
    <w:rsid w:val="00B924F0"/>
    <w:rsid w:val="00B92505"/>
    <w:rsid w:val="00B92530"/>
    <w:rsid w:val="00B92639"/>
    <w:rsid w:val="00B92BDF"/>
    <w:rsid w:val="00B92C80"/>
    <w:rsid w:val="00B93273"/>
    <w:rsid w:val="00B93843"/>
    <w:rsid w:val="00B938D2"/>
    <w:rsid w:val="00B9392F"/>
    <w:rsid w:val="00B93BFE"/>
    <w:rsid w:val="00B942D0"/>
    <w:rsid w:val="00B9461E"/>
    <w:rsid w:val="00B9474C"/>
    <w:rsid w:val="00B94756"/>
    <w:rsid w:val="00B9476B"/>
    <w:rsid w:val="00B94870"/>
    <w:rsid w:val="00B94B00"/>
    <w:rsid w:val="00B94CAE"/>
    <w:rsid w:val="00B94CDD"/>
    <w:rsid w:val="00B94F21"/>
    <w:rsid w:val="00B9502B"/>
    <w:rsid w:val="00B950A3"/>
    <w:rsid w:val="00B9514E"/>
    <w:rsid w:val="00B951C5"/>
    <w:rsid w:val="00B954F0"/>
    <w:rsid w:val="00B9579C"/>
    <w:rsid w:val="00B95BD1"/>
    <w:rsid w:val="00B95C41"/>
    <w:rsid w:val="00B95DEF"/>
    <w:rsid w:val="00B95E18"/>
    <w:rsid w:val="00B95EBF"/>
    <w:rsid w:val="00B95F86"/>
    <w:rsid w:val="00B95FAA"/>
    <w:rsid w:val="00B96176"/>
    <w:rsid w:val="00B96183"/>
    <w:rsid w:val="00B96657"/>
    <w:rsid w:val="00B9668D"/>
    <w:rsid w:val="00B9669F"/>
    <w:rsid w:val="00B966EF"/>
    <w:rsid w:val="00B9680F"/>
    <w:rsid w:val="00B96AA2"/>
    <w:rsid w:val="00B96B18"/>
    <w:rsid w:val="00B96BC8"/>
    <w:rsid w:val="00B96E03"/>
    <w:rsid w:val="00B97207"/>
    <w:rsid w:val="00B97240"/>
    <w:rsid w:val="00B97246"/>
    <w:rsid w:val="00B9767E"/>
    <w:rsid w:val="00B976DC"/>
    <w:rsid w:val="00B97742"/>
    <w:rsid w:val="00B97753"/>
    <w:rsid w:val="00B97870"/>
    <w:rsid w:val="00B979A4"/>
    <w:rsid w:val="00B97A1E"/>
    <w:rsid w:val="00B97BB1"/>
    <w:rsid w:val="00B97D80"/>
    <w:rsid w:val="00B97FB4"/>
    <w:rsid w:val="00BA01FF"/>
    <w:rsid w:val="00BA046E"/>
    <w:rsid w:val="00BA0729"/>
    <w:rsid w:val="00BA0777"/>
    <w:rsid w:val="00BA0864"/>
    <w:rsid w:val="00BA089F"/>
    <w:rsid w:val="00BA0C0C"/>
    <w:rsid w:val="00BA0FEB"/>
    <w:rsid w:val="00BA1136"/>
    <w:rsid w:val="00BA127C"/>
    <w:rsid w:val="00BA1424"/>
    <w:rsid w:val="00BA182F"/>
    <w:rsid w:val="00BA1CA4"/>
    <w:rsid w:val="00BA1E60"/>
    <w:rsid w:val="00BA1E99"/>
    <w:rsid w:val="00BA1F1F"/>
    <w:rsid w:val="00BA1F2D"/>
    <w:rsid w:val="00BA1F90"/>
    <w:rsid w:val="00BA1FA6"/>
    <w:rsid w:val="00BA20D9"/>
    <w:rsid w:val="00BA213A"/>
    <w:rsid w:val="00BA225C"/>
    <w:rsid w:val="00BA2341"/>
    <w:rsid w:val="00BA241C"/>
    <w:rsid w:val="00BA26FF"/>
    <w:rsid w:val="00BA2710"/>
    <w:rsid w:val="00BA2731"/>
    <w:rsid w:val="00BA27BA"/>
    <w:rsid w:val="00BA27CD"/>
    <w:rsid w:val="00BA284C"/>
    <w:rsid w:val="00BA2924"/>
    <w:rsid w:val="00BA2995"/>
    <w:rsid w:val="00BA2A66"/>
    <w:rsid w:val="00BA2A8C"/>
    <w:rsid w:val="00BA2A96"/>
    <w:rsid w:val="00BA2C0D"/>
    <w:rsid w:val="00BA2C74"/>
    <w:rsid w:val="00BA2D05"/>
    <w:rsid w:val="00BA2E7A"/>
    <w:rsid w:val="00BA2FB8"/>
    <w:rsid w:val="00BA31D3"/>
    <w:rsid w:val="00BA32A2"/>
    <w:rsid w:val="00BA3458"/>
    <w:rsid w:val="00BA359A"/>
    <w:rsid w:val="00BA39E4"/>
    <w:rsid w:val="00BA3E5B"/>
    <w:rsid w:val="00BA3F6C"/>
    <w:rsid w:val="00BA44E5"/>
    <w:rsid w:val="00BA4A10"/>
    <w:rsid w:val="00BA4B78"/>
    <w:rsid w:val="00BA4EAB"/>
    <w:rsid w:val="00BA5077"/>
    <w:rsid w:val="00BA50AB"/>
    <w:rsid w:val="00BA50C3"/>
    <w:rsid w:val="00BA50ED"/>
    <w:rsid w:val="00BA52AF"/>
    <w:rsid w:val="00BA53D6"/>
    <w:rsid w:val="00BA548C"/>
    <w:rsid w:val="00BA555E"/>
    <w:rsid w:val="00BA5877"/>
    <w:rsid w:val="00BA5BAE"/>
    <w:rsid w:val="00BA5BD3"/>
    <w:rsid w:val="00BA5DEB"/>
    <w:rsid w:val="00BA5F40"/>
    <w:rsid w:val="00BA5FD3"/>
    <w:rsid w:val="00BA603D"/>
    <w:rsid w:val="00BA60ED"/>
    <w:rsid w:val="00BA6115"/>
    <w:rsid w:val="00BA664D"/>
    <w:rsid w:val="00BA691D"/>
    <w:rsid w:val="00BA6A34"/>
    <w:rsid w:val="00BA7118"/>
    <w:rsid w:val="00BA7259"/>
    <w:rsid w:val="00BA7269"/>
    <w:rsid w:val="00BA745B"/>
    <w:rsid w:val="00BA74C5"/>
    <w:rsid w:val="00BA75D4"/>
    <w:rsid w:val="00BA7787"/>
    <w:rsid w:val="00BA7907"/>
    <w:rsid w:val="00BA7C7A"/>
    <w:rsid w:val="00BA7CD8"/>
    <w:rsid w:val="00BA7E93"/>
    <w:rsid w:val="00BA7E9B"/>
    <w:rsid w:val="00BA7F6E"/>
    <w:rsid w:val="00BA7FBE"/>
    <w:rsid w:val="00BA7FEE"/>
    <w:rsid w:val="00BA8E51"/>
    <w:rsid w:val="00BAB652"/>
    <w:rsid w:val="00BAF463"/>
    <w:rsid w:val="00BB0282"/>
    <w:rsid w:val="00BB02E8"/>
    <w:rsid w:val="00BB0339"/>
    <w:rsid w:val="00BB03CA"/>
    <w:rsid w:val="00BB04EE"/>
    <w:rsid w:val="00BB0591"/>
    <w:rsid w:val="00BB05FB"/>
    <w:rsid w:val="00BB08FE"/>
    <w:rsid w:val="00BB096E"/>
    <w:rsid w:val="00BB0979"/>
    <w:rsid w:val="00BB0AEE"/>
    <w:rsid w:val="00BB0C48"/>
    <w:rsid w:val="00BB0C55"/>
    <w:rsid w:val="00BB0CC3"/>
    <w:rsid w:val="00BB120F"/>
    <w:rsid w:val="00BB13DC"/>
    <w:rsid w:val="00BB1421"/>
    <w:rsid w:val="00BB17EC"/>
    <w:rsid w:val="00BB183D"/>
    <w:rsid w:val="00BB1A80"/>
    <w:rsid w:val="00BB1E56"/>
    <w:rsid w:val="00BB1F39"/>
    <w:rsid w:val="00BB20D4"/>
    <w:rsid w:val="00BB218B"/>
    <w:rsid w:val="00BB2539"/>
    <w:rsid w:val="00BB261B"/>
    <w:rsid w:val="00BB26EC"/>
    <w:rsid w:val="00BB2902"/>
    <w:rsid w:val="00BB2A13"/>
    <w:rsid w:val="00BB2A6D"/>
    <w:rsid w:val="00BB2D44"/>
    <w:rsid w:val="00BB2E28"/>
    <w:rsid w:val="00BB303A"/>
    <w:rsid w:val="00BB3410"/>
    <w:rsid w:val="00BB3790"/>
    <w:rsid w:val="00BB38FE"/>
    <w:rsid w:val="00BB3A16"/>
    <w:rsid w:val="00BB3AFB"/>
    <w:rsid w:val="00BB3B27"/>
    <w:rsid w:val="00BB3B89"/>
    <w:rsid w:val="00BB3BA9"/>
    <w:rsid w:val="00BB3C84"/>
    <w:rsid w:val="00BB3E1A"/>
    <w:rsid w:val="00BB41FD"/>
    <w:rsid w:val="00BB476D"/>
    <w:rsid w:val="00BB4DE1"/>
    <w:rsid w:val="00BB5149"/>
    <w:rsid w:val="00BB54CB"/>
    <w:rsid w:val="00BB5911"/>
    <w:rsid w:val="00BB5B45"/>
    <w:rsid w:val="00BB5BE9"/>
    <w:rsid w:val="00BB5D4B"/>
    <w:rsid w:val="00BB5E8D"/>
    <w:rsid w:val="00BB5EE7"/>
    <w:rsid w:val="00BB5F00"/>
    <w:rsid w:val="00BB5F04"/>
    <w:rsid w:val="00BB601C"/>
    <w:rsid w:val="00BB6315"/>
    <w:rsid w:val="00BB6537"/>
    <w:rsid w:val="00BB68FE"/>
    <w:rsid w:val="00BB697A"/>
    <w:rsid w:val="00BB6B79"/>
    <w:rsid w:val="00BB6D32"/>
    <w:rsid w:val="00BB6F6F"/>
    <w:rsid w:val="00BB6F99"/>
    <w:rsid w:val="00BB709A"/>
    <w:rsid w:val="00BB72FD"/>
    <w:rsid w:val="00BB75CA"/>
    <w:rsid w:val="00BB7624"/>
    <w:rsid w:val="00BB776A"/>
    <w:rsid w:val="00BB7921"/>
    <w:rsid w:val="00BB7A13"/>
    <w:rsid w:val="00BB7CDB"/>
    <w:rsid w:val="00BB7DD8"/>
    <w:rsid w:val="00BB7ED7"/>
    <w:rsid w:val="00BC0354"/>
    <w:rsid w:val="00BC0443"/>
    <w:rsid w:val="00BC0593"/>
    <w:rsid w:val="00BC05D5"/>
    <w:rsid w:val="00BC05EB"/>
    <w:rsid w:val="00BC06FC"/>
    <w:rsid w:val="00BC074D"/>
    <w:rsid w:val="00BC0773"/>
    <w:rsid w:val="00BC0A4C"/>
    <w:rsid w:val="00BC0A9F"/>
    <w:rsid w:val="00BC0D51"/>
    <w:rsid w:val="00BC0DA2"/>
    <w:rsid w:val="00BC0F36"/>
    <w:rsid w:val="00BC1079"/>
    <w:rsid w:val="00BC1306"/>
    <w:rsid w:val="00BC13AB"/>
    <w:rsid w:val="00BC19F9"/>
    <w:rsid w:val="00BC1DB1"/>
    <w:rsid w:val="00BC1F74"/>
    <w:rsid w:val="00BC21C1"/>
    <w:rsid w:val="00BC22A5"/>
    <w:rsid w:val="00BC22E0"/>
    <w:rsid w:val="00BC2474"/>
    <w:rsid w:val="00BC2533"/>
    <w:rsid w:val="00BC2932"/>
    <w:rsid w:val="00BC2A97"/>
    <w:rsid w:val="00BC2B12"/>
    <w:rsid w:val="00BC2DDC"/>
    <w:rsid w:val="00BC2E4A"/>
    <w:rsid w:val="00BC30F8"/>
    <w:rsid w:val="00BC34C1"/>
    <w:rsid w:val="00BC350B"/>
    <w:rsid w:val="00BC3553"/>
    <w:rsid w:val="00BC35B2"/>
    <w:rsid w:val="00BC35C9"/>
    <w:rsid w:val="00BC3DE4"/>
    <w:rsid w:val="00BC3DFA"/>
    <w:rsid w:val="00BC3F77"/>
    <w:rsid w:val="00BC3F90"/>
    <w:rsid w:val="00BC40F0"/>
    <w:rsid w:val="00BC4303"/>
    <w:rsid w:val="00BC45F5"/>
    <w:rsid w:val="00BC48A3"/>
    <w:rsid w:val="00BC48C4"/>
    <w:rsid w:val="00BC4BC9"/>
    <w:rsid w:val="00BC4EC3"/>
    <w:rsid w:val="00BC4ECA"/>
    <w:rsid w:val="00BC4EED"/>
    <w:rsid w:val="00BC50B2"/>
    <w:rsid w:val="00BC5235"/>
    <w:rsid w:val="00BC5331"/>
    <w:rsid w:val="00BC5460"/>
    <w:rsid w:val="00BC5610"/>
    <w:rsid w:val="00BC5AE0"/>
    <w:rsid w:val="00BC5EBD"/>
    <w:rsid w:val="00BC6009"/>
    <w:rsid w:val="00BC6373"/>
    <w:rsid w:val="00BC640D"/>
    <w:rsid w:val="00BC648F"/>
    <w:rsid w:val="00BC69C5"/>
    <w:rsid w:val="00BC6FDB"/>
    <w:rsid w:val="00BC703F"/>
    <w:rsid w:val="00BC74AB"/>
    <w:rsid w:val="00BC7554"/>
    <w:rsid w:val="00BC77D0"/>
    <w:rsid w:val="00BC7E64"/>
    <w:rsid w:val="00BCA269"/>
    <w:rsid w:val="00BD0050"/>
    <w:rsid w:val="00BD006A"/>
    <w:rsid w:val="00BD03DD"/>
    <w:rsid w:val="00BD0438"/>
    <w:rsid w:val="00BD049B"/>
    <w:rsid w:val="00BD05F6"/>
    <w:rsid w:val="00BD070C"/>
    <w:rsid w:val="00BD0A11"/>
    <w:rsid w:val="00BD0B1A"/>
    <w:rsid w:val="00BD0BD2"/>
    <w:rsid w:val="00BD0C34"/>
    <w:rsid w:val="00BD0F41"/>
    <w:rsid w:val="00BD122F"/>
    <w:rsid w:val="00BD14D4"/>
    <w:rsid w:val="00BD156A"/>
    <w:rsid w:val="00BD16BF"/>
    <w:rsid w:val="00BD17F1"/>
    <w:rsid w:val="00BD1961"/>
    <w:rsid w:val="00BD1976"/>
    <w:rsid w:val="00BD197E"/>
    <w:rsid w:val="00BD1E5E"/>
    <w:rsid w:val="00BD1E8D"/>
    <w:rsid w:val="00BD1F1E"/>
    <w:rsid w:val="00BD20A8"/>
    <w:rsid w:val="00BD20D8"/>
    <w:rsid w:val="00BD2183"/>
    <w:rsid w:val="00BD2232"/>
    <w:rsid w:val="00BD2329"/>
    <w:rsid w:val="00BD235B"/>
    <w:rsid w:val="00BD2749"/>
    <w:rsid w:val="00BD2796"/>
    <w:rsid w:val="00BD27D6"/>
    <w:rsid w:val="00BD27F3"/>
    <w:rsid w:val="00BD2881"/>
    <w:rsid w:val="00BD2C4B"/>
    <w:rsid w:val="00BD2FD8"/>
    <w:rsid w:val="00BD304D"/>
    <w:rsid w:val="00BD3130"/>
    <w:rsid w:val="00BD34DC"/>
    <w:rsid w:val="00BD3620"/>
    <w:rsid w:val="00BD3958"/>
    <w:rsid w:val="00BD3ADA"/>
    <w:rsid w:val="00BD3DCD"/>
    <w:rsid w:val="00BD3DE9"/>
    <w:rsid w:val="00BD3EEB"/>
    <w:rsid w:val="00BD4118"/>
    <w:rsid w:val="00BD41FB"/>
    <w:rsid w:val="00BD447F"/>
    <w:rsid w:val="00BD45FB"/>
    <w:rsid w:val="00BD51BE"/>
    <w:rsid w:val="00BD5394"/>
    <w:rsid w:val="00BD5435"/>
    <w:rsid w:val="00BD55B8"/>
    <w:rsid w:val="00BD5A19"/>
    <w:rsid w:val="00BD5C0F"/>
    <w:rsid w:val="00BD60FB"/>
    <w:rsid w:val="00BD6508"/>
    <w:rsid w:val="00BD6721"/>
    <w:rsid w:val="00BD6884"/>
    <w:rsid w:val="00BD6A6C"/>
    <w:rsid w:val="00BD6E82"/>
    <w:rsid w:val="00BD7041"/>
    <w:rsid w:val="00BD704E"/>
    <w:rsid w:val="00BD709E"/>
    <w:rsid w:val="00BD70CA"/>
    <w:rsid w:val="00BD729D"/>
    <w:rsid w:val="00BD7331"/>
    <w:rsid w:val="00BD7393"/>
    <w:rsid w:val="00BD743E"/>
    <w:rsid w:val="00BD75EB"/>
    <w:rsid w:val="00BD7624"/>
    <w:rsid w:val="00BD76CF"/>
    <w:rsid w:val="00BD7774"/>
    <w:rsid w:val="00BD79FA"/>
    <w:rsid w:val="00BD7DA4"/>
    <w:rsid w:val="00BD7F06"/>
    <w:rsid w:val="00BD7F0A"/>
    <w:rsid w:val="00BDE5C3"/>
    <w:rsid w:val="00BE024E"/>
    <w:rsid w:val="00BE0259"/>
    <w:rsid w:val="00BE03EB"/>
    <w:rsid w:val="00BE0607"/>
    <w:rsid w:val="00BE0652"/>
    <w:rsid w:val="00BE0A40"/>
    <w:rsid w:val="00BE0FEA"/>
    <w:rsid w:val="00BE0FEC"/>
    <w:rsid w:val="00BE188D"/>
    <w:rsid w:val="00BE198E"/>
    <w:rsid w:val="00BE1ACA"/>
    <w:rsid w:val="00BE1EB0"/>
    <w:rsid w:val="00BE1F3A"/>
    <w:rsid w:val="00BE1F55"/>
    <w:rsid w:val="00BE2344"/>
    <w:rsid w:val="00BE24B5"/>
    <w:rsid w:val="00BE253B"/>
    <w:rsid w:val="00BE27CD"/>
    <w:rsid w:val="00BE2B69"/>
    <w:rsid w:val="00BE2DEB"/>
    <w:rsid w:val="00BE2FF1"/>
    <w:rsid w:val="00BE3082"/>
    <w:rsid w:val="00BE30D6"/>
    <w:rsid w:val="00BE3493"/>
    <w:rsid w:val="00BE3AD3"/>
    <w:rsid w:val="00BE3B94"/>
    <w:rsid w:val="00BE3CE4"/>
    <w:rsid w:val="00BE3D83"/>
    <w:rsid w:val="00BE3E59"/>
    <w:rsid w:val="00BE4181"/>
    <w:rsid w:val="00BE44C5"/>
    <w:rsid w:val="00BE451E"/>
    <w:rsid w:val="00BE4664"/>
    <w:rsid w:val="00BE4D59"/>
    <w:rsid w:val="00BE4E78"/>
    <w:rsid w:val="00BE4F2D"/>
    <w:rsid w:val="00BE4F96"/>
    <w:rsid w:val="00BE5080"/>
    <w:rsid w:val="00BE5132"/>
    <w:rsid w:val="00BE530E"/>
    <w:rsid w:val="00BE53B7"/>
    <w:rsid w:val="00BE53C4"/>
    <w:rsid w:val="00BE5563"/>
    <w:rsid w:val="00BE56FD"/>
    <w:rsid w:val="00BE5705"/>
    <w:rsid w:val="00BE58FB"/>
    <w:rsid w:val="00BE5923"/>
    <w:rsid w:val="00BE5D94"/>
    <w:rsid w:val="00BE5DB1"/>
    <w:rsid w:val="00BE5E7B"/>
    <w:rsid w:val="00BE63AB"/>
    <w:rsid w:val="00BE6519"/>
    <w:rsid w:val="00BE67A1"/>
    <w:rsid w:val="00BE67FC"/>
    <w:rsid w:val="00BE6A4E"/>
    <w:rsid w:val="00BE6B00"/>
    <w:rsid w:val="00BE6B5F"/>
    <w:rsid w:val="00BE6FE7"/>
    <w:rsid w:val="00BE7164"/>
    <w:rsid w:val="00BE71A5"/>
    <w:rsid w:val="00BE7273"/>
    <w:rsid w:val="00BE7380"/>
    <w:rsid w:val="00BE742A"/>
    <w:rsid w:val="00BE76FD"/>
    <w:rsid w:val="00BE78BB"/>
    <w:rsid w:val="00BE798E"/>
    <w:rsid w:val="00BE7A77"/>
    <w:rsid w:val="00BE7BD3"/>
    <w:rsid w:val="00BE7C5C"/>
    <w:rsid w:val="00BF0032"/>
    <w:rsid w:val="00BF05C9"/>
    <w:rsid w:val="00BF06BB"/>
    <w:rsid w:val="00BF0829"/>
    <w:rsid w:val="00BF084E"/>
    <w:rsid w:val="00BF0922"/>
    <w:rsid w:val="00BF0AB0"/>
    <w:rsid w:val="00BF0ABE"/>
    <w:rsid w:val="00BF0AF1"/>
    <w:rsid w:val="00BF0CAE"/>
    <w:rsid w:val="00BF0D78"/>
    <w:rsid w:val="00BF1011"/>
    <w:rsid w:val="00BF106B"/>
    <w:rsid w:val="00BF1127"/>
    <w:rsid w:val="00BF125C"/>
    <w:rsid w:val="00BF1378"/>
    <w:rsid w:val="00BF1391"/>
    <w:rsid w:val="00BF14BE"/>
    <w:rsid w:val="00BF17DF"/>
    <w:rsid w:val="00BF19E9"/>
    <w:rsid w:val="00BF1CA7"/>
    <w:rsid w:val="00BF1FFD"/>
    <w:rsid w:val="00BF2291"/>
    <w:rsid w:val="00BF231F"/>
    <w:rsid w:val="00BF2708"/>
    <w:rsid w:val="00BF27E6"/>
    <w:rsid w:val="00BF286D"/>
    <w:rsid w:val="00BF29C4"/>
    <w:rsid w:val="00BF2C24"/>
    <w:rsid w:val="00BF2D61"/>
    <w:rsid w:val="00BF2E4C"/>
    <w:rsid w:val="00BF3269"/>
    <w:rsid w:val="00BF330F"/>
    <w:rsid w:val="00BF33A4"/>
    <w:rsid w:val="00BF33AA"/>
    <w:rsid w:val="00BF340D"/>
    <w:rsid w:val="00BF3504"/>
    <w:rsid w:val="00BF352F"/>
    <w:rsid w:val="00BF37E0"/>
    <w:rsid w:val="00BF3A83"/>
    <w:rsid w:val="00BF3AFC"/>
    <w:rsid w:val="00BF3BE7"/>
    <w:rsid w:val="00BF4140"/>
    <w:rsid w:val="00BF4162"/>
    <w:rsid w:val="00BF4681"/>
    <w:rsid w:val="00BF48DA"/>
    <w:rsid w:val="00BF492F"/>
    <w:rsid w:val="00BF4AA5"/>
    <w:rsid w:val="00BF4C55"/>
    <w:rsid w:val="00BF4CC6"/>
    <w:rsid w:val="00BF4D0D"/>
    <w:rsid w:val="00BF4DCF"/>
    <w:rsid w:val="00BF4E52"/>
    <w:rsid w:val="00BF52CD"/>
    <w:rsid w:val="00BF541B"/>
    <w:rsid w:val="00BF5629"/>
    <w:rsid w:val="00BF56F6"/>
    <w:rsid w:val="00BF575E"/>
    <w:rsid w:val="00BF5781"/>
    <w:rsid w:val="00BF5946"/>
    <w:rsid w:val="00BF5A65"/>
    <w:rsid w:val="00BF5D3B"/>
    <w:rsid w:val="00BF5D9D"/>
    <w:rsid w:val="00BF5DD8"/>
    <w:rsid w:val="00BF603B"/>
    <w:rsid w:val="00BF6070"/>
    <w:rsid w:val="00BF6236"/>
    <w:rsid w:val="00BF62E4"/>
    <w:rsid w:val="00BF65D4"/>
    <w:rsid w:val="00BF68D1"/>
    <w:rsid w:val="00BF6C69"/>
    <w:rsid w:val="00BF6D18"/>
    <w:rsid w:val="00BF6F7D"/>
    <w:rsid w:val="00BF7189"/>
    <w:rsid w:val="00BF71C5"/>
    <w:rsid w:val="00BF7372"/>
    <w:rsid w:val="00BF78DE"/>
    <w:rsid w:val="00BF7A04"/>
    <w:rsid w:val="00BF7A59"/>
    <w:rsid w:val="00BF7CC0"/>
    <w:rsid w:val="00C0009C"/>
    <w:rsid w:val="00C000C7"/>
    <w:rsid w:val="00C00171"/>
    <w:rsid w:val="00C0063C"/>
    <w:rsid w:val="00C007BD"/>
    <w:rsid w:val="00C00B08"/>
    <w:rsid w:val="00C00B83"/>
    <w:rsid w:val="00C00CEC"/>
    <w:rsid w:val="00C016DF"/>
    <w:rsid w:val="00C0174F"/>
    <w:rsid w:val="00C017FF"/>
    <w:rsid w:val="00C018E8"/>
    <w:rsid w:val="00C01EBE"/>
    <w:rsid w:val="00C0209C"/>
    <w:rsid w:val="00C021EF"/>
    <w:rsid w:val="00C025DC"/>
    <w:rsid w:val="00C027C7"/>
    <w:rsid w:val="00C029E2"/>
    <w:rsid w:val="00C02CA8"/>
    <w:rsid w:val="00C02CB9"/>
    <w:rsid w:val="00C02F0C"/>
    <w:rsid w:val="00C0311C"/>
    <w:rsid w:val="00C0316E"/>
    <w:rsid w:val="00C03259"/>
    <w:rsid w:val="00C0338B"/>
    <w:rsid w:val="00C033C7"/>
    <w:rsid w:val="00C03576"/>
    <w:rsid w:val="00C037CB"/>
    <w:rsid w:val="00C03867"/>
    <w:rsid w:val="00C03AD5"/>
    <w:rsid w:val="00C03AF6"/>
    <w:rsid w:val="00C03B8F"/>
    <w:rsid w:val="00C03ED6"/>
    <w:rsid w:val="00C03F46"/>
    <w:rsid w:val="00C03F98"/>
    <w:rsid w:val="00C03FFA"/>
    <w:rsid w:val="00C040A6"/>
    <w:rsid w:val="00C04159"/>
    <w:rsid w:val="00C042D8"/>
    <w:rsid w:val="00C0435B"/>
    <w:rsid w:val="00C043E5"/>
    <w:rsid w:val="00C044EC"/>
    <w:rsid w:val="00C04505"/>
    <w:rsid w:val="00C04531"/>
    <w:rsid w:val="00C04876"/>
    <w:rsid w:val="00C04901"/>
    <w:rsid w:val="00C04A75"/>
    <w:rsid w:val="00C04A80"/>
    <w:rsid w:val="00C04CA6"/>
    <w:rsid w:val="00C0503E"/>
    <w:rsid w:val="00C05059"/>
    <w:rsid w:val="00C050F1"/>
    <w:rsid w:val="00C052C3"/>
    <w:rsid w:val="00C0555D"/>
    <w:rsid w:val="00C0559D"/>
    <w:rsid w:val="00C05673"/>
    <w:rsid w:val="00C05736"/>
    <w:rsid w:val="00C0575E"/>
    <w:rsid w:val="00C058B3"/>
    <w:rsid w:val="00C05AFE"/>
    <w:rsid w:val="00C05BB1"/>
    <w:rsid w:val="00C05CAD"/>
    <w:rsid w:val="00C05CB5"/>
    <w:rsid w:val="00C061F2"/>
    <w:rsid w:val="00C06334"/>
    <w:rsid w:val="00C06786"/>
    <w:rsid w:val="00C06977"/>
    <w:rsid w:val="00C070B6"/>
    <w:rsid w:val="00C07182"/>
    <w:rsid w:val="00C073DA"/>
    <w:rsid w:val="00C0755D"/>
    <w:rsid w:val="00C075C0"/>
    <w:rsid w:val="00C0766E"/>
    <w:rsid w:val="00C077E8"/>
    <w:rsid w:val="00C077FB"/>
    <w:rsid w:val="00C07A6E"/>
    <w:rsid w:val="00C07AFE"/>
    <w:rsid w:val="00C07B5B"/>
    <w:rsid w:val="00C07B76"/>
    <w:rsid w:val="00C07CF4"/>
    <w:rsid w:val="00C07DEF"/>
    <w:rsid w:val="00C100CB"/>
    <w:rsid w:val="00C10152"/>
    <w:rsid w:val="00C102CC"/>
    <w:rsid w:val="00C1043C"/>
    <w:rsid w:val="00C10600"/>
    <w:rsid w:val="00C1066A"/>
    <w:rsid w:val="00C10708"/>
    <w:rsid w:val="00C10742"/>
    <w:rsid w:val="00C1084C"/>
    <w:rsid w:val="00C10B4D"/>
    <w:rsid w:val="00C10BEB"/>
    <w:rsid w:val="00C10D1E"/>
    <w:rsid w:val="00C1111C"/>
    <w:rsid w:val="00C11381"/>
    <w:rsid w:val="00C11383"/>
    <w:rsid w:val="00C11A35"/>
    <w:rsid w:val="00C11A91"/>
    <w:rsid w:val="00C11B41"/>
    <w:rsid w:val="00C11BDE"/>
    <w:rsid w:val="00C11C7E"/>
    <w:rsid w:val="00C11DE0"/>
    <w:rsid w:val="00C11F6C"/>
    <w:rsid w:val="00C121E5"/>
    <w:rsid w:val="00C12256"/>
    <w:rsid w:val="00C1238A"/>
    <w:rsid w:val="00C1252D"/>
    <w:rsid w:val="00C125C1"/>
    <w:rsid w:val="00C1261D"/>
    <w:rsid w:val="00C12712"/>
    <w:rsid w:val="00C12874"/>
    <w:rsid w:val="00C12ACF"/>
    <w:rsid w:val="00C12C5C"/>
    <w:rsid w:val="00C12DF3"/>
    <w:rsid w:val="00C12FC9"/>
    <w:rsid w:val="00C13331"/>
    <w:rsid w:val="00C1340F"/>
    <w:rsid w:val="00C13832"/>
    <w:rsid w:val="00C13940"/>
    <w:rsid w:val="00C139BE"/>
    <w:rsid w:val="00C13AAE"/>
    <w:rsid w:val="00C13FA1"/>
    <w:rsid w:val="00C142A1"/>
    <w:rsid w:val="00C143A4"/>
    <w:rsid w:val="00C14466"/>
    <w:rsid w:val="00C145FE"/>
    <w:rsid w:val="00C1482D"/>
    <w:rsid w:val="00C1490D"/>
    <w:rsid w:val="00C1492D"/>
    <w:rsid w:val="00C14B4D"/>
    <w:rsid w:val="00C14C87"/>
    <w:rsid w:val="00C14EE9"/>
    <w:rsid w:val="00C152C4"/>
    <w:rsid w:val="00C15669"/>
    <w:rsid w:val="00C1577A"/>
    <w:rsid w:val="00C15A25"/>
    <w:rsid w:val="00C15A71"/>
    <w:rsid w:val="00C15BCB"/>
    <w:rsid w:val="00C15BD8"/>
    <w:rsid w:val="00C15BEA"/>
    <w:rsid w:val="00C15D2F"/>
    <w:rsid w:val="00C1617E"/>
    <w:rsid w:val="00C165B3"/>
    <w:rsid w:val="00C165CD"/>
    <w:rsid w:val="00C1671D"/>
    <w:rsid w:val="00C16729"/>
    <w:rsid w:val="00C1673A"/>
    <w:rsid w:val="00C167A4"/>
    <w:rsid w:val="00C169F0"/>
    <w:rsid w:val="00C16A58"/>
    <w:rsid w:val="00C16A61"/>
    <w:rsid w:val="00C16F34"/>
    <w:rsid w:val="00C17811"/>
    <w:rsid w:val="00C1787A"/>
    <w:rsid w:val="00C17979"/>
    <w:rsid w:val="00C17A90"/>
    <w:rsid w:val="00C17B4C"/>
    <w:rsid w:val="00C17D00"/>
    <w:rsid w:val="00C17EBF"/>
    <w:rsid w:val="00C17FAC"/>
    <w:rsid w:val="00C20061"/>
    <w:rsid w:val="00C200A3"/>
    <w:rsid w:val="00C201C0"/>
    <w:rsid w:val="00C208D4"/>
    <w:rsid w:val="00C209CB"/>
    <w:rsid w:val="00C20AB6"/>
    <w:rsid w:val="00C20CB0"/>
    <w:rsid w:val="00C20FB9"/>
    <w:rsid w:val="00C213C5"/>
    <w:rsid w:val="00C21419"/>
    <w:rsid w:val="00C215BC"/>
    <w:rsid w:val="00C21965"/>
    <w:rsid w:val="00C2196D"/>
    <w:rsid w:val="00C219B2"/>
    <w:rsid w:val="00C21CAE"/>
    <w:rsid w:val="00C21CEA"/>
    <w:rsid w:val="00C21D98"/>
    <w:rsid w:val="00C21ED8"/>
    <w:rsid w:val="00C22090"/>
    <w:rsid w:val="00C22191"/>
    <w:rsid w:val="00C22219"/>
    <w:rsid w:val="00C2222B"/>
    <w:rsid w:val="00C22257"/>
    <w:rsid w:val="00C22386"/>
    <w:rsid w:val="00C22717"/>
    <w:rsid w:val="00C229AF"/>
    <w:rsid w:val="00C22A36"/>
    <w:rsid w:val="00C22BBE"/>
    <w:rsid w:val="00C22CAC"/>
    <w:rsid w:val="00C22D46"/>
    <w:rsid w:val="00C22DC2"/>
    <w:rsid w:val="00C22F0C"/>
    <w:rsid w:val="00C22F6B"/>
    <w:rsid w:val="00C230BE"/>
    <w:rsid w:val="00C232B9"/>
    <w:rsid w:val="00C2345E"/>
    <w:rsid w:val="00C23491"/>
    <w:rsid w:val="00C23537"/>
    <w:rsid w:val="00C2362A"/>
    <w:rsid w:val="00C23995"/>
    <w:rsid w:val="00C23BEA"/>
    <w:rsid w:val="00C23CD2"/>
    <w:rsid w:val="00C245C3"/>
    <w:rsid w:val="00C24702"/>
    <w:rsid w:val="00C24920"/>
    <w:rsid w:val="00C24947"/>
    <w:rsid w:val="00C249DA"/>
    <w:rsid w:val="00C24E25"/>
    <w:rsid w:val="00C24EC1"/>
    <w:rsid w:val="00C25081"/>
    <w:rsid w:val="00C250C5"/>
    <w:rsid w:val="00C25B8F"/>
    <w:rsid w:val="00C25D54"/>
    <w:rsid w:val="00C25EAA"/>
    <w:rsid w:val="00C25FA4"/>
    <w:rsid w:val="00C26238"/>
    <w:rsid w:val="00C2636D"/>
    <w:rsid w:val="00C264FE"/>
    <w:rsid w:val="00C268FD"/>
    <w:rsid w:val="00C26960"/>
    <w:rsid w:val="00C26AC7"/>
    <w:rsid w:val="00C26AE2"/>
    <w:rsid w:val="00C26AF7"/>
    <w:rsid w:val="00C26C95"/>
    <w:rsid w:val="00C26D82"/>
    <w:rsid w:val="00C272EC"/>
    <w:rsid w:val="00C27459"/>
    <w:rsid w:val="00C2757A"/>
    <w:rsid w:val="00C27725"/>
    <w:rsid w:val="00C278BC"/>
    <w:rsid w:val="00C278BE"/>
    <w:rsid w:val="00C279CB"/>
    <w:rsid w:val="00C27BAB"/>
    <w:rsid w:val="00C27DDA"/>
    <w:rsid w:val="00C27E02"/>
    <w:rsid w:val="00C27E27"/>
    <w:rsid w:val="00C27F1C"/>
    <w:rsid w:val="00C27FD0"/>
    <w:rsid w:val="00C30077"/>
    <w:rsid w:val="00C30164"/>
    <w:rsid w:val="00C3093A"/>
    <w:rsid w:val="00C30B5B"/>
    <w:rsid w:val="00C30C43"/>
    <w:rsid w:val="00C30EAB"/>
    <w:rsid w:val="00C31010"/>
    <w:rsid w:val="00C31125"/>
    <w:rsid w:val="00C3121F"/>
    <w:rsid w:val="00C31267"/>
    <w:rsid w:val="00C31272"/>
    <w:rsid w:val="00C31530"/>
    <w:rsid w:val="00C31713"/>
    <w:rsid w:val="00C31798"/>
    <w:rsid w:val="00C3188D"/>
    <w:rsid w:val="00C319C7"/>
    <w:rsid w:val="00C31E81"/>
    <w:rsid w:val="00C321F5"/>
    <w:rsid w:val="00C32231"/>
    <w:rsid w:val="00C3268B"/>
    <w:rsid w:val="00C32822"/>
    <w:rsid w:val="00C329EA"/>
    <w:rsid w:val="00C32CC1"/>
    <w:rsid w:val="00C32D40"/>
    <w:rsid w:val="00C32FEB"/>
    <w:rsid w:val="00C330AF"/>
    <w:rsid w:val="00C3316A"/>
    <w:rsid w:val="00C33245"/>
    <w:rsid w:val="00C334B8"/>
    <w:rsid w:val="00C335F0"/>
    <w:rsid w:val="00C336B0"/>
    <w:rsid w:val="00C3397B"/>
    <w:rsid w:val="00C33A19"/>
    <w:rsid w:val="00C33BD7"/>
    <w:rsid w:val="00C33FE5"/>
    <w:rsid w:val="00C34072"/>
    <w:rsid w:val="00C34106"/>
    <w:rsid w:val="00C341B4"/>
    <w:rsid w:val="00C34223"/>
    <w:rsid w:val="00C3426F"/>
    <w:rsid w:val="00C3457F"/>
    <w:rsid w:val="00C34670"/>
    <w:rsid w:val="00C34A02"/>
    <w:rsid w:val="00C34A06"/>
    <w:rsid w:val="00C34B19"/>
    <w:rsid w:val="00C34F27"/>
    <w:rsid w:val="00C35021"/>
    <w:rsid w:val="00C350B9"/>
    <w:rsid w:val="00C351C9"/>
    <w:rsid w:val="00C3530A"/>
    <w:rsid w:val="00C354BD"/>
    <w:rsid w:val="00C355E1"/>
    <w:rsid w:val="00C355E6"/>
    <w:rsid w:val="00C355EF"/>
    <w:rsid w:val="00C356B5"/>
    <w:rsid w:val="00C35792"/>
    <w:rsid w:val="00C358E2"/>
    <w:rsid w:val="00C35B4C"/>
    <w:rsid w:val="00C35B62"/>
    <w:rsid w:val="00C36223"/>
    <w:rsid w:val="00C364DF"/>
    <w:rsid w:val="00C365B1"/>
    <w:rsid w:val="00C367A9"/>
    <w:rsid w:val="00C36810"/>
    <w:rsid w:val="00C36AB7"/>
    <w:rsid w:val="00C36C73"/>
    <w:rsid w:val="00C36D76"/>
    <w:rsid w:val="00C36D83"/>
    <w:rsid w:val="00C36E72"/>
    <w:rsid w:val="00C37033"/>
    <w:rsid w:val="00C3733C"/>
    <w:rsid w:val="00C3746B"/>
    <w:rsid w:val="00C3781A"/>
    <w:rsid w:val="00C3785A"/>
    <w:rsid w:val="00C37868"/>
    <w:rsid w:val="00C37997"/>
    <w:rsid w:val="00C3799B"/>
    <w:rsid w:val="00C37A93"/>
    <w:rsid w:val="00C37B4C"/>
    <w:rsid w:val="00C37B6F"/>
    <w:rsid w:val="00C37BBB"/>
    <w:rsid w:val="00C37D83"/>
    <w:rsid w:val="00C37E31"/>
    <w:rsid w:val="00C37F46"/>
    <w:rsid w:val="00C4025B"/>
    <w:rsid w:val="00C40336"/>
    <w:rsid w:val="00C40373"/>
    <w:rsid w:val="00C4043F"/>
    <w:rsid w:val="00C4045B"/>
    <w:rsid w:val="00C4065B"/>
    <w:rsid w:val="00C4090A"/>
    <w:rsid w:val="00C40A81"/>
    <w:rsid w:val="00C40BB9"/>
    <w:rsid w:val="00C40D63"/>
    <w:rsid w:val="00C40FAD"/>
    <w:rsid w:val="00C412C4"/>
    <w:rsid w:val="00C41513"/>
    <w:rsid w:val="00C41566"/>
    <w:rsid w:val="00C41870"/>
    <w:rsid w:val="00C418DB"/>
    <w:rsid w:val="00C418F9"/>
    <w:rsid w:val="00C41951"/>
    <w:rsid w:val="00C41AD6"/>
    <w:rsid w:val="00C41B9B"/>
    <w:rsid w:val="00C41D9B"/>
    <w:rsid w:val="00C41E63"/>
    <w:rsid w:val="00C4258C"/>
    <w:rsid w:val="00C427B7"/>
    <w:rsid w:val="00C42893"/>
    <w:rsid w:val="00C42B04"/>
    <w:rsid w:val="00C42B6A"/>
    <w:rsid w:val="00C42CA3"/>
    <w:rsid w:val="00C42E6C"/>
    <w:rsid w:val="00C433ED"/>
    <w:rsid w:val="00C43519"/>
    <w:rsid w:val="00C4359A"/>
    <w:rsid w:val="00C43791"/>
    <w:rsid w:val="00C43858"/>
    <w:rsid w:val="00C4385F"/>
    <w:rsid w:val="00C439CA"/>
    <w:rsid w:val="00C43A72"/>
    <w:rsid w:val="00C43AA8"/>
    <w:rsid w:val="00C43BA4"/>
    <w:rsid w:val="00C4433F"/>
    <w:rsid w:val="00C445B0"/>
    <w:rsid w:val="00C445CF"/>
    <w:rsid w:val="00C44777"/>
    <w:rsid w:val="00C447AF"/>
    <w:rsid w:val="00C448BE"/>
    <w:rsid w:val="00C44954"/>
    <w:rsid w:val="00C44A0D"/>
    <w:rsid w:val="00C44D45"/>
    <w:rsid w:val="00C44D7F"/>
    <w:rsid w:val="00C44EA3"/>
    <w:rsid w:val="00C44FDF"/>
    <w:rsid w:val="00C45016"/>
    <w:rsid w:val="00C451B2"/>
    <w:rsid w:val="00C452F0"/>
    <w:rsid w:val="00C45440"/>
    <w:rsid w:val="00C45598"/>
    <w:rsid w:val="00C457C8"/>
    <w:rsid w:val="00C45917"/>
    <w:rsid w:val="00C45A64"/>
    <w:rsid w:val="00C45A90"/>
    <w:rsid w:val="00C45B6E"/>
    <w:rsid w:val="00C45E16"/>
    <w:rsid w:val="00C4606A"/>
    <w:rsid w:val="00C46137"/>
    <w:rsid w:val="00C461F1"/>
    <w:rsid w:val="00C462F5"/>
    <w:rsid w:val="00C4647C"/>
    <w:rsid w:val="00C464C7"/>
    <w:rsid w:val="00C464E0"/>
    <w:rsid w:val="00C465E7"/>
    <w:rsid w:val="00C46974"/>
    <w:rsid w:val="00C4698E"/>
    <w:rsid w:val="00C46CD2"/>
    <w:rsid w:val="00C470C1"/>
    <w:rsid w:val="00C47469"/>
    <w:rsid w:val="00C47847"/>
    <w:rsid w:val="00C478D8"/>
    <w:rsid w:val="00C47A98"/>
    <w:rsid w:val="00C47D57"/>
    <w:rsid w:val="00C47E8F"/>
    <w:rsid w:val="00C47EE4"/>
    <w:rsid w:val="00C47F03"/>
    <w:rsid w:val="00C47FC7"/>
    <w:rsid w:val="00C501A2"/>
    <w:rsid w:val="00C50884"/>
    <w:rsid w:val="00C508A4"/>
    <w:rsid w:val="00C5098B"/>
    <w:rsid w:val="00C50EB3"/>
    <w:rsid w:val="00C51005"/>
    <w:rsid w:val="00C5108D"/>
    <w:rsid w:val="00C51278"/>
    <w:rsid w:val="00C512F7"/>
    <w:rsid w:val="00C514BD"/>
    <w:rsid w:val="00C514D3"/>
    <w:rsid w:val="00C517F2"/>
    <w:rsid w:val="00C519C9"/>
    <w:rsid w:val="00C51C4F"/>
    <w:rsid w:val="00C51CC5"/>
    <w:rsid w:val="00C51D0B"/>
    <w:rsid w:val="00C51EB8"/>
    <w:rsid w:val="00C52011"/>
    <w:rsid w:val="00C522BF"/>
    <w:rsid w:val="00C52411"/>
    <w:rsid w:val="00C52628"/>
    <w:rsid w:val="00C526A0"/>
    <w:rsid w:val="00C5273E"/>
    <w:rsid w:val="00C52894"/>
    <w:rsid w:val="00C528B2"/>
    <w:rsid w:val="00C52958"/>
    <w:rsid w:val="00C529DD"/>
    <w:rsid w:val="00C52AC2"/>
    <w:rsid w:val="00C52B9A"/>
    <w:rsid w:val="00C52C65"/>
    <w:rsid w:val="00C52F93"/>
    <w:rsid w:val="00C5333A"/>
    <w:rsid w:val="00C533D4"/>
    <w:rsid w:val="00C5349C"/>
    <w:rsid w:val="00C539D0"/>
    <w:rsid w:val="00C53A2C"/>
    <w:rsid w:val="00C53C04"/>
    <w:rsid w:val="00C53D1E"/>
    <w:rsid w:val="00C53E75"/>
    <w:rsid w:val="00C53ED0"/>
    <w:rsid w:val="00C5442E"/>
    <w:rsid w:val="00C54440"/>
    <w:rsid w:val="00C54471"/>
    <w:rsid w:val="00C546B6"/>
    <w:rsid w:val="00C5485C"/>
    <w:rsid w:val="00C54DAA"/>
    <w:rsid w:val="00C54DB3"/>
    <w:rsid w:val="00C54E53"/>
    <w:rsid w:val="00C54E74"/>
    <w:rsid w:val="00C54E8F"/>
    <w:rsid w:val="00C54EC9"/>
    <w:rsid w:val="00C54FAD"/>
    <w:rsid w:val="00C55032"/>
    <w:rsid w:val="00C5510B"/>
    <w:rsid w:val="00C5524C"/>
    <w:rsid w:val="00C5564B"/>
    <w:rsid w:val="00C5570C"/>
    <w:rsid w:val="00C55847"/>
    <w:rsid w:val="00C55888"/>
    <w:rsid w:val="00C55903"/>
    <w:rsid w:val="00C55915"/>
    <w:rsid w:val="00C55ADC"/>
    <w:rsid w:val="00C55BA8"/>
    <w:rsid w:val="00C55C38"/>
    <w:rsid w:val="00C55C41"/>
    <w:rsid w:val="00C55CAA"/>
    <w:rsid w:val="00C55E0E"/>
    <w:rsid w:val="00C562BC"/>
    <w:rsid w:val="00C565AA"/>
    <w:rsid w:val="00C566A3"/>
    <w:rsid w:val="00C566A6"/>
    <w:rsid w:val="00C569AB"/>
    <w:rsid w:val="00C56F14"/>
    <w:rsid w:val="00C56FC8"/>
    <w:rsid w:val="00C574A6"/>
    <w:rsid w:val="00C5752C"/>
    <w:rsid w:val="00C575CF"/>
    <w:rsid w:val="00C575FE"/>
    <w:rsid w:val="00C577AD"/>
    <w:rsid w:val="00C579D7"/>
    <w:rsid w:val="00C57BDA"/>
    <w:rsid w:val="00C57E8F"/>
    <w:rsid w:val="00C57EAB"/>
    <w:rsid w:val="00C600B4"/>
    <w:rsid w:val="00C6010C"/>
    <w:rsid w:val="00C601E9"/>
    <w:rsid w:val="00C601ED"/>
    <w:rsid w:val="00C604A3"/>
    <w:rsid w:val="00C6061D"/>
    <w:rsid w:val="00C60999"/>
    <w:rsid w:val="00C609E6"/>
    <w:rsid w:val="00C60C14"/>
    <w:rsid w:val="00C60CF8"/>
    <w:rsid w:val="00C60D5D"/>
    <w:rsid w:val="00C6101B"/>
    <w:rsid w:val="00C61134"/>
    <w:rsid w:val="00C612B4"/>
    <w:rsid w:val="00C61498"/>
    <w:rsid w:val="00C61577"/>
    <w:rsid w:val="00C61621"/>
    <w:rsid w:val="00C6163A"/>
    <w:rsid w:val="00C61651"/>
    <w:rsid w:val="00C616B7"/>
    <w:rsid w:val="00C616B8"/>
    <w:rsid w:val="00C617B6"/>
    <w:rsid w:val="00C61B07"/>
    <w:rsid w:val="00C61DC6"/>
    <w:rsid w:val="00C61EB1"/>
    <w:rsid w:val="00C6212F"/>
    <w:rsid w:val="00C621CC"/>
    <w:rsid w:val="00C62271"/>
    <w:rsid w:val="00C622CA"/>
    <w:rsid w:val="00C62440"/>
    <w:rsid w:val="00C62551"/>
    <w:rsid w:val="00C6276D"/>
    <w:rsid w:val="00C628BF"/>
    <w:rsid w:val="00C629B0"/>
    <w:rsid w:val="00C629EC"/>
    <w:rsid w:val="00C62A04"/>
    <w:rsid w:val="00C62B00"/>
    <w:rsid w:val="00C62D06"/>
    <w:rsid w:val="00C62F16"/>
    <w:rsid w:val="00C6321D"/>
    <w:rsid w:val="00C632C0"/>
    <w:rsid w:val="00C6354F"/>
    <w:rsid w:val="00C6366F"/>
    <w:rsid w:val="00C636C8"/>
    <w:rsid w:val="00C6373D"/>
    <w:rsid w:val="00C6375F"/>
    <w:rsid w:val="00C63A85"/>
    <w:rsid w:val="00C63B05"/>
    <w:rsid w:val="00C63B7C"/>
    <w:rsid w:val="00C63BC4"/>
    <w:rsid w:val="00C63D7E"/>
    <w:rsid w:val="00C63EA4"/>
    <w:rsid w:val="00C63EBE"/>
    <w:rsid w:val="00C63F63"/>
    <w:rsid w:val="00C6413D"/>
    <w:rsid w:val="00C64172"/>
    <w:rsid w:val="00C64293"/>
    <w:rsid w:val="00C64310"/>
    <w:rsid w:val="00C64320"/>
    <w:rsid w:val="00C643B0"/>
    <w:rsid w:val="00C6443B"/>
    <w:rsid w:val="00C644C9"/>
    <w:rsid w:val="00C64536"/>
    <w:rsid w:val="00C64663"/>
    <w:rsid w:val="00C646AC"/>
    <w:rsid w:val="00C646CA"/>
    <w:rsid w:val="00C649E2"/>
    <w:rsid w:val="00C64BA7"/>
    <w:rsid w:val="00C64CFB"/>
    <w:rsid w:val="00C64E14"/>
    <w:rsid w:val="00C650A7"/>
    <w:rsid w:val="00C65314"/>
    <w:rsid w:val="00C653C4"/>
    <w:rsid w:val="00C656E4"/>
    <w:rsid w:val="00C6570F"/>
    <w:rsid w:val="00C65821"/>
    <w:rsid w:val="00C65BB9"/>
    <w:rsid w:val="00C65CCD"/>
    <w:rsid w:val="00C65D1D"/>
    <w:rsid w:val="00C6604A"/>
    <w:rsid w:val="00C661F3"/>
    <w:rsid w:val="00C66816"/>
    <w:rsid w:val="00C66B41"/>
    <w:rsid w:val="00C66B8C"/>
    <w:rsid w:val="00C66B9B"/>
    <w:rsid w:val="00C6708F"/>
    <w:rsid w:val="00C67130"/>
    <w:rsid w:val="00C6722B"/>
    <w:rsid w:val="00C6731A"/>
    <w:rsid w:val="00C673D0"/>
    <w:rsid w:val="00C675B9"/>
    <w:rsid w:val="00C67852"/>
    <w:rsid w:val="00C67853"/>
    <w:rsid w:val="00C679A2"/>
    <w:rsid w:val="00C67A67"/>
    <w:rsid w:val="00C67B03"/>
    <w:rsid w:val="00C67D3A"/>
    <w:rsid w:val="00C67DA3"/>
    <w:rsid w:val="00C700F3"/>
    <w:rsid w:val="00C70141"/>
    <w:rsid w:val="00C701D0"/>
    <w:rsid w:val="00C701DC"/>
    <w:rsid w:val="00C7026D"/>
    <w:rsid w:val="00C709B2"/>
    <w:rsid w:val="00C70AA9"/>
    <w:rsid w:val="00C70AEC"/>
    <w:rsid w:val="00C70DDC"/>
    <w:rsid w:val="00C70E36"/>
    <w:rsid w:val="00C70EA8"/>
    <w:rsid w:val="00C7117A"/>
    <w:rsid w:val="00C711B7"/>
    <w:rsid w:val="00C71543"/>
    <w:rsid w:val="00C71586"/>
    <w:rsid w:val="00C7163D"/>
    <w:rsid w:val="00C71698"/>
    <w:rsid w:val="00C71794"/>
    <w:rsid w:val="00C71BFC"/>
    <w:rsid w:val="00C71DE1"/>
    <w:rsid w:val="00C71E3F"/>
    <w:rsid w:val="00C71E9E"/>
    <w:rsid w:val="00C72199"/>
    <w:rsid w:val="00C7225A"/>
    <w:rsid w:val="00C7227B"/>
    <w:rsid w:val="00C723EA"/>
    <w:rsid w:val="00C72593"/>
    <w:rsid w:val="00C728B4"/>
    <w:rsid w:val="00C729B9"/>
    <w:rsid w:val="00C72A64"/>
    <w:rsid w:val="00C72C22"/>
    <w:rsid w:val="00C72DFA"/>
    <w:rsid w:val="00C73025"/>
    <w:rsid w:val="00C7304E"/>
    <w:rsid w:val="00C73644"/>
    <w:rsid w:val="00C73746"/>
    <w:rsid w:val="00C73777"/>
    <w:rsid w:val="00C737AB"/>
    <w:rsid w:val="00C73806"/>
    <w:rsid w:val="00C73BF2"/>
    <w:rsid w:val="00C73D83"/>
    <w:rsid w:val="00C73E23"/>
    <w:rsid w:val="00C73ED9"/>
    <w:rsid w:val="00C73F2D"/>
    <w:rsid w:val="00C73F60"/>
    <w:rsid w:val="00C73F78"/>
    <w:rsid w:val="00C74578"/>
    <w:rsid w:val="00C74591"/>
    <w:rsid w:val="00C74768"/>
    <w:rsid w:val="00C748F0"/>
    <w:rsid w:val="00C74A8A"/>
    <w:rsid w:val="00C74A98"/>
    <w:rsid w:val="00C74B44"/>
    <w:rsid w:val="00C74B6B"/>
    <w:rsid w:val="00C7515E"/>
    <w:rsid w:val="00C751D7"/>
    <w:rsid w:val="00C75287"/>
    <w:rsid w:val="00C75300"/>
    <w:rsid w:val="00C7552B"/>
    <w:rsid w:val="00C75B0A"/>
    <w:rsid w:val="00C75DB3"/>
    <w:rsid w:val="00C75F5E"/>
    <w:rsid w:val="00C75FD4"/>
    <w:rsid w:val="00C7602B"/>
    <w:rsid w:val="00C76117"/>
    <w:rsid w:val="00C763B5"/>
    <w:rsid w:val="00C7649A"/>
    <w:rsid w:val="00C764E7"/>
    <w:rsid w:val="00C766EE"/>
    <w:rsid w:val="00C766F4"/>
    <w:rsid w:val="00C76765"/>
    <w:rsid w:val="00C76C6F"/>
    <w:rsid w:val="00C76CB5"/>
    <w:rsid w:val="00C770A7"/>
    <w:rsid w:val="00C771A7"/>
    <w:rsid w:val="00C77906"/>
    <w:rsid w:val="00C77939"/>
    <w:rsid w:val="00C77969"/>
    <w:rsid w:val="00C77BF1"/>
    <w:rsid w:val="00C77EA0"/>
    <w:rsid w:val="00C77FC6"/>
    <w:rsid w:val="00C8001D"/>
    <w:rsid w:val="00C800F1"/>
    <w:rsid w:val="00C80540"/>
    <w:rsid w:val="00C80910"/>
    <w:rsid w:val="00C81272"/>
    <w:rsid w:val="00C81508"/>
    <w:rsid w:val="00C81593"/>
    <w:rsid w:val="00C81726"/>
    <w:rsid w:val="00C81A4F"/>
    <w:rsid w:val="00C81A8C"/>
    <w:rsid w:val="00C81C12"/>
    <w:rsid w:val="00C81E2A"/>
    <w:rsid w:val="00C81ED4"/>
    <w:rsid w:val="00C81ED9"/>
    <w:rsid w:val="00C81F8D"/>
    <w:rsid w:val="00C8209F"/>
    <w:rsid w:val="00C824D9"/>
    <w:rsid w:val="00C8252A"/>
    <w:rsid w:val="00C8259B"/>
    <w:rsid w:val="00C826A6"/>
    <w:rsid w:val="00C826D7"/>
    <w:rsid w:val="00C82886"/>
    <w:rsid w:val="00C82BE1"/>
    <w:rsid w:val="00C82BE4"/>
    <w:rsid w:val="00C82F17"/>
    <w:rsid w:val="00C83141"/>
    <w:rsid w:val="00C832A6"/>
    <w:rsid w:val="00C834FB"/>
    <w:rsid w:val="00C8352C"/>
    <w:rsid w:val="00C83544"/>
    <w:rsid w:val="00C835CE"/>
    <w:rsid w:val="00C83928"/>
    <w:rsid w:val="00C8398D"/>
    <w:rsid w:val="00C83B92"/>
    <w:rsid w:val="00C83D18"/>
    <w:rsid w:val="00C840C6"/>
    <w:rsid w:val="00C84159"/>
    <w:rsid w:val="00C8444D"/>
    <w:rsid w:val="00C8492D"/>
    <w:rsid w:val="00C84993"/>
    <w:rsid w:val="00C84B78"/>
    <w:rsid w:val="00C84D71"/>
    <w:rsid w:val="00C84E6E"/>
    <w:rsid w:val="00C85208"/>
    <w:rsid w:val="00C854A8"/>
    <w:rsid w:val="00C85566"/>
    <w:rsid w:val="00C85793"/>
    <w:rsid w:val="00C857FA"/>
    <w:rsid w:val="00C85AF7"/>
    <w:rsid w:val="00C85BE9"/>
    <w:rsid w:val="00C85CD0"/>
    <w:rsid w:val="00C85E8F"/>
    <w:rsid w:val="00C85FF4"/>
    <w:rsid w:val="00C86047"/>
    <w:rsid w:val="00C863EF"/>
    <w:rsid w:val="00C86637"/>
    <w:rsid w:val="00C867B5"/>
    <w:rsid w:val="00C8697E"/>
    <w:rsid w:val="00C86AF8"/>
    <w:rsid w:val="00C86BC6"/>
    <w:rsid w:val="00C86C07"/>
    <w:rsid w:val="00C86DAF"/>
    <w:rsid w:val="00C86E0A"/>
    <w:rsid w:val="00C86E9C"/>
    <w:rsid w:val="00C86F8B"/>
    <w:rsid w:val="00C870C4"/>
    <w:rsid w:val="00C8722A"/>
    <w:rsid w:val="00C87259"/>
    <w:rsid w:val="00C8736F"/>
    <w:rsid w:val="00C873DF"/>
    <w:rsid w:val="00C8760E"/>
    <w:rsid w:val="00C87A1C"/>
    <w:rsid w:val="00C87A5A"/>
    <w:rsid w:val="00C87B42"/>
    <w:rsid w:val="00C87BDC"/>
    <w:rsid w:val="00C900DC"/>
    <w:rsid w:val="00C90320"/>
    <w:rsid w:val="00C90378"/>
    <w:rsid w:val="00C906D3"/>
    <w:rsid w:val="00C9086D"/>
    <w:rsid w:val="00C909CE"/>
    <w:rsid w:val="00C909DE"/>
    <w:rsid w:val="00C90A5B"/>
    <w:rsid w:val="00C90C9B"/>
    <w:rsid w:val="00C90D63"/>
    <w:rsid w:val="00C91260"/>
    <w:rsid w:val="00C91389"/>
    <w:rsid w:val="00C91C63"/>
    <w:rsid w:val="00C91E7B"/>
    <w:rsid w:val="00C91FBE"/>
    <w:rsid w:val="00C9217C"/>
    <w:rsid w:val="00C92208"/>
    <w:rsid w:val="00C923A1"/>
    <w:rsid w:val="00C923A7"/>
    <w:rsid w:val="00C92456"/>
    <w:rsid w:val="00C92502"/>
    <w:rsid w:val="00C926F7"/>
    <w:rsid w:val="00C927AE"/>
    <w:rsid w:val="00C92F80"/>
    <w:rsid w:val="00C92FE5"/>
    <w:rsid w:val="00C93239"/>
    <w:rsid w:val="00C93495"/>
    <w:rsid w:val="00C93635"/>
    <w:rsid w:val="00C93641"/>
    <w:rsid w:val="00C93954"/>
    <w:rsid w:val="00C93970"/>
    <w:rsid w:val="00C93A83"/>
    <w:rsid w:val="00C93ED8"/>
    <w:rsid w:val="00C9476E"/>
    <w:rsid w:val="00C94BEA"/>
    <w:rsid w:val="00C94DC1"/>
    <w:rsid w:val="00C94E12"/>
    <w:rsid w:val="00C94E36"/>
    <w:rsid w:val="00C94F92"/>
    <w:rsid w:val="00C94FBE"/>
    <w:rsid w:val="00C950CD"/>
    <w:rsid w:val="00C951E3"/>
    <w:rsid w:val="00C9561C"/>
    <w:rsid w:val="00C9571F"/>
    <w:rsid w:val="00C95B3B"/>
    <w:rsid w:val="00C95CB9"/>
    <w:rsid w:val="00C95DB4"/>
    <w:rsid w:val="00C95DD4"/>
    <w:rsid w:val="00C95F57"/>
    <w:rsid w:val="00C96086"/>
    <w:rsid w:val="00C963A3"/>
    <w:rsid w:val="00C9659C"/>
    <w:rsid w:val="00C9694E"/>
    <w:rsid w:val="00C96A38"/>
    <w:rsid w:val="00C96A86"/>
    <w:rsid w:val="00C96AD3"/>
    <w:rsid w:val="00C96C0F"/>
    <w:rsid w:val="00C96D19"/>
    <w:rsid w:val="00C96E5A"/>
    <w:rsid w:val="00C9702D"/>
    <w:rsid w:val="00C97252"/>
    <w:rsid w:val="00C972C2"/>
    <w:rsid w:val="00C972D4"/>
    <w:rsid w:val="00C97422"/>
    <w:rsid w:val="00C97437"/>
    <w:rsid w:val="00C9748D"/>
    <w:rsid w:val="00C97D4E"/>
    <w:rsid w:val="00C97E99"/>
    <w:rsid w:val="00C97ED6"/>
    <w:rsid w:val="00CA0220"/>
    <w:rsid w:val="00CA02B9"/>
    <w:rsid w:val="00CA0302"/>
    <w:rsid w:val="00CA03A2"/>
    <w:rsid w:val="00CA0514"/>
    <w:rsid w:val="00CA0856"/>
    <w:rsid w:val="00CA09CF"/>
    <w:rsid w:val="00CA09E4"/>
    <w:rsid w:val="00CA0AAC"/>
    <w:rsid w:val="00CA0AFB"/>
    <w:rsid w:val="00CA0BA6"/>
    <w:rsid w:val="00CA0BD6"/>
    <w:rsid w:val="00CA0BE2"/>
    <w:rsid w:val="00CA0E4B"/>
    <w:rsid w:val="00CA10ED"/>
    <w:rsid w:val="00CA11AB"/>
    <w:rsid w:val="00CA11BE"/>
    <w:rsid w:val="00CA1203"/>
    <w:rsid w:val="00CA14DD"/>
    <w:rsid w:val="00CA15EE"/>
    <w:rsid w:val="00CA1650"/>
    <w:rsid w:val="00CA1738"/>
    <w:rsid w:val="00CA1758"/>
    <w:rsid w:val="00CA1A50"/>
    <w:rsid w:val="00CA1BA1"/>
    <w:rsid w:val="00CA1D3B"/>
    <w:rsid w:val="00CA25A3"/>
    <w:rsid w:val="00CA266A"/>
    <w:rsid w:val="00CA2AD4"/>
    <w:rsid w:val="00CA2D37"/>
    <w:rsid w:val="00CA2E09"/>
    <w:rsid w:val="00CA30E0"/>
    <w:rsid w:val="00CA30EE"/>
    <w:rsid w:val="00CA3248"/>
    <w:rsid w:val="00CA3559"/>
    <w:rsid w:val="00CA38E4"/>
    <w:rsid w:val="00CA39AD"/>
    <w:rsid w:val="00CA3A7A"/>
    <w:rsid w:val="00CA3BF0"/>
    <w:rsid w:val="00CA3C03"/>
    <w:rsid w:val="00CA3D77"/>
    <w:rsid w:val="00CA3FB4"/>
    <w:rsid w:val="00CA3FBD"/>
    <w:rsid w:val="00CA3FFD"/>
    <w:rsid w:val="00CA40A5"/>
    <w:rsid w:val="00CA4176"/>
    <w:rsid w:val="00CA4370"/>
    <w:rsid w:val="00CA46F6"/>
    <w:rsid w:val="00CA4719"/>
    <w:rsid w:val="00CA4884"/>
    <w:rsid w:val="00CA4933"/>
    <w:rsid w:val="00CA4A4D"/>
    <w:rsid w:val="00CA4AA9"/>
    <w:rsid w:val="00CA4CEC"/>
    <w:rsid w:val="00CA4EF5"/>
    <w:rsid w:val="00CA4FB8"/>
    <w:rsid w:val="00CA57D2"/>
    <w:rsid w:val="00CA5DF2"/>
    <w:rsid w:val="00CA5E83"/>
    <w:rsid w:val="00CA5EF0"/>
    <w:rsid w:val="00CA608B"/>
    <w:rsid w:val="00CA61CE"/>
    <w:rsid w:val="00CA6867"/>
    <w:rsid w:val="00CA6CE1"/>
    <w:rsid w:val="00CA6E81"/>
    <w:rsid w:val="00CA7057"/>
    <w:rsid w:val="00CA70DC"/>
    <w:rsid w:val="00CA794F"/>
    <w:rsid w:val="00CA79D7"/>
    <w:rsid w:val="00CA7AA6"/>
    <w:rsid w:val="00CA7DDA"/>
    <w:rsid w:val="00CA7E12"/>
    <w:rsid w:val="00CB035B"/>
    <w:rsid w:val="00CB0607"/>
    <w:rsid w:val="00CB0703"/>
    <w:rsid w:val="00CB0727"/>
    <w:rsid w:val="00CB0823"/>
    <w:rsid w:val="00CB0A09"/>
    <w:rsid w:val="00CB0A53"/>
    <w:rsid w:val="00CB0BEC"/>
    <w:rsid w:val="00CB0BF7"/>
    <w:rsid w:val="00CB1142"/>
    <w:rsid w:val="00CB13BF"/>
    <w:rsid w:val="00CB16C3"/>
    <w:rsid w:val="00CB1A91"/>
    <w:rsid w:val="00CB1C5D"/>
    <w:rsid w:val="00CB1D8B"/>
    <w:rsid w:val="00CB1D95"/>
    <w:rsid w:val="00CB20D6"/>
    <w:rsid w:val="00CB225F"/>
    <w:rsid w:val="00CB2521"/>
    <w:rsid w:val="00CB25A7"/>
    <w:rsid w:val="00CB268A"/>
    <w:rsid w:val="00CB26E0"/>
    <w:rsid w:val="00CB2981"/>
    <w:rsid w:val="00CB2B31"/>
    <w:rsid w:val="00CB2BB3"/>
    <w:rsid w:val="00CB2C3B"/>
    <w:rsid w:val="00CB2D04"/>
    <w:rsid w:val="00CB2E2F"/>
    <w:rsid w:val="00CB2EBF"/>
    <w:rsid w:val="00CB2FE9"/>
    <w:rsid w:val="00CB326D"/>
    <w:rsid w:val="00CB3709"/>
    <w:rsid w:val="00CB38C3"/>
    <w:rsid w:val="00CB38C5"/>
    <w:rsid w:val="00CB3C34"/>
    <w:rsid w:val="00CB3D04"/>
    <w:rsid w:val="00CB3D84"/>
    <w:rsid w:val="00CB466D"/>
    <w:rsid w:val="00CB4BB8"/>
    <w:rsid w:val="00CB4D7D"/>
    <w:rsid w:val="00CB4E9D"/>
    <w:rsid w:val="00CB51C2"/>
    <w:rsid w:val="00CB5222"/>
    <w:rsid w:val="00CB53AF"/>
    <w:rsid w:val="00CB53CF"/>
    <w:rsid w:val="00CB556B"/>
    <w:rsid w:val="00CB564A"/>
    <w:rsid w:val="00CB572F"/>
    <w:rsid w:val="00CB57B3"/>
    <w:rsid w:val="00CB5A4E"/>
    <w:rsid w:val="00CB5B14"/>
    <w:rsid w:val="00CB5B4D"/>
    <w:rsid w:val="00CB5B72"/>
    <w:rsid w:val="00CB5DD8"/>
    <w:rsid w:val="00CB605E"/>
    <w:rsid w:val="00CB60D2"/>
    <w:rsid w:val="00CB6252"/>
    <w:rsid w:val="00CB6282"/>
    <w:rsid w:val="00CB63DB"/>
    <w:rsid w:val="00CB63FA"/>
    <w:rsid w:val="00CB64C7"/>
    <w:rsid w:val="00CB64E6"/>
    <w:rsid w:val="00CB65DD"/>
    <w:rsid w:val="00CB660C"/>
    <w:rsid w:val="00CB66B0"/>
    <w:rsid w:val="00CB6707"/>
    <w:rsid w:val="00CB6A0B"/>
    <w:rsid w:val="00CB6CA0"/>
    <w:rsid w:val="00CB6CA5"/>
    <w:rsid w:val="00CB6CF3"/>
    <w:rsid w:val="00CB6E16"/>
    <w:rsid w:val="00CB73F2"/>
    <w:rsid w:val="00CB73F5"/>
    <w:rsid w:val="00CB7980"/>
    <w:rsid w:val="00CB7989"/>
    <w:rsid w:val="00CB79C0"/>
    <w:rsid w:val="00CB7B7C"/>
    <w:rsid w:val="00CB7C48"/>
    <w:rsid w:val="00CB7C56"/>
    <w:rsid w:val="00CC0241"/>
    <w:rsid w:val="00CC05EE"/>
    <w:rsid w:val="00CC0620"/>
    <w:rsid w:val="00CC06E7"/>
    <w:rsid w:val="00CC0ADC"/>
    <w:rsid w:val="00CC0AE4"/>
    <w:rsid w:val="00CC0B0C"/>
    <w:rsid w:val="00CC0C84"/>
    <w:rsid w:val="00CC0D1F"/>
    <w:rsid w:val="00CC0EA5"/>
    <w:rsid w:val="00CC0F1F"/>
    <w:rsid w:val="00CC0FA2"/>
    <w:rsid w:val="00CC1258"/>
    <w:rsid w:val="00CC15F6"/>
    <w:rsid w:val="00CC17B8"/>
    <w:rsid w:val="00CC182C"/>
    <w:rsid w:val="00CC1D06"/>
    <w:rsid w:val="00CC1F1A"/>
    <w:rsid w:val="00CC1F61"/>
    <w:rsid w:val="00CC1F65"/>
    <w:rsid w:val="00CC2112"/>
    <w:rsid w:val="00CC22ED"/>
    <w:rsid w:val="00CC240E"/>
    <w:rsid w:val="00CC2444"/>
    <w:rsid w:val="00CC24D0"/>
    <w:rsid w:val="00CC2528"/>
    <w:rsid w:val="00CC29E2"/>
    <w:rsid w:val="00CC2C54"/>
    <w:rsid w:val="00CC2D11"/>
    <w:rsid w:val="00CC3013"/>
    <w:rsid w:val="00CC30C4"/>
    <w:rsid w:val="00CC325E"/>
    <w:rsid w:val="00CC32BE"/>
    <w:rsid w:val="00CC3366"/>
    <w:rsid w:val="00CC3442"/>
    <w:rsid w:val="00CC365E"/>
    <w:rsid w:val="00CC3A98"/>
    <w:rsid w:val="00CC3BF0"/>
    <w:rsid w:val="00CC3C35"/>
    <w:rsid w:val="00CC3E81"/>
    <w:rsid w:val="00CC3F44"/>
    <w:rsid w:val="00CC409B"/>
    <w:rsid w:val="00CC411D"/>
    <w:rsid w:val="00CC415E"/>
    <w:rsid w:val="00CC41A9"/>
    <w:rsid w:val="00CC4203"/>
    <w:rsid w:val="00CC4360"/>
    <w:rsid w:val="00CC4B09"/>
    <w:rsid w:val="00CC4C27"/>
    <w:rsid w:val="00CC4C53"/>
    <w:rsid w:val="00CC4D4A"/>
    <w:rsid w:val="00CC4F4C"/>
    <w:rsid w:val="00CC5131"/>
    <w:rsid w:val="00CC52F1"/>
    <w:rsid w:val="00CC534A"/>
    <w:rsid w:val="00CC5551"/>
    <w:rsid w:val="00CC59C0"/>
    <w:rsid w:val="00CC59CF"/>
    <w:rsid w:val="00CC5B8B"/>
    <w:rsid w:val="00CC5C28"/>
    <w:rsid w:val="00CC5C41"/>
    <w:rsid w:val="00CC5CD4"/>
    <w:rsid w:val="00CC5E6F"/>
    <w:rsid w:val="00CC5F5A"/>
    <w:rsid w:val="00CC5FFA"/>
    <w:rsid w:val="00CC61D7"/>
    <w:rsid w:val="00CC680B"/>
    <w:rsid w:val="00CC696B"/>
    <w:rsid w:val="00CC69AD"/>
    <w:rsid w:val="00CC6A98"/>
    <w:rsid w:val="00CC6B38"/>
    <w:rsid w:val="00CC741F"/>
    <w:rsid w:val="00CC764B"/>
    <w:rsid w:val="00CC7786"/>
    <w:rsid w:val="00CC7985"/>
    <w:rsid w:val="00CC7B1E"/>
    <w:rsid w:val="00CC7B2F"/>
    <w:rsid w:val="00CC7C02"/>
    <w:rsid w:val="00CC7EBB"/>
    <w:rsid w:val="00CD01EF"/>
    <w:rsid w:val="00CD02E0"/>
    <w:rsid w:val="00CD0574"/>
    <w:rsid w:val="00CD078D"/>
    <w:rsid w:val="00CD09C7"/>
    <w:rsid w:val="00CD0DC3"/>
    <w:rsid w:val="00CD0FDB"/>
    <w:rsid w:val="00CD10D1"/>
    <w:rsid w:val="00CD124A"/>
    <w:rsid w:val="00CD145E"/>
    <w:rsid w:val="00CD1606"/>
    <w:rsid w:val="00CD1698"/>
    <w:rsid w:val="00CD17CF"/>
    <w:rsid w:val="00CD183B"/>
    <w:rsid w:val="00CD1939"/>
    <w:rsid w:val="00CD1A26"/>
    <w:rsid w:val="00CD1B7A"/>
    <w:rsid w:val="00CD1C19"/>
    <w:rsid w:val="00CD1F03"/>
    <w:rsid w:val="00CD1FB8"/>
    <w:rsid w:val="00CD2005"/>
    <w:rsid w:val="00CD2054"/>
    <w:rsid w:val="00CD2126"/>
    <w:rsid w:val="00CD243E"/>
    <w:rsid w:val="00CD24A7"/>
    <w:rsid w:val="00CD24C6"/>
    <w:rsid w:val="00CD259B"/>
    <w:rsid w:val="00CD2B20"/>
    <w:rsid w:val="00CD2E43"/>
    <w:rsid w:val="00CD306B"/>
    <w:rsid w:val="00CD30FC"/>
    <w:rsid w:val="00CD317B"/>
    <w:rsid w:val="00CD31E2"/>
    <w:rsid w:val="00CD3389"/>
    <w:rsid w:val="00CD33B5"/>
    <w:rsid w:val="00CD33FC"/>
    <w:rsid w:val="00CD347E"/>
    <w:rsid w:val="00CD36DB"/>
    <w:rsid w:val="00CD38A9"/>
    <w:rsid w:val="00CD3927"/>
    <w:rsid w:val="00CD3968"/>
    <w:rsid w:val="00CD3AE0"/>
    <w:rsid w:val="00CD3DE2"/>
    <w:rsid w:val="00CD402B"/>
    <w:rsid w:val="00CD417C"/>
    <w:rsid w:val="00CD41BD"/>
    <w:rsid w:val="00CD45F5"/>
    <w:rsid w:val="00CD4604"/>
    <w:rsid w:val="00CD4638"/>
    <w:rsid w:val="00CD490D"/>
    <w:rsid w:val="00CD4ABF"/>
    <w:rsid w:val="00CD4C35"/>
    <w:rsid w:val="00CD4E14"/>
    <w:rsid w:val="00CD4E55"/>
    <w:rsid w:val="00CD4EAA"/>
    <w:rsid w:val="00CD5074"/>
    <w:rsid w:val="00CD516F"/>
    <w:rsid w:val="00CD5233"/>
    <w:rsid w:val="00CD52A8"/>
    <w:rsid w:val="00CD5606"/>
    <w:rsid w:val="00CD5B2D"/>
    <w:rsid w:val="00CD5ED9"/>
    <w:rsid w:val="00CD6043"/>
    <w:rsid w:val="00CD60E7"/>
    <w:rsid w:val="00CD61CE"/>
    <w:rsid w:val="00CD6270"/>
    <w:rsid w:val="00CD635D"/>
    <w:rsid w:val="00CD6568"/>
    <w:rsid w:val="00CD67A8"/>
    <w:rsid w:val="00CD6CB2"/>
    <w:rsid w:val="00CD6DBF"/>
    <w:rsid w:val="00CD6FAF"/>
    <w:rsid w:val="00CD6FEE"/>
    <w:rsid w:val="00CD707C"/>
    <w:rsid w:val="00CD716B"/>
    <w:rsid w:val="00CD7273"/>
    <w:rsid w:val="00CD7355"/>
    <w:rsid w:val="00CD74F9"/>
    <w:rsid w:val="00CD768D"/>
    <w:rsid w:val="00CD7725"/>
    <w:rsid w:val="00CD77CD"/>
    <w:rsid w:val="00CD77E9"/>
    <w:rsid w:val="00CD77F5"/>
    <w:rsid w:val="00CD7D47"/>
    <w:rsid w:val="00CD7F68"/>
    <w:rsid w:val="00CD7F8B"/>
    <w:rsid w:val="00CE0581"/>
    <w:rsid w:val="00CE059E"/>
    <w:rsid w:val="00CE06A6"/>
    <w:rsid w:val="00CE08B4"/>
    <w:rsid w:val="00CE0B36"/>
    <w:rsid w:val="00CE0D95"/>
    <w:rsid w:val="00CE0FF0"/>
    <w:rsid w:val="00CE12D5"/>
    <w:rsid w:val="00CE1393"/>
    <w:rsid w:val="00CE1792"/>
    <w:rsid w:val="00CE1840"/>
    <w:rsid w:val="00CE196C"/>
    <w:rsid w:val="00CE1C36"/>
    <w:rsid w:val="00CE1C66"/>
    <w:rsid w:val="00CE1D99"/>
    <w:rsid w:val="00CE1EC0"/>
    <w:rsid w:val="00CE2077"/>
    <w:rsid w:val="00CE20F9"/>
    <w:rsid w:val="00CE229F"/>
    <w:rsid w:val="00CE26D8"/>
    <w:rsid w:val="00CE2724"/>
    <w:rsid w:val="00CE284D"/>
    <w:rsid w:val="00CE28DA"/>
    <w:rsid w:val="00CE2938"/>
    <w:rsid w:val="00CE2A45"/>
    <w:rsid w:val="00CE2AD0"/>
    <w:rsid w:val="00CE2C98"/>
    <w:rsid w:val="00CE2EBD"/>
    <w:rsid w:val="00CE301E"/>
    <w:rsid w:val="00CE33EF"/>
    <w:rsid w:val="00CE3402"/>
    <w:rsid w:val="00CE3419"/>
    <w:rsid w:val="00CE3702"/>
    <w:rsid w:val="00CE3710"/>
    <w:rsid w:val="00CE376F"/>
    <w:rsid w:val="00CE3A0C"/>
    <w:rsid w:val="00CE3AA8"/>
    <w:rsid w:val="00CE3AF0"/>
    <w:rsid w:val="00CE3D35"/>
    <w:rsid w:val="00CE3F0A"/>
    <w:rsid w:val="00CE3F29"/>
    <w:rsid w:val="00CE42FD"/>
    <w:rsid w:val="00CE4340"/>
    <w:rsid w:val="00CE447C"/>
    <w:rsid w:val="00CE44A6"/>
    <w:rsid w:val="00CE45A2"/>
    <w:rsid w:val="00CE478A"/>
    <w:rsid w:val="00CE48AB"/>
    <w:rsid w:val="00CE4D1C"/>
    <w:rsid w:val="00CE4D6A"/>
    <w:rsid w:val="00CE4E61"/>
    <w:rsid w:val="00CE4F47"/>
    <w:rsid w:val="00CE4FD2"/>
    <w:rsid w:val="00CE5326"/>
    <w:rsid w:val="00CE58BD"/>
    <w:rsid w:val="00CE58CA"/>
    <w:rsid w:val="00CE59E0"/>
    <w:rsid w:val="00CE5D8C"/>
    <w:rsid w:val="00CE6020"/>
    <w:rsid w:val="00CE6178"/>
    <w:rsid w:val="00CE62DF"/>
    <w:rsid w:val="00CE6616"/>
    <w:rsid w:val="00CE677A"/>
    <w:rsid w:val="00CE68B2"/>
    <w:rsid w:val="00CE6B13"/>
    <w:rsid w:val="00CE6B35"/>
    <w:rsid w:val="00CE6B5E"/>
    <w:rsid w:val="00CE708D"/>
    <w:rsid w:val="00CE7395"/>
    <w:rsid w:val="00CE7466"/>
    <w:rsid w:val="00CE7925"/>
    <w:rsid w:val="00CE7B14"/>
    <w:rsid w:val="00CE7C06"/>
    <w:rsid w:val="00CE7E2F"/>
    <w:rsid w:val="00CED590"/>
    <w:rsid w:val="00CF018B"/>
    <w:rsid w:val="00CF02BD"/>
    <w:rsid w:val="00CF0814"/>
    <w:rsid w:val="00CF084B"/>
    <w:rsid w:val="00CF0859"/>
    <w:rsid w:val="00CF0BDF"/>
    <w:rsid w:val="00CF0E31"/>
    <w:rsid w:val="00CF0EE8"/>
    <w:rsid w:val="00CF1058"/>
    <w:rsid w:val="00CF14B5"/>
    <w:rsid w:val="00CF170E"/>
    <w:rsid w:val="00CF19EF"/>
    <w:rsid w:val="00CF1B5B"/>
    <w:rsid w:val="00CF1C8B"/>
    <w:rsid w:val="00CF1D7A"/>
    <w:rsid w:val="00CF1FBC"/>
    <w:rsid w:val="00CF203D"/>
    <w:rsid w:val="00CF227A"/>
    <w:rsid w:val="00CF2417"/>
    <w:rsid w:val="00CF2581"/>
    <w:rsid w:val="00CF2629"/>
    <w:rsid w:val="00CF28FF"/>
    <w:rsid w:val="00CF2992"/>
    <w:rsid w:val="00CF2AC3"/>
    <w:rsid w:val="00CF2AE8"/>
    <w:rsid w:val="00CF2D1A"/>
    <w:rsid w:val="00CF3015"/>
    <w:rsid w:val="00CF3136"/>
    <w:rsid w:val="00CF33C9"/>
    <w:rsid w:val="00CF35A1"/>
    <w:rsid w:val="00CF3825"/>
    <w:rsid w:val="00CF3BFD"/>
    <w:rsid w:val="00CF3F6D"/>
    <w:rsid w:val="00CF406F"/>
    <w:rsid w:val="00CF415C"/>
    <w:rsid w:val="00CF447F"/>
    <w:rsid w:val="00CF4724"/>
    <w:rsid w:val="00CF487A"/>
    <w:rsid w:val="00CF4C2C"/>
    <w:rsid w:val="00CF4E2F"/>
    <w:rsid w:val="00CF540B"/>
    <w:rsid w:val="00CF596A"/>
    <w:rsid w:val="00CF5D37"/>
    <w:rsid w:val="00CF5E3C"/>
    <w:rsid w:val="00CF5F93"/>
    <w:rsid w:val="00CF6057"/>
    <w:rsid w:val="00CF625E"/>
    <w:rsid w:val="00CF6626"/>
    <w:rsid w:val="00CF6767"/>
    <w:rsid w:val="00CF685F"/>
    <w:rsid w:val="00CF6B46"/>
    <w:rsid w:val="00CF6DBB"/>
    <w:rsid w:val="00CF6F5F"/>
    <w:rsid w:val="00CF70DF"/>
    <w:rsid w:val="00CF71C5"/>
    <w:rsid w:val="00CF762E"/>
    <w:rsid w:val="00CF768B"/>
    <w:rsid w:val="00CF771C"/>
    <w:rsid w:val="00CF7914"/>
    <w:rsid w:val="00CF7CB5"/>
    <w:rsid w:val="00CF7D20"/>
    <w:rsid w:val="00CF7E4B"/>
    <w:rsid w:val="00CF7F49"/>
    <w:rsid w:val="00D001C9"/>
    <w:rsid w:val="00D001E7"/>
    <w:rsid w:val="00D00FE0"/>
    <w:rsid w:val="00D010A7"/>
    <w:rsid w:val="00D01181"/>
    <w:rsid w:val="00D011F3"/>
    <w:rsid w:val="00D01462"/>
    <w:rsid w:val="00D014D1"/>
    <w:rsid w:val="00D015AA"/>
    <w:rsid w:val="00D01743"/>
    <w:rsid w:val="00D01797"/>
    <w:rsid w:val="00D01CCE"/>
    <w:rsid w:val="00D01CFE"/>
    <w:rsid w:val="00D02170"/>
    <w:rsid w:val="00D027BB"/>
    <w:rsid w:val="00D02851"/>
    <w:rsid w:val="00D029B5"/>
    <w:rsid w:val="00D029C8"/>
    <w:rsid w:val="00D02A24"/>
    <w:rsid w:val="00D02A31"/>
    <w:rsid w:val="00D02A4D"/>
    <w:rsid w:val="00D02BCA"/>
    <w:rsid w:val="00D02CA0"/>
    <w:rsid w:val="00D02CA3"/>
    <w:rsid w:val="00D02EF6"/>
    <w:rsid w:val="00D03001"/>
    <w:rsid w:val="00D0325A"/>
    <w:rsid w:val="00D03347"/>
    <w:rsid w:val="00D033D0"/>
    <w:rsid w:val="00D03725"/>
    <w:rsid w:val="00D03928"/>
    <w:rsid w:val="00D03A8E"/>
    <w:rsid w:val="00D03CA1"/>
    <w:rsid w:val="00D03CA3"/>
    <w:rsid w:val="00D0405B"/>
    <w:rsid w:val="00D04148"/>
    <w:rsid w:val="00D0418A"/>
    <w:rsid w:val="00D0421E"/>
    <w:rsid w:val="00D0471A"/>
    <w:rsid w:val="00D04740"/>
    <w:rsid w:val="00D0482F"/>
    <w:rsid w:val="00D04B41"/>
    <w:rsid w:val="00D04E5D"/>
    <w:rsid w:val="00D052F3"/>
    <w:rsid w:val="00D053A5"/>
    <w:rsid w:val="00D0547E"/>
    <w:rsid w:val="00D056A6"/>
    <w:rsid w:val="00D0570A"/>
    <w:rsid w:val="00D057C5"/>
    <w:rsid w:val="00D05858"/>
    <w:rsid w:val="00D05978"/>
    <w:rsid w:val="00D05A95"/>
    <w:rsid w:val="00D05D9F"/>
    <w:rsid w:val="00D05E02"/>
    <w:rsid w:val="00D05E07"/>
    <w:rsid w:val="00D05E8D"/>
    <w:rsid w:val="00D05ECC"/>
    <w:rsid w:val="00D05ED8"/>
    <w:rsid w:val="00D05FE1"/>
    <w:rsid w:val="00D05FF6"/>
    <w:rsid w:val="00D0608A"/>
    <w:rsid w:val="00D06229"/>
    <w:rsid w:val="00D0642D"/>
    <w:rsid w:val="00D06446"/>
    <w:rsid w:val="00D06494"/>
    <w:rsid w:val="00D06581"/>
    <w:rsid w:val="00D06771"/>
    <w:rsid w:val="00D06796"/>
    <w:rsid w:val="00D06B87"/>
    <w:rsid w:val="00D06C9F"/>
    <w:rsid w:val="00D06DBB"/>
    <w:rsid w:val="00D06E5E"/>
    <w:rsid w:val="00D06FD3"/>
    <w:rsid w:val="00D07069"/>
    <w:rsid w:val="00D0722E"/>
    <w:rsid w:val="00D0725D"/>
    <w:rsid w:val="00D072EE"/>
    <w:rsid w:val="00D07317"/>
    <w:rsid w:val="00D074B5"/>
    <w:rsid w:val="00D0783C"/>
    <w:rsid w:val="00D07A26"/>
    <w:rsid w:val="00D07BF5"/>
    <w:rsid w:val="00D07CA3"/>
    <w:rsid w:val="00D07D61"/>
    <w:rsid w:val="00D07D63"/>
    <w:rsid w:val="00D07DB5"/>
    <w:rsid w:val="00D07ED5"/>
    <w:rsid w:val="00D1004C"/>
    <w:rsid w:val="00D10098"/>
    <w:rsid w:val="00D1016F"/>
    <w:rsid w:val="00D1025C"/>
    <w:rsid w:val="00D102C0"/>
    <w:rsid w:val="00D10571"/>
    <w:rsid w:val="00D105EF"/>
    <w:rsid w:val="00D10ADD"/>
    <w:rsid w:val="00D10C27"/>
    <w:rsid w:val="00D10EE9"/>
    <w:rsid w:val="00D10F0C"/>
    <w:rsid w:val="00D10F31"/>
    <w:rsid w:val="00D11264"/>
    <w:rsid w:val="00D11316"/>
    <w:rsid w:val="00D11BAC"/>
    <w:rsid w:val="00D11C2F"/>
    <w:rsid w:val="00D11E42"/>
    <w:rsid w:val="00D120FE"/>
    <w:rsid w:val="00D1232F"/>
    <w:rsid w:val="00D123B9"/>
    <w:rsid w:val="00D1244B"/>
    <w:rsid w:val="00D127FB"/>
    <w:rsid w:val="00D128BA"/>
    <w:rsid w:val="00D12E54"/>
    <w:rsid w:val="00D12F37"/>
    <w:rsid w:val="00D12FCA"/>
    <w:rsid w:val="00D1306D"/>
    <w:rsid w:val="00D135BE"/>
    <w:rsid w:val="00D1365F"/>
    <w:rsid w:val="00D136FE"/>
    <w:rsid w:val="00D1377A"/>
    <w:rsid w:val="00D1384E"/>
    <w:rsid w:val="00D13895"/>
    <w:rsid w:val="00D13A45"/>
    <w:rsid w:val="00D13DA0"/>
    <w:rsid w:val="00D13DB6"/>
    <w:rsid w:val="00D13DC3"/>
    <w:rsid w:val="00D13E3B"/>
    <w:rsid w:val="00D14011"/>
    <w:rsid w:val="00D14173"/>
    <w:rsid w:val="00D14271"/>
    <w:rsid w:val="00D1431B"/>
    <w:rsid w:val="00D143BE"/>
    <w:rsid w:val="00D1441D"/>
    <w:rsid w:val="00D14741"/>
    <w:rsid w:val="00D14A76"/>
    <w:rsid w:val="00D14BE1"/>
    <w:rsid w:val="00D14C63"/>
    <w:rsid w:val="00D14E17"/>
    <w:rsid w:val="00D15209"/>
    <w:rsid w:val="00D154FA"/>
    <w:rsid w:val="00D156B8"/>
    <w:rsid w:val="00D15931"/>
    <w:rsid w:val="00D159CF"/>
    <w:rsid w:val="00D1612A"/>
    <w:rsid w:val="00D16178"/>
    <w:rsid w:val="00D1636D"/>
    <w:rsid w:val="00D163AE"/>
    <w:rsid w:val="00D164DB"/>
    <w:rsid w:val="00D16565"/>
    <w:rsid w:val="00D16588"/>
    <w:rsid w:val="00D16968"/>
    <w:rsid w:val="00D16A59"/>
    <w:rsid w:val="00D16CBB"/>
    <w:rsid w:val="00D16DEE"/>
    <w:rsid w:val="00D17376"/>
    <w:rsid w:val="00D17398"/>
    <w:rsid w:val="00D17897"/>
    <w:rsid w:val="00D178E0"/>
    <w:rsid w:val="00D17C66"/>
    <w:rsid w:val="00D17E58"/>
    <w:rsid w:val="00D17F5C"/>
    <w:rsid w:val="00D20147"/>
    <w:rsid w:val="00D202BE"/>
    <w:rsid w:val="00D20530"/>
    <w:rsid w:val="00D205E6"/>
    <w:rsid w:val="00D20B61"/>
    <w:rsid w:val="00D20B6A"/>
    <w:rsid w:val="00D20BFC"/>
    <w:rsid w:val="00D20D0A"/>
    <w:rsid w:val="00D20EC6"/>
    <w:rsid w:val="00D2106F"/>
    <w:rsid w:val="00D2109E"/>
    <w:rsid w:val="00D210B1"/>
    <w:rsid w:val="00D2125F"/>
    <w:rsid w:val="00D21297"/>
    <w:rsid w:val="00D21365"/>
    <w:rsid w:val="00D216F3"/>
    <w:rsid w:val="00D21747"/>
    <w:rsid w:val="00D21A86"/>
    <w:rsid w:val="00D21B89"/>
    <w:rsid w:val="00D21BCE"/>
    <w:rsid w:val="00D21E74"/>
    <w:rsid w:val="00D21EB0"/>
    <w:rsid w:val="00D22114"/>
    <w:rsid w:val="00D221C9"/>
    <w:rsid w:val="00D22445"/>
    <w:rsid w:val="00D225AF"/>
    <w:rsid w:val="00D2287C"/>
    <w:rsid w:val="00D22A0F"/>
    <w:rsid w:val="00D22F6B"/>
    <w:rsid w:val="00D230C4"/>
    <w:rsid w:val="00D230CA"/>
    <w:rsid w:val="00D232AE"/>
    <w:rsid w:val="00D23377"/>
    <w:rsid w:val="00D23387"/>
    <w:rsid w:val="00D235A2"/>
    <w:rsid w:val="00D23663"/>
    <w:rsid w:val="00D23798"/>
    <w:rsid w:val="00D23B20"/>
    <w:rsid w:val="00D24074"/>
    <w:rsid w:val="00D2452E"/>
    <w:rsid w:val="00D2458A"/>
    <w:rsid w:val="00D24764"/>
    <w:rsid w:val="00D2476F"/>
    <w:rsid w:val="00D24B41"/>
    <w:rsid w:val="00D24BAF"/>
    <w:rsid w:val="00D250DB"/>
    <w:rsid w:val="00D252FA"/>
    <w:rsid w:val="00D25484"/>
    <w:rsid w:val="00D25517"/>
    <w:rsid w:val="00D25520"/>
    <w:rsid w:val="00D256CD"/>
    <w:rsid w:val="00D2575C"/>
    <w:rsid w:val="00D2576E"/>
    <w:rsid w:val="00D25F22"/>
    <w:rsid w:val="00D25FCC"/>
    <w:rsid w:val="00D26510"/>
    <w:rsid w:val="00D26554"/>
    <w:rsid w:val="00D26789"/>
    <w:rsid w:val="00D26AA2"/>
    <w:rsid w:val="00D26B0B"/>
    <w:rsid w:val="00D26CB6"/>
    <w:rsid w:val="00D26DB9"/>
    <w:rsid w:val="00D26E25"/>
    <w:rsid w:val="00D26F10"/>
    <w:rsid w:val="00D271EB"/>
    <w:rsid w:val="00D27BD1"/>
    <w:rsid w:val="00D27D04"/>
    <w:rsid w:val="00D27DF7"/>
    <w:rsid w:val="00D27E53"/>
    <w:rsid w:val="00D27EBA"/>
    <w:rsid w:val="00D27FF2"/>
    <w:rsid w:val="00D3025F"/>
    <w:rsid w:val="00D302CF"/>
    <w:rsid w:val="00D303EB"/>
    <w:rsid w:val="00D3050A"/>
    <w:rsid w:val="00D30589"/>
    <w:rsid w:val="00D3062F"/>
    <w:rsid w:val="00D306C6"/>
    <w:rsid w:val="00D306EE"/>
    <w:rsid w:val="00D30798"/>
    <w:rsid w:val="00D309BA"/>
    <w:rsid w:val="00D30A74"/>
    <w:rsid w:val="00D30C4D"/>
    <w:rsid w:val="00D30C60"/>
    <w:rsid w:val="00D30F7E"/>
    <w:rsid w:val="00D31307"/>
    <w:rsid w:val="00D313B1"/>
    <w:rsid w:val="00D313C5"/>
    <w:rsid w:val="00D31537"/>
    <w:rsid w:val="00D31570"/>
    <w:rsid w:val="00D3160A"/>
    <w:rsid w:val="00D31800"/>
    <w:rsid w:val="00D3180B"/>
    <w:rsid w:val="00D3183C"/>
    <w:rsid w:val="00D318A3"/>
    <w:rsid w:val="00D31AB7"/>
    <w:rsid w:val="00D31C1C"/>
    <w:rsid w:val="00D31CF0"/>
    <w:rsid w:val="00D31E3B"/>
    <w:rsid w:val="00D320E5"/>
    <w:rsid w:val="00D3226C"/>
    <w:rsid w:val="00D326BD"/>
    <w:rsid w:val="00D327BB"/>
    <w:rsid w:val="00D327E1"/>
    <w:rsid w:val="00D327FC"/>
    <w:rsid w:val="00D328D1"/>
    <w:rsid w:val="00D32B3D"/>
    <w:rsid w:val="00D32B8A"/>
    <w:rsid w:val="00D32B8C"/>
    <w:rsid w:val="00D32C48"/>
    <w:rsid w:val="00D32D46"/>
    <w:rsid w:val="00D32F26"/>
    <w:rsid w:val="00D33075"/>
    <w:rsid w:val="00D33210"/>
    <w:rsid w:val="00D33287"/>
    <w:rsid w:val="00D3333A"/>
    <w:rsid w:val="00D33612"/>
    <w:rsid w:val="00D33746"/>
    <w:rsid w:val="00D337A6"/>
    <w:rsid w:val="00D33869"/>
    <w:rsid w:val="00D3387E"/>
    <w:rsid w:val="00D33A95"/>
    <w:rsid w:val="00D33BE1"/>
    <w:rsid w:val="00D33C3E"/>
    <w:rsid w:val="00D33CEB"/>
    <w:rsid w:val="00D33E1D"/>
    <w:rsid w:val="00D34379"/>
    <w:rsid w:val="00D344AB"/>
    <w:rsid w:val="00D344E1"/>
    <w:rsid w:val="00D345B8"/>
    <w:rsid w:val="00D34629"/>
    <w:rsid w:val="00D348B7"/>
    <w:rsid w:val="00D34C91"/>
    <w:rsid w:val="00D34F98"/>
    <w:rsid w:val="00D35007"/>
    <w:rsid w:val="00D351C1"/>
    <w:rsid w:val="00D35648"/>
    <w:rsid w:val="00D356DF"/>
    <w:rsid w:val="00D35737"/>
    <w:rsid w:val="00D357CD"/>
    <w:rsid w:val="00D35969"/>
    <w:rsid w:val="00D35AF4"/>
    <w:rsid w:val="00D35EDE"/>
    <w:rsid w:val="00D36682"/>
    <w:rsid w:val="00D36742"/>
    <w:rsid w:val="00D36916"/>
    <w:rsid w:val="00D3692B"/>
    <w:rsid w:val="00D36C95"/>
    <w:rsid w:val="00D36CE2"/>
    <w:rsid w:val="00D36E56"/>
    <w:rsid w:val="00D36EF0"/>
    <w:rsid w:val="00D37126"/>
    <w:rsid w:val="00D3715F"/>
    <w:rsid w:val="00D372F3"/>
    <w:rsid w:val="00D3736D"/>
    <w:rsid w:val="00D37877"/>
    <w:rsid w:val="00D37BC8"/>
    <w:rsid w:val="00D37D08"/>
    <w:rsid w:val="00D37E77"/>
    <w:rsid w:val="00D40061"/>
    <w:rsid w:val="00D4012E"/>
    <w:rsid w:val="00D401B0"/>
    <w:rsid w:val="00D4039C"/>
    <w:rsid w:val="00D405A2"/>
    <w:rsid w:val="00D40627"/>
    <w:rsid w:val="00D40653"/>
    <w:rsid w:val="00D407E2"/>
    <w:rsid w:val="00D408E8"/>
    <w:rsid w:val="00D40A7A"/>
    <w:rsid w:val="00D40EBE"/>
    <w:rsid w:val="00D40F17"/>
    <w:rsid w:val="00D40FEF"/>
    <w:rsid w:val="00D4139A"/>
    <w:rsid w:val="00D41654"/>
    <w:rsid w:val="00D4169E"/>
    <w:rsid w:val="00D41D07"/>
    <w:rsid w:val="00D41DA9"/>
    <w:rsid w:val="00D41FCE"/>
    <w:rsid w:val="00D4214C"/>
    <w:rsid w:val="00D421AF"/>
    <w:rsid w:val="00D422D6"/>
    <w:rsid w:val="00D42931"/>
    <w:rsid w:val="00D42F0A"/>
    <w:rsid w:val="00D42FE5"/>
    <w:rsid w:val="00D430B0"/>
    <w:rsid w:val="00D430D3"/>
    <w:rsid w:val="00D43123"/>
    <w:rsid w:val="00D4315A"/>
    <w:rsid w:val="00D43624"/>
    <w:rsid w:val="00D4367F"/>
    <w:rsid w:val="00D437D9"/>
    <w:rsid w:val="00D43827"/>
    <w:rsid w:val="00D43CAC"/>
    <w:rsid w:val="00D442FD"/>
    <w:rsid w:val="00D44314"/>
    <w:rsid w:val="00D4440A"/>
    <w:rsid w:val="00D4446F"/>
    <w:rsid w:val="00D44909"/>
    <w:rsid w:val="00D44A89"/>
    <w:rsid w:val="00D44E5E"/>
    <w:rsid w:val="00D45127"/>
    <w:rsid w:val="00D45143"/>
    <w:rsid w:val="00D45163"/>
    <w:rsid w:val="00D45193"/>
    <w:rsid w:val="00D45539"/>
    <w:rsid w:val="00D45588"/>
    <w:rsid w:val="00D4559C"/>
    <w:rsid w:val="00D455E7"/>
    <w:rsid w:val="00D457C1"/>
    <w:rsid w:val="00D45860"/>
    <w:rsid w:val="00D45AAF"/>
    <w:rsid w:val="00D45AC6"/>
    <w:rsid w:val="00D45B27"/>
    <w:rsid w:val="00D45BAD"/>
    <w:rsid w:val="00D45BB3"/>
    <w:rsid w:val="00D45D75"/>
    <w:rsid w:val="00D45DAD"/>
    <w:rsid w:val="00D46069"/>
    <w:rsid w:val="00D4610C"/>
    <w:rsid w:val="00D461FA"/>
    <w:rsid w:val="00D4637E"/>
    <w:rsid w:val="00D468C8"/>
    <w:rsid w:val="00D46943"/>
    <w:rsid w:val="00D46D96"/>
    <w:rsid w:val="00D4700D"/>
    <w:rsid w:val="00D4712D"/>
    <w:rsid w:val="00D47262"/>
    <w:rsid w:val="00D4745E"/>
    <w:rsid w:val="00D474B9"/>
    <w:rsid w:val="00D478B7"/>
    <w:rsid w:val="00D47A97"/>
    <w:rsid w:val="00D47EBB"/>
    <w:rsid w:val="00D500F2"/>
    <w:rsid w:val="00D50423"/>
    <w:rsid w:val="00D5053A"/>
    <w:rsid w:val="00D507C6"/>
    <w:rsid w:val="00D50AA1"/>
    <w:rsid w:val="00D50B82"/>
    <w:rsid w:val="00D50C7D"/>
    <w:rsid w:val="00D50CBF"/>
    <w:rsid w:val="00D50FC9"/>
    <w:rsid w:val="00D50FEA"/>
    <w:rsid w:val="00D510B8"/>
    <w:rsid w:val="00D511D4"/>
    <w:rsid w:val="00D51264"/>
    <w:rsid w:val="00D5130D"/>
    <w:rsid w:val="00D51474"/>
    <w:rsid w:val="00D5164E"/>
    <w:rsid w:val="00D517B9"/>
    <w:rsid w:val="00D517FE"/>
    <w:rsid w:val="00D51CFE"/>
    <w:rsid w:val="00D51D75"/>
    <w:rsid w:val="00D51E13"/>
    <w:rsid w:val="00D51ED7"/>
    <w:rsid w:val="00D51FE3"/>
    <w:rsid w:val="00D5200B"/>
    <w:rsid w:val="00D520A3"/>
    <w:rsid w:val="00D52198"/>
    <w:rsid w:val="00D521AC"/>
    <w:rsid w:val="00D525CC"/>
    <w:rsid w:val="00D52958"/>
    <w:rsid w:val="00D52C6E"/>
    <w:rsid w:val="00D52C7B"/>
    <w:rsid w:val="00D52D51"/>
    <w:rsid w:val="00D52D75"/>
    <w:rsid w:val="00D52DEA"/>
    <w:rsid w:val="00D52EFE"/>
    <w:rsid w:val="00D52FBA"/>
    <w:rsid w:val="00D5329E"/>
    <w:rsid w:val="00D5332A"/>
    <w:rsid w:val="00D53355"/>
    <w:rsid w:val="00D53542"/>
    <w:rsid w:val="00D53A1E"/>
    <w:rsid w:val="00D53E67"/>
    <w:rsid w:val="00D53FA0"/>
    <w:rsid w:val="00D540E1"/>
    <w:rsid w:val="00D544DA"/>
    <w:rsid w:val="00D5457E"/>
    <w:rsid w:val="00D546CA"/>
    <w:rsid w:val="00D54794"/>
    <w:rsid w:val="00D5480E"/>
    <w:rsid w:val="00D54875"/>
    <w:rsid w:val="00D549BC"/>
    <w:rsid w:val="00D54A10"/>
    <w:rsid w:val="00D54B7D"/>
    <w:rsid w:val="00D54CCA"/>
    <w:rsid w:val="00D54CE6"/>
    <w:rsid w:val="00D54FF0"/>
    <w:rsid w:val="00D5503E"/>
    <w:rsid w:val="00D550DB"/>
    <w:rsid w:val="00D5524C"/>
    <w:rsid w:val="00D555D6"/>
    <w:rsid w:val="00D555F1"/>
    <w:rsid w:val="00D5592F"/>
    <w:rsid w:val="00D55959"/>
    <w:rsid w:val="00D55B1D"/>
    <w:rsid w:val="00D55CBD"/>
    <w:rsid w:val="00D55DF9"/>
    <w:rsid w:val="00D55E45"/>
    <w:rsid w:val="00D55E65"/>
    <w:rsid w:val="00D56213"/>
    <w:rsid w:val="00D563CD"/>
    <w:rsid w:val="00D5653D"/>
    <w:rsid w:val="00D56573"/>
    <w:rsid w:val="00D565F5"/>
    <w:rsid w:val="00D5678B"/>
    <w:rsid w:val="00D567E1"/>
    <w:rsid w:val="00D569C9"/>
    <w:rsid w:val="00D56AA4"/>
    <w:rsid w:val="00D56C6C"/>
    <w:rsid w:val="00D56CDD"/>
    <w:rsid w:val="00D56F33"/>
    <w:rsid w:val="00D56F57"/>
    <w:rsid w:val="00D570F6"/>
    <w:rsid w:val="00D571FE"/>
    <w:rsid w:val="00D572BC"/>
    <w:rsid w:val="00D575C4"/>
    <w:rsid w:val="00D5774B"/>
    <w:rsid w:val="00D57D9C"/>
    <w:rsid w:val="00D600C6"/>
    <w:rsid w:val="00D60278"/>
    <w:rsid w:val="00D60439"/>
    <w:rsid w:val="00D604A7"/>
    <w:rsid w:val="00D606DF"/>
    <w:rsid w:val="00D608AE"/>
    <w:rsid w:val="00D608C5"/>
    <w:rsid w:val="00D60C1E"/>
    <w:rsid w:val="00D60C60"/>
    <w:rsid w:val="00D60D26"/>
    <w:rsid w:val="00D60E58"/>
    <w:rsid w:val="00D60F09"/>
    <w:rsid w:val="00D60F51"/>
    <w:rsid w:val="00D6163D"/>
    <w:rsid w:val="00D617EF"/>
    <w:rsid w:val="00D6180E"/>
    <w:rsid w:val="00D6191E"/>
    <w:rsid w:val="00D61B41"/>
    <w:rsid w:val="00D61B8E"/>
    <w:rsid w:val="00D62041"/>
    <w:rsid w:val="00D6241C"/>
    <w:rsid w:val="00D62515"/>
    <w:rsid w:val="00D6269C"/>
    <w:rsid w:val="00D62755"/>
    <w:rsid w:val="00D62783"/>
    <w:rsid w:val="00D62DA6"/>
    <w:rsid w:val="00D62E61"/>
    <w:rsid w:val="00D63062"/>
    <w:rsid w:val="00D63736"/>
    <w:rsid w:val="00D63963"/>
    <w:rsid w:val="00D63C67"/>
    <w:rsid w:val="00D63D91"/>
    <w:rsid w:val="00D63E07"/>
    <w:rsid w:val="00D63E9C"/>
    <w:rsid w:val="00D6419C"/>
    <w:rsid w:val="00D643B0"/>
    <w:rsid w:val="00D64500"/>
    <w:rsid w:val="00D64507"/>
    <w:rsid w:val="00D64523"/>
    <w:rsid w:val="00D64690"/>
    <w:rsid w:val="00D64D3F"/>
    <w:rsid w:val="00D64D5F"/>
    <w:rsid w:val="00D64D8E"/>
    <w:rsid w:val="00D64DB3"/>
    <w:rsid w:val="00D64E22"/>
    <w:rsid w:val="00D64F3A"/>
    <w:rsid w:val="00D64FD9"/>
    <w:rsid w:val="00D650BE"/>
    <w:rsid w:val="00D65438"/>
    <w:rsid w:val="00D656A9"/>
    <w:rsid w:val="00D657E7"/>
    <w:rsid w:val="00D658B4"/>
    <w:rsid w:val="00D659A5"/>
    <w:rsid w:val="00D65C8A"/>
    <w:rsid w:val="00D65E26"/>
    <w:rsid w:val="00D65F00"/>
    <w:rsid w:val="00D65F07"/>
    <w:rsid w:val="00D66090"/>
    <w:rsid w:val="00D660CE"/>
    <w:rsid w:val="00D6641A"/>
    <w:rsid w:val="00D66479"/>
    <w:rsid w:val="00D664E1"/>
    <w:rsid w:val="00D6690E"/>
    <w:rsid w:val="00D66933"/>
    <w:rsid w:val="00D66D36"/>
    <w:rsid w:val="00D66EF2"/>
    <w:rsid w:val="00D66F3A"/>
    <w:rsid w:val="00D67013"/>
    <w:rsid w:val="00D67198"/>
    <w:rsid w:val="00D671E5"/>
    <w:rsid w:val="00D67217"/>
    <w:rsid w:val="00D67649"/>
    <w:rsid w:val="00D67779"/>
    <w:rsid w:val="00D6790B"/>
    <w:rsid w:val="00D6794D"/>
    <w:rsid w:val="00D67A53"/>
    <w:rsid w:val="00D67AD2"/>
    <w:rsid w:val="00D67CF5"/>
    <w:rsid w:val="00D67D80"/>
    <w:rsid w:val="00D67FD3"/>
    <w:rsid w:val="00D701E9"/>
    <w:rsid w:val="00D704DD"/>
    <w:rsid w:val="00D70585"/>
    <w:rsid w:val="00D70671"/>
    <w:rsid w:val="00D70768"/>
    <w:rsid w:val="00D70915"/>
    <w:rsid w:val="00D709FB"/>
    <w:rsid w:val="00D70AA0"/>
    <w:rsid w:val="00D70BE1"/>
    <w:rsid w:val="00D70EC0"/>
    <w:rsid w:val="00D7101F"/>
    <w:rsid w:val="00D712B3"/>
    <w:rsid w:val="00D7134E"/>
    <w:rsid w:val="00D7148A"/>
    <w:rsid w:val="00D71675"/>
    <w:rsid w:val="00D71BF4"/>
    <w:rsid w:val="00D71C59"/>
    <w:rsid w:val="00D71C5A"/>
    <w:rsid w:val="00D71CE8"/>
    <w:rsid w:val="00D71D8E"/>
    <w:rsid w:val="00D71F56"/>
    <w:rsid w:val="00D71FE0"/>
    <w:rsid w:val="00D72098"/>
    <w:rsid w:val="00D720AB"/>
    <w:rsid w:val="00D7211B"/>
    <w:rsid w:val="00D726CF"/>
    <w:rsid w:val="00D72748"/>
    <w:rsid w:val="00D72896"/>
    <w:rsid w:val="00D728FC"/>
    <w:rsid w:val="00D729B5"/>
    <w:rsid w:val="00D72A33"/>
    <w:rsid w:val="00D72A36"/>
    <w:rsid w:val="00D72A67"/>
    <w:rsid w:val="00D72B16"/>
    <w:rsid w:val="00D72C6A"/>
    <w:rsid w:val="00D72DB6"/>
    <w:rsid w:val="00D72DBD"/>
    <w:rsid w:val="00D72EAE"/>
    <w:rsid w:val="00D72FBE"/>
    <w:rsid w:val="00D7309A"/>
    <w:rsid w:val="00D73114"/>
    <w:rsid w:val="00D73146"/>
    <w:rsid w:val="00D732E3"/>
    <w:rsid w:val="00D73311"/>
    <w:rsid w:val="00D7350C"/>
    <w:rsid w:val="00D735FF"/>
    <w:rsid w:val="00D737BA"/>
    <w:rsid w:val="00D737DE"/>
    <w:rsid w:val="00D738DC"/>
    <w:rsid w:val="00D73C07"/>
    <w:rsid w:val="00D73C31"/>
    <w:rsid w:val="00D73CBA"/>
    <w:rsid w:val="00D740FB"/>
    <w:rsid w:val="00D740FC"/>
    <w:rsid w:val="00D74228"/>
    <w:rsid w:val="00D744B8"/>
    <w:rsid w:val="00D74A0C"/>
    <w:rsid w:val="00D74A6B"/>
    <w:rsid w:val="00D74C0D"/>
    <w:rsid w:val="00D74C9A"/>
    <w:rsid w:val="00D74CC9"/>
    <w:rsid w:val="00D74F44"/>
    <w:rsid w:val="00D74F90"/>
    <w:rsid w:val="00D751BE"/>
    <w:rsid w:val="00D75211"/>
    <w:rsid w:val="00D754E0"/>
    <w:rsid w:val="00D7573F"/>
    <w:rsid w:val="00D757C1"/>
    <w:rsid w:val="00D75955"/>
    <w:rsid w:val="00D759CA"/>
    <w:rsid w:val="00D75E73"/>
    <w:rsid w:val="00D760EF"/>
    <w:rsid w:val="00D762E8"/>
    <w:rsid w:val="00D76389"/>
    <w:rsid w:val="00D76622"/>
    <w:rsid w:val="00D76718"/>
    <w:rsid w:val="00D76767"/>
    <w:rsid w:val="00D7680C"/>
    <w:rsid w:val="00D76DAC"/>
    <w:rsid w:val="00D76DEE"/>
    <w:rsid w:val="00D77209"/>
    <w:rsid w:val="00D77399"/>
    <w:rsid w:val="00D775ED"/>
    <w:rsid w:val="00D776F8"/>
    <w:rsid w:val="00D77777"/>
    <w:rsid w:val="00D77B06"/>
    <w:rsid w:val="00D77DD6"/>
    <w:rsid w:val="00D77EEE"/>
    <w:rsid w:val="00D77F91"/>
    <w:rsid w:val="00D77FAC"/>
    <w:rsid w:val="00D77FBD"/>
    <w:rsid w:val="00D803C9"/>
    <w:rsid w:val="00D80527"/>
    <w:rsid w:val="00D8063D"/>
    <w:rsid w:val="00D808F0"/>
    <w:rsid w:val="00D80965"/>
    <w:rsid w:val="00D80FBF"/>
    <w:rsid w:val="00D812BF"/>
    <w:rsid w:val="00D8139C"/>
    <w:rsid w:val="00D8139E"/>
    <w:rsid w:val="00D81515"/>
    <w:rsid w:val="00D815ED"/>
    <w:rsid w:val="00D815F6"/>
    <w:rsid w:val="00D81604"/>
    <w:rsid w:val="00D8170B"/>
    <w:rsid w:val="00D81BAF"/>
    <w:rsid w:val="00D81E3E"/>
    <w:rsid w:val="00D81EA1"/>
    <w:rsid w:val="00D82030"/>
    <w:rsid w:val="00D822A9"/>
    <w:rsid w:val="00D82405"/>
    <w:rsid w:val="00D827CF"/>
    <w:rsid w:val="00D827E3"/>
    <w:rsid w:val="00D828A6"/>
    <w:rsid w:val="00D8293F"/>
    <w:rsid w:val="00D82AA2"/>
    <w:rsid w:val="00D83110"/>
    <w:rsid w:val="00D8311C"/>
    <w:rsid w:val="00D8315C"/>
    <w:rsid w:val="00D8329D"/>
    <w:rsid w:val="00D832FD"/>
    <w:rsid w:val="00D8346A"/>
    <w:rsid w:val="00D834E1"/>
    <w:rsid w:val="00D83530"/>
    <w:rsid w:val="00D83A62"/>
    <w:rsid w:val="00D83CA9"/>
    <w:rsid w:val="00D83FE8"/>
    <w:rsid w:val="00D84293"/>
    <w:rsid w:val="00D84342"/>
    <w:rsid w:val="00D84386"/>
    <w:rsid w:val="00D844F5"/>
    <w:rsid w:val="00D847F6"/>
    <w:rsid w:val="00D84883"/>
    <w:rsid w:val="00D84912"/>
    <w:rsid w:val="00D8498E"/>
    <w:rsid w:val="00D84A4E"/>
    <w:rsid w:val="00D84A63"/>
    <w:rsid w:val="00D84AD6"/>
    <w:rsid w:val="00D84B5F"/>
    <w:rsid w:val="00D84C82"/>
    <w:rsid w:val="00D84CF0"/>
    <w:rsid w:val="00D84E41"/>
    <w:rsid w:val="00D84ECE"/>
    <w:rsid w:val="00D84F5D"/>
    <w:rsid w:val="00D84FC6"/>
    <w:rsid w:val="00D85196"/>
    <w:rsid w:val="00D851D6"/>
    <w:rsid w:val="00D85227"/>
    <w:rsid w:val="00D8523F"/>
    <w:rsid w:val="00D8536E"/>
    <w:rsid w:val="00D855BA"/>
    <w:rsid w:val="00D856E9"/>
    <w:rsid w:val="00D856F4"/>
    <w:rsid w:val="00D858F8"/>
    <w:rsid w:val="00D85AB7"/>
    <w:rsid w:val="00D85AE2"/>
    <w:rsid w:val="00D85B2A"/>
    <w:rsid w:val="00D85B90"/>
    <w:rsid w:val="00D85BF3"/>
    <w:rsid w:val="00D85F28"/>
    <w:rsid w:val="00D861BE"/>
    <w:rsid w:val="00D86358"/>
    <w:rsid w:val="00D86514"/>
    <w:rsid w:val="00D86AD4"/>
    <w:rsid w:val="00D86B78"/>
    <w:rsid w:val="00D86E85"/>
    <w:rsid w:val="00D86F71"/>
    <w:rsid w:val="00D870E0"/>
    <w:rsid w:val="00D8715A"/>
    <w:rsid w:val="00D871E2"/>
    <w:rsid w:val="00D87414"/>
    <w:rsid w:val="00D874FB"/>
    <w:rsid w:val="00D8768D"/>
    <w:rsid w:val="00D876AE"/>
    <w:rsid w:val="00D878F9"/>
    <w:rsid w:val="00D87935"/>
    <w:rsid w:val="00D8797F"/>
    <w:rsid w:val="00D87B55"/>
    <w:rsid w:val="00D87EE5"/>
    <w:rsid w:val="00D87EE8"/>
    <w:rsid w:val="00D9002D"/>
    <w:rsid w:val="00D908AE"/>
    <w:rsid w:val="00D90A07"/>
    <w:rsid w:val="00D90A7B"/>
    <w:rsid w:val="00D90DA5"/>
    <w:rsid w:val="00D90E48"/>
    <w:rsid w:val="00D90FBF"/>
    <w:rsid w:val="00D91040"/>
    <w:rsid w:val="00D91411"/>
    <w:rsid w:val="00D91A4C"/>
    <w:rsid w:val="00D91B2D"/>
    <w:rsid w:val="00D91CF2"/>
    <w:rsid w:val="00D91D07"/>
    <w:rsid w:val="00D92074"/>
    <w:rsid w:val="00D92131"/>
    <w:rsid w:val="00D922E1"/>
    <w:rsid w:val="00D9243A"/>
    <w:rsid w:val="00D92714"/>
    <w:rsid w:val="00D9271A"/>
    <w:rsid w:val="00D927F9"/>
    <w:rsid w:val="00D92808"/>
    <w:rsid w:val="00D9280D"/>
    <w:rsid w:val="00D92824"/>
    <w:rsid w:val="00D92836"/>
    <w:rsid w:val="00D92A18"/>
    <w:rsid w:val="00D92DB2"/>
    <w:rsid w:val="00D93186"/>
    <w:rsid w:val="00D93268"/>
    <w:rsid w:val="00D934CF"/>
    <w:rsid w:val="00D935BE"/>
    <w:rsid w:val="00D93689"/>
    <w:rsid w:val="00D93B74"/>
    <w:rsid w:val="00D93C12"/>
    <w:rsid w:val="00D93C95"/>
    <w:rsid w:val="00D93ECA"/>
    <w:rsid w:val="00D94099"/>
    <w:rsid w:val="00D94278"/>
    <w:rsid w:val="00D945B2"/>
    <w:rsid w:val="00D94AB2"/>
    <w:rsid w:val="00D94D12"/>
    <w:rsid w:val="00D951A2"/>
    <w:rsid w:val="00D954BE"/>
    <w:rsid w:val="00D95870"/>
    <w:rsid w:val="00D959B0"/>
    <w:rsid w:val="00D95B7C"/>
    <w:rsid w:val="00D95BB4"/>
    <w:rsid w:val="00D96163"/>
    <w:rsid w:val="00D96279"/>
    <w:rsid w:val="00D962ED"/>
    <w:rsid w:val="00D9637D"/>
    <w:rsid w:val="00D963E0"/>
    <w:rsid w:val="00D96578"/>
    <w:rsid w:val="00D9678A"/>
    <w:rsid w:val="00D967C1"/>
    <w:rsid w:val="00D96893"/>
    <w:rsid w:val="00D96981"/>
    <w:rsid w:val="00D96C4F"/>
    <w:rsid w:val="00D96D60"/>
    <w:rsid w:val="00D96DD7"/>
    <w:rsid w:val="00D96E23"/>
    <w:rsid w:val="00D96F1E"/>
    <w:rsid w:val="00D96F48"/>
    <w:rsid w:val="00D972D6"/>
    <w:rsid w:val="00D9766D"/>
    <w:rsid w:val="00D97917"/>
    <w:rsid w:val="00D97920"/>
    <w:rsid w:val="00D97A53"/>
    <w:rsid w:val="00D97B22"/>
    <w:rsid w:val="00D97BA4"/>
    <w:rsid w:val="00D97C9C"/>
    <w:rsid w:val="00D97DA0"/>
    <w:rsid w:val="00D97E7A"/>
    <w:rsid w:val="00DA0442"/>
    <w:rsid w:val="00DA047E"/>
    <w:rsid w:val="00DA0742"/>
    <w:rsid w:val="00DA07A6"/>
    <w:rsid w:val="00DA0957"/>
    <w:rsid w:val="00DA0EC8"/>
    <w:rsid w:val="00DA1135"/>
    <w:rsid w:val="00DA1279"/>
    <w:rsid w:val="00DA1293"/>
    <w:rsid w:val="00DA1375"/>
    <w:rsid w:val="00DA1416"/>
    <w:rsid w:val="00DA14E3"/>
    <w:rsid w:val="00DA1C54"/>
    <w:rsid w:val="00DA2378"/>
    <w:rsid w:val="00DA2528"/>
    <w:rsid w:val="00DA2E0C"/>
    <w:rsid w:val="00DA3045"/>
    <w:rsid w:val="00DA308E"/>
    <w:rsid w:val="00DA33F8"/>
    <w:rsid w:val="00DA38E1"/>
    <w:rsid w:val="00DA3A99"/>
    <w:rsid w:val="00DA3D48"/>
    <w:rsid w:val="00DA3E58"/>
    <w:rsid w:val="00DA4173"/>
    <w:rsid w:val="00DA433D"/>
    <w:rsid w:val="00DA451C"/>
    <w:rsid w:val="00DA47CB"/>
    <w:rsid w:val="00DA4805"/>
    <w:rsid w:val="00DA4909"/>
    <w:rsid w:val="00DA4C33"/>
    <w:rsid w:val="00DA4F16"/>
    <w:rsid w:val="00DA5056"/>
    <w:rsid w:val="00DA50A1"/>
    <w:rsid w:val="00DA510F"/>
    <w:rsid w:val="00DA52AB"/>
    <w:rsid w:val="00DA53D5"/>
    <w:rsid w:val="00DA5A97"/>
    <w:rsid w:val="00DA5AA2"/>
    <w:rsid w:val="00DA5C94"/>
    <w:rsid w:val="00DA60E4"/>
    <w:rsid w:val="00DA62EE"/>
    <w:rsid w:val="00DA671A"/>
    <w:rsid w:val="00DA68D1"/>
    <w:rsid w:val="00DA691D"/>
    <w:rsid w:val="00DA692A"/>
    <w:rsid w:val="00DA6A84"/>
    <w:rsid w:val="00DA6BC7"/>
    <w:rsid w:val="00DA6C44"/>
    <w:rsid w:val="00DA6E38"/>
    <w:rsid w:val="00DA6EB6"/>
    <w:rsid w:val="00DA6F83"/>
    <w:rsid w:val="00DA74CD"/>
    <w:rsid w:val="00DA751F"/>
    <w:rsid w:val="00DA7643"/>
    <w:rsid w:val="00DA78F0"/>
    <w:rsid w:val="00DA7C1E"/>
    <w:rsid w:val="00DA7EAC"/>
    <w:rsid w:val="00DB0332"/>
    <w:rsid w:val="00DB0574"/>
    <w:rsid w:val="00DB05D1"/>
    <w:rsid w:val="00DB0646"/>
    <w:rsid w:val="00DB089F"/>
    <w:rsid w:val="00DB09A1"/>
    <w:rsid w:val="00DB0B85"/>
    <w:rsid w:val="00DB0BBF"/>
    <w:rsid w:val="00DB0D02"/>
    <w:rsid w:val="00DB0EA0"/>
    <w:rsid w:val="00DB11B8"/>
    <w:rsid w:val="00DB12BE"/>
    <w:rsid w:val="00DB1570"/>
    <w:rsid w:val="00DB16A4"/>
    <w:rsid w:val="00DB17D5"/>
    <w:rsid w:val="00DB199B"/>
    <w:rsid w:val="00DB1BD5"/>
    <w:rsid w:val="00DB1C4E"/>
    <w:rsid w:val="00DB1CB2"/>
    <w:rsid w:val="00DB1EA7"/>
    <w:rsid w:val="00DB2147"/>
    <w:rsid w:val="00DB214D"/>
    <w:rsid w:val="00DB21C6"/>
    <w:rsid w:val="00DB2221"/>
    <w:rsid w:val="00DB22CA"/>
    <w:rsid w:val="00DB24EA"/>
    <w:rsid w:val="00DB2888"/>
    <w:rsid w:val="00DB2BDA"/>
    <w:rsid w:val="00DB2D90"/>
    <w:rsid w:val="00DB3056"/>
    <w:rsid w:val="00DB325B"/>
    <w:rsid w:val="00DB32C7"/>
    <w:rsid w:val="00DB331D"/>
    <w:rsid w:val="00DB354A"/>
    <w:rsid w:val="00DB3720"/>
    <w:rsid w:val="00DB3726"/>
    <w:rsid w:val="00DB3794"/>
    <w:rsid w:val="00DB3B8C"/>
    <w:rsid w:val="00DB3BC4"/>
    <w:rsid w:val="00DB3ED5"/>
    <w:rsid w:val="00DB44B0"/>
    <w:rsid w:val="00DB4538"/>
    <w:rsid w:val="00DB4838"/>
    <w:rsid w:val="00DB4E61"/>
    <w:rsid w:val="00DB504D"/>
    <w:rsid w:val="00DB50E3"/>
    <w:rsid w:val="00DB5176"/>
    <w:rsid w:val="00DB5329"/>
    <w:rsid w:val="00DB5745"/>
    <w:rsid w:val="00DB58E8"/>
    <w:rsid w:val="00DB5A39"/>
    <w:rsid w:val="00DB5A67"/>
    <w:rsid w:val="00DB5F81"/>
    <w:rsid w:val="00DB6066"/>
    <w:rsid w:val="00DB607E"/>
    <w:rsid w:val="00DB61AE"/>
    <w:rsid w:val="00DB648E"/>
    <w:rsid w:val="00DB6578"/>
    <w:rsid w:val="00DB66D7"/>
    <w:rsid w:val="00DB67ED"/>
    <w:rsid w:val="00DB685A"/>
    <w:rsid w:val="00DB6AA6"/>
    <w:rsid w:val="00DB6CAD"/>
    <w:rsid w:val="00DB6D0D"/>
    <w:rsid w:val="00DB6EF9"/>
    <w:rsid w:val="00DB6F03"/>
    <w:rsid w:val="00DB6F4D"/>
    <w:rsid w:val="00DB7452"/>
    <w:rsid w:val="00DB7470"/>
    <w:rsid w:val="00DB7670"/>
    <w:rsid w:val="00DB78D0"/>
    <w:rsid w:val="00DB78DD"/>
    <w:rsid w:val="00DB7A18"/>
    <w:rsid w:val="00DB7A1B"/>
    <w:rsid w:val="00DB7ADA"/>
    <w:rsid w:val="00DB7BA3"/>
    <w:rsid w:val="00DB7C6F"/>
    <w:rsid w:val="00DB7D21"/>
    <w:rsid w:val="00DB7D8E"/>
    <w:rsid w:val="00DB7E46"/>
    <w:rsid w:val="00DB7E64"/>
    <w:rsid w:val="00DB7F17"/>
    <w:rsid w:val="00DB7F1C"/>
    <w:rsid w:val="00DC02CD"/>
    <w:rsid w:val="00DC0BAC"/>
    <w:rsid w:val="00DC0C24"/>
    <w:rsid w:val="00DC0D56"/>
    <w:rsid w:val="00DC0E58"/>
    <w:rsid w:val="00DC0E7B"/>
    <w:rsid w:val="00DC111F"/>
    <w:rsid w:val="00DC12B8"/>
    <w:rsid w:val="00DC170B"/>
    <w:rsid w:val="00DC1773"/>
    <w:rsid w:val="00DC1A6F"/>
    <w:rsid w:val="00DC1AB4"/>
    <w:rsid w:val="00DC20B9"/>
    <w:rsid w:val="00DC237B"/>
    <w:rsid w:val="00DC23FC"/>
    <w:rsid w:val="00DC24FF"/>
    <w:rsid w:val="00DC2541"/>
    <w:rsid w:val="00DC2567"/>
    <w:rsid w:val="00DC25C7"/>
    <w:rsid w:val="00DC262D"/>
    <w:rsid w:val="00DC267C"/>
    <w:rsid w:val="00DC29A3"/>
    <w:rsid w:val="00DC2A20"/>
    <w:rsid w:val="00DC2B3D"/>
    <w:rsid w:val="00DC2BDE"/>
    <w:rsid w:val="00DC2CDC"/>
    <w:rsid w:val="00DC2DAD"/>
    <w:rsid w:val="00DC2E5B"/>
    <w:rsid w:val="00DC2FD4"/>
    <w:rsid w:val="00DC3316"/>
    <w:rsid w:val="00DC3649"/>
    <w:rsid w:val="00DC37D0"/>
    <w:rsid w:val="00DC3E43"/>
    <w:rsid w:val="00DC403B"/>
    <w:rsid w:val="00DC4064"/>
    <w:rsid w:val="00DC418A"/>
    <w:rsid w:val="00DC427A"/>
    <w:rsid w:val="00DC4285"/>
    <w:rsid w:val="00DC42E0"/>
    <w:rsid w:val="00DC44FA"/>
    <w:rsid w:val="00DC46C1"/>
    <w:rsid w:val="00DC46EE"/>
    <w:rsid w:val="00DC4A2E"/>
    <w:rsid w:val="00DC4B6F"/>
    <w:rsid w:val="00DC4B77"/>
    <w:rsid w:val="00DC4D59"/>
    <w:rsid w:val="00DC4EA7"/>
    <w:rsid w:val="00DC4EEC"/>
    <w:rsid w:val="00DC52E7"/>
    <w:rsid w:val="00DC54C2"/>
    <w:rsid w:val="00DC55D8"/>
    <w:rsid w:val="00DC566C"/>
    <w:rsid w:val="00DC5D15"/>
    <w:rsid w:val="00DC5E2E"/>
    <w:rsid w:val="00DC5F32"/>
    <w:rsid w:val="00DC6278"/>
    <w:rsid w:val="00DC64AE"/>
    <w:rsid w:val="00DC6503"/>
    <w:rsid w:val="00DC650D"/>
    <w:rsid w:val="00DC6584"/>
    <w:rsid w:val="00DC692B"/>
    <w:rsid w:val="00DC6959"/>
    <w:rsid w:val="00DC6BC0"/>
    <w:rsid w:val="00DC6CD3"/>
    <w:rsid w:val="00DC6D12"/>
    <w:rsid w:val="00DC6E39"/>
    <w:rsid w:val="00DC6FB0"/>
    <w:rsid w:val="00DC70EC"/>
    <w:rsid w:val="00DC73E4"/>
    <w:rsid w:val="00DC744A"/>
    <w:rsid w:val="00DC7528"/>
    <w:rsid w:val="00DC766E"/>
    <w:rsid w:val="00DC779D"/>
    <w:rsid w:val="00DC77AF"/>
    <w:rsid w:val="00DC7D60"/>
    <w:rsid w:val="00DC7F4A"/>
    <w:rsid w:val="00DD000A"/>
    <w:rsid w:val="00DD00A7"/>
    <w:rsid w:val="00DD00DF"/>
    <w:rsid w:val="00DD01F9"/>
    <w:rsid w:val="00DD0273"/>
    <w:rsid w:val="00DD0384"/>
    <w:rsid w:val="00DD03BB"/>
    <w:rsid w:val="00DD06E5"/>
    <w:rsid w:val="00DD0A20"/>
    <w:rsid w:val="00DD0B7C"/>
    <w:rsid w:val="00DD0C0C"/>
    <w:rsid w:val="00DD0CB8"/>
    <w:rsid w:val="00DD0CF9"/>
    <w:rsid w:val="00DD0D96"/>
    <w:rsid w:val="00DD0DD4"/>
    <w:rsid w:val="00DD0E28"/>
    <w:rsid w:val="00DD1052"/>
    <w:rsid w:val="00DD1183"/>
    <w:rsid w:val="00DD125F"/>
    <w:rsid w:val="00DD18A9"/>
    <w:rsid w:val="00DD1963"/>
    <w:rsid w:val="00DD1BCF"/>
    <w:rsid w:val="00DD1D49"/>
    <w:rsid w:val="00DD1EAF"/>
    <w:rsid w:val="00DD21BA"/>
    <w:rsid w:val="00DD22DF"/>
    <w:rsid w:val="00DD23A6"/>
    <w:rsid w:val="00DD24EA"/>
    <w:rsid w:val="00DD26A5"/>
    <w:rsid w:val="00DD2782"/>
    <w:rsid w:val="00DD28E7"/>
    <w:rsid w:val="00DD2A74"/>
    <w:rsid w:val="00DD2CD5"/>
    <w:rsid w:val="00DD2E24"/>
    <w:rsid w:val="00DD30A2"/>
    <w:rsid w:val="00DD30A6"/>
    <w:rsid w:val="00DD30DE"/>
    <w:rsid w:val="00DD327D"/>
    <w:rsid w:val="00DD3309"/>
    <w:rsid w:val="00DD3318"/>
    <w:rsid w:val="00DD34C8"/>
    <w:rsid w:val="00DD3BF0"/>
    <w:rsid w:val="00DD3C0D"/>
    <w:rsid w:val="00DD3D23"/>
    <w:rsid w:val="00DD3DC9"/>
    <w:rsid w:val="00DD3E66"/>
    <w:rsid w:val="00DD40BC"/>
    <w:rsid w:val="00DD40C8"/>
    <w:rsid w:val="00DD4155"/>
    <w:rsid w:val="00DD4665"/>
    <w:rsid w:val="00DD47A8"/>
    <w:rsid w:val="00DD48DB"/>
    <w:rsid w:val="00DD491A"/>
    <w:rsid w:val="00DD4923"/>
    <w:rsid w:val="00DD49E7"/>
    <w:rsid w:val="00DD4B3F"/>
    <w:rsid w:val="00DD4D04"/>
    <w:rsid w:val="00DD4D49"/>
    <w:rsid w:val="00DD4DA0"/>
    <w:rsid w:val="00DD4E32"/>
    <w:rsid w:val="00DD50B7"/>
    <w:rsid w:val="00DD522A"/>
    <w:rsid w:val="00DD535F"/>
    <w:rsid w:val="00DD54C4"/>
    <w:rsid w:val="00DD569C"/>
    <w:rsid w:val="00DD5700"/>
    <w:rsid w:val="00DD5973"/>
    <w:rsid w:val="00DD5999"/>
    <w:rsid w:val="00DD59AE"/>
    <w:rsid w:val="00DD5EE6"/>
    <w:rsid w:val="00DD5F29"/>
    <w:rsid w:val="00DD6220"/>
    <w:rsid w:val="00DD62DA"/>
    <w:rsid w:val="00DD62ED"/>
    <w:rsid w:val="00DD6591"/>
    <w:rsid w:val="00DD65AB"/>
    <w:rsid w:val="00DD67D7"/>
    <w:rsid w:val="00DD695C"/>
    <w:rsid w:val="00DD6ACD"/>
    <w:rsid w:val="00DD6ED1"/>
    <w:rsid w:val="00DD6FAE"/>
    <w:rsid w:val="00DD72B6"/>
    <w:rsid w:val="00DD72D2"/>
    <w:rsid w:val="00DD737D"/>
    <w:rsid w:val="00DD7669"/>
    <w:rsid w:val="00DD7A93"/>
    <w:rsid w:val="00DD7F5F"/>
    <w:rsid w:val="00DD7FD5"/>
    <w:rsid w:val="00DE015E"/>
    <w:rsid w:val="00DE046D"/>
    <w:rsid w:val="00DE05A9"/>
    <w:rsid w:val="00DE084F"/>
    <w:rsid w:val="00DE08C1"/>
    <w:rsid w:val="00DE0972"/>
    <w:rsid w:val="00DE09E1"/>
    <w:rsid w:val="00DE0A46"/>
    <w:rsid w:val="00DE0A8A"/>
    <w:rsid w:val="00DE0D63"/>
    <w:rsid w:val="00DE0EC3"/>
    <w:rsid w:val="00DE1063"/>
    <w:rsid w:val="00DE1118"/>
    <w:rsid w:val="00DE1453"/>
    <w:rsid w:val="00DE1BB2"/>
    <w:rsid w:val="00DE20DF"/>
    <w:rsid w:val="00DE257C"/>
    <w:rsid w:val="00DE27DD"/>
    <w:rsid w:val="00DE2B18"/>
    <w:rsid w:val="00DE2B1A"/>
    <w:rsid w:val="00DE2C61"/>
    <w:rsid w:val="00DE2E08"/>
    <w:rsid w:val="00DE30F9"/>
    <w:rsid w:val="00DE3415"/>
    <w:rsid w:val="00DE34BA"/>
    <w:rsid w:val="00DE34D3"/>
    <w:rsid w:val="00DE3801"/>
    <w:rsid w:val="00DE3841"/>
    <w:rsid w:val="00DE39B6"/>
    <w:rsid w:val="00DE39ED"/>
    <w:rsid w:val="00DE3A10"/>
    <w:rsid w:val="00DE3C7D"/>
    <w:rsid w:val="00DE3CA4"/>
    <w:rsid w:val="00DE3CB0"/>
    <w:rsid w:val="00DE3F39"/>
    <w:rsid w:val="00DE408F"/>
    <w:rsid w:val="00DE4104"/>
    <w:rsid w:val="00DE43A3"/>
    <w:rsid w:val="00DE43A9"/>
    <w:rsid w:val="00DE4406"/>
    <w:rsid w:val="00DE44DA"/>
    <w:rsid w:val="00DE4727"/>
    <w:rsid w:val="00DE4750"/>
    <w:rsid w:val="00DE48F1"/>
    <w:rsid w:val="00DE4D77"/>
    <w:rsid w:val="00DE4DFE"/>
    <w:rsid w:val="00DE4E66"/>
    <w:rsid w:val="00DE4F72"/>
    <w:rsid w:val="00DE50EC"/>
    <w:rsid w:val="00DE531F"/>
    <w:rsid w:val="00DE54E3"/>
    <w:rsid w:val="00DE54ED"/>
    <w:rsid w:val="00DE58C3"/>
    <w:rsid w:val="00DE5941"/>
    <w:rsid w:val="00DE5A78"/>
    <w:rsid w:val="00DE5AA2"/>
    <w:rsid w:val="00DE5AA4"/>
    <w:rsid w:val="00DE5C2D"/>
    <w:rsid w:val="00DE5EC8"/>
    <w:rsid w:val="00DE5FF1"/>
    <w:rsid w:val="00DE60C9"/>
    <w:rsid w:val="00DE6256"/>
    <w:rsid w:val="00DE630C"/>
    <w:rsid w:val="00DE63A5"/>
    <w:rsid w:val="00DE6434"/>
    <w:rsid w:val="00DE6821"/>
    <w:rsid w:val="00DE6BD8"/>
    <w:rsid w:val="00DE6C17"/>
    <w:rsid w:val="00DE7053"/>
    <w:rsid w:val="00DE70EA"/>
    <w:rsid w:val="00DE721C"/>
    <w:rsid w:val="00DE76E4"/>
    <w:rsid w:val="00DE79D1"/>
    <w:rsid w:val="00DE7BC1"/>
    <w:rsid w:val="00DE7E1E"/>
    <w:rsid w:val="00DE7E54"/>
    <w:rsid w:val="00DE7ECE"/>
    <w:rsid w:val="00DF071B"/>
    <w:rsid w:val="00DF0885"/>
    <w:rsid w:val="00DF09E3"/>
    <w:rsid w:val="00DF0C0F"/>
    <w:rsid w:val="00DF0C66"/>
    <w:rsid w:val="00DF0F80"/>
    <w:rsid w:val="00DF15B1"/>
    <w:rsid w:val="00DF15FE"/>
    <w:rsid w:val="00DF18A6"/>
    <w:rsid w:val="00DF19AE"/>
    <w:rsid w:val="00DF1B4C"/>
    <w:rsid w:val="00DF1BA0"/>
    <w:rsid w:val="00DF1DAF"/>
    <w:rsid w:val="00DF1E14"/>
    <w:rsid w:val="00DF20A7"/>
    <w:rsid w:val="00DF2197"/>
    <w:rsid w:val="00DF223C"/>
    <w:rsid w:val="00DF2394"/>
    <w:rsid w:val="00DF2442"/>
    <w:rsid w:val="00DF2578"/>
    <w:rsid w:val="00DF25A0"/>
    <w:rsid w:val="00DF265D"/>
    <w:rsid w:val="00DF278E"/>
    <w:rsid w:val="00DF2A61"/>
    <w:rsid w:val="00DF2A75"/>
    <w:rsid w:val="00DF2AFE"/>
    <w:rsid w:val="00DF2FBA"/>
    <w:rsid w:val="00DF2FBD"/>
    <w:rsid w:val="00DF30F7"/>
    <w:rsid w:val="00DF34D5"/>
    <w:rsid w:val="00DF35E2"/>
    <w:rsid w:val="00DF38A0"/>
    <w:rsid w:val="00DF3993"/>
    <w:rsid w:val="00DF3AA9"/>
    <w:rsid w:val="00DF3C8E"/>
    <w:rsid w:val="00DF3F1C"/>
    <w:rsid w:val="00DF4185"/>
    <w:rsid w:val="00DF471C"/>
    <w:rsid w:val="00DF4AB9"/>
    <w:rsid w:val="00DF4D2D"/>
    <w:rsid w:val="00DF5004"/>
    <w:rsid w:val="00DF50EC"/>
    <w:rsid w:val="00DF5494"/>
    <w:rsid w:val="00DF5512"/>
    <w:rsid w:val="00DF5538"/>
    <w:rsid w:val="00DF56CB"/>
    <w:rsid w:val="00DF573E"/>
    <w:rsid w:val="00DF57BB"/>
    <w:rsid w:val="00DF5A1E"/>
    <w:rsid w:val="00DF5A64"/>
    <w:rsid w:val="00DF5CDD"/>
    <w:rsid w:val="00DF5D7B"/>
    <w:rsid w:val="00DF5E84"/>
    <w:rsid w:val="00DF614B"/>
    <w:rsid w:val="00DF621C"/>
    <w:rsid w:val="00DF62F6"/>
    <w:rsid w:val="00DF6975"/>
    <w:rsid w:val="00DF69CA"/>
    <w:rsid w:val="00DF6C8D"/>
    <w:rsid w:val="00DF6D41"/>
    <w:rsid w:val="00DF6D50"/>
    <w:rsid w:val="00DF6DED"/>
    <w:rsid w:val="00DF73F4"/>
    <w:rsid w:val="00DF75FB"/>
    <w:rsid w:val="00DF76FA"/>
    <w:rsid w:val="00DF77AB"/>
    <w:rsid w:val="00DF77DE"/>
    <w:rsid w:val="00DF7AD1"/>
    <w:rsid w:val="00DF7C80"/>
    <w:rsid w:val="00DF7E97"/>
    <w:rsid w:val="00DF7FE8"/>
    <w:rsid w:val="00E00299"/>
    <w:rsid w:val="00E0029D"/>
    <w:rsid w:val="00E003E1"/>
    <w:rsid w:val="00E004F2"/>
    <w:rsid w:val="00E006D4"/>
    <w:rsid w:val="00E007C7"/>
    <w:rsid w:val="00E008DC"/>
    <w:rsid w:val="00E00A96"/>
    <w:rsid w:val="00E00C5D"/>
    <w:rsid w:val="00E00CAE"/>
    <w:rsid w:val="00E00D12"/>
    <w:rsid w:val="00E00D25"/>
    <w:rsid w:val="00E00EA0"/>
    <w:rsid w:val="00E01021"/>
    <w:rsid w:val="00E012AE"/>
    <w:rsid w:val="00E01455"/>
    <w:rsid w:val="00E0150C"/>
    <w:rsid w:val="00E016A6"/>
    <w:rsid w:val="00E01775"/>
    <w:rsid w:val="00E018CB"/>
    <w:rsid w:val="00E0195E"/>
    <w:rsid w:val="00E023B6"/>
    <w:rsid w:val="00E02484"/>
    <w:rsid w:val="00E024F0"/>
    <w:rsid w:val="00E02632"/>
    <w:rsid w:val="00E026EE"/>
    <w:rsid w:val="00E027B0"/>
    <w:rsid w:val="00E0280D"/>
    <w:rsid w:val="00E02937"/>
    <w:rsid w:val="00E02B77"/>
    <w:rsid w:val="00E02C8A"/>
    <w:rsid w:val="00E02F68"/>
    <w:rsid w:val="00E03154"/>
    <w:rsid w:val="00E032A9"/>
    <w:rsid w:val="00E03378"/>
    <w:rsid w:val="00E03429"/>
    <w:rsid w:val="00E03544"/>
    <w:rsid w:val="00E0363B"/>
    <w:rsid w:val="00E038D6"/>
    <w:rsid w:val="00E0390F"/>
    <w:rsid w:val="00E03975"/>
    <w:rsid w:val="00E03B1A"/>
    <w:rsid w:val="00E03B70"/>
    <w:rsid w:val="00E03D3A"/>
    <w:rsid w:val="00E03E59"/>
    <w:rsid w:val="00E04113"/>
    <w:rsid w:val="00E041C7"/>
    <w:rsid w:val="00E0429C"/>
    <w:rsid w:val="00E042DC"/>
    <w:rsid w:val="00E042E4"/>
    <w:rsid w:val="00E04302"/>
    <w:rsid w:val="00E04329"/>
    <w:rsid w:val="00E043C7"/>
    <w:rsid w:val="00E0459A"/>
    <w:rsid w:val="00E0476A"/>
    <w:rsid w:val="00E0476E"/>
    <w:rsid w:val="00E048F4"/>
    <w:rsid w:val="00E04922"/>
    <w:rsid w:val="00E04DAA"/>
    <w:rsid w:val="00E04E9D"/>
    <w:rsid w:val="00E05215"/>
    <w:rsid w:val="00E0530C"/>
    <w:rsid w:val="00E0540E"/>
    <w:rsid w:val="00E054A4"/>
    <w:rsid w:val="00E05655"/>
    <w:rsid w:val="00E05685"/>
    <w:rsid w:val="00E05805"/>
    <w:rsid w:val="00E05CA4"/>
    <w:rsid w:val="00E05EA7"/>
    <w:rsid w:val="00E05F3F"/>
    <w:rsid w:val="00E05FA6"/>
    <w:rsid w:val="00E05FCB"/>
    <w:rsid w:val="00E0610C"/>
    <w:rsid w:val="00E0630B"/>
    <w:rsid w:val="00E064F7"/>
    <w:rsid w:val="00E0663D"/>
    <w:rsid w:val="00E06823"/>
    <w:rsid w:val="00E06850"/>
    <w:rsid w:val="00E0686D"/>
    <w:rsid w:val="00E06952"/>
    <w:rsid w:val="00E0714A"/>
    <w:rsid w:val="00E07199"/>
    <w:rsid w:val="00E07335"/>
    <w:rsid w:val="00E0756D"/>
    <w:rsid w:val="00E0763E"/>
    <w:rsid w:val="00E0765B"/>
    <w:rsid w:val="00E078D0"/>
    <w:rsid w:val="00E07928"/>
    <w:rsid w:val="00E079AF"/>
    <w:rsid w:val="00E079F4"/>
    <w:rsid w:val="00E07B1A"/>
    <w:rsid w:val="00E07CFF"/>
    <w:rsid w:val="00E07E00"/>
    <w:rsid w:val="00E07EDF"/>
    <w:rsid w:val="00E100DF"/>
    <w:rsid w:val="00E10375"/>
    <w:rsid w:val="00E10437"/>
    <w:rsid w:val="00E10944"/>
    <w:rsid w:val="00E109B9"/>
    <w:rsid w:val="00E10B03"/>
    <w:rsid w:val="00E10B72"/>
    <w:rsid w:val="00E10D31"/>
    <w:rsid w:val="00E10FCB"/>
    <w:rsid w:val="00E11027"/>
    <w:rsid w:val="00E1109D"/>
    <w:rsid w:val="00E111A8"/>
    <w:rsid w:val="00E11623"/>
    <w:rsid w:val="00E117C9"/>
    <w:rsid w:val="00E11880"/>
    <w:rsid w:val="00E118E6"/>
    <w:rsid w:val="00E11BD0"/>
    <w:rsid w:val="00E11DBD"/>
    <w:rsid w:val="00E11DCE"/>
    <w:rsid w:val="00E11E6F"/>
    <w:rsid w:val="00E124C1"/>
    <w:rsid w:val="00E12569"/>
    <w:rsid w:val="00E1262E"/>
    <w:rsid w:val="00E1265B"/>
    <w:rsid w:val="00E1279C"/>
    <w:rsid w:val="00E12868"/>
    <w:rsid w:val="00E12D5F"/>
    <w:rsid w:val="00E12DC5"/>
    <w:rsid w:val="00E12FBF"/>
    <w:rsid w:val="00E1300F"/>
    <w:rsid w:val="00E131F4"/>
    <w:rsid w:val="00E131FB"/>
    <w:rsid w:val="00E1374B"/>
    <w:rsid w:val="00E1379F"/>
    <w:rsid w:val="00E137E9"/>
    <w:rsid w:val="00E13871"/>
    <w:rsid w:val="00E1390B"/>
    <w:rsid w:val="00E139A4"/>
    <w:rsid w:val="00E13A63"/>
    <w:rsid w:val="00E140DD"/>
    <w:rsid w:val="00E142F6"/>
    <w:rsid w:val="00E143FC"/>
    <w:rsid w:val="00E144E2"/>
    <w:rsid w:val="00E1479C"/>
    <w:rsid w:val="00E14951"/>
    <w:rsid w:val="00E14B50"/>
    <w:rsid w:val="00E14CC7"/>
    <w:rsid w:val="00E14D67"/>
    <w:rsid w:val="00E14DCB"/>
    <w:rsid w:val="00E14F9E"/>
    <w:rsid w:val="00E15067"/>
    <w:rsid w:val="00E1526F"/>
    <w:rsid w:val="00E154D1"/>
    <w:rsid w:val="00E154D2"/>
    <w:rsid w:val="00E154F9"/>
    <w:rsid w:val="00E155BB"/>
    <w:rsid w:val="00E156CD"/>
    <w:rsid w:val="00E1588F"/>
    <w:rsid w:val="00E158DD"/>
    <w:rsid w:val="00E15AAE"/>
    <w:rsid w:val="00E15ADD"/>
    <w:rsid w:val="00E15BD5"/>
    <w:rsid w:val="00E15BFB"/>
    <w:rsid w:val="00E15C22"/>
    <w:rsid w:val="00E15DA2"/>
    <w:rsid w:val="00E15DB6"/>
    <w:rsid w:val="00E15F66"/>
    <w:rsid w:val="00E160CD"/>
    <w:rsid w:val="00E16225"/>
    <w:rsid w:val="00E16607"/>
    <w:rsid w:val="00E166A7"/>
    <w:rsid w:val="00E16841"/>
    <w:rsid w:val="00E16995"/>
    <w:rsid w:val="00E16ACA"/>
    <w:rsid w:val="00E16BB2"/>
    <w:rsid w:val="00E16C24"/>
    <w:rsid w:val="00E16D28"/>
    <w:rsid w:val="00E17028"/>
    <w:rsid w:val="00E17050"/>
    <w:rsid w:val="00E1711C"/>
    <w:rsid w:val="00E171C1"/>
    <w:rsid w:val="00E1770F"/>
    <w:rsid w:val="00E1773B"/>
    <w:rsid w:val="00E179B5"/>
    <w:rsid w:val="00E17A61"/>
    <w:rsid w:val="00E17D0D"/>
    <w:rsid w:val="00E17E46"/>
    <w:rsid w:val="00E17F93"/>
    <w:rsid w:val="00E204B6"/>
    <w:rsid w:val="00E206B7"/>
    <w:rsid w:val="00E20951"/>
    <w:rsid w:val="00E209DB"/>
    <w:rsid w:val="00E20F8C"/>
    <w:rsid w:val="00E20F9A"/>
    <w:rsid w:val="00E20FA5"/>
    <w:rsid w:val="00E21054"/>
    <w:rsid w:val="00E211B7"/>
    <w:rsid w:val="00E21362"/>
    <w:rsid w:val="00E21629"/>
    <w:rsid w:val="00E21748"/>
    <w:rsid w:val="00E21A05"/>
    <w:rsid w:val="00E21A69"/>
    <w:rsid w:val="00E21B45"/>
    <w:rsid w:val="00E2207D"/>
    <w:rsid w:val="00E221D3"/>
    <w:rsid w:val="00E223AD"/>
    <w:rsid w:val="00E224F0"/>
    <w:rsid w:val="00E225DF"/>
    <w:rsid w:val="00E22975"/>
    <w:rsid w:val="00E22A4C"/>
    <w:rsid w:val="00E2314C"/>
    <w:rsid w:val="00E23560"/>
    <w:rsid w:val="00E24022"/>
    <w:rsid w:val="00E24275"/>
    <w:rsid w:val="00E24345"/>
    <w:rsid w:val="00E243B2"/>
    <w:rsid w:val="00E246C6"/>
    <w:rsid w:val="00E24701"/>
    <w:rsid w:val="00E2486D"/>
    <w:rsid w:val="00E24A06"/>
    <w:rsid w:val="00E24A23"/>
    <w:rsid w:val="00E24BC7"/>
    <w:rsid w:val="00E24E9F"/>
    <w:rsid w:val="00E24F03"/>
    <w:rsid w:val="00E24F53"/>
    <w:rsid w:val="00E25230"/>
    <w:rsid w:val="00E2557B"/>
    <w:rsid w:val="00E256B1"/>
    <w:rsid w:val="00E25746"/>
    <w:rsid w:val="00E25A2D"/>
    <w:rsid w:val="00E25B2C"/>
    <w:rsid w:val="00E25CB0"/>
    <w:rsid w:val="00E25CD8"/>
    <w:rsid w:val="00E25FDD"/>
    <w:rsid w:val="00E260F9"/>
    <w:rsid w:val="00E26143"/>
    <w:rsid w:val="00E261E2"/>
    <w:rsid w:val="00E26232"/>
    <w:rsid w:val="00E26301"/>
    <w:rsid w:val="00E2637C"/>
    <w:rsid w:val="00E264EC"/>
    <w:rsid w:val="00E26501"/>
    <w:rsid w:val="00E26859"/>
    <w:rsid w:val="00E268D6"/>
    <w:rsid w:val="00E26983"/>
    <w:rsid w:val="00E26BB9"/>
    <w:rsid w:val="00E26C47"/>
    <w:rsid w:val="00E26CFE"/>
    <w:rsid w:val="00E26E27"/>
    <w:rsid w:val="00E27964"/>
    <w:rsid w:val="00E27D07"/>
    <w:rsid w:val="00E27D4C"/>
    <w:rsid w:val="00E27E81"/>
    <w:rsid w:val="00E27EAD"/>
    <w:rsid w:val="00E27F47"/>
    <w:rsid w:val="00E3003D"/>
    <w:rsid w:val="00E30257"/>
    <w:rsid w:val="00E302C0"/>
    <w:rsid w:val="00E303CF"/>
    <w:rsid w:val="00E3048B"/>
    <w:rsid w:val="00E30511"/>
    <w:rsid w:val="00E30689"/>
    <w:rsid w:val="00E30816"/>
    <w:rsid w:val="00E30900"/>
    <w:rsid w:val="00E3092A"/>
    <w:rsid w:val="00E30D83"/>
    <w:rsid w:val="00E3111B"/>
    <w:rsid w:val="00E311FA"/>
    <w:rsid w:val="00E312E7"/>
    <w:rsid w:val="00E31504"/>
    <w:rsid w:val="00E315A4"/>
    <w:rsid w:val="00E31620"/>
    <w:rsid w:val="00E31811"/>
    <w:rsid w:val="00E318E2"/>
    <w:rsid w:val="00E31950"/>
    <w:rsid w:val="00E31AE9"/>
    <w:rsid w:val="00E31B1F"/>
    <w:rsid w:val="00E31BC6"/>
    <w:rsid w:val="00E31C7E"/>
    <w:rsid w:val="00E31E2E"/>
    <w:rsid w:val="00E320BE"/>
    <w:rsid w:val="00E32288"/>
    <w:rsid w:val="00E322AD"/>
    <w:rsid w:val="00E32430"/>
    <w:rsid w:val="00E32528"/>
    <w:rsid w:val="00E325AE"/>
    <w:rsid w:val="00E32B6D"/>
    <w:rsid w:val="00E32C22"/>
    <w:rsid w:val="00E32E12"/>
    <w:rsid w:val="00E32E13"/>
    <w:rsid w:val="00E32FD4"/>
    <w:rsid w:val="00E33001"/>
    <w:rsid w:val="00E3312C"/>
    <w:rsid w:val="00E332BE"/>
    <w:rsid w:val="00E33533"/>
    <w:rsid w:val="00E33537"/>
    <w:rsid w:val="00E3369A"/>
    <w:rsid w:val="00E337D4"/>
    <w:rsid w:val="00E337E9"/>
    <w:rsid w:val="00E3380D"/>
    <w:rsid w:val="00E3382F"/>
    <w:rsid w:val="00E338E5"/>
    <w:rsid w:val="00E33B83"/>
    <w:rsid w:val="00E33C79"/>
    <w:rsid w:val="00E33F55"/>
    <w:rsid w:val="00E34155"/>
    <w:rsid w:val="00E341DA"/>
    <w:rsid w:val="00E349CF"/>
    <w:rsid w:val="00E34A5E"/>
    <w:rsid w:val="00E34B68"/>
    <w:rsid w:val="00E34C15"/>
    <w:rsid w:val="00E34D3E"/>
    <w:rsid w:val="00E34F9F"/>
    <w:rsid w:val="00E34FA5"/>
    <w:rsid w:val="00E351E6"/>
    <w:rsid w:val="00E3526F"/>
    <w:rsid w:val="00E35282"/>
    <w:rsid w:val="00E3529E"/>
    <w:rsid w:val="00E352A0"/>
    <w:rsid w:val="00E352F4"/>
    <w:rsid w:val="00E35362"/>
    <w:rsid w:val="00E35B13"/>
    <w:rsid w:val="00E35D50"/>
    <w:rsid w:val="00E35E1D"/>
    <w:rsid w:val="00E35E50"/>
    <w:rsid w:val="00E360A3"/>
    <w:rsid w:val="00E36220"/>
    <w:rsid w:val="00E36320"/>
    <w:rsid w:val="00E36873"/>
    <w:rsid w:val="00E36C8A"/>
    <w:rsid w:val="00E36D78"/>
    <w:rsid w:val="00E36F54"/>
    <w:rsid w:val="00E36FD6"/>
    <w:rsid w:val="00E370EF"/>
    <w:rsid w:val="00E379BE"/>
    <w:rsid w:val="00E37DBC"/>
    <w:rsid w:val="00E4004F"/>
    <w:rsid w:val="00E40082"/>
    <w:rsid w:val="00E40468"/>
    <w:rsid w:val="00E40BDC"/>
    <w:rsid w:val="00E40DB8"/>
    <w:rsid w:val="00E40E8F"/>
    <w:rsid w:val="00E40F06"/>
    <w:rsid w:val="00E41084"/>
    <w:rsid w:val="00E410B3"/>
    <w:rsid w:val="00E41643"/>
    <w:rsid w:val="00E41688"/>
    <w:rsid w:val="00E416F7"/>
    <w:rsid w:val="00E4196B"/>
    <w:rsid w:val="00E41991"/>
    <w:rsid w:val="00E419A4"/>
    <w:rsid w:val="00E41D98"/>
    <w:rsid w:val="00E41DF1"/>
    <w:rsid w:val="00E41EC1"/>
    <w:rsid w:val="00E42006"/>
    <w:rsid w:val="00E4239F"/>
    <w:rsid w:val="00E4241F"/>
    <w:rsid w:val="00E4245B"/>
    <w:rsid w:val="00E424F5"/>
    <w:rsid w:val="00E426F5"/>
    <w:rsid w:val="00E4278B"/>
    <w:rsid w:val="00E427C7"/>
    <w:rsid w:val="00E428DF"/>
    <w:rsid w:val="00E429E3"/>
    <w:rsid w:val="00E42B0A"/>
    <w:rsid w:val="00E42E87"/>
    <w:rsid w:val="00E42FD9"/>
    <w:rsid w:val="00E4315E"/>
    <w:rsid w:val="00E4325C"/>
    <w:rsid w:val="00E433F5"/>
    <w:rsid w:val="00E43480"/>
    <w:rsid w:val="00E4353B"/>
    <w:rsid w:val="00E435FE"/>
    <w:rsid w:val="00E43692"/>
    <w:rsid w:val="00E436C9"/>
    <w:rsid w:val="00E4374D"/>
    <w:rsid w:val="00E4381D"/>
    <w:rsid w:val="00E43892"/>
    <w:rsid w:val="00E43919"/>
    <w:rsid w:val="00E43987"/>
    <w:rsid w:val="00E43A5C"/>
    <w:rsid w:val="00E43A7A"/>
    <w:rsid w:val="00E43D29"/>
    <w:rsid w:val="00E43F6A"/>
    <w:rsid w:val="00E44144"/>
    <w:rsid w:val="00E4424A"/>
    <w:rsid w:val="00E442E4"/>
    <w:rsid w:val="00E4455A"/>
    <w:rsid w:val="00E4473F"/>
    <w:rsid w:val="00E4486C"/>
    <w:rsid w:val="00E4488B"/>
    <w:rsid w:val="00E449BA"/>
    <w:rsid w:val="00E44D2C"/>
    <w:rsid w:val="00E44D86"/>
    <w:rsid w:val="00E44F16"/>
    <w:rsid w:val="00E450E8"/>
    <w:rsid w:val="00E453D7"/>
    <w:rsid w:val="00E453E6"/>
    <w:rsid w:val="00E45407"/>
    <w:rsid w:val="00E4540E"/>
    <w:rsid w:val="00E4560F"/>
    <w:rsid w:val="00E45894"/>
    <w:rsid w:val="00E45B9A"/>
    <w:rsid w:val="00E45D6A"/>
    <w:rsid w:val="00E4617A"/>
    <w:rsid w:val="00E4631D"/>
    <w:rsid w:val="00E4651B"/>
    <w:rsid w:val="00E468B8"/>
    <w:rsid w:val="00E46A47"/>
    <w:rsid w:val="00E46AB6"/>
    <w:rsid w:val="00E46BAE"/>
    <w:rsid w:val="00E46C74"/>
    <w:rsid w:val="00E46CA4"/>
    <w:rsid w:val="00E46DBE"/>
    <w:rsid w:val="00E46DC5"/>
    <w:rsid w:val="00E46F49"/>
    <w:rsid w:val="00E472F8"/>
    <w:rsid w:val="00E47457"/>
    <w:rsid w:val="00E47558"/>
    <w:rsid w:val="00E4757F"/>
    <w:rsid w:val="00E475C6"/>
    <w:rsid w:val="00E475E7"/>
    <w:rsid w:val="00E4775C"/>
    <w:rsid w:val="00E478F1"/>
    <w:rsid w:val="00E47CB5"/>
    <w:rsid w:val="00E47E6B"/>
    <w:rsid w:val="00E47ECE"/>
    <w:rsid w:val="00E47F45"/>
    <w:rsid w:val="00E50467"/>
    <w:rsid w:val="00E50875"/>
    <w:rsid w:val="00E508E3"/>
    <w:rsid w:val="00E50B1A"/>
    <w:rsid w:val="00E50BA0"/>
    <w:rsid w:val="00E50C70"/>
    <w:rsid w:val="00E50D95"/>
    <w:rsid w:val="00E50EC5"/>
    <w:rsid w:val="00E5104F"/>
    <w:rsid w:val="00E510E1"/>
    <w:rsid w:val="00E51112"/>
    <w:rsid w:val="00E51276"/>
    <w:rsid w:val="00E5130E"/>
    <w:rsid w:val="00E51348"/>
    <w:rsid w:val="00E51417"/>
    <w:rsid w:val="00E514FF"/>
    <w:rsid w:val="00E516C2"/>
    <w:rsid w:val="00E518AE"/>
    <w:rsid w:val="00E518E5"/>
    <w:rsid w:val="00E51952"/>
    <w:rsid w:val="00E51A37"/>
    <w:rsid w:val="00E51B2A"/>
    <w:rsid w:val="00E51BF1"/>
    <w:rsid w:val="00E51DF0"/>
    <w:rsid w:val="00E52152"/>
    <w:rsid w:val="00E522E5"/>
    <w:rsid w:val="00E525A2"/>
    <w:rsid w:val="00E526F9"/>
    <w:rsid w:val="00E52770"/>
    <w:rsid w:val="00E52796"/>
    <w:rsid w:val="00E52838"/>
    <w:rsid w:val="00E52AA4"/>
    <w:rsid w:val="00E52CCE"/>
    <w:rsid w:val="00E52D00"/>
    <w:rsid w:val="00E52FEA"/>
    <w:rsid w:val="00E5302A"/>
    <w:rsid w:val="00E530DD"/>
    <w:rsid w:val="00E539C4"/>
    <w:rsid w:val="00E53A73"/>
    <w:rsid w:val="00E53D4A"/>
    <w:rsid w:val="00E53E21"/>
    <w:rsid w:val="00E53E7C"/>
    <w:rsid w:val="00E53EE2"/>
    <w:rsid w:val="00E54001"/>
    <w:rsid w:val="00E5405E"/>
    <w:rsid w:val="00E54110"/>
    <w:rsid w:val="00E5429F"/>
    <w:rsid w:val="00E545DB"/>
    <w:rsid w:val="00E54788"/>
    <w:rsid w:val="00E5484A"/>
    <w:rsid w:val="00E5489A"/>
    <w:rsid w:val="00E548F0"/>
    <w:rsid w:val="00E54C51"/>
    <w:rsid w:val="00E54F96"/>
    <w:rsid w:val="00E550BB"/>
    <w:rsid w:val="00E554B6"/>
    <w:rsid w:val="00E5568A"/>
    <w:rsid w:val="00E5580E"/>
    <w:rsid w:val="00E55C8B"/>
    <w:rsid w:val="00E55D13"/>
    <w:rsid w:val="00E56328"/>
    <w:rsid w:val="00E563E0"/>
    <w:rsid w:val="00E5654B"/>
    <w:rsid w:val="00E565BB"/>
    <w:rsid w:val="00E5673A"/>
    <w:rsid w:val="00E56A49"/>
    <w:rsid w:val="00E56B75"/>
    <w:rsid w:val="00E571D1"/>
    <w:rsid w:val="00E57363"/>
    <w:rsid w:val="00E574E8"/>
    <w:rsid w:val="00E57543"/>
    <w:rsid w:val="00E57591"/>
    <w:rsid w:val="00E5763D"/>
    <w:rsid w:val="00E5765B"/>
    <w:rsid w:val="00E576B4"/>
    <w:rsid w:val="00E5776D"/>
    <w:rsid w:val="00E5781F"/>
    <w:rsid w:val="00E5790C"/>
    <w:rsid w:val="00E57BCE"/>
    <w:rsid w:val="00E57C96"/>
    <w:rsid w:val="00E57D61"/>
    <w:rsid w:val="00E57ECE"/>
    <w:rsid w:val="00E57F7C"/>
    <w:rsid w:val="00E57FE2"/>
    <w:rsid w:val="00E60008"/>
    <w:rsid w:val="00E6003B"/>
    <w:rsid w:val="00E600FA"/>
    <w:rsid w:val="00E60324"/>
    <w:rsid w:val="00E6043C"/>
    <w:rsid w:val="00E60657"/>
    <w:rsid w:val="00E60681"/>
    <w:rsid w:val="00E60AF6"/>
    <w:rsid w:val="00E60D8E"/>
    <w:rsid w:val="00E60DA6"/>
    <w:rsid w:val="00E60E5B"/>
    <w:rsid w:val="00E6108B"/>
    <w:rsid w:val="00E610AE"/>
    <w:rsid w:val="00E610F6"/>
    <w:rsid w:val="00E61549"/>
    <w:rsid w:val="00E615FC"/>
    <w:rsid w:val="00E61756"/>
    <w:rsid w:val="00E617D4"/>
    <w:rsid w:val="00E6207B"/>
    <w:rsid w:val="00E622F6"/>
    <w:rsid w:val="00E62384"/>
    <w:rsid w:val="00E6282A"/>
    <w:rsid w:val="00E62AFF"/>
    <w:rsid w:val="00E62BFD"/>
    <w:rsid w:val="00E62C6F"/>
    <w:rsid w:val="00E62DBE"/>
    <w:rsid w:val="00E63290"/>
    <w:rsid w:val="00E63516"/>
    <w:rsid w:val="00E63638"/>
    <w:rsid w:val="00E63836"/>
    <w:rsid w:val="00E63887"/>
    <w:rsid w:val="00E63919"/>
    <w:rsid w:val="00E63A2B"/>
    <w:rsid w:val="00E63D32"/>
    <w:rsid w:val="00E63E99"/>
    <w:rsid w:val="00E64083"/>
    <w:rsid w:val="00E6420D"/>
    <w:rsid w:val="00E64370"/>
    <w:rsid w:val="00E645BC"/>
    <w:rsid w:val="00E646E2"/>
    <w:rsid w:val="00E647B0"/>
    <w:rsid w:val="00E648FD"/>
    <w:rsid w:val="00E64B0D"/>
    <w:rsid w:val="00E64C7A"/>
    <w:rsid w:val="00E64E0F"/>
    <w:rsid w:val="00E65014"/>
    <w:rsid w:val="00E650C5"/>
    <w:rsid w:val="00E651D1"/>
    <w:rsid w:val="00E65289"/>
    <w:rsid w:val="00E65561"/>
    <w:rsid w:val="00E65586"/>
    <w:rsid w:val="00E656DE"/>
    <w:rsid w:val="00E659EC"/>
    <w:rsid w:val="00E659F5"/>
    <w:rsid w:val="00E65B4B"/>
    <w:rsid w:val="00E66099"/>
    <w:rsid w:val="00E6615A"/>
    <w:rsid w:val="00E66211"/>
    <w:rsid w:val="00E662A6"/>
    <w:rsid w:val="00E66377"/>
    <w:rsid w:val="00E665AD"/>
    <w:rsid w:val="00E669E8"/>
    <w:rsid w:val="00E66AE7"/>
    <w:rsid w:val="00E66B17"/>
    <w:rsid w:val="00E66BE4"/>
    <w:rsid w:val="00E66C0D"/>
    <w:rsid w:val="00E66C86"/>
    <w:rsid w:val="00E66ED9"/>
    <w:rsid w:val="00E67165"/>
    <w:rsid w:val="00E671F3"/>
    <w:rsid w:val="00E67244"/>
    <w:rsid w:val="00E673F6"/>
    <w:rsid w:val="00E67457"/>
    <w:rsid w:val="00E67472"/>
    <w:rsid w:val="00E675FB"/>
    <w:rsid w:val="00E6768C"/>
    <w:rsid w:val="00E676C4"/>
    <w:rsid w:val="00E67817"/>
    <w:rsid w:val="00E6790F"/>
    <w:rsid w:val="00E67918"/>
    <w:rsid w:val="00E67C59"/>
    <w:rsid w:val="00E67CF0"/>
    <w:rsid w:val="00E67D83"/>
    <w:rsid w:val="00E67E75"/>
    <w:rsid w:val="00E67EAA"/>
    <w:rsid w:val="00E67F85"/>
    <w:rsid w:val="00E67FEE"/>
    <w:rsid w:val="00E700AA"/>
    <w:rsid w:val="00E701F2"/>
    <w:rsid w:val="00E70475"/>
    <w:rsid w:val="00E705FA"/>
    <w:rsid w:val="00E70706"/>
    <w:rsid w:val="00E7071A"/>
    <w:rsid w:val="00E70730"/>
    <w:rsid w:val="00E70831"/>
    <w:rsid w:val="00E7088A"/>
    <w:rsid w:val="00E70E29"/>
    <w:rsid w:val="00E71032"/>
    <w:rsid w:val="00E7164B"/>
    <w:rsid w:val="00E71A60"/>
    <w:rsid w:val="00E71D2B"/>
    <w:rsid w:val="00E71DD0"/>
    <w:rsid w:val="00E71DFD"/>
    <w:rsid w:val="00E71E5B"/>
    <w:rsid w:val="00E71EE7"/>
    <w:rsid w:val="00E71FCE"/>
    <w:rsid w:val="00E722FC"/>
    <w:rsid w:val="00E7272F"/>
    <w:rsid w:val="00E72820"/>
    <w:rsid w:val="00E729DB"/>
    <w:rsid w:val="00E72DCD"/>
    <w:rsid w:val="00E72FB1"/>
    <w:rsid w:val="00E72FB2"/>
    <w:rsid w:val="00E73389"/>
    <w:rsid w:val="00E7343F"/>
    <w:rsid w:val="00E73464"/>
    <w:rsid w:val="00E73470"/>
    <w:rsid w:val="00E73A2D"/>
    <w:rsid w:val="00E73AE2"/>
    <w:rsid w:val="00E73B48"/>
    <w:rsid w:val="00E73B6D"/>
    <w:rsid w:val="00E73B9F"/>
    <w:rsid w:val="00E73BFE"/>
    <w:rsid w:val="00E73F26"/>
    <w:rsid w:val="00E74193"/>
    <w:rsid w:val="00E7448C"/>
    <w:rsid w:val="00E747B7"/>
    <w:rsid w:val="00E74BF9"/>
    <w:rsid w:val="00E74C26"/>
    <w:rsid w:val="00E74DE6"/>
    <w:rsid w:val="00E74E5C"/>
    <w:rsid w:val="00E74E98"/>
    <w:rsid w:val="00E74F04"/>
    <w:rsid w:val="00E74F0E"/>
    <w:rsid w:val="00E750D5"/>
    <w:rsid w:val="00E751BF"/>
    <w:rsid w:val="00E75262"/>
    <w:rsid w:val="00E75530"/>
    <w:rsid w:val="00E755A7"/>
    <w:rsid w:val="00E75743"/>
    <w:rsid w:val="00E757B1"/>
    <w:rsid w:val="00E7585B"/>
    <w:rsid w:val="00E75A45"/>
    <w:rsid w:val="00E75FB5"/>
    <w:rsid w:val="00E7627C"/>
    <w:rsid w:val="00E7639C"/>
    <w:rsid w:val="00E7647E"/>
    <w:rsid w:val="00E76659"/>
    <w:rsid w:val="00E76759"/>
    <w:rsid w:val="00E7683F"/>
    <w:rsid w:val="00E768B9"/>
    <w:rsid w:val="00E76C0E"/>
    <w:rsid w:val="00E76E2E"/>
    <w:rsid w:val="00E76EAA"/>
    <w:rsid w:val="00E76F8C"/>
    <w:rsid w:val="00E772F9"/>
    <w:rsid w:val="00E77669"/>
    <w:rsid w:val="00E778DA"/>
    <w:rsid w:val="00E77934"/>
    <w:rsid w:val="00E779EF"/>
    <w:rsid w:val="00E77AD3"/>
    <w:rsid w:val="00E77BC3"/>
    <w:rsid w:val="00E77BDC"/>
    <w:rsid w:val="00E801C8"/>
    <w:rsid w:val="00E80268"/>
    <w:rsid w:val="00E8032E"/>
    <w:rsid w:val="00E805FB"/>
    <w:rsid w:val="00E8068B"/>
    <w:rsid w:val="00E80840"/>
    <w:rsid w:val="00E80A58"/>
    <w:rsid w:val="00E80B0B"/>
    <w:rsid w:val="00E80B34"/>
    <w:rsid w:val="00E80B93"/>
    <w:rsid w:val="00E80E43"/>
    <w:rsid w:val="00E8107C"/>
    <w:rsid w:val="00E81387"/>
    <w:rsid w:val="00E8173A"/>
    <w:rsid w:val="00E81BDD"/>
    <w:rsid w:val="00E81BFD"/>
    <w:rsid w:val="00E81EF0"/>
    <w:rsid w:val="00E81F65"/>
    <w:rsid w:val="00E81FB6"/>
    <w:rsid w:val="00E82384"/>
    <w:rsid w:val="00E823D2"/>
    <w:rsid w:val="00E823E8"/>
    <w:rsid w:val="00E8247F"/>
    <w:rsid w:val="00E82515"/>
    <w:rsid w:val="00E825D5"/>
    <w:rsid w:val="00E827BC"/>
    <w:rsid w:val="00E82817"/>
    <w:rsid w:val="00E82B0E"/>
    <w:rsid w:val="00E82B15"/>
    <w:rsid w:val="00E82D3A"/>
    <w:rsid w:val="00E82E2B"/>
    <w:rsid w:val="00E82F38"/>
    <w:rsid w:val="00E83211"/>
    <w:rsid w:val="00E8327E"/>
    <w:rsid w:val="00E834FE"/>
    <w:rsid w:val="00E83505"/>
    <w:rsid w:val="00E83B45"/>
    <w:rsid w:val="00E83F81"/>
    <w:rsid w:val="00E83FAE"/>
    <w:rsid w:val="00E84374"/>
    <w:rsid w:val="00E843C1"/>
    <w:rsid w:val="00E84641"/>
    <w:rsid w:val="00E846F2"/>
    <w:rsid w:val="00E84A0F"/>
    <w:rsid w:val="00E84B4A"/>
    <w:rsid w:val="00E84EFA"/>
    <w:rsid w:val="00E84F0B"/>
    <w:rsid w:val="00E84FFA"/>
    <w:rsid w:val="00E85231"/>
    <w:rsid w:val="00E8544B"/>
    <w:rsid w:val="00E85462"/>
    <w:rsid w:val="00E8559F"/>
    <w:rsid w:val="00E85929"/>
    <w:rsid w:val="00E85971"/>
    <w:rsid w:val="00E85AE8"/>
    <w:rsid w:val="00E85B12"/>
    <w:rsid w:val="00E85C9A"/>
    <w:rsid w:val="00E85DB0"/>
    <w:rsid w:val="00E8600F"/>
    <w:rsid w:val="00E86225"/>
    <w:rsid w:val="00E8640B"/>
    <w:rsid w:val="00E86422"/>
    <w:rsid w:val="00E86589"/>
    <w:rsid w:val="00E869CF"/>
    <w:rsid w:val="00E869E3"/>
    <w:rsid w:val="00E86A8B"/>
    <w:rsid w:val="00E86B6C"/>
    <w:rsid w:val="00E8748C"/>
    <w:rsid w:val="00E87635"/>
    <w:rsid w:val="00E8795A"/>
    <w:rsid w:val="00E87AC7"/>
    <w:rsid w:val="00E87BC6"/>
    <w:rsid w:val="00E87CBA"/>
    <w:rsid w:val="00E87DC6"/>
    <w:rsid w:val="00E9018E"/>
    <w:rsid w:val="00E90327"/>
    <w:rsid w:val="00E904F9"/>
    <w:rsid w:val="00E9056E"/>
    <w:rsid w:val="00E905B7"/>
    <w:rsid w:val="00E9095F"/>
    <w:rsid w:val="00E909B9"/>
    <w:rsid w:val="00E90C14"/>
    <w:rsid w:val="00E90D3F"/>
    <w:rsid w:val="00E90DF4"/>
    <w:rsid w:val="00E90E72"/>
    <w:rsid w:val="00E90F2D"/>
    <w:rsid w:val="00E912CD"/>
    <w:rsid w:val="00E913A3"/>
    <w:rsid w:val="00E91639"/>
    <w:rsid w:val="00E9176A"/>
    <w:rsid w:val="00E91EDA"/>
    <w:rsid w:val="00E9203E"/>
    <w:rsid w:val="00E920EF"/>
    <w:rsid w:val="00E9234B"/>
    <w:rsid w:val="00E92440"/>
    <w:rsid w:val="00E9291D"/>
    <w:rsid w:val="00E929F0"/>
    <w:rsid w:val="00E929F3"/>
    <w:rsid w:val="00E92DAA"/>
    <w:rsid w:val="00E930A9"/>
    <w:rsid w:val="00E93153"/>
    <w:rsid w:val="00E9358B"/>
    <w:rsid w:val="00E935D0"/>
    <w:rsid w:val="00E93629"/>
    <w:rsid w:val="00E938BC"/>
    <w:rsid w:val="00E93A15"/>
    <w:rsid w:val="00E93C1C"/>
    <w:rsid w:val="00E93CA8"/>
    <w:rsid w:val="00E93CDA"/>
    <w:rsid w:val="00E93E2A"/>
    <w:rsid w:val="00E93E82"/>
    <w:rsid w:val="00E93EDB"/>
    <w:rsid w:val="00E94072"/>
    <w:rsid w:val="00E94268"/>
    <w:rsid w:val="00E9431C"/>
    <w:rsid w:val="00E94655"/>
    <w:rsid w:val="00E94763"/>
    <w:rsid w:val="00E9483E"/>
    <w:rsid w:val="00E94A0C"/>
    <w:rsid w:val="00E94A6D"/>
    <w:rsid w:val="00E94B5A"/>
    <w:rsid w:val="00E94D4C"/>
    <w:rsid w:val="00E94E3C"/>
    <w:rsid w:val="00E94E70"/>
    <w:rsid w:val="00E95185"/>
    <w:rsid w:val="00E9553F"/>
    <w:rsid w:val="00E955CB"/>
    <w:rsid w:val="00E955E0"/>
    <w:rsid w:val="00E9561F"/>
    <w:rsid w:val="00E957AF"/>
    <w:rsid w:val="00E95972"/>
    <w:rsid w:val="00E95A39"/>
    <w:rsid w:val="00E95D2C"/>
    <w:rsid w:val="00E95EB9"/>
    <w:rsid w:val="00E96038"/>
    <w:rsid w:val="00E96182"/>
    <w:rsid w:val="00E96203"/>
    <w:rsid w:val="00E96276"/>
    <w:rsid w:val="00E96693"/>
    <w:rsid w:val="00E966B2"/>
    <w:rsid w:val="00E967E1"/>
    <w:rsid w:val="00E9691C"/>
    <w:rsid w:val="00E96979"/>
    <w:rsid w:val="00E96EA6"/>
    <w:rsid w:val="00E97103"/>
    <w:rsid w:val="00E97496"/>
    <w:rsid w:val="00E9756C"/>
    <w:rsid w:val="00E9771E"/>
    <w:rsid w:val="00E9776A"/>
    <w:rsid w:val="00E9777B"/>
    <w:rsid w:val="00E977CA"/>
    <w:rsid w:val="00E97B0F"/>
    <w:rsid w:val="00E97DF2"/>
    <w:rsid w:val="00E97F4D"/>
    <w:rsid w:val="00EA0252"/>
    <w:rsid w:val="00EA0399"/>
    <w:rsid w:val="00EA03E1"/>
    <w:rsid w:val="00EA045D"/>
    <w:rsid w:val="00EA052A"/>
    <w:rsid w:val="00EA05B7"/>
    <w:rsid w:val="00EA0606"/>
    <w:rsid w:val="00EA07A2"/>
    <w:rsid w:val="00EA07AB"/>
    <w:rsid w:val="00EA0AB7"/>
    <w:rsid w:val="00EA0B02"/>
    <w:rsid w:val="00EA0BE5"/>
    <w:rsid w:val="00EA1013"/>
    <w:rsid w:val="00EA112A"/>
    <w:rsid w:val="00EA11B1"/>
    <w:rsid w:val="00EA1332"/>
    <w:rsid w:val="00EA14D3"/>
    <w:rsid w:val="00EA152F"/>
    <w:rsid w:val="00EA168A"/>
    <w:rsid w:val="00EA16D0"/>
    <w:rsid w:val="00EA1840"/>
    <w:rsid w:val="00EA1AAC"/>
    <w:rsid w:val="00EA1E17"/>
    <w:rsid w:val="00EA1E4B"/>
    <w:rsid w:val="00EA2388"/>
    <w:rsid w:val="00EA240F"/>
    <w:rsid w:val="00EA263D"/>
    <w:rsid w:val="00EA2919"/>
    <w:rsid w:val="00EA295F"/>
    <w:rsid w:val="00EA2A49"/>
    <w:rsid w:val="00EA2DD6"/>
    <w:rsid w:val="00EA2E9B"/>
    <w:rsid w:val="00EA305D"/>
    <w:rsid w:val="00EA3128"/>
    <w:rsid w:val="00EA31A6"/>
    <w:rsid w:val="00EA33AE"/>
    <w:rsid w:val="00EA33EF"/>
    <w:rsid w:val="00EA3923"/>
    <w:rsid w:val="00EA3934"/>
    <w:rsid w:val="00EA3A43"/>
    <w:rsid w:val="00EA3B16"/>
    <w:rsid w:val="00EA3DE1"/>
    <w:rsid w:val="00EA3F91"/>
    <w:rsid w:val="00EA423D"/>
    <w:rsid w:val="00EA44E4"/>
    <w:rsid w:val="00EA455B"/>
    <w:rsid w:val="00EA478D"/>
    <w:rsid w:val="00EA47AD"/>
    <w:rsid w:val="00EA4857"/>
    <w:rsid w:val="00EA4878"/>
    <w:rsid w:val="00EA4A1C"/>
    <w:rsid w:val="00EA4A4E"/>
    <w:rsid w:val="00EA4A57"/>
    <w:rsid w:val="00EA4B9F"/>
    <w:rsid w:val="00EA4D4D"/>
    <w:rsid w:val="00EA4DF5"/>
    <w:rsid w:val="00EA50E6"/>
    <w:rsid w:val="00EA519D"/>
    <w:rsid w:val="00EA52EA"/>
    <w:rsid w:val="00EA53A4"/>
    <w:rsid w:val="00EA53CC"/>
    <w:rsid w:val="00EA54AD"/>
    <w:rsid w:val="00EA569D"/>
    <w:rsid w:val="00EA56AD"/>
    <w:rsid w:val="00EA57D5"/>
    <w:rsid w:val="00EA5AAB"/>
    <w:rsid w:val="00EA5CDD"/>
    <w:rsid w:val="00EA5E2B"/>
    <w:rsid w:val="00EA5EF3"/>
    <w:rsid w:val="00EA60B1"/>
    <w:rsid w:val="00EA638F"/>
    <w:rsid w:val="00EA6754"/>
    <w:rsid w:val="00EA6794"/>
    <w:rsid w:val="00EA692D"/>
    <w:rsid w:val="00EA6B4F"/>
    <w:rsid w:val="00EA70C4"/>
    <w:rsid w:val="00EA71C4"/>
    <w:rsid w:val="00EA71D0"/>
    <w:rsid w:val="00EA736A"/>
    <w:rsid w:val="00EA742F"/>
    <w:rsid w:val="00EA7445"/>
    <w:rsid w:val="00EA767C"/>
    <w:rsid w:val="00EA779C"/>
    <w:rsid w:val="00EA7951"/>
    <w:rsid w:val="00EA79DB"/>
    <w:rsid w:val="00EA7B77"/>
    <w:rsid w:val="00EA7CA6"/>
    <w:rsid w:val="00EA7D33"/>
    <w:rsid w:val="00EB02B1"/>
    <w:rsid w:val="00EB0542"/>
    <w:rsid w:val="00EB0556"/>
    <w:rsid w:val="00EB067A"/>
    <w:rsid w:val="00EB07F8"/>
    <w:rsid w:val="00EB0B66"/>
    <w:rsid w:val="00EB0D3C"/>
    <w:rsid w:val="00EB0DC3"/>
    <w:rsid w:val="00EB0E6E"/>
    <w:rsid w:val="00EB0ED2"/>
    <w:rsid w:val="00EB10F3"/>
    <w:rsid w:val="00EB1197"/>
    <w:rsid w:val="00EB119D"/>
    <w:rsid w:val="00EB12B7"/>
    <w:rsid w:val="00EB16DE"/>
    <w:rsid w:val="00EB1935"/>
    <w:rsid w:val="00EB1CD8"/>
    <w:rsid w:val="00EB1CF8"/>
    <w:rsid w:val="00EB1FD5"/>
    <w:rsid w:val="00EB203B"/>
    <w:rsid w:val="00EB217E"/>
    <w:rsid w:val="00EB236F"/>
    <w:rsid w:val="00EB23C9"/>
    <w:rsid w:val="00EB2738"/>
    <w:rsid w:val="00EB27D5"/>
    <w:rsid w:val="00EB2804"/>
    <w:rsid w:val="00EB2BFD"/>
    <w:rsid w:val="00EB2D37"/>
    <w:rsid w:val="00EB2D5C"/>
    <w:rsid w:val="00EB2F43"/>
    <w:rsid w:val="00EB2FB3"/>
    <w:rsid w:val="00EB2FC5"/>
    <w:rsid w:val="00EB30F3"/>
    <w:rsid w:val="00EB3191"/>
    <w:rsid w:val="00EB31CC"/>
    <w:rsid w:val="00EB3248"/>
    <w:rsid w:val="00EB338C"/>
    <w:rsid w:val="00EB33F7"/>
    <w:rsid w:val="00EB34B2"/>
    <w:rsid w:val="00EB35AF"/>
    <w:rsid w:val="00EB3A0F"/>
    <w:rsid w:val="00EB3B37"/>
    <w:rsid w:val="00EB3F14"/>
    <w:rsid w:val="00EB40D6"/>
    <w:rsid w:val="00EB4AD0"/>
    <w:rsid w:val="00EB4B97"/>
    <w:rsid w:val="00EB4BA3"/>
    <w:rsid w:val="00EB5224"/>
    <w:rsid w:val="00EB534B"/>
    <w:rsid w:val="00EB5370"/>
    <w:rsid w:val="00EB55FF"/>
    <w:rsid w:val="00EB5685"/>
    <w:rsid w:val="00EB56A8"/>
    <w:rsid w:val="00EB5776"/>
    <w:rsid w:val="00EB5934"/>
    <w:rsid w:val="00EB59FA"/>
    <w:rsid w:val="00EB5A80"/>
    <w:rsid w:val="00EB5EDA"/>
    <w:rsid w:val="00EB60F3"/>
    <w:rsid w:val="00EB622E"/>
    <w:rsid w:val="00EB660A"/>
    <w:rsid w:val="00EB6751"/>
    <w:rsid w:val="00EB6757"/>
    <w:rsid w:val="00EB6915"/>
    <w:rsid w:val="00EB6AE7"/>
    <w:rsid w:val="00EB6B46"/>
    <w:rsid w:val="00EB6D46"/>
    <w:rsid w:val="00EB708A"/>
    <w:rsid w:val="00EB727F"/>
    <w:rsid w:val="00EB7280"/>
    <w:rsid w:val="00EB7470"/>
    <w:rsid w:val="00EB750F"/>
    <w:rsid w:val="00EB7801"/>
    <w:rsid w:val="00EB7881"/>
    <w:rsid w:val="00EB7ABD"/>
    <w:rsid w:val="00EB7B72"/>
    <w:rsid w:val="00EB7B87"/>
    <w:rsid w:val="00EB7C48"/>
    <w:rsid w:val="00EB7CF0"/>
    <w:rsid w:val="00EB7EFC"/>
    <w:rsid w:val="00EC012C"/>
    <w:rsid w:val="00EC0191"/>
    <w:rsid w:val="00EC06E6"/>
    <w:rsid w:val="00EC0793"/>
    <w:rsid w:val="00EC095B"/>
    <w:rsid w:val="00EC0B59"/>
    <w:rsid w:val="00EC0D0C"/>
    <w:rsid w:val="00EC0E55"/>
    <w:rsid w:val="00EC0F5D"/>
    <w:rsid w:val="00EC0F8B"/>
    <w:rsid w:val="00EC107F"/>
    <w:rsid w:val="00EC10DD"/>
    <w:rsid w:val="00EC1211"/>
    <w:rsid w:val="00EC15FA"/>
    <w:rsid w:val="00EC1A7C"/>
    <w:rsid w:val="00EC1C5F"/>
    <w:rsid w:val="00EC1D52"/>
    <w:rsid w:val="00EC1D92"/>
    <w:rsid w:val="00EC1EA7"/>
    <w:rsid w:val="00EC21BF"/>
    <w:rsid w:val="00EC2485"/>
    <w:rsid w:val="00EC2570"/>
    <w:rsid w:val="00EC2988"/>
    <w:rsid w:val="00EC2B0F"/>
    <w:rsid w:val="00EC2B81"/>
    <w:rsid w:val="00EC2C4A"/>
    <w:rsid w:val="00EC2DB9"/>
    <w:rsid w:val="00EC3043"/>
    <w:rsid w:val="00EC3081"/>
    <w:rsid w:val="00EC32E5"/>
    <w:rsid w:val="00EC3303"/>
    <w:rsid w:val="00EC3415"/>
    <w:rsid w:val="00EC3460"/>
    <w:rsid w:val="00EC34D2"/>
    <w:rsid w:val="00EC35C1"/>
    <w:rsid w:val="00EC35FB"/>
    <w:rsid w:val="00EC38D4"/>
    <w:rsid w:val="00EC3943"/>
    <w:rsid w:val="00EC3A53"/>
    <w:rsid w:val="00EC3A96"/>
    <w:rsid w:val="00EC40E8"/>
    <w:rsid w:val="00EC44C7"/>
    <w:rsid w:val="00EC4540"/>
    <w:rsid w:val="00EC45D1"/>
    <w:rsid w:val="00EC4750"/>
    <w:rsid w:val="00EC4CC5"/>
    <w:rsid w:val="00EC4CFC"/>
    <w:rsid w:val="00EC4D23"/>
    <w:rsid w:val="00EC4EDD"/>
    <w:rsid w:val="00EC4FEE"/>
    <w:rsid w:val="00EC5067"/>
    <w:rsid w:val="00EC50BF"/>
    <w:rsid w:val="00EC5262"/>
    <w:rsid w:val="00EC529B"/>
    <w:rsid w:val="00EC5305"/>
    <w:rsid w:val="00EC5456"/>
    <w:rsid w:val="00EC5A2A"/>
    <w:rsid w:val="00EC5A2E"/>
    <w:rsid w:val="00EC5A35"/>
    <w:rsid w:val="00EC5F66"/>
    <w:rsid w:val="00EC601D"/>
    <w:rsid w:val="00EC60DC"/>
    <w:rsid w:val="00EC6101"/>
    <w:rsid w:val="00EC63B7"/>
    <w:rsid w:val="00EC6409"/>
    <w:rsid w:val="00EC65D1"/>
    <w:rsid w:val="00EC65DC"/>
    <w:rsid w:val="00EC66EF"/>
    <w:rsid w:val="00EC6791"/>
    <w:rsid w:val="00EC67C1"/>
    <w:rsid w:val="00EC69B4"/>
    <w:rsid w:val="00EC6A92"/>
    <w:rsid w:val="00EC6B00"/>
    <w:rsid w:val="00EC6CD7"/>
    <w:rsid w:val="00EC6CED"/>
    <w:rsid w:val="00EC6CFA"/>
    <w:rsid w:val="00EC6EA4"/>
    <w:rsid w:val="00EC6FB3"/>
    <w:rsid w:val="00EC6FEE"/>
    <w:rsid w:val="00EC73AC"/>
    <w:rsid w:val="00EC75CC"/>
    <w:rsid w:val="00EC78C3"/>
    <w:rsid w:val="00EC7941"/>
    <w:rsid w:val="00EC7AB4"/>
    <w:rsid w:val="00EC7C97"/>
    <w:rsid w:val="00EC7EB7"/>
    <w:rsid w:val="00ED00B2"/>
    <w:rsid w:val="00ED00F9"/>
    <w:rsid w:val="00ED00FE"/>
    <w:rsid w:val="00ED0123"/>
    <w:rsid w:val="00ED01CA"/>
    <w:rsid w:val="00ED0313"/>
    <w:rsid w:val="00ED05CF"/>
    <w:rsid w:val="00ED05E0"/>
    <w:rsid w:val="00ED08AB"/>
    <w:rsid w:val="00ED0AC7"/>
    <w:rsid w:val="00ED0AE0"/>
    <w:rsid w:val="00ED0BBD"/>
    <w:rsid w:val="00ED0C15"/>
    <w:rsid w:val="00ED0DCC"/>
    <w:rsid w:val="00ED0DFD"/>
    <w:rsid w:val="00ED0F1E"/>
    <w:rsid w:val="00ED110B"/>
    <w:rsid w:val="00ED115E"/>
    <w:rsid w:val="00ED11B1"/>
    <w:rsid w:val="00ED12D2"/>
    <w:rsid w:val="00ED130C"/>
    <w:rsid w:val="00ED138B"/>
    <w:rsid w:val="00ED1665"/>
    <w:rsid w:val="00ED1C69"/>
    <w:rsid w:val="00ED1F05"/>
    <w:rsid w:val="00ED2057"/>
    <w:rsid w:val="00ED2157"/>
    <w:rsid w:val="00ED23C8"/>
    <w:rsid w:val="00ED241F"/>
    <w:rsid w:val="00ED2789"/>
    <w:rsid w:val="00ED2882"/>
    <w:rsid w:val="00ED29DB"/>
    <w:rsid w:val="00ED2A5D"/>
    <w:rsid w:val="00ED2A8E"/>
    <w:rsid w:val="00ED2AD0"/>
    <w:rsid w:val="00ED2C75"/>
    <w:rsid w:val="00ED2E8C"/>
    <w:rsid w:val="00ED2FA1"/>
    <w:rsid w:val="00ED3183"/>
    <w:rsid w:val="00ED33C5"/>
    <w:rsid w:val="00ED3526"/>
    <w:rsid w:val="00ED35F5"/>
    <w:rsid w:val="00ED36FD"/>
    <w:rsid w:val="00ED3A26"/>
    <w:rsid w:val="00ED3B6E"/>
    <w:rsid w:val="00ED3BDF"/>
    <w:rsid w:val="00ED403C"/>
    <w:rsid w:val="00ED44BB"/>
    <w:rsid w:val="00ED46D8"/>
    <w:rsid w:val="00ED4995"/>
    <w:rsid w:val="00ED4C24"/>
    <w:rsid w:val="00ED4D00"/>
    <w:rsid w:val="00ED4E17"/>
    <w:rsid w:val="00ED5317"/>
    <w:rsid w:val="00ED537C"/>
    <w:rsid w:val="00ED544C"/>
    <w:rsid w:val="00ED54F1"/>
    <w:rsid w:val="00ED5584"/>
    <w:rsid w:val="00ED57AF"/>
    <w:rsid w:val="00ED5E1B"/>
    <w:rsid w:val="00ED621D"/>
    <w:rsid w:val="00ED6366"/>
    <w:rsid w:val="00ED6493"/>
    <w:rsid w:val="00ED663D"/>
    <w:rsid w:val="00ED664A"/>
    <w:rsid w:val="00ED6729"/>
    <w:rsid w:val="00ED6858"/>
    <w:rsid w:val="00ED68F2"/>
    <w:rsid w:val="00ED6B03"/>
    <w:rsid w:val="00ED6C30"/>
    <w:rsid w:val="00ED6F4A"/>
    <w:rsid w:val="00ED7028"/>
    <w:rsid w:val="00ED7583"/>
    <w:rsid w:val="00ED75C5"/>
    <w:rsid w:val="00ED77E2"/>
    <w:rsid w:val="00ED7D1F"/>
    <w:rsid w:val="00ED7D33"/>
    <w:rsid w:val="00ED7EF1"/>
    <w:rsid w:val="00ED7F0E"/>
    <w:rsid w:val="00EE01D6"/>
    <w:rsid w:val="00EE0238"/>
    <w:rsid w:val="00EE047B"/>
    <w:rsid w:val="00EE052F"/>
    <w:rsid w:val="00EE06C2"/>
    <w:rsid w:val="00EE08D8"/>
    <w:rsid w:val="00EE0932"/>
    <w:rsid w:val="00EE0A36"/>
    <w:rsid w:val="00EE0ADB"/>
    <w:rsid w:val="00EE0BF3"/>
    <w:rsid w:val="00EE0C54"/>
    <w:rsid w:val="00EE0D00"/>
    <w:rsid w:val="00EE0DC1"/>
    <w:rsid w:val="00EE0DF7"/>
    <w:rsid w:val="00EE0F2A"/>
    <w:rsid w:val="00EE13D0"/>
    <w:rsid w:val="00EE1409"/>
    <w:rsid w:val="00EE142C"/>
    <w:rsid w:val="00EE1603"/>
    <w:rsid w:val="00EE18DD"/>
    <w:rsid w:val="00EE1A10"/>
    <w:rsid w:val="00EE1D21"/>
    <w:rsid w:val="00EE1DE5"/>
    <w:rsid w:val="00EE24C3"/>
    <w:rsid w:val="00EE2593"/>
    <w:rsid w:val="00EE25C9"/>
    <w:rsid w:val="00EE2A72"/>
    <w:rsid w:val="00EE2C31"/>
    <w:rsid w:val="00EE31A6"/>
    <w:rsid w:val="00EE328A"/>
    <w:rsid w:val="00EE3439"/>
    <w:rsid w:val="00EE349A"/>
    <w:rsid w:val="00EE3525"/>
    <w:rsid w:val="00EE3649"/>
    <w:rsid w:val="00EE39C9"/>
    <w:rsid w:val="00EE3A53"/>
    <w:rsid w:val="00EE3A77"/>
    <w:rsid w:val="00EE3C6B"/>
    <w:rsid w:val="00EE3E95"/>
    <w:rsid w:val="00EE3F2C"/>
    <w:rsid w:val="00EE431F"/>
    <w:rsid w:val="00EE4471"/>
    <w:rsid w:val="00EE455C"/>
    <w:rsid w:val="00EE4765"/>
    <w:rsid w:val="00EE4CAC"/>
    <w:rsid w:val="00EE4CDF"/>
    <w:rsid w:val="00EE4D3A"/>
    <w:rsid w:val="00EE4F84"/>
    <w:rsid w:val="00EE5047"/>
    <w:rsid w:val="00EE50CA"/>
    <w:rsid w:val="00EE50FF"/>
    <w:rsid w:val="00EE51F5"/>
    <w:rsid w:val="00EE5478"/>
    <w:rsid w:val="00EE570B"/>
    <w:rsid w:val="00EE5723"/>
    <w:rsid w:val="00EE58A7"/>
    <w:rsid w:val="00EE5A7E"/>
    <w:rsid w:val="00EE5BF7"/>
    <w:rsid w:val="00EE5EEC"/>
    <w:rsid w:val="00EE5FA7"/>
    <w:rsid w:val="00EE6032"/>
    <w:rsid w:val="00EE6035"/>
    <w:rsid w:val="00EE6037"/>
    <w:rsid w:val="00EE61D7"/>
    <w:rsid w:val="00EE62E4"/>
    <w:rsid w:val="00EE6406"/>
    <w:rsid w:val="00EE6755"/>
    <w:rsid w:val="00EE6D74"/>
    <w:rsid w:val="00EE70BE"/>
    <w:rsid w:val="00EE71FE"/>
    <w:rsid w:val="00EE723C"/>
    <w:rsid w:val="00EE75C2"/>
    <w:rsid w:val="00EE7635"/>
    <w:rsid w:val="00EE7985"/>
    <w:rsid w:val="00EE7AB0"/>
    <w:rsid w:val="00EF006D"/>
    <w:rsid w:val="00EF0197"/>
    <w:rsid w:val="00EF01F2"/>
    <w:rsid w:val="00EF05DC"/>
    <w:rsid w:val="00EF069A"/>
    <w:rsid w:val="00EF0A16"/>
    <w:rsid w:val="00EF0B19"/>
    <w:rsid w:val="00EF0E98"/>
    <w:rsid w:val="00EF0F99"/>
    <w:rsid w:val="00EF1270"/>
    <w:rsid w:val="00EF1368"/>
    <w:rsid w:val="00EF138A"/>
    <w:rsid w:val="00EF17E1"/>
    <w:rsid w:val="00EF1850"/>
    <w:rsid w:val="00EF1AA1"/>
    <w:rsid w:val="00EF1D32"/>
    <w:rsid w:val="00EF1E2C"/>
    <w:rsid w:val="00EF1EB0"/>
    <w:rsid w:val="00EF1F39"/>
    <w:rsid w:val="00EF242C"/>
    <w:rsid w:val="00EF2664"/>
    <w:rsid w:val="00EF26C5"/>
    <w:rsid w:val="00EF28B2"/>
    <w:rsid w:val="00EF2A3F"/>
    <w:rsid w:val="00EF2AD7"/>
    <w:rsid w:val="00EF2B46"/>
    <w:rsid w:val="00EF2D8C"/>
    <w:rsid w:val="00EF2EA3"/>
    <w:rsid w:val="00EF2EB1"/>
    <w:rsid w:val="00EF2FDA"/>
    <w:rsid w:val="00EF30DD"/>
    <w:rsid w:val="00EF37F7"/>
    <w:rsid w:val="00EF38C8"/>
    <w:rsid w:val="00EF39AB"/>
    <w:rsid w:val="00EF3ECA"/>
    <w:rsid w:val="00EF3EE3"/>
    <w:rsid w:val="00EF3FD0"/>
    <w:rsid w:val="00EF4121"/>
    <w:rsid w:val="00EF42D8"/>
    <w:rsid w:val="00EF4446"/>
    <w:rsid w:val="00EF4589"/>
    <w:rsid w:val="00EF4617"/>
    <w:rsid w:val="00EF461B"/>
    <w:rsid w:val="00EF464B"/>
    <w:rsid w:val="00EF4777"/>
    <w:rsid w:val="00EF49D8"/>
    <w:rsid w:val="00EF49EA"/>
    <w:rsid w:val="00EF4A1E"/>
    <w:rsid w:val="00EF4A4D"/>
    <w:rsid w:val="00EF4C71"/>
    <w:rsid w:val="00EF4C81"/>
    <w:rsid w:val="00EF4E8D"/>
    <w:rsid w:val="00EF4F95"/>
    <w:rsid w:val="00EF4FFA"/>
    <w:rsid w:val="00EF527F"/>
    <w:rsid w:val="00EF53E0"/>
    <w:rsid w:val="00EF5486"/>
    <w:rsid w:val="00EF551E"/>
    <w:rsid w:val="00EF5744"/>
    <w:rsid w:val="00EF57F0"/>
    <w:rsid w:val="00EF57F2"/>
    <w:rsid w:val="00EF5CB4"/>
    <w:rsid w:val="00EF6113"/>
    <w:rsid w:val="00EF62A7"/>
    <w:rsid w:val="00EF6562"/>
    <w:rsid w:val="00EF6C03"/>
    <w:rsid w:val="00EF6C57"/>
    <w:rsid w:val="00EF6CCB"/>
    <w:rsid w:val="00EF6FCB"/>
    <w:rsid w:val="00EF713B"/>
    <w:rsid w:val="00EF71F6"/>
    <w:rsid w:val="00EF721C"/>
    <w:rsid w:val="00EF76A0"/>
    <w:rsid w:val="00EF76E8"/>
    <w:rsid w:val="00EF774E"/>
    <w:rsid w:val="00EF7A5A"/>
    <w:rsid w:val="00EF7AC5"/>
    <w:rsid w:val="00EF7B63"/>
    <w:rsid w:val="00F001AE"/>
    <w:rsid w:val="00F001F8"/>
    <w:rsid w:val="00F0035F"/>
    <w:rsid w:val="00F00A80"/>
    <w:rsid w:val="00F00C8A"/>
    <w:rsid w:val="00F00C9E"/>
    <w:rsid w:val="00F00F16"/>
    <w:rsid w:val="00F00F24"/>
    <w:rsid w:val="00F0112B"/>
    <w:rsid w:val="00F01170"/>
    <w:rsid w:val="00F015E1"/>
    <w:rsid w:val="00F0187C"/>
    <w:rsid w:val="00F018E6"/>
    <w:rsid w:val="00F018FA"/>
    <w:rsid w:val="00F01D16"/>
    <w:rsid w:val="00F01EB7"/>
    <w:rsid w:val="00F01FDA"/>
    <w:rsid w:val="00F0201B"/>
    <w:rsid w:val="00F02126"/>
    <w:rsid w:val="00F0225F"/>
    <w:rsid w:val="00F023CA"/>
    <w:rsid w:val="00F0247D"/>
    <w:rsid w:val="00F0254D"/>
    <w:rsid w:val="00F02619"/>
    <w:rsid w:val="00F0285D"/>
    <w:rsid w:val="00F02A7D"/>
    <w:rsid w:val="00F02AF2"/>
    <w:rsid w:val="00F02CEA"/>
    <w:rsid w:val="00F02EE6"/>
    <w:rsid w:val="00F02F35"/>
    <w:rsid w:val="00F02F36"/>
    <w:rsid w:val="00F02F85"/>
    <w:rsid w:val="00F030C9"/>
    <w:rsid w:val="00F030ED"/>
    <w:rsid w:val="00F03171"/>
    <w:rsid w:val="00F031E2"/>
    <w:rsid w:val="00F0345C"/>
    <w:rsid w:val="00F035DE"/>
    <w:rsid w:val="00F03621"/>
    <w:rsid w:val="00F03624"/>
    <w:rsid w:val="00F03A33"/>
    <w:rsid w:val="00F03CBA"/>
    <w:rsid w:val="00F03EA0"/>
    <w:rsid w:val="00F0418E"/>
    <w:rsid w:val="00F042D8"/>
    <w:rsid w:val="00F043D0"/>
    <w:rsid w:val="00F04416"/>
    <w:rsid w:val="00F0455F"/>
    <w:rsid w:val="00F0479A"/>
    <w:rsid w:val="00F04940"/>
    <w:rsid w:val="00F04AF8"/>
    <w:rsid w:val="00F04F5B"/>
    <w:rsid w:val="00F052A2"/>
    <w:rsid w:val="00F052A9"/>
    <w:rsid w:val="00F052D5"/>
    <w:rsid w:val="00F0556A"/>
    <w:rsid w:val="00F05870"/>
    <w:rsid w:val="00F059E4"/>
    <w:rsid w:val="00F05C1B"/>
    <w:rsid w:val="00F05D3C"/>
    <w:rsid w:val="00F05D53"/>
    <w:rsid w:val="00F05F2F"/>
    <w:rsid w:val="00F05F44"/>
    <w:rsid w:val="00F05FDB"/>
    <w:rsid w:val="00F06851"/>
    <w:rsid w:val="00F068C7"/>
    <w:rsid w:val="00F06BFB"/>
    <w:rsid w:val="00F06F03"/>
    <w:rsid w:val="00F070AD"/>
    <w:rsid w:val="00F0716B"/>
    <w:rsid w:val="00F071A7"/>
    <w:rsid w:val="00F0741E"/>
    <w:rsid w:val="00F076A0"/>
    <w:rsid w:val="00F07776"/>
    <w:rsid w:val="00F0796D"/>
    <w:rsid w:val="00F07B67"/>
    <w:rsid w:val="00F07DDE"/>
    <w:rsid w:val="00F07E4C"/>
    <w:rsid w:val="00F10202"/>
    <w:rsid w:val="00F1026D"/>
    <w:rsid w:val="00F102C2"/>
    <w:rsid w:val="00F10431"/>
    <w:rsid w:val="00F1062E"/>
    <w:rsid w:val="00F10735"/>
    <w:rsid w:val="00F108ED"/>
    <w:rsid w:val="00F10A0A"/>
    <w:rsid w:val="00F10AC5"/>
    <w:rsid w:val="00F10BC7"/>
    <w:rsid w:val="00F10DE2"/>
    <w:rsid w:val="00F10ED6"/>
    <w:rsid w:val="00F11601"/>
    <w:rsid w:val="00F1175F"/>
    <w:rsid w:val="00F11AF1"/>
    <w:rsid w:val="00F11C77"/>
    <w:rsid w:val="00F11D47"/>
    <w:rsid w:val="00F11F64"/>
    <w:rsid w:val="00F1222C"/>
    <w:rsid w:val="00F122D1"/>
    <w:rsid w:val="00F122DB"/>
    <w:rsid w:val="00F1230E"/>
    <w:rsid w:val="00F12335"/>
    <w:rsid w:val="00F124F6"/>
    <w:rsid w:val="00F12AA7"/>
    <w:rsid w:val="00F12B10"/>
    <w:rsid w:val="00F12BF7"/>
    <w:rsid w:val="00F12FCA"/>
    <w:rsid w:val="00F132BF"/>
    <w:rsid w:val="00F1346C"/>
    <w:rsid w:val="00F134E5"/>
    <w:rsid w:val="00F1368E"/>
    <w:rsid w:val="00F137EA"/>
    <w:rsid w:val="00F138E7"/>
    <w:rsid w:val="00F13906"/>
    <w:rsid w:val="00F13B6C"/>
    <w:rsid w:val="00F13BFB"/>
    <w:rsid w:val="00F13CE6"/>
    <w:rsid w:val="00F13D0E"/>
    <w:rsid w:val="00F13E35"/>
    <w:rsid w:val="00F13E4A"/>
    <w:rsid w:val="00F13E85"/>
    <w:rsid w:val="00F1412A"/>
    <w:rsid w:val="00F1424A"/>
    <w:rsid w:val="00F1461A"/>
    <w:rsid w:val="00F1462B"/>
    <w:rsid w:val="00F146BD"/>
    <w:rsid w:val="00F146CD"/>
    <w:rsid w:val="00F14704"/>
    <w:rsid w:val="00F1484A"/>
    <w:rsid w:val="00F14904"/>
    <w:rsid w:val="00F14A50"/>
    <w:rsid w:val="00F14A71"/>
    <w:rsid w:val="00F14A9E"/>
    <w:rsid w:val="00F14E42"/>
    <w:rsid w:val="00F14E5F"/>
    <w:rsid w:val="00F1501C"/>
    <w:rsid w:val="00F150D8"/>
    <w:rsid w:val="00F1543B"/>
    <w:rsid w:val="00F15529"/>
    <w:rsid w:val="00F157F6"/>
    <w:rsid w:val="00F15838"/>
    <w:rsid w:val="00F1583A"/>
    <w:rsid w:val="00F159E4"/>
    <w:rsid w:val="00F15CB0"/>
    <w:rsid w:val="00F15E37"/>
    <w:rsid w:val="00F15FF5"/>
    <w:rsid w:val="00F16017"/>
    <w:rsid w:val="00F16049"/>
    <w:rsid w:val="00F16052"/>
    <w:rsid w:val="00F16090"/>
    <w:rsid w:val="00F1610E"/>
    <w:rsid w:val="00F1613D"/>
    <w:rsid w:val="00F16249"/>
    <w:rsid w:val="00F1654D"/>
    <w:rsid w:val="00F166FA"/>
    <w:rsid w:val="00F16C6C"/>
    <w:rsid w:val="00F16D5B"/>
    <w:rsid w:val="00F16F93"/>
    <w:rsid w:val="00F1719F"/>
    <w:rsid w:val="00F17225"/>
    <w:rsid w:val="00F17414"/>
    <w:rsid w:val="00F1756B"/>
    <w:rsid w:val="00F1759B"/>
    <w:rsid w:val="00F1760B"/>
    <w:rsid w:val="00F176F0"/>
    <w:rsid w:val="00F178DC"/>
    <w:rsid w:val="00F17A16"/>
    <w:rsid w:val="00F17DD5"/>
    <w:rsid w:val="00F17DE1"/>
    <w:rsid w:val="00F17FBF"/>
    <w:rsid w:val="00F1C765"/>
    <w:rsid w:val="00F202D5"/>
    <w:rsid w:val="00F20468"/>
    <w:rsid w:val="00F2050A"/>
    <w:rsid w:val="00F20725"/>
    <w:rsid w:val="00F20769"/>
    <w:rsid w:val="00F208BA"/>
    <w:rsid w:val="00F2095B"/>
    <w:rsid w:val="00F20AB1"/>
    <w:rsid w:val="00F20C13"/>
    <w:rsid w:val="00F20D52"/>
    <w:rsid w:val="00F20EFD"/>
    <w:rsid w:val="00F21395"/>
    <w:rsid w:val="00F2150B"/>
    <w:rsid w:val="00F216C3"/>
    <w:rsid w:val="00F217EB"/>
    <w:rsid w:val="00F21BA4"/>
    <w:rsid w:val="00F21CE2"/>
    <w:rsid w:val="00F21CF1"/>
    <w:rsid w:val="00F21D32"/>
    <w:rsid w:val="00F21DB6"/>
    <w:rsid w:val="00F223C3"/>
    <w:rsid w:val="00F223CD"/>
    <w:rsid w:val="00F2243C"/>
    <w:rsid w:val="00F22448"/>
    <w:rsid w:val="00F227AB"/>
    <w:rsid w:val="00F2284D"/>
    <w:rsid w:val="00F2296B"/>
    <w:rsid w:val="00F22BEF"/>
    <w:rsid w:val="00F22E40"/>
    <w:rsid w:val="00F22FBC"/>
    <w:rsid w:val="00F23300"/>
    <w:rsid w:val="00F23708"/>
    <w:rsid w:val="00F2378E"/>
    <w:rsid w:val="00F2380B"/>
    <w:rsid w:val="00F239FF"/>
    <w:rsid w:val="00F23C25"/>
    <w:rsid w:val="00F23DB4"/>
    <w:rsid w:val="00F23F79"/>
    <w:rsid w:val="00F23FE4"/>
    <w:rsid w:val="00F240AB"/>
    <w:rsid w:val="00F240EA"/>
    <w:rsid w:val="00F242D1"/>
    <w:rsid w:val="00F24620"/>
    <w:rsid w:val="00F24665"/>
    <w:rsid w:val="00F24701"/>
    <w:rsid w:val="00F24711"/>
    <w:rsid w:val="00F249C8"/>
    <w:rsid w:val="00F249E8"/>
    <w:rsid w:val="00F249EF"/>
    <w:rsid w:val="00F24B04"/>
    <w:rsid w:val="00F24C75"/>
    <w:rsid w:val="00F24DA4"/>
    <w:rsid w:val="00F2503B"/>
    <w:rsid w:val="00F2519A"/>
    <w:rsid w:val="00F25581"/>
    <w:rsid w:val="00F255D7"/>
    <w:rsid w:val="00F2589D"/>
    <w:rsid w:val="00F25937"/>
    <w:rsid w:val="00F259A8"/>
    <w:rsid w:val="00F259CB"/>
    <w:rsid w:val="00F25FC4"/>
    <w:rsid w:val="00F26052"/>
    <w:rsid w:val="00F263DF"/>
    <w:rsid w:val="00F265BD"/>
    <w:rsid w:val="00F26600"/>
    <w:rsid w:val="00F2673B"/>
    <w:rsid w:val="00F268E4"/>
    <w:rsid w:val="00F26A89"/>
    <w:rsid w:val="00F26BD2"/>
    <w:rsid w:val="00F26C50"/>
    <w:rsid w:val="00F26CEA"/>
    <w:rsid w:val="00F26DB7"/>
    <w:rsid w:val="00F26E38"/>
    <w:rsid w:val="00F26F8A"/>
    <w:rsid w:val="00F26FDA"/>
    <w:rsid w:val="00F27029"/>
    <w:rsid w:val="00F27271"/>
    <w:rsid w:val="00F272A2"/>
    <w:rsid w:val="00F27301"/>
    <w:rsid w:val="00F2761E"/>
    <w:rsid w:val="00F276D5"/>
    <w:rsid w:val="00F277F7"/>
    <w:rsid w:val="00F279DC"/>
    <w:rsid w:val="00F27EDF"/>
    <w:rsid w:val="00F304E2"/>
    <w:rsid w:val="00F30B6B"/>
    <w:rsid w:val="00F30C1E"/>
    <w:rsid w:val="00F30C58"/>
    <w:rsid w:val="00F30C77"/>
    <w:rsid w:val="00F30D01"/>
    <w:rsid w:val="00F30DBD"/>
    <w:rsid w:val="00F30E80"/>
    <w:rsid w:val="00F30E9A"/>
    <w:rsid w:val="00F30EBA"/>
    <w:rsid w:val="00F31097"/>
    <w:rsid w:val="00F3150A"/>
    <w:rsid w:val="00F31870"/>
    <w:rsid w:val="00F31991"/>
    <w:rsid w:val="00F31ADE"/>
    <w:rsid w:val="00F31E93"/>
    <w:rsid w:val="00F31F5D"/>
    <w:rsid w:val="00F31F6B"/>
    <w:rsid w:val="00F32126"/>
    <w:rsid w:val="00F32495"/>
    <w:rsid w:val="00F32A36"/>
    <w:rsid w:val="00F32B1A"/>
    <w:rsid w:val="00F32B34"/>
    <w:rsid w:val="00F32DBD"/>
    <w:rsid w:val="00F32F3E"/>
    <w:rsid w:val="00F334D8"/>
    <w:rsid w:val="00F33847"/>
    <w:rsid w:val="00F33FA2"/>
    <w:rsid w:val="00F3403C"/>
    <w:rsid w:val="00F3403D"/>
    <w:rsid w:val="00F342EE"/>
    <w:rsid w:val="00F34412"/>
    <w:rsid w:val="00F34A60"/>
    <w:rsid w:val="00F34A6C"/>
    <w:rsid w:val="00F34F2D"/>
    <w:rsid w:val="00F353CF"/>
    <w:rsid w:val="00F35C7D"/>
    <w:rsid w:val="00F35DAB"/>
    <w:rsid w:val="00F35DAC"/>
    <w:rsid w:val="00F35E07"/>
    <w:rsid w:val="00F35FEE"/>
    <w:rsid w:val="00F36104"/>
    <w:rsid w:val="00F363F5"/>
    <w:rsid w:val="00F3650A"/>
    <w:rsid w:val="00F3657A"/>
    <w:rsid w:val="00F365FD"/>
    <w:rsid w:val="00F367BA"/>
    <w:rsid w:val="00F36D05"/>
    <w:rsid w:val="00F36D1D"/>
    <w:rsid w:val="00F36D1F"/>
    <w:rsid w:val="00F36D95"/>
    <w:rsid w:val="00F36E5A"/>
    <w:rsid w:val="00F36EC0"/>
    <w:rsid w:val="00F37075"/>
    <w:rsid w:val="00F3709A"/>
    <w:rsid w:val="00F374D1"/>
    <w:rsid w:val="00F3753F"/>
    <w:rsid w:val="00F37768"/>
    <w:rsid w:val="00F378E4"/>
    <w:rsid w:val="00F37B88"/>
    <w:rsid w:val="00F37B8C"/>
    <w:rsid w:val="00F37BED"/>
    <w:rsid w:val="00F37DE6"/>
    <w:rsid w:val="00F37FB8"/>
    <w:rsid w:val="00F4012B"/>
    <w:rsid w:val="00F402BE"/>
    <w:rsid w:val="00F402CB"/>
    <w:rsid w:val="00F403E8"/>
    <w:rsid w:val="00F406E5"/>
    <w:rsid w:val="00F4092C"/>
    <w:rsid w:val="00F4096B"/>
    <w:rsid w:val="00F40A48"/>
    <w:rsid w:val="00F40B01"/>
    <w:rsid w:val="00F40B09"/>
    <w:rsid w:val="00F40D88"/>
    <w:rsid w:val="00F410C2"/>
    <w:rsid w:val="00F41197"/>
    <w:rsid w:val="00F4120F"/>
    <w:rsid w:val="00F41283"/>
    <w:rsid w:val="00F4132A"/>
    <w:rsid w:val="00F413CF"/>
    <w:rsid w:val="00F41491"/>
    <w:rsid w:val="00F41570"/>
    <w:rsid w:val="00F416A2"/>
    <w:rsid w:val="00F41736"/>
    <w:rsid w:val="00F41744"/>
    <w:rsid w:val="00F4194A"/>
    <w:rsid w:val="00F41992"/>
    <w:rsid w:val="00F41D22"/>
    <w:rsid w:val="00F41DE1"/>
    <w:rsid w:val="00F41E43"/>
    <w:rsid w:val="00F42085"/>
    <w:rsid w:val="00F423BC"/>
    <w:rsid w:val="00F4249D"/>
    <w:rsid w:val="00F4286A"/>
    <w:rsid w:val="00F42B87"/>
    <w:rsid w:val="00F42E05"/>
    <w:rsid w:val="00F42E66"/>
    <w:rsid w:val="00F42FBD"/>
    <w:rsid w:val="00F43191"/>
    <w:rsid w:val="00F43280"/>
    <w:rsid w:val="00F43324"/>
    <w:rsid w:val="00F43361"/>
    <w:rsid w:val="00F43419"/>
    <w:rsid w:val="00F4343C"/>
    <w:rsid w:val="00F4348C"/>
    <w:rsid w:val="00F43500"/>
    <w:rsid w:val="00F4351F"/>
    <w:rsid w:val="00F436C6"/>
    <w:rsid w:val="00F43707"/>
    <w:rsid w:val="00F43949"/>
    <w:rsid w:val="00F43CAA"/>
    <w:rsid w:val="00F43DCA"/>
    <w:rsid w:val="00F43E0D"/>
    <w:rsid w:val="00F4445C"/>
    <w:rsid w:val="00F444AD"/>
    <w:rsid w:val="00F44537"/>
    <w:rsid w:val="00F446E4"/>
    <w:rsid w:val="00F4472C"/>
    <w:rsid w:val="00F4478A"/>
    <w:rsid w:val="00F44836"/>
    <w:rsid w:val="00F44E30"/>
    <w:rsid w:val="00F45068"/>
    <w:rsid w:val="00F453CD"/>
    <w:rsid w:val="00F45ADB"/>
    <w:rsid w:val="00F45C8C"/>
    <w:rsid w:val="00F4604F"/>
    <w:rsid w:val="00F4610C"/>
    <w:rsid w:val="00F46212"/>
    <w:rsid w:val="00F46347"/>
    <w:rsid w:val="00F46556"/>
    <w:rsid w:val="00F46560"/>
    <w:rsid w:val="00F46602"/>
    <w:rsid w:val="00F466AE"/>
    <w:rsid w:val="00F466BE"/>
    <w:rsid w:val="00F46843"/>
    <w:rsid w:val="00F46949"/>
    <w:rsid w:val="00F469F3"/>
    <w:rsid w:val="00F46A7D"/>
    <w:rsid w:val="00F46C26"/>
    <w:rsid w:val="00F46D0F"/>
    <w:rsid w:val="00F46DA7"/>
    <w:rsid w:val="00F46FD7"/>
    <w:rsid w:val="00F471FD"/>
    <w:rsid w:val="00F4723B"/>
    <w:rsid w:val="00F47264"/>
    <w:rsid w:val="00F47329"/>
    <w:rsid w:val="00F474CD"/>
    <w:rsid w:val="00F47838"/>
    <w:rsid w:val="00F47A5D"/>
    <w:rsid w:val="00F47A7B"/>
    <w:rsid w:val="00F47CEB"/>
    <w:rsid w:val="00F47E41"/>
    <w:rsid w:val="00F47EEB"/>
    <w:rsid w:val="00F501AB"/>
    <w:rsid w:val="00F50270"/>
    <w:rsid w:val="00F5049C"/>
    <w:rsid w:val="00F505EC"/>
    <w:rsid w:val="00F50663"/>
    <w:rsid w:val="00F50928"/>
    <w:rsid w:val="00F5096B"/>
    <w:rsid w:val="00F509D1"/>
    <w:rsid w:val="00F50A10"/>
    <w:rsid w:val="00F50B1A"/>
    <w:rsid w:val="00F50D99"/>
    <w:rsid w:val="00F50DAF"/>
    <w:rsid w:val="00F50E1A"/>
    <w:rsid w:val="00F50E30"/>
    <w:rsid w:val="00F50E8B"/>
    <w:rsid w:val="00F51208"/>
    <w:rsid w:val="00F512D0"/>
    <w:rsid w:val="00F513CC"/>
    <w:rsid w:val="00F51525"/>
    <w:rsid w:val="00F51551"/>
    <w:rsid w:val="00F5177A"/>
    <w:rsid w:val="00F518E7"/>
    <w:rsid w:val="00F51AD1"/>
    <w:rsid w:val="00F52170"/>
    <w:rsid w:val="00F5225F"/>
    <w:rsid w:val="00F5244D"/>
    <w:rsid w:val="00F525D7"/>
    <w:rsid w:val="00F52682"/>
    <w:rsid w:val="00F52770"/>
    <w:rsid w:val="00F52A35"/>
    <w:rsid w:val="00F52AB4"/>
    <w:rsid w:val="00F52C56"/>
    <w:rsid w:val="00F52EA1"/>
    <w:rsid w:val="00F53015"/>
    <w:rsid w:val="00F53051"/>
    <w:rsid w:val="00F533BA"/>
    <w:rsid w:val="00F5349F"/>
    <w:rsid w:val="00F53758"/>
    <w:rsid w:val="00F5387D"/>
    <w:rsid w:val="00F53E48"/>
    <w:rsid w:val="00F53E5B"/>
    <w:rsid w:val="00F53F41"/>
    <w:rsid w:val="00F541B3"/>
    <w:rsid w:val="00F541D0"/>
    <w:rsid w:val="00F545C8"/>
    <w:rsid w:val="00F54776"/>
    <w:rsid w:val="00F54801"/>
    <w:rsid w:val="00F548C7"/>
    <w:rsid w:val="00F549F2"/>
    <w:rsid w:val="00F54A15"/>
    <w:rsid w:val="00F54B1B"/>
    <w:rsid w:val="00F54B65"/>
    <w:rsid w:val="00F54C9F"/>
    <w:rsid w:val="00F54D6B"/>
    <w:rsid w:val="00F54EA1"/>
    <w:rsid w:val="00F551A2"/>
    <w:rsid w:val="00F551E5"/>
    <w:rsid w:val="00F553F9"/>
    <w:rsid w:val="00F5549F"/>
    <w:rsid w:val="00F5556E"/>
    <w:rsid w:val="00F55600"/>
    <w:rsid w:val="00F557E1"/>
    <w:rsid w:val="00F55AC5"/>
    <w:rsid w:val="00F55B6D"/>
    <w:rsid w:val="00F55DB7"/>
    <w:rsid w:val="00F55E43"/>
    <w:rsid w:val="00F55F03"/>
    <w:rsid w:val="00F55FBC"/>
    <w:rsid w:val="00F5623E"/>
    <w:rsid w:val="00F56270"/>
    <w:rsid w:val="00F56827"/>
    <w:rsid w:val="00F56992"/>
    <w:rsid w:val="00F56C40"/>
    <w:rsid w:val="00F56D26"/>
    <w:rsid w:val="00F56FD7"/>
    <w:rsid w:val="00F570CB"/>
    <w:rsid w:val="00F57173"/>
    <w:rsid w:val="00F571E7"/>
    <w:rsid w:val="00F572FE"/>
    <w:rsid w:val="00F57A6F"/>
    <w:rsid w:val="00F60071"/>
    <w:rsid w:val="00F60299"/>
    <w:rsid w:val="00F60586"/>
    <w:rsid w:val="00F60782"/>
    <w:rsid w:val="00F60802"/>
    <w:rsid w:val="00F60AF8"/>
    <w:rsid w:val="00F60D61"/>
    <w:rsid w:val="00F60DE1"/>
    <w:rsid w:val="00F61196"/>
    <w:rsid w:val="00F6125A"/>
    <w:rsid w:val="00F61480"/>
    <w:rsid w:val="00F614F0"/>
    <w:rsid w:val="00F61800"/>
    <w:rsid w:val="00F61856"/>
    <w:rsid w:val="00F61958"/>
    <w:rsid w:val="00F61AE4"/>
    <w:rsid w:val="00F61B65"/>
    <w:rsid w:val="00F61CBD"/>
    <w:rsid w:val="00F61D1D"/>
    <w:rsid w:val="00F61F4D"/>
    <w:rsid w:val="00F61FB9"/>
    <w:rsid w:val="00F62109"/>
    <w:rsid w:val="00F622E9"/>
    <w:rsid w:val="00F625FF"/>
    <w:rsid w:val="00F62967"/>
    <w:rsid w:val="00F629AF"/>
    <w:rsid w:val="00F62A33"/>
    <w:rsid w:val="00F62B09"/>
    <w:rsid w:val="00F62EC6"/>
    <w:rsid w:val="00F63233"/>
    <w:rsid w:val="00F633A9"/>
    <w:rsid w:val="00F633CD"/>
    <w:rsid w:val="00F63548"/>
    <w:rsid w:val="00F6356C"/>
    <w:rsid w:val="00F635FA"/>
    <w:rsid w:val="00F6366B"/>
    <w:rsid w:val="00F63991"/>
    <w:rsid w:val="00F63C2B"/>
    <w:rsid w:val="00F63CF5"/>
    <w:rsid w:val="00F63FC9"/>
    <w:rsid w:val="00F6404A"/>
    <w:rsid w:val="00F645F4"/>
    <w:rsid w:val="00F64612"/>
    <w:rsid w:val="00F647A9"/>
    <w:rsid w:val="00F64819"/>
    <w:rsid w:val="00F64AE5"/>
    <w:rsid w:val="00F64CEB"/>
    <w:rsid w:val="00F64E75"/>
    <w:rsid w:val="00F651AF"/>
    <w:rsid w:val="00F6524E"/>
    <w:rsid w:val="00F6536A"/>
    <w:rsid w:val="00F6553F"/>
    <w:rsid w:val="00F65769"/>
    <w:rsid w:val="00F65A13"/>
    <w:rsid w:val="00F65E5A"/>
    <w:rsid w:val="00F65EE0"/>
    <w:rsid w:val="00F660BB"/>
    <w:rsid w:val="00F66125"/>
    <w:rsid w:val="00F66161"/>
    <w:rsid w:val="00F661F8"/>
    <w:rsid w:val="00F665DA"/>
    <w:rsid w:val="00F66644"/>
    <w:rsid w:val="00F66720"/>
    <w:rsid w:val="00F669B4"/>
    <w:rsid w:val="00F669E3"/>
    <w:rsid w:val="00F66A70"/>
    <w:rsid w:val="00F66BED"/>
    <w:rsid w:val="00F66F70"/>
    <w:rsid w:val="00F67178"/>
    <w:rsid w:val="00F67291"/>
    <w:rsid w:val="00F67639"/>
    <w:rsid w:val="00F6773E"/>
    <w:rsid w:val="00F677CE"/>
    <w:rsid w:val="00F678DC"/>
    <w:rsid w:val="00F679CD"/>
    <w:rsid w:val="00F67A4E"/>
    <w:rsid w:val="00F67D03"/>
    <w:rsid w:val="00F67D16"/>
    <w:rsid w:val="00F67ED5"/>
    <w:rsid w:val="00F67F3D"/>
    <w:rsid w:val="00F67F83"/>
    <w:rsid w:val="00F70204"/>
    <w:rsid w:val="00F70543"/>
    <w:rsid w:val="00F70628"/>
    <w:rsid w:val="00F70631"/>
    <w:rsid w:val="00F7080A"/>
    <w:rsid w:val="00F70842"/>
    <w:rsid w:val="00F70C47"/>
    <w:rsid w:val="00F70C8A"/>
    <w:rsid w:val="00F70D5D"/>
    <w:rsid w:val="00F70DEF"/>
    <w:rsid w:val="00F70E21"/>
    <w:rsid w:val="00F711D1"/>
    <w:rsid w:val="00F712D8"/>
    <w:rsid w:val="00F71593"/>
    <w:rsid w:val="00F716AE"/>
    <w:rsid w:val="00F716B8"/>
    <w:rsid w:val="00F71B72"/>
    <w:rsid w:val="00F71C4D"/>
    <w:rsid w:val="00F71FFC"/>
    <w:rsid w:val="00F7205A"/>
    <w:rsid w:val="00F7208A"/>
    <w:rsid w:val="00F7237F"/>
    <w:rsid w:val="00F723DF"/>
    <w:rsid w:val="00F72608"/>
    <w:rsid w:val="00F726BE"/>
    <w:rsid w:val="00F728FB"/>
    <w:rsid w:val="00F7290D"/>
    <w:rsid w:val="00F72E4D"/>
    <w:rsid w:val="00F7320C"/>
    <w:rsid w:val="00F73370"/>
    <w:rsid w:val="00F733FA"/>
    <w:rsid w:val="00F7346E"/>
    <w:rsid w:val="00F734AC"/>
    <w:rsid w:val="00F734DF"/>
    <w:rsid w:val="00F737F2"/>
    <w:rsid w:val="00F73856"/>
    <w:rsid w:val="00F73AC1"/>
    <w:rsid w:val="00F73BE3"/>
    <w:rsid w:val="00F73DD9"/>
    <w:rsid w:val="00F73ED5"/>
    <w:rsid w:val="00F73F5C"/>
    <w:rsid w:val="00F74018"/>
    <w:rsid w:val="00F741DC"/>
    <w:rsid w:val="00F742F5"/>
    <w:rsid w:val="00F74368"/>
    <w:rsid w:val="00F74433"/>
    <w:rsid w:val="00F7469E"/>
    <w:rsid w:val="00F747B5"/>
    <w:rsid w:val="00F74822"/>
    <w:rsid w:val="00F7487F"/>
    <w:rsid w:val="00F74AB1"/>
    <w:rsid w:val="00F74BC8"/>
    <w:rsid w:val="00F74E1B"/>
    <w:rsid w:val="00F74E1C"/>
    <w:rsid w:val="00F74E8C"/>
    <w:rsid w:val="00F751D0"/>
    <w:rsid w:val="00F751ED"/>
    <w:rsid w:val="00F7529B"/>
    <w:rsid w:val="00F7536A"/>
    <w:rsid w:val="00F7569B"/>
    <w:rsid w:val="00F75917"/>
    <w:rsid w:val="00F75A14"/>
    <w:rsid w:val="00F75AF2"/>
    <w:rsid w:val="00F75B10"/>
    <w:rsid w:val="00F75BB0"/>
    <w:rsid w:val="00F75BD8"/>
    <w:rsid w:val="00F75C54"/>
    <w:rsid w:val="00F75CAF"/>
    <w:rsid w:val="00F75D49"/>
    <w:rsid w:val="00F75D73"/>
    <w:rsid w:val="00F75DDC"/>
    <w:rsid w:val="00F75F0E"/>
    <w:rsid w:val="00F75F6B"/>
    <w:rsid w:val="00F76090"/>
    <w:rsid w:val="00F7662D"/>
    <w:rsid w:val="00F7684E"/>
    <w:rsid w:val="00F76851"/>
    <w:rsid w:val="00F76B7A"/>
    <w:rsid w:val="00F76D38"/>
    <w:rsid w:val="00F76E54"/>
    <w:rsid w:val="00F7739D"/>
    <w:rsid w:val="00F774E2"/>
    <w:rsid w:val="00F77525"/>
    <w:rsid w:val="00F7763B"/>
    <w:rsid w:val="00F77834"/>
    <w:rsid w:val="00F77BCF"/>
    <w:rsid w:val="00F800E1"/>
    <w:rsid w:val="00F80143"/>
    <w:rsid w:val="00F80449"/>
    <w:rsid w:val="00F80470"/>
    <w:rsid w:val="00F806CE"/>
    <w:rsid w:val="00F806D3"/>
    <w:rsid w:val="00F8097F"/>
    <w:rsid w:val="00F80CA1"/>
    <w:rsid w:val="00F81482"/>
    <w:rsid w:val="00F81641"/>
    <w:rsid w:val="00F816BE"/>
    <w:rsid w:val="00F81749"/>
    <w:rsid w:val="00F81756"/>
    <w:rsid w:val="00F819EF"/>
    <w:rsid w:val="00F81A4D"/>
    <w:rsid w:val="00F81FEC"/>
    <w:rsid w:val="00F8204F"/>
    <w:rsid w:val="00F82132"/>
    <w:rsid w:val="00F82702"/>
    <w:rsid w:val="00F829C4"/>
    <w:rsid w:val="00F82B3C"/>
    <w:rsid w:val="00F82D32"/>
    <w:rsid w:val="00F82DBA"/>
    <w:rsid w:val="00F833F8"/>
    <w:rsid w:val="00F83465"/>
    <w:rsid w:val="00F8370E"/>
    <w:rsid w:val="00F837EA"/>
    <w:rsid w:val="00F83944"/>
    <w:rsid w:val="00F839D5"/>
    <w:rsid w:val="00F83BB0"/>
    <w:rsid w:val="00F83FBD"/>
    <w:rsid w:val="00F84036"/>
    <w:rsid w:val="00F84087"/>
    <w:rsid w:val="00F840C2"/>
    <w:rsid w:val="00F8423E"/>
    <w:rsid w:val="00F8444C"/>
    <w:rsid w:val="00F84534"/>
    <w:rsid w:val="00F84742"/>
    <w:rsid w:val="00F84C47"/>
    <w:rsid w:val="00F84EB1"/>
    <w:rsid w:val="00F84F70"/>
    <w:rsid w:val="00F850AF"/>
    <w:rsid w:val="00F85289"/>
    <w:rsid w:val="00F8530C"/>
    <w:rsid w:val="00F85429"/>
    <w:rsid w:val="00F859F3"/>
    <w:rsid w:val="00F85AFE"/>
    <w:rsid w:val="00F860A7"/>
    <w:rsid w:val="00F8623B"/>
    <w:rsid w:val="00F86292"/>
    <w:rsid w:val="00F86596"/>
    <w:rsid w:val="00F865A8"/>
    <w:rsid w:val="00F86677"/>
    <w:rsid w:val="00F8670E"/>
    <w:rsid w:val="00F86994"/>
    <w:rsid w:val="00F86FAA"/>
    <w:rsid w:val="00F8707D"/>
    <w:rsid w:val="00F871C8"/>
    <w:rsid w:val="00F87319"/>
    <w:rsid w:val="00F8732E"/>
    <w:rsid w:val="00F875BD"/>
    <w:rsid w:val="00F87729"/>
    <w:rsid w:val="00F877B7"/>
    <w:rsid w:val="00F87932"/>
    <w:rsid w:val="00F8796B"/>
    <w:rsid w:val="00F87E27"/>
    <w:rsid w:val="00F9003B"/>
    <w:rsid w:val="00F901A3"/>
    <w:rsid w:val="00F905B6"/>
    <w:rsid w:val="00F905C7"/>
    <w:rsid w:val="00F90D57"/>
    <w:rsid w:val="00F90DAA"/>
    <w:rsid w:val="00F90F34"/>
    <w:rsid w:val="00F91045"/>
    <w:rsid w:val="00F91185"/>
    <w:rsid w:val="00F91312"/>
    <w:rsid w:val="00F9187A"/>
    <w:rsid w:val="00F918CA"/>
    <w:rsid w:val="00F91903"/>
    <w:rsid w:val="00F91B09"/>
    <w:rsid w:val="00F91C19"/>
    <w:rsid w:val="00F91CE6"/>
    <w:rsid w:val="00F91CEF"/>
    <w:rsid w:val="00F91DCF"/>
    <w:rsid w:val="00F9204E"/>
    <w:rsid w:val="00F92138"/>
    <w:rsid w:val="00F921D0"/>
    <w:rsid w:val="00F92449"/>
    <w:rsid w:val="00F929EB"/>
    <w:rsid w:val="00F92BD5"/>
    <w:rsid w:val="00F93241"/>
    <w:rsid w:val="00F935B6"/>
    <w:rsid w:val="00F936C1"/>
    <w:rsid w:val="00F938EF"/>
    <w:rsid w:val="00F93BDE"/>
    <w:rsid w:val="00F93CC6"/>
    <w:rsid w:val="00F93DAC"/>
    <w:rsid w:val="00F9441F"/>
    <w:rsid w:val="00F94853"/>
    <w:rsid w:val="00F948B1"/>
    <w:rsid w:val="00F94D09"/>
    <w:rsid w:val="00F94DE5"/>
    <w:rsid w:val="00F94EF1"/>
    <w:rsid w:val="00F95135"/>
    <w:rsid w:val="00F95197"/>
    <w:rsid w:val="00F951F5"/>
    <w:rsid w:val="00F95212"/>
    <w:rsid w:val="00F95311"/>
    <w:rsid w:val="00F95313"/>
    <w:rsid w:val="00F957EA"/>
    <w:rsid w:val="00F95AE0"/>
    <w:rsid w:val="00F95CCB"/>
    <w:rsid w:val="00F95D63"/>
    <w:rsid w:val="00F95F55"/>
    <w:rsid w:val="00F95F5F"/>
    <w:rsid w:val="00F9615A"/>
    <w:rsid w:val="00F96337"/>
    <w:rsid w:val="00F963DB"/>
    <w:rsid w:val="00F9652A"/>
    <w:rsid w:val="00F96569"/>
    <w:rsid w:val="00F96692"/>
    <w:rsid w:val="00F9688B"/>
    <w:rsid w:val="00F96A5F"/>
    <w:rsid w:val="00F96A87"/>
    <w:rsid w:val="00F96B5F"/>
    <w:rsid w:val="00F96C31"/>
    <w:rsid w:val="00F96DC6"/>
    <w:rsid w:val="00F96F0E"/>
    <w:rsid w:val="00F97066"/>
    <w:rsid w:val="00F97491"/>
    <w:rsid w:val="00F97860"/>
    <w:rsid w:val="00F97AA7"/>
    <w:rsid w:val="00F97D42"/>
    <w:rsid w:val="00F97F71"/>
    <w:rsid w:val="00F97FC9"/>
    <w:rsid w:val="00FA01C1"/>
    <w:rsid w:val="00FA05F9"/>
    <w:rsid w:val="00FA0825"/>
    <w:rsid w:val="00FA08F7"/>
    <w:rsid w:val="00FA09B1"/>
    <w:rsid w:val="00FA09DF"/>
    <w:rsid w:val="00FA0A55"/>
    <w:rsid w:val="00FA0B6F"/>
    <w:rsid w:val="00FA0C5D"/>
    <w:rsid w:val="00FA0F83"/>
    <w:rsid w:val="00FA1419"/>
    <w:rsid w:val="00FA1619"/>
    <w:rsid w:val="00FA170A"/>
    <w:rsid w:val="00FA1879"/>
    <w:rsid w:val="00FA1B9C"/>
    <w:rsid w:val="00FA1C17"/>
    <w:rsid w:val="00FA1DAB"/>
    <w:rsid w:val="00FA1E7E"/>
    <w:rsid w:val="00FA2075"/>
    <w:rsid w:val="00FA23B2"/>
    <w:rsid w:val="00FA24F6"/>
    <w:rsid w:val="00FA262C"/>
    <w:rsid w:val="00FA26A6"/>
    <w:rsid w:val="00FA2D35"/>
    <w:rsid w:val="00FA2D50"/>
    <w:rsid w:val="00FA2F70"/>
    <w:rsid w:val="00FA32F8"/>
    <w:rsid w:val="00FA3376"/>
    <w:rsid w:val="00FA3725"/>
    <w:rsid w:val="00FA38B3"/>
    <w:rsid w:val="00FA39F9"/>
    <w:rsid w:val="00FA4140"/>
    <w:rsid w:val="00FA454F"/>
    <w:rsid w:val="00FA4951"/>
    <w:rsid w:val="00FA4953"/>
    <w:rsid w:val="00FA49FE"/>
    <w:rsid w:val="00FA4A0A"/>
    <w:rsid w:val="00FA4FDD"/>
    <w:rsid w:val="00FA50A8"/>
    <w:rsid w:val="00FA51E5"/>
    <w:rsid w:val="00FA531A"/>
    <w:rsid w:val="00FA5376"/>
    <w:rsid w:val="00FA5384"/>
    <w:rsid w:val="00FA53C9"/>
    <w:rsid w:val="00FA5574"/>
    <w:rsid w:val="00FA562A"/>
    <w:rsid w:val="00FA57C6"/>
    <w:rsid w:val="00FA58A9"/>
    <w:rsid w:val="00FA592B"/>
    <w:rsid w:val="00FA59D4"/>
    <w:rsid w:val="00FA5B32"/>
    <w:rsid w:val="00FA5C72"/>
    <w:rsid w:val="00FA5FB7"/>
    <w:rsid w:val="00FA61ED"/>
    <w:rsid w:val="00FA6304"/>
    <w:rsid w:val="00FA6323"/>
    <w:rsid w:val="00FA644E"/>
    <w:rsid w:val="00FA64E9"/>
    <w:rsid w:val="00FA66E4"/>
    <w:rsid w:val="00FA6770"/>
    <w:rsid w:val="00FA6911"/>
    <w:rsid w:val="00FA6C50"/>
    <w:rsid w:val="00FA6CB6"/>
    <w:rsid w:val="00FA7044"/>
    <w:rsid w:val="00FA708C"/>
    <w:rsid w:val="00FA7149"/>
    <w:rsid w:val="00FA7202"/>
    <w:rsid w:val="00FA737D"/>
    <w:rsid w:val="00FA75F2"/>
    <w:rsid w:val="00FA783F"/>
    <w:rsid w:val="00FA78C8"/>
    <w:rsid w:val="00FA7C3C"/>
    <w:rsid w:val="00FA7DA5"/>
    <w:rsid w:val="00FA7F58"/>
    <w:rsid w:val="00FA7FDD"/>
    <w:rsid w:val="00FB040A"/>
    <w:rsid w:val="00FB05C0"/>
    <w:rsid w:val="00FB086D"/>
    <w:rsid w:val="00FB0A2E"/>
    <w:rsid w:val="00FB0B0D"/>
    <w:rsid w:val="00FB0B13"/>
    <w:rsid w:val="00FB0F0F"/>
    <w:rsid w:val="00FB1342"/>
    <w:rsid w:val="00FB13EE"/>
    <w:rsid w:val="00FB1644"/>
    <w:rsid w:val="00FB1728"/>
    <w:rsid w:val="00FB1820"/>
    <w:rsid w:val="00FB188F"/>
    <w:rsid w:val="00FB1A02"/>
    <w:rsid w:val="00FB1A92"/>
    <w:rsid w:val="00FB1B6A"/>
    <w:rsid w:val="00FB1C07"/>
    <w:rsid w:val="00FB1C9E"/>
    <w:rsid w:val="00FB1DCC"/>
    <w:rsid w:val="00FB1EFB"/>
    <w:rsid w:val="00FB20E9"/>
    <w:rsid w:val="00FB226E"/>
    <w:rsid w:val="00FB240F"/>
    <w:rsid w:val="00FB244A"/>
    <w:rsid w:val="00FB24C1"/>
    <w:rsid w:val="00FB2585"/>
    <w:rsid w:val="00FB2774"/>
    <w:rsid w:val="00FB28B6"/>
    <w:rsid w:val="00FB2A79"/>
    <w:rsid w:val="00FB2F80"/>
    <w:rsid w:val="00FB316F"/>
    <w:rsid w:val="00FB3301"/>
    <w:rsid w:val="00FB355F"/>
    <w:rsid w:val="00FB359A"/>
    <w:rsid w:val="00FB3845"/>
    <w:rsid w:val="00FB3989"/>
    <w:rsid w:val="00FB399C"/>
    <w:rsid w:val="00FB3AF3"/>
    <w:rsid w:val="00FB3BE5"/>
    <w:rsid w:val="00FB3C35"/>
    <w:rsid w:val="00FB3FDE"/>
    <w:rsid w:val="00FB41E0"/>
    <w:rsid w:val="00FB4267"/>
    <w:rsid w:val="00FB4395"/>
    <w:rsid w:val="00FB43F4"/>
    <w:rsid w:val="00FB4654"/>
    <w:rsid w:val="00FB4B84"/>
    <w:rsid w:val="00FB4D96"/>
    <w:rsid w:val="00FB4DE3"/>
    <w:rsid w:val="00FB5135"/>
    <w:rsid w:val="00FB53F1"/>
    <w:rsid w:val="00FB5414"/>
    <w:rsid w:val="00FB54A9"/>
    <w:rsid w:val="00FB572E"/>
    <w:rsid w:val="00FB5A5C"/>
    <w:rsid w:val="00FB5CE4"/>
    <w:rsid w:val="00FB60C2"/>
    <w:rsid w:val="00FB613E"/>
    <w:rsid w:val="00FB61DF"/>
    <w:rsid w:val="00FB630F"/>
    <w:rsid w:val="00FB6344"/>
    <w:rsid w:val="00FB6744"/>
    <w:rsid w:val="00FB6844"/>
    <w:rsid w:val="00FB68BC"/>
    <w:rsid w:val="00FB69A2"/>
    <w:rsid w:val="00FB6B7F"/>
    <w:rsid w:val="00FB6D73"/>
    <w:rsid w:val="00FB6E57"/>
    <w:rsid w:val="00FB6FC7"/>
    <w:rsid w:val="00FB70BF"/>
    <w:rsid w:val="00FB7229"/>
    <w:rsid w:val="00FB7245"/>
    <w:rsid w:val="00FB72AF"/>
    <w:rsid w:val="00FB7346"/>
    <w:rsid w:val="00FB73B5"/>
    <w:rsid w:val="00FB7485"/>
    <w:rsid w:val="00FB77F0"/>
    <w:rsid w:val="00FB7AEA"/>
    <w:rsid w:val="00FB7B12"/>
    <w:rsid w:val="00FB7FF0"/>
    <w:rsid w:val="00FC01BC"/>
    <w:rsid w:val="00FC0250"/>
    <w:rsid w:val="00FC0345"/>
    <w:rsid w:val="00FC0380"/>
    <w:rsid w:val="00FC040C"/>
    <w:rsid w:val="00FC05D4"/>
    <w:rsid w:val="00FC07A1"/>
    <w:rsid w:val="00FC09A1"/>
    <w:rsid w:val="00FC0C57"/>
    <w:rsid w:val="00FC0EB6"/>
    <w:rsid w:val="00FC1117"/>
    <w:rsid w:val="00FC152A"/>
    <w:rsid w:val="00FC1672"/>
    <w:rsid w:val="00FC17B0"/>
    <w:rsid w:val="00FC1926"/>
    <w:rsid w:val="00FC1AA9"/>
    <w:rsid w:val="00FC1E6B"/>
    <w:rsid w:val="00FC1F6C"/>
    <w:rsid w:val="00FC27E1"/>
    <w:rsid w:val="00FC29DC"/>
    <w:rsid w:val="00FC2C19"/>
    <w:rsid w:val="00FC2DA2"/>
    <w:rsid w:val="00FC2E39"/>
    <w:rsid w:val="00FC2F7E"/>
    <w:rsid w:val="00FC2FDF"/>
    <w:rsid w:val="00FC309E"/>
    <w:rsid w:val="00FC34B9"/>
    <w:rsid w:val="00FC3593"/>
    <w:rsid w:val="00FC36FE"/>
    <w:rsid w:val="00FC3844"/>
    <w:rsid w:val="00FC3888"/>
    <w:rsid w:val="00FC3C25"/>
    <w:rsid w:val="00FC3CE0"/>
    <w:rsid w:val="00FC3E62"/>
    <w:rsid w:val="00FC3E91"/>
    <w:rsid w:val="00FC3F45"/>
    <w:rsid w:val="00FC4004"/>
    <w:rsid w:val="00FC4055"/>
    <w:rsid w:val="00FC405B"/>
    <w:rsid w:val="00FC4134"/>
    <w:rsid w:val="00FC42FF"/>
    <w:rsid w:val="00FC4378"/>
    <w:rsid w:val="00FC439B"/>
    <w:rsid w:val="00FC43B2"/>
    <w:rsid w:val="00FC43E8"/>
    <w:rsid w:val="00FC4619"/>
    <w:rsid w:val="00FC47EF"/>
    <w:rsid w:val="00FC52D9"/>
    <w:rsid w:val="00FC53F4"/>
    <w:rsid w:val="00FC5916"/>
    <w:rsid w:val="00FC5975"/>
    <w:rsid w:val="00FC5980"/>
    <w:rsid w:val="00FC59C8"/>
    <w:rsid w:val="00FC5A24"/>
    <w:rsid w:val="00FC5C56"/>
    <w:rsid w:val="00FC5DC1"/>
    <w:rsid w:val="00FC5F99"/>
    <w:rsid w:val="00FC615C"/>
    <w:rsid w:val="00FC61CE"/>
    <w:rsid w:val="00FC627F"/>
    <w:rsid w:val="00FC630F"/>
    <w:rsid w:val="00FC633D"/>
    <w:rsid w:val="00FC658E"/>
    <w:rsid w:val="00FC672D"/>
    <w:rsid w:val="00FC693F"/>
    <w:rsid w:val="00FC6ABA"/>
    <w:rsid w:val="00FC6DD5"/>
    <w:rsid w:val="00FC6DF6"/>
    <w:rsid w:val="00FC6E39"/>
    <w:rsid w:val="00FC6E69"/>
    <w:rsid w:val="00FC6F55"/>
    <w:rsid w:val="00FC7195"/>
    <w:rsid w:val="00FC71C7"/>
    <w:rsid w:val="00FC765C"/>
    <w:rsid w:val="00FC76CB"/>
    <w:rsid w:val="00FC76F2"/>
    <w:rsid w:val="00FC77D0"/>
    <w:rsid w:val="00FC79EB"/>
    <w:rsid w:val="00FC7EF5"/>
    <w:rsid w:val="00FC7F3B"/>
    <w:rsid w:val="00FD038A"/>
    <w:rsid w:val="00FD04F4"/>
    <w:rsid w:val="00FD06ED"/>
    <w:rsid w:val="00FD07B4"/>
    <w:rsid w:val="00FD0895"/>
    <w:rsid w:val="00FD08D6"/>
    <w:rsid w:val="00FD08FE"/>
    <w:rsid w:val="00FD0B1B"/>
    <w:rsid w:val="00FD0D26"/>
    <w:rsid w:val="00FD0E87"/>
    <w:rsid w:val="00FD0F0A"/>
    <w:rsid w:val="00FD1158"/>
    <w:rsid w:val="00FD1180"/>
    <w:rsid w:val="00FD1237"/>
    <w:rsid w:val="00FD1392"/>
    <w:rsid w:val="00FD1664"/>
    <w:rsid w:val="00FD17AE"/>
    <w:rsid w:val="00FD194A"/>
    <w:rsid w:val="00FD1CA3"/>
    <w:rsid w:val="00FD1D55"/>
    <w:rsid w:val="00FD1D9D"/>
    <w:rsid w:val="00FD2178"/>
    <w:rsid w:val="00FD2205"/>
    <w:rsid w:val="00FD22A9"/>
    <w:rsid w:val="00FD2688"/>
    <w:rsid w:val="00FD26DB"/>
    <w:rsid w:val="00FD28AB"/>
    <w:rsid w:val="00FD28DA"/>
    <w:rsid w:val="00FD2964"/>
    <w:rsid w:val="00FD2A87"/>
    <w:rsid w:val="00FD2AF3"/>
    <w:rsid w:val="00FD2E90"/>
    <w:rsid w:val="00FD2FD7"/>
    <w:rsid w:val="00FD3096"/>
    <w:rsid w:val="00FD3424"/>
    <w:rsid w:val="00FD3482"/>
    <w:rsid w:val="00FD34A9"/>
    <w:rsid w:val="00FD3783"/>
    <w:rsid w:val="00FD3A6A"/>
    <w:rsid w:val="00FD3B92"/>
    <w:rsid w:val="00FD3BC6"/>
    <w:rsid w:val="00FD3C0A"/>
    <w:rsid w:val="00FD3C17"/>
    <w:rsid w:val="00FD3C29"/>
    <w:rsid w:val="00FD3CCB"/>
    <w:rsid w:val="00FD3CFD"/>
    <w:rsid w:val="00FD45A6"/>
    <w:rsid w:val="00FD49CC"/>
    <w:rsid w:val="00FD4ADA"/>
    <w:rsid w:val="00FD4B59"/>
    <w:rsid w:val="00FD4DAE"/>
    <w:rsid w:val="00FD4F8B"/>
    <w:rsid w:val="00FD5088"/>
    <w:rsid w:val="00FD5093"/>
    <w:rsid w:val="00FD515F"/>
    <w:rsid w:val="00FD53DE"/>
    <w:rsid w:val="00FD542A"/>
    <w:rsid w:val="00FD5501"/>
    <w:rsid w:val="00FD5504"/>
    <w:rsid w:val="00FD5511"/>
    <w:rsid w:val="00FD56CF"/>
    <w:rsid w:val="00FD56DE"/>
    <w:rsid w:val="00FD576B"/>
    <w:rsid w:val="00FD584D"/>
    <w:rsid w:val="00FD58A1"/>
    <w:rsid w:val="00FD5903"/>
    <w:rsid w:val="00FD59BA"/>
    <w:rsid w:val="00FD5F30"/>
    <w:rsid w:val="00FD62EB"/>
    <w:rsid w:val="00FD6367"/>
    <w:rsid w:val="00FD65EA"/>
    <w:rsid w:val="00FD66CB"/>
    <w:rsid w:val="00FD6806"/>
    <w:rsid w:val="00FD68B2"/>
    <w:rsid w:val="00FD6AD9"/>
    <w:rsid w:val="00FD6C5A"/>
    <w:rsid w:val="00FD6C9E"/>
    <w:rsid w:val="00FD6E3A"/>
    <w:rsid w:val="00FD6E90"/>
    <w:rsid w:val="00FD7006"/>
    <w:rsid w:val="00FD76A2"/>
    <w:rsid w:val="00FD77FC"/>
    <w:rsid w:val="00FD783B"/>
    <w:rsid w:val="00FD78FF"/>
    <w:rsid w:val="00FD796C"/>
    <w:rsid w:val="00FD7F14"/>
    <w:rsid w:val="00FE016D"/>
    <w:rsid w:val="00FE01F5"/>
    <w:rsid w:val="00FE0343"/>
    <w:rsid w:val="00FE0372"/>
    <w:rsid w:val="00FE087B"/>
    <w:rsid w:val="00FE087C"/>
    <w:rsid w:val="00FE09AE"/>
    <w:rsid w:val="00FE09C8"/>
    <w:rsid w:val="00FE0DDE"/>
    <w:rsid w:val="00FE115F"/>
    <w:rsid w:val="00FE128F"/>
    <w:rsid w:val="00FE16E0"/>
    <w:rsid w:val="00FE19C5"/>
    <w:rsid w:val="00FE1C41"/>
    <w:rsid w:val="00FE1C66"/>
    <w:rsid w:val="00FE1D43"/>
    <w:rsid w:val="00FE1FB0"/>
    <w:rsid w:val="00FE20BC"/>
    <w:rsid w:val="00FE2131"/>
    <w:rsid w:val="00FE2534"/>
    <w:rsid w:val="00FE2575"/>
    <w:rsid w:val="00FE2766"/>
    <w:rsid w:val="00FE2839"/>
    <w:rsid w:val="00FE2BE7"/>
    <w:rsid w:val="00FE318A"/>
    <w:rsid w:val="00FE327D"/>
    <w:rsid w:val="00FE33C6"/>
    <w:rsid w:val="00FE3580"/>
    <w:rsid w:val="00FE3725"/>
    <w:rsid w:val="00FE3835"/>
    <w:rsid w:val="00FE384F"/>
    <w:rsid w:val="00FE3903"/>
    <w:rsid w:val="00FE3B01"/>
    <w:rsid w:val="00FE3D37"/>
    <w:rsid w:val="00FE3D45"/>
    <w:rsid w:val="00FE3EBD"/>
    <w:rsid w:val="00FE3F99"/>
    <w:rsid w:val="00FE41A2"/>
    <w:rsid w:val="00FE41D6"/>
    <w:rsid w:val="00FE46E1"/>
    <w:rsid w:val="00FE474B"/>
    <w:rsid w:val="00FE4777"/>
    <w:rsid w:val="00FE47B5"/>
    <w:rsid w:val="00FE48AD"/>
    <w:rsid w:val="00FE4E9B"/>
    <w:rsid w:val="00FE50DD"/>
    <w:rsid w:val="00FE5224"/>
    <w:rsid w:val="00FE525A"/>
    <w:rsid w:val="00FE5333"/>
    <w:rsid w:val="00FE55BE"/>
    <w:rsid w:val="00FE5681"/>
    <w:rsid w:val="00FE56DD"/>
    <w:rsid w:val="00FE56DF"/>
    <w:rsid w:val="00FE56E1"/>
    <w:rsid w:val="00FE57AC"/>
    <w:rsid w:val="00FE5A69"/>
    <w:rsid w:val="00FE5B1A"/>
    <w:rsid w:val="00FE5B7A"/>
    <w:rsid w:val="00FE6358"/>
    <w:rsid w:val="00FE6E15"/>
    <w:rsid w:val="00FE729C"/>
    <w:rsid w:val="00FE731D"/>
    <w:rsid w:val="00FE732C"/>
    <w:rsid w:val="00FE75CA"/>
    <w:rsid w:val="00FE7668"/>
    <w:rsid w:val="00FE77D5"/>
    <w:rsid w:val="00FE77E9"/>
    <w:rsid w:val="00FE791E"/>
    <w:rsid w:val="00FE7BC7"/>
    <w:rsid w:val="00FE7C58"/>
    <w:rsid w:val="00FE7DDE"/>
    <w:rsid w:val="00FE7EE0"/>
    <w:rsid w:val="00FE7F9A"/>
    <w:rsid w:val="00FF0206"/>
    <w:rsid w:val="00FF0231"/>
    <w:rsid w:val="00FF0236"/>
    <w:rsid w:val="00FF02EF"/>
    <w:rsid w:val="00FF0331"/>
    <w:rsid w:val="00FF036C"/>
    <w:rsid w:val="00FF0430"/>
    <w:rsid w:val="00FF04F6"/>
    <w:rsid w:val="00FF08EE"/>
    <w:rsid w:val="00FF09CB"/>
    <w:rsid w:val="00FF0A22"/>
    <w:rsid w:val="00FF0C89"/>
    <w:rsid w:val="00FF0EE8"/>
    <w:rsid w:val="00FF126F"/>
    <w:rsid w:val="00FF129F"/>
    <w:rsid w:val="00FF12A0"/>
    <w:rsid w:val="00FF156C"/>
    <w:rsid w:val="00FF17C8"/>
    <w:rsid w:val="00FF1A95"/>
    <w:rsid w:val="00FF1AAE"/>
    <w:rsid w:val="00FF1AFB"/>
    <w:rsid w:val="00FF1EDA"/>
    <w:rsid w:val="00FF1FCD"/>
    <w:rsid w:val="00FF1FF0"/>
    <w:rsid w:val="00FF20A9"/>
    <w:rsid w:val="00FF2170"/>
    <w:rsid w:val="00FF244B"/>
    <w:rsid w:val="00FF2803"/>
    <w:rsid w:val="00FF292D"/>
    <w:rsid w:val="00FF2970"/>
    <w:rsid w:val="00FF2C31"/>
    <w:rsid w:val="00FF2DB0"/>
    <w:rsid w:val="00FF2E11"/>
    <w:rsid w:val="00FF2E35"/>
    <w:rsid w:val="00FF2E43"/>
    <w:rsid w:val="00FF2F8B"/>
    <w:rsid w:val="00FF3036"/>
    <w:rsid w:val="00FF3332"/>
    <w:rsid w:val="00FF3355"/>
    <w:rsid w:val="00FF3380"/>
    <w:rsid w:val="00FF33D3"/>
    <w:rsid w:val="00FF3437"/>
    <w:rsid w:val="00FF34F5"/>
    <w:rsid w:val="00FF3825"/>
    <w:rsid w:val="00FF3896"/>
    <w:rsid w:val="00FF399D"/>
    <w:rsid w:val="00FF3D6F"/>
    <w:rsid w:val="00FF3DD8"/>
    <w:rsid w:val="00FF3E4C"/>
    <w:rsid w:val="00FF3EB2"/>
    <w:rsid w:val="00FF3F98"/>
    <w:rsid w:val="00FF3F9B"/>
    <w:rsid w:val="00FF3FE8"/>
    <w:rsid w:val="00FF4011"/>
    <w:rsid w:val="00FF402D"/>
    <w:rsid w:val="00FF40CD"/>
    <w:rsid w:val="00FF415A"/>
    <w:rsid w:val="00FF4246"/>
    <w:rsid w:val="00FF42F4"/>
    <w:rsid w:val="00FF4392"/>
    <w:rsid w:val="00FF43A4"/>
    <w:rsid w:val="00FF4768"/>
    <w:rsid w:val="00FF47C4"/>
    <w:rsid w:val="00FF481F"/>
    <w:rsid w:val="00FF4847"/>
    <w:rsid w:val="00FF48CB"/>
    <w:rsid w:val="00FF494B"/>
    <w:rsid w:val="00FF4987"/>
    <w:rsid w:val="00FF53DC"/>
    <w:rsid w:val="00FF5624"/>
    <w:rsid w:val="00FF5772"/>
    <w:rsid w:val="00FF598F"/>
    <w:rsid w:val="00FF5E90"/>
    <w:rsid w:val="00FF608E"/>
    <w:rsid w:val="00FF6133"/>
    <w:rsid w:val="00FF6148"/>
    <w:rsid w:val="00FF615E"/>
    <w:rsid w:val="00FF63AE"/>
    <w:rsid w:val="00FF693F"/>
    <w:rsid w:val="00FF6993"/>
    <w:rsid w:val="00FF6B56"/>
    <w:rsid w:val="00FF6C63"/>
    <w:rsid w:val="00FF6DC4"/>
    <w:rsid w:val="00FF6E28"/>
    <w:rsid w:val="00FF70B3"/>
    <w:rsid w:val="00FF7686"/>
    <w:rsid w:val="00FF78F0"/>
    <w:rsid w:val="00FF79A3"/>
    <w:rsid w:val="00FF7C98"/>
    <w:rsid w:val="00FF7E64"/>
    <w:rsid w:val="00FF7E74"/>
    <w:rsid w:val="01065638"/>
    <w:rsid w:val="010671D2"/>
    <w:rsid w:val="010EF410"/>
    <w:rsid w:val="010F7A38"/>
    <w:rsid w:val="01195163"/>
    <w:rsid w:val="01195CE5"/>
    <w:rsid w:val="0125FD79"/>
    <w:rsid w:val="012BEA7E"/>
    <w:rsid w:val="01342E4D"/>
    <w:rsid w:val="013AE652"/>
    <w:rsid w:val="01427E2F"/>
    <w:rsid w:val="014350AF"/>
    <w:rsid w:val="01483C05"/>
    <w:rsid w:val="014C240E"/>
    <w:rsid w:val="014D08C8"/>
    <w:rsid w:val="014D8CFE"/>
    <w:rsid w:val="014E52B9"/>
    <w:rsid w:val="01504AA8"/>
    <w:rsid w:val="015203FC"/>
    <w:rsid w:val="0155E74A"/>
    <w:rsid w:val="015A008F"/>
    <w:rsid w:val="016FFB21"/>
    <w:rsid w:val="017AAA8B"/>
    <w:rsid w:val="017C2026"/>
    <w:rsid w:val="0180FC54"/>
    <w:rsid w:val="01827D71"/>
    <w:rsid w:val="01845B92"/>
    <w:rsid w:val="01991694"/>
    <w:rsid w:val="019DE80E"/>
    <w:rsid w:val="01A36337"/>
    <w:rsid w:val="01A9155F"/>
    <w:rsid w:val="01AD1B73"/>
    <w:rsid w:val="01B383E9"/>
    <w:rsid w:val="01B78EF4"/>
    <w:rsid w:val="01C345EC"/>
    <w:rsid w:val="01C6DF44"/>
    <w:rsid w:val="01CBBF87"/>
    <w:rsid w:val="01CDD5D8"/>
    <w:rsid w:val="01D09DC3"/>
    <w:rsid w:val="01D37F1F"/>
    <w:rsid w:val="01D6BB88"/>
    <w:rsid w:val="01E1976B"/>
    <w:rsid w:val="01E864BE"/>
    <w:rsid w:val="01EBA5C8"/>
    <w:rsid w:val="01F10D21"/>
    <w:rsid w:val="01F5E0EF"/>
    <w:rsid w:val="01F91202"/>
    <w:rsid w:val="01FB4EF0"/>
    <w:rsid w:val="01FCC1FA"/>
    <w:rsid w:val="01FEE93C"/>
    <w:rsid w:val="020077A4"/>
    <w:rsid w:val="020401CF"/>
    <w:rsid w:val="0211A5DB"/>
    <w:rsid w:val="021B99C0"/>
    <w:rsid w:val="02220E90"/>
    <w:rsid w:val="0223A024"/>
    <w:rsid w:val="022FAECE"/>
    <w:rsid w:val="0230A3DC"/>
    <w:rsid w:val="02346F3E"/>
    <w:rsid w:val="0234F688"/>
    <w:rsid w:val="023A8245"/>
    <w:rsid w:val="02468B13"/>
    <w:rsid w:val="024F43C8"/>
    <w:rsid w:val="025287DF"/>
    <w:rsid w:val="0257E540"/>
    <w:rsid w:val="0266ED62"/>
    <w:rsid w:val="026ABDA5"/>
    <w:rsid w:val="026CC990"/>
    <w:rsid w:val="026DB55C"/>
    <w:rsid w:val="026E5862"/>
    <w:rsid w:val="026FC314"/>
    <w:rsid w:val="02750C9D"/>
    <w:rsid w:val="0276632F"/>
    <w:rsid w:val="0277D775"/>
    <w:rsid w:val="0279DA80"/>
    <w:rsid w:val="027CE82E"/>
    <w:rsid w:val="0280245A"/>
    <w:rsid w:val="02891186"/>
    <w:rsid w:val="028B429F"/>
    <w:rsid w:val="029C3710"/>
    <w:rsid w:val="029F6982"/>
    <w:rsid w:val="02A436FD"/>
    <w:rsid w:val="02A7A15A"/>
    <w:rsid w:val="02AB3EA4"/>
    <w:rsid w:val="02B60F08"/>
    <w:rsid w:val="02B9439E"/>
    <w:rsid w:val="02BC328B"/>
    <w:rsid w:val="02BE6390"/>
    <w:rsid w:val="02CB5098"/>
    <w:rsid w:val="02D935B6"/>
    <w:rsid w:val="02E3E377"/>
    <w:rsid w:val="02E7C3D9"/>
    <w:rsid w:val="02EDCE66"/>
    <w:rsid w:val="02F46E2F"/>
    <w:rsid w:val="02FC76AA"/>
    <w:rsid w:val="030CE5DB"/>
    <w:rsid w:val="030DC2DA"/>
    <w:rsid w:val="030E3434"/>
    <w:rsid w:val="0312AB57"/>
    <w:rsid w:val="03285085"/>
    <w:rsid w:val="032D23E0"/>
    <w:rsid w:val="033CFD5A"/>
    <w:rsid w:val="0344BCC4"/>
    <w:rsid w:val="0348CE18"/>
    <w:rsid w:val="034DF64C"/>
    <w:rsid w:val="035602E5"/>
    <w:rsid w:val="03670E10"/>
    <w:rsid w:val="036B2B19"/>
    <w:rsid w:val="0370CF46"/>
    <w:rsid w:val="037DDDEA"/>
    <w:rsid w:val="03832A34"/>
    <w:rsid w:val="0383FA44"/>
    <w:rsid w:val="039758E0"/>
    <w:rsid w:val="0398E64B"/>
    <w:rsid w:val="03A206DF"/>
    <w:rsid w:val="03A2558A"/>
    <w:rsid w:val="03A4C15A"/>
    <w:rsid w:val="03A57FAD"/>
    <w:rsid w:val="03AEE272"/>
    <w:rsid w:val="03AF2916"/>
    <w:rsid w:val="03B0B9D1"/>
    <w:rsid w:val="03B136CD"/>
    <w:rsid w:val="03B3AF7C"/>
    <w:rsid w:val="03BE9D2B"/>
    <w:rsid w:val="03C2CDFF"/>
    <w:rsid w:val="03C662A4"/>
    <w:rsid w:val="03CA16A1"/>
    <w:rsid w:val="03D5A7CA"/>
    <w:rsid w:val="03D6062F"/>
    <w:rsid w:val="03DB328A"/>
    <w:rsid w:val="03DCD4A1"/>
    <w:rsid w:val="03DD6E5D"/>
    <w:rsid w:val="03E44B8C"/>
    <w:rsid w:val="03E769A4"/>
    <w:rsid w:val="03E93DD7"/>
    <w:rsid w:val="03F02340"/>
    <w:rsid w:val="03F0B863"/>
    <w:rsid w:val="03F4432B"/>
    <w:rsid w:val="04063B6C"/>
    <w:rsid w:val="040C0CEC"/>
    <w:rsid w:val="040C7874"/>
    <w:rsid w:val="041227F6"/>
    <w:rsid w:val="0417F57B"/>
    <w:rsid w:val="041C36A6"/>
    <w:rsid w:val="041D5E52"/>
    <w:rsid w:val="042BA07D"/>
    <w:rsid w:val="043F2306"/>
    <w:rsid w:val="0442B078"/>
    <w:rsid w:val="044D6F79"/>
    <w:rsid w:val="044F4B93"/>
    <w:rsid w:val="04539DE9"/>
    <w:rsid w:val="0453DC0F"/>
    <w:rsid w:val="04544791"/>
    <w:rsid w:val="0457771D"/>
    <w:rsid w:val="046882A8"/>
    <w:rsid w:val="0471EF9C"/>
    <w:rsid w:val="0472F24C"/>
    <w:rsid w:val="047638F6"/>
    <w:rsid w:val="047BA0C6"/>
    <w:rsid w:val="04832D15"/>
    <w:rsid w:val="04850DEE"/>
    <w:rsid w:val="0485E54F"/>
    <w:rsid w:val="048ADB33"/>
    <w:rsid w:val="048D06B7"/>
    <w:rsid w:val="0490B691"/>
    <w:rsid w:val="0491F23E"/>
    <w:rsid w:val="04953FE0"/>
    <w:rsid w:val="0495802A"/>
    <w:rsid w:val="04961961"/>
    <w:rsid w:val="049D4F5C"/>
    <w:rsid w:val="04A263E7"/>
    <w:rsid w:val="04A2FC5B"/>
    <w:rsid w:val="04A33322"/>
    <w:rsid w:val="04A43E1F"/>
    <w:rsid w:val="04A4FCC3"/>
    <w:rsid w:val="04AA1EE5"/>
    <w:rsid w:val="04AF0A84"/>
    <w:rsid w:val="04BCE36E"/>
    <w:rsid w:val="04C4CE63"/>
    <w:rsid w:val="04C4CFF9"/>
    <w:rsid w:val="04CD0CC9"/>
    <w:rsid w:val="04D053EC"/>
    <w:rsid w:val="04D64835"/>
    <w:rsid w:val="04D86CCD"/>
    <w:rsid w:val="04DC311B"/>
    <w:rsid w:val="04E009B5"/>
    <w:rsid w:val="04E99A81"/>
    <w:rsid w:val="04EC1B87"/>
    <w:rsid w:val="05025727"/>
    <w:rsid w:val="0503655E"/>
    <w:rsid w:val="0514F78B"/>
    <w:rsid w:val="0516CE99"/>
    <w:rsid w:val="0517E049"/>
    <w:rsid w:val="0519D0CA"/>
    <w:rsid w:val="0521816C"/>
    <w:rsid w:val="05251F37"/>
    <w:rsid w:val="052796F9"/>
    <w:rsid w:val="0534721D"/>
    <w:rsid w:val="053E04FE"/>
    <w:rsid w:val="053F3ACB"/>
    <w:rsid w:val="0542F6C6"/>
    <w:rsid w:val="0545013D"/>
    <w:rsid w:val="05510917"/>
    <w:rsid w:val="055236BF"/>
    <w:rsid w:val="055992C5"/>
    <w:rsid w:val="055A120C"/>
    <w:rsid w:val="055EC4E2"/>
    <w:rsid w:val="0568CC21"/>
    <w:rsid w:val="056C390F"/>
    <w:rsid w:val="0570A558"/>
    <w:rsid w:val="0570C224"/>
    <w:rsid w:val="05722995"/>
    <w:rsid w:val="057344AA"/>
    <w:rsid w:val="0578A596"/>
    <w:rsid w:val="057C4ED1"/>
    <w:rsid w:val="057D1717"/>
    <w:rsid w:val="0583B23B"/>
    <w:rsid w:val="0589A48E"/>
    <w:rsid w:val="058D832F"/>
    <w:rsid w:val="058FC1D6"/>
    <w:rsid w:val="05916279"/>
    <w:rsid w:val="0592B480"/>
    <w:rsid w:val="059468E1"/>
    <w:rsid w:val="059A7FF9"/>
    <w:rsid w:val="059AC111"/>
    <w:rsid w:val="059D4D53"/>
    <w:rsid w:val="05A17042"/>
    <w:rsid w:val="05A6668E"/>
    <w:rsid w:val="05A66A56"/>
    <w:rsid w:val="05ACE6B9"/>
    <w:rsid w:val="05AD0219"/>
    <w:rsid w:val="05AF1390"/>
    <w:rsid w:val="05AFAC72"/>
    <w:rsid w:val="05B0BAD9"/>
    <w:rsid w:val="05BB94F4"/>
    <w:rsid w:val="05BBFD33"/>
    <w:rsid w:val="05BE7860"/>
    <w:rsid w:val="05C7222D"/>
    <w:rsid w:val="05CF0973"/>
    <w:rsid w:val="05CFD641"/>
    <w:rsid w:val="05D52374"/>
    <w:rsid w:val="05D82568"/>
    <w:rsid w:val="05D8C613"/>
    <w:rsid w:val="05D9CFCC"/>
    <w:rsid w:val="05DAA251"/>
    <w:rsid w:val="05E80D8B"/>
    <w:rsid w:val="05EB2CDE"/>
    <w:rsid w:val="05EEE10C"/>
    <w:rsid w:val="05EF9090"/>
    <w:rsid w:val="05FE00ED"/>
    <w:rsid w:val="060112DE"/>
    <w:rsid w:val="0602A586"/>
    <w:rsid w:val="060BD26D"/>
    <w:rsid w:val="060D98DD"/>
    <w:rsid w:val="060F5BD3"/>
    <w:rsid w:val="06118951"/>
    <w:rsid w:val="061CD527"/>
    <w:rsid w:val="061D5D01"/>
    <w:rsid w:val="0624CD7F"/>
    <w:rsid w:val="0625092B"/>
    <w:rsid w:val="0628EB46"/>
    <w:rsid w:val="06336558"/>
    <w:rsid w:val="06338A65"/>
    <w:rsid w:val="0634158F"/>
    <w:rsid w:val="0634D1ED"/>
    <w:rsid w:val="0640E1E0"/>
    <w:rsid w:val="0641BCE3"/>
    <w:rsid w:val="06430F15"/>
    <w:rsid w:val="0658C5DF"/>
    <w:rsid w:val="06625AB8"/>
    <w:rsid w:val="0664897A"/>
    <w:rsid w:val="06652F0F"/>
    <w:rsid w:val="06659BD9"/>
    <w:rsid w:val="067B4C9C"/>
    <w:rsid w:val="068C5B36"/>
    <w:rsid w:val="068FD2F4"/>
    <w:rsid w:val="0690269F"/>
    <w:rsid w:val="06984553"/>
    <w:rsid w:val="06A58B9C"/>
    <w:rsid w:val="06A7B6DA"/>
    <w:rsid w:val="06B89AA0"/>
    <w:rsid w:val="06BE7BE0"/>
    <w:rsid w:val="06C0DD51"/>
    <w:rsid w:val="06C3BDB7"/>
    <w:rsid w:val="06C6E104"/>
    <w:rsid w:val="06CAD27B"/>
    <w:rsid w:val="06CB225F"/>
    <w:rsid w:val="06CC8405"/>
    <w:rsid w:val="06D3B9E9"/>
    <w:rsid w:val="06DCB56E"/>
    <w:rsid w:val="06E61029"/>
    <w:rsid w:val="06E76CF2"/>
    <w:rsid w:val="06F045E2"/>
    <w:rsid w:val="06FAA36A"/>
    <w:rsid w:val="06FBF3A4"/>
    <w:rsid w:val="06FD1861"/>
    <w:rsid w:val="06FD6147"/>
    <w:rsid w:val="06FDD62D"/>
    <w:rsid w:val="07083D45"/>
    <w:rsid w:val="070A1FC2"/>
    <w:rsid w:val="070E4901"/>
    <w:rsid w:val="071003D6"/>
    <w:rsid w:val="071091F4"/>
    <w:rsid w:val="072905E5"/>
    <w:rsid w:val="072DA101"/>
    <w:rsid w:val="072EEB18"/>
    <w:rsid w:val="07306AE6"/>
    <w:rsid w:val="0731B886"/>
    <w:rsid w:val="074514A0"/>
    <w:rsid w:val="07486446"/>
    <w:rsid w:val="074B7F8B"/>
    <w:rsid w:val="0753F0CB"/>
    <w:rsid w:val="0757689B"/>
    <w:rsid w:val="075847EA"/>
    <w:rsid w:val="0769C8C6"/>
    <w:rsid w:val="076BCA25"/>
    <w:rsid w:val="0772AFF9"/>
    <w:rsid w:val="07753AE5"/>
    <w:rsid w:val="077DA4CB"/>
    <w:rsid w:val="0781E2FC"/>
    <w:rsid w:val="078DE91E"/>
    <w:rsid w:val="07927B9A"/>
    <w:rsid w:val="07969F93"/>
    <w:rsid w:val="0799A3F0"/>
    <w:rsid w:val="079C0AC7"/>
    <w:rsid w:val="079DB5CE"/>
    <w:rsid w:val="07A19C34"/>
    <w:rsid w:val="07A4CEDB"/>
    <w:rsid w:val="07A8AB19"/>
    <w:rsid w:val="07AD20DD"/>
    <w:rsid w:val="07B76CEC"/>
    <w:rsid w:val="07B85167"/>
    <w:rsid w:val="07BEE514"/>
    <w:rsid w:val="07BF0AFB"/>
    <w:rsid w:val="07CCFA29"/>
    <w:rsid w:val="07D2DAAB"/>
    <w:rsid w:val="07D7A155"/>
    <w:rsid w:val="07D7B854"/>
    <w:rsid w:val="07D8CF1A"/>
    <w:rsid w:val="07D8D6BE"/>
    <w:rsid w:val="07DA2D2E"/>
    <w:rsid w:val="07DB68B7"/>
    <w:rsid w:val="07E154A0"/>
    <w:rsid w:val="07E4EE5F"/>
    <w:rsid w:val="07E56C75"/>
    <w:rsid w:val="07E75F94"/>
    <w:rsid w:val="07EA7D0A"/>
    <w:rsid w:val="07EE3E83"/>
    <w:rsid w:val="07EE9D90"/>
    <w:rsid w:val="07F45E1B"/>
    <w:rsid w:val="07F7F2AC"/>
    <w:rsid w:val="08003E8A"/>
    <w:rsid w:val="080B5525"/>
    <w:rsid w:val="080B619E"/>
    <w:rsid w:val="0819B104"/>
    <w:rsid w:val="0822ACDB"/>
    <w:rsid w:val="082CC26A"/>
    <w:rsid w:val="082CE7FA"/>
    <w:rsid w:val="0843F9FC"/>
    <w:rsid w:val="08493985"/>
    <w:rsid w:val="084FC457"/>
    <w:rsid w:val="08543A61"/>
    <w:rsid w:val="085599F1"/>
    <w:rsid w:val="0858D3C7"/>
    <w:rsid w:val="0864D8EA"/>
    <w:rsid w:val="087F6597"/>
    <w:rsid w:val="087FD2D4"/>
    <w:rsid w:val="08836F1F"/>
    <w:rsid w:val="088DF37D"/>
    <w:rsid w:val="089002D4"/>
    <w:rsid w:val="089154F9"/>
    <w:rsid w:val="0891E4D6"/>
    <w:rsid w:val="089224ED"/>
    <w:rsid w:val="0894AA5E"/>
    <w:rsid w:val="0897D4DB"/>
    <w:rsid w:val="08A53256"/>
    <w:rsid w:val="08A62CB4"/>
    <w:rsid w:val="08ABA164"/>
    <w:rsid w:val="08B1DE04"/>
    <w:rsid w:val="08B292CD"/>
    <w:rsid w:val="08B43F38"/>
    <w:rsid w:val="08B618F0"/>
    <w:rsid w:val="08BA33DB"/>
    <w:rsid w:val="08D08CDE"/>
    <w:rsid w:val="08D704F9"/>
    <w:rsid w:val="08E60CFA"/>
    <w:rsid w:val="08E9062F"/>
    <w:rsid w:val="08EFED86"/>
    <w:rsid w:val="08F10527"/>
    <w:rsid w:val="08F2AEAB"/>
    <w:rsid w:val="08F534F5"/>
    <w:rsid w:val="08F9BD1E"/>
    <w:rsid w:val="08FAEB11"/>
    <w:rsid w:val="08FD34A9"/>
    <w:rsid w:val="08FEFEDF"/>
    <w:rsid w:val="0900297D"/>
    <w:rsid w:val="090551D0"/>
    <w:rsid w:val="090D1B5C"/>
    <w:rsid w:val="090FCC9E"/>
    <w:rsid w:val="09157776"/>
    <w:rsid w:val="091C8222"/>
    <w:rsid w:val="091D1EAD"/>
    <w:rsid w:val="092A0790"/>
    <w:rsid w:val="092B809B"/>
    <w:rsid w:val="092CF2F6"/>
    <w:rsid w:val="092D4CF3"/>
    <w:rsid w:val="0932A4CC"/>
    <w:rsid w:val="0934B9F3"/>
    <w:rsid w:val="0935D4D6"/>
    <w:rsid w:val="0947B5BD"/>
    <w:rsid w:val="094E60C4"/>
    <w:rsid w:val="094FF30E"/>
    <w:rsid w:val="0951AC56"/>
    <w:rsid w:val="09539276"/>
    <w:rsid w:val="0966F079"/>
    <w:rsid w:val="09796CBB"/>
    <w:rsid w:val="097CA5C4"/>
    <w:rsid w:val="097EE9E6"/>
    <w:rsid w:val="09828053"/>
    <w:rsid w:val="0994AE9E"/>
    <w:rsid w:val="099A9335"/>
    <w:rsid w:val="09AB4AFA"/>
    <w:rsid w:val="09AFE235"/>
    <w:rsid w:val="09B5975E"/>
    <w:rsid w:val="09B9C856"/>
    <w:rsid w:val="09BA9E90"/>
    <w:rsid w:val="09BB646D"/>
    <w:rsid w:val="09CA02AE"/>
    <w:rsid w:val="09CB1592"/>
    <w:rsid w:val="09D5330D"/>
    <w:rsid w:val="09E33CF2"/>
    <w:rsid w:val="09E5A9B3"/>
    <w:rsid w:val="09E8BBFE"/>
    <w:rsid w:val="09EE4E5E"/>
    <w:rsid w:val="09F64AE8"/>
    <w:rsid w:val="09FA173A"/>
    <w:rsid w:val="09FA6EA0"/>
    <w:rsid w:val="09FC2D97"/>
    <w:rsid w:val="09FF6922"/>
    <w:rsid w:val="0A02ADA9"/>
    <w:rsid w:val="0A043288"/>
    <w:rsid w:val="0A09BFFD"/>
    <w:rsid w:val="0A1103B7"/>
    <w:rsid w:val="0A1F330B"/>
    <w:rsid w:val="0A275580"/>
    <w:rsid w:val="0A290A30"/>
    <w:rsid w:val="0A29D0C7"/>
    <w:rsid w:val="0A2C177D"/>
    <w:rsid w:val="0A2DB2ED"/>
    <w:rsid w:val="0A32A2F6"/>
    <w:rsid w:val="0A362FD5"/>
    <w:rsid w:val="0A3C0BB3"/>
    <w:rsid w:val="0A462D69"/>
    <w:rsid w:val="0A49E161"/>
    <w:rsid w:val="0A4E5A98"/>
    <w:rsid w:val="0A4F6FC3"/>
    <w:rsid w:val="0A527E73"/>
    <w:rsid w:val="0A563F8A"/>
    <w:rsid w:val="0A5BEB9D"/>
    <w:rsid w:val="0A6299BC"/>
    <w:rsid w:val="0A724FCD"/>
    <w:rsid w:val="0A7B9D66"/>
    <w:rsid w:val="0A8059A4"/>
    <w:rsid w:val="0A88B7A0"/>
    <w:rsid w:val="0A97B848"/>
    <w:rsid w:val="0AA5FB9E"/>
    <w:rsid w:val="0AA8A0B1"/>
    <w:rsid w:val="0AB15027"/>
    <w:rsid w:val="0AB34C82"/>
    <w:rsid w:val="0ABB27C3"/>
    <w:rsid w:val="0AC3B75C"/>
    <w:rsid w:val="0AC97426"/>
    <w:rsid w:val="0ACF3310"/>
    <w:rsid w:val="0AD11F65"/>
    <w:rsid w:val="0AD1281A"/>
    <w:rsid w:val="0AD3C47C"/>
    <w:rsid w:val="0AD77118"/>
    <w:rsid w:val="0AD9E78E"/>
    <w:rsid w:val="0ADB27DB"/>
    <w:rsid w:val="0ADD9FA0"/>
    <w:rsid w:val="0AEF196E"/>
    <w:rsid w:val="0AF15FBD"/>
    <w:rsid w:val="0AF1B33D"/>
    <w:rsid w:val="0AFA09FA"/>
    <w:rsid w:val="0AFF4E37"/>
    <w:rsid w:val="0B0DB290"/>
    <w:rsid w:val="0B0E8BBB"/>
    <w:rsid w:val="0B14B889"/>
    <w:rsid w:val="0B1F9D20"/>
    <w:rsid w:val="0B25F94E"/>
    <w:rsid w:val="0B2BC111"/>
    <w:rsid w:val="0B2C4D2B"/>
    <w:rsid w:val="0B3055A7"/>
    <w:rsid w:val="0B32B0B7"/>
    <w:rsid w:val="0B34CE19"/>
    <w:rsid w:val="0B3B97DB"/>
    <w:rsid w:val="0B3E6081"/>
    <w:rsid w:val="0B3F03D6"/>
    <w:rsid w:val="0B414BBC"/>
    <w:rsid w:val="0B431C9B"/>
    <w:rsid w:val="0B4C07F8"/>
    <w:rsid w:val="0B4C0D02"/>
    <w:rsid w:val="0B5AF4C6"/>
    <w:rsid w:val="0B5BF168"/>
    <w:rsid w:val="0B5EE66C"/>
    <w:rsid w:val="0B5F53A5"/>
    <w:rsid w:val="0B60B1F0"/>
    <w:rsid w:val="0B6B426E"/>
    <w:rsid w:val="0B6F9B79"/>
    <w:rsid w:val="0B72ACD7"/>
    <w:rsid w:val="0B8095BF"/>
    <w:rsid w:val="0B80E82D"/>
    <w:rsid w:val="0B90C25B"/>
    <w:rsid w:val="0B96E678"/>
    <w:rsid w:val="0B9DED4F"/>
    <w:rsid w:val="0BA1D34D"/>
    <w:rsid w:val="0BA3D944"/>
    <w:rsid w:val="0BA6666E"/>
    <w:rsid w:val="0BA86CD8"/>
    <w:rsid w:val="0BA8C9D1"/>
    <w:rsid w:val="0BAB423E"/>
    <w:rsid w:val="0BC0630D"/>
    <w:rsid w:val="0BC3A2FE"/>
    <w:rsid w:val="0BC4D848"/>
    <w:rsid w:val="0BCCD03B"/>
    <w:rsid w:val="0BD8D56D"/>
    <w:rsid w:val="0BDFDEC3"/>
    <w:rsid w:val="0BEC72BB"/>
    <w:rsid w:val="0BEFA4B2"/>
    <w:rsid w:val="0C068E67"/>
    <w:rsid w:val="0C0789D1"/>
    <w:rsid w:val="0C0F84CA"/>
    <w:rsid w:val="0C116008"/>
    <w:rsid w:val="0C1184F1"/>
    <w:rsid w:val="0C14D211"/>
    <w:rsid w:val="0C1D9159"/>
    <w:rsid w:val="0C22DCA4"/>
    <w:rsid w:val="0C2C0552"/>
    <w:rsid w:val="0C362FDF"/>
    <w:rsid w:val="0C39E725"/>
    <w:rsid w:val="0C3D8307"/>
    <w:rsid w:val="0C426EB7"/>
    <w:rsid w:val="0C441F0B"/>
    <w:rsid w:val="0C46C8FD"/>
    <w:rsid w:val="0C4A9971"/>
    <w:rsid w:val="0C4ADAFB"/>
    <w:rsid w:val="0C5289A3"/>
    <w:rsid w:val="0C54429A"/>
    <w:rsid w:val="0C54A925"/>
    <w:rsid w:val="0C54B347"/>
    <w:rsid w:val="0C592838"/>
    <w:rsid w:val="0C5F5B32"/>
    <w:rsid w:val="0C61049C"/>
    <w:rsid w:val="0C6589AF"/>
    <w:rsid w:val="0C676F32"/>
    <w:rsid w:val="0C67D5A2"/>
    <w:rsid w:val="0C69C324"/>
    <w:rsid w:val="0C6F1DB3"/>
    <w:rsid w:val="0C703612"/>
    <w:rsid w:val="0C76775B"/>
    <w:rsid w:val="0C7870E5"/>
    <w:rsid w:val="0C7D4089"/>
    <w:rsid w:val="0C82E4DB"/>
    <w:rsid w:val="0C8CA124"/>
    <w:rsid w:val="0C923338"/>
    <w:rsid w:val="0C9F8DCF"/>
    <w:rsid w:val="0CB319AA"/>
    <w:rsid w:val="0CB4292C"/>
    <w:rsid w:val="0CB6B41D"/>
    <w:rsid w:val="0CB73DA1"/>
    <w:rsid w:val="0CBB717E"/>
    <w:rsid w:val="0CBE52AB"/>
    <w:rsid w:val="0CC126DC"/>
    <w:rsid w:val="0CC96A5D"/>
    <w:rsid w:val="0CD269DD"/>
    <w:rsid w:val="0CEEC28C"/>
    <w:rsid w:val="0CF86248"/>
    <w:rsid w:val="0CF92C8D"/>
    <w:rsid w:val="0D02056E"/>
    <w:rsid w:val="0D0734C1"/>
    <w:rsid w:val="0D093473"/>
    <w:rsid w:val="0D0DDBF9"/>
    <w:rsid w:val="0D0F8352"/>
    <w:rsid w:val="0D12B9D1"/>
    <w:rsid w:val="0D183912"/>
    <w:rsid w:val="0D1852EA"/>
    <w:rsid w:val="0D1A1816"/>
    <w:rsid w:val="0D20CD2B"/>
    <w:rsid w:val="0D22BD37"/>
    <w:rsid w:val="0D244E37"/>
    <w:rsid w:val="0D27D97E"/>
    <w:rsid w:val="0D32831B"/>
    <w:rsid w:val="0D33E299"/>
    <w:rsid w:val="0D3A8950"/>
    <w:rsid w:val="0D4648E3"/>
    <w:rsid w:val="0D46F0E2"/>
    <w:rsid w:val="0D4BF989"/>
    <w:rsid w:val="0D4ED461"/>
    <w:rsid w:val="0D514BB9"/>
    <w:rsid w:val="0D53D29C"/>
    <w:rsid w:val="0D626018"/>
    <w:rsid w:val="0D632B9D"/>
    <w:rsid w:val="0D6373F7"/>
    <w:rsid w:val="0D648CCA"/>
    <w:rsid w:val="0D79699B"/>
    <w:rsid w:val="0D7CAF2C"/>
    <w:rsid w:val="0D83E379"/>
    <w:rsid w:val="0D88038A"/>
    <w:rsid w:val="0D8D3BAA"/>
    <w:rsid w:val="0DA5FAE9"/>
    <w:rsid w:val="0DB7240C"/>
    <w:rsid w:val="0DB8BDB7"/>
    <w:rsid w:val="0DC0C9BA"/>
    <w:rsid w:val="0DC3AB7D"/>
    <w:rsid w:val="0DC96B35"/>
    <w:rsid w:val="0DD8B7A6"/>
    <w:rsid w:val="0DDB6AC7"/>
    <w:rsid w:val="0DE431B2"/>
    <w:rsid w:val="0DE62EDC"/>
    <w:rsid w:val="0DE75502"/>
    <w:rsid w:val="0DE85BB9"/>
    <w:rsid w:val="0DE9BF3B"/>
    <w:rsid w:val="0DED98ED"/>
    <w:rsid w:val="0DEF2E0E"/>
    <w:rsid w:val="0DEFC5B0"/>
    <w:rsid w:val="0DF0B351"/>
    <w:rsid w:val="0DF17832"/>
    <w:rsid w:val="0DF5D737"/>
    <w:rsid w:val="0DF99EF2"/>
    <w:rsid w:val="0E02D9B8"/>
    <w:rsid w:val="0E07EE9F"/>
    <w:rsid w:val="0E0A2F57"/>
    <w:rsid w:val="0E0C0F26"/>
    <w:rsid w:val="0E0CA32D"/>
    <w:rsid w:val="0E151158"/>
    <w:rsid w:val="0E27B86A"/>
    <w:rsid w:val="0E280850"/>
    <w:rsid w:val="0E30B68C"/>
    <w:rsid w:val="0E3FFE8D"/>
    <w:rsid w:val="0E42E79E"/>
    <w:rsid w:val="0E45CB1A"/>
    <w:rsid w:val="0E4D7FFD"/>
    <w:rsid w:val="0E4DD9FD"/>
    <w:rsid w:val="0E55C7C0"/>
    <w:rsid w:val="0E5609D2"/>
    <w:rsid w:val="0E575642"/>
    <w:rsid w:val="0E57C98D"/>
    <w:rsid w:val="0E5E3FEA"/>
    <w:rsid w:val="0E5F766D"/>
    <w:rsid w:val="0E7F4EA7"/>
    <w:rsid w:val="0E7FDF36"/>
    <w:rsid w:val="0E811B03"/>
    <w:rsid w:val="0E83DD12"/>
    <w:rsid w:val="0E873C93"/>
    <w:rsid w:val="0E87A7BB"/>
    <w:rsid w:val="0E88ED9C"/>
    <w:rsid w:val="0E8BF68D"/>
    <w:rsid w:val="0E8C8636"/>
    <w:rsid w:val="0E90ED71"/>
    <w:rsid w:val="0E9431B2"/>
    <w:rsid w:val="0E94E5EE"/>
    <w:rsid w:val="0E94E724"/>
    <w:rsid w:val="0E988C45"/>
    <w:rsid w:val="0E9F3274"/>
    <w:rsid w:val="0EA4AB14"/>
    <w:rsid w:val="0EADD874"/>
    <w:rsid w:val="0EB5F896"/>
    <w:rsid w:val="0EB6D91A"/>
    <w:rsid w:val="0EB7EDED"/>
    <w:rsid w:val="0EB8B1EA"/>
    <w:rsid w:val="0EBA7121"/>
    <w:rsid w:val="0EBB9E3C"/>
    <w:rsid w:val="0ED3A6D1"/>
    <w:rsid w:val="0EDBBF01"/>
    <w:rsid w:val="0EDFDDB7"/>
    <w:rsid w:val="0EE0647B"/>
    <w:rsid w:val="0EE1B27E"/>
    <w:rsid w:val="0EE50AA4"/>
    <w:rsid w:val="0EE677B9"/>
    <w:rsid w:val="0EEC5F23"/>
    <w:rsid w:val="0EF14CFC"/>
    <w:rsid w:val="0EF5EEE5"/>
    <w:rsid w:val="0EFCE708"/>
    <w:rsid w:val="0EFD6109"/>
    <w:rsid w:val="0F0FC4EC"/>
    <w:rsid w:val="0F1C9D35"/>
    <w:rsid w:val="0F2139CE"/>
    <w:rsid w:val="0F3E931B"/>
    <w:rsid w:val="0F499BCC"/>
    <w:rsid w:val="0F4D38AE"/>
    <w:rsid w:val="0F503E2C"/>
    <w:rsid w:val="0F53CA44"/>
    <w:rsid w:val="0F565D35"/>
    <w:rsid w:val="0F58F702"/>
    <w:rsid w:val="0F5A80AA"/>
    <w:rsid w:val="0F5F6C98"/>
    <w:rsid w:val="0F653B96"/>
    <w:rsid w:val="0F6C5A32"/>
    <w:rsid w:val="0F6DEE1D"/>
    <w:rsid w:val="0F708845"/>
    <w:rsid w:val="0F7D9EFC"/>
    <w:rsid w:val="0F89C04E"/>
    <w:rsid w:val="0F8AB7DF"/>
    <w:rsid w:val="0F8D517A"/>
    <w:rsid w:val="0F8E39E2"/>
    <w:rsid w:val="0FA06E93"/>
    <w:rsid w:val="0FA48D7B"/>
    <w:rsid w:val="0FA4E7FF"/>
    <w:rsid w:val="0FA5D464"/>
    <w:rsid w:val="0FA60A87"/>
    <w:rsid w:val="0FAFEBCA"/>
    <w:rsid w:val="0FB4A3C8"/>
    <w:rsid w:val="0FB7237E"/>
    <w:rsid w:val="0FC52910"/>
    <w:rsid w:val="0FC90914"/>
    <w:rsid w:val="0FC98D8E"/>
    <w:rsid w:val="0FCCD564"/>
    <w:rsid w:val="0FCF4649"/>
    <w:rsid w:val="0FDEEEB7"/>
    <w:rsid w:val="0FE5612B"/>
    <w:rsid w:val="0FE70F87"/>
    <w:rsid w:val="0FEAFB9B"/>
    <w:rsid w:val="0FEF9AB2"/>
    <w:rsid w:val="0FF194E9"/>
    <w:rsid w:val="0FF5957A"/>
    <w:rsid w:val="0FF5A7BB"/>
    <w:rsid w:val="1000CE4E"/>
    <w:rsid w:val="1005F0CA"/>
    <w:rsid w:val="1019AFB8"/>
    <w:rsid w:val="10230867"/>
    <w:rsid w:val="1026F4A9"/>
    <w:rsid w:val="1027F330"/>
    <w:rsid w:val="102B4207"/>
    <w:rsid w:val="102F1A53"/>
    <w:rsid w:val="10371ECE"/>
    <w:rsid w:val="10514DC7"/>
    <w:rsid w:val="1056A6A1"/>
    <w:rsid w:val="105E221D"/>
    <w:rsid w:val="105F7CD0"/>
    <w:rsid w:val="106293B1"/>
    <w:rsid w:val="10632927"/>
    <w:rsid w:val="10661343"/>
    <w:rsid w:val="106EAD6A"/>
    <w:rsid w:val="10712C03"/>
    <w:rsid w:val="1077AAF5"/>
    <w:rsid w:val="1080A219"/>
    <w:rsid w:val="1081DB15"/>
    <w:rsid w:val="108837AA"/>
    <w:rsid w:val="108DE2BC"/>
    <w:rsid w:val="109606E6"/>
    <w:rsid w:val="109A4217"/>
    <w:rsid w:val="109F8461"/>
    <w:rsid w:val="10A80BBF"/>
    <w:rsid w:val="10A89523"/>
    <w:rsid w:val="10A9E87E"/>
    <w:rsid w:val="10B46CD9"/>
    <w:rsid w:val="10BA884E"/>
    <w:rsid w:val="10D30E8A"/>
    <w:rsid w:val="10D31149"/>
    <w:rsid w:val="10D7C626"/>
    <w:rsid w:val="10DED9A9"/>
    <w:rsid w:val="10E08D07"/>
    <w:rsid w:val="10E8C0E7"/>
    <w:rsid w:val="10EA1B14"/>
    <w:rsid w:val="10ECF7AD"/>
    <w:rsid w:val="10ED1491"/>
    <w:rsid w:val="10ED9143"/>
    <w:rsid w:val="10F58C24"/>
    <w:rsid w:val="10F6A681"/>
    <w:rsid w:val="10FA519F"/>
    <w:rsid w:val="10FC9751"/>
    <w:rsid w:val="11007092"/>
    <w:rsid w:val="11010BF7"/>
    <w:rsid w:val="110E988E"/>
    <w:rsid w:val="1119CAC5"/>
    <w:rsid w:val="111B6690"/>
    <w:rsid w:val="111F1296"/>
    <w:rsid w:val="11201873"/>
    <w:rsid w:val="11274141"/>
    <w:rsid w:val="1127F6ED"/>
    <w:rsid w:val="112A0A43"/>
    <w:rsid w:val="112EF07B"/>
    <w:rsid w:val="1135D637"/>
    <w:rsid w:val="114165F4"/>
    <w:rsid w:val="11468896"/>
    <w:rsid w:val="11480C80"/>
    <w:rsid w:val="115401BB"/>
    <w:rsid w:val="1166067C"/>
    <w:rsid w:val="116D738E"/>
    <w:rsid w:val="116F43E1"/>
    <w:rsid w:val="1176F359"/>
    <w:rsid w:val="1178D09E"/>
    <w:rsid w:val="117D1985"/>
    <w:rsid w:val="11886D05"/>
    <w:rsid w:val="119377FF"/>
    <w:rsid w:val="119F5D07"/>
    <w:rsid w:val="11AAFEEC"/>
    <w:rsid w:val="11BDD942"/>
    <w:rsid w:val="11C89E8A"/>
    <w:rsid w:val="11CD04AA"/>
    <w:rsid w:val="11D97C35"/>
    <w:rsid w:val="11DAE8C2"/>
    <w:rsid w:val="11DDE22C"/>
    <w:rsid w:val="11DE717E"/>
    <w:rsid w:val="11E2C7B2"/>
    <w:rsid w:val="11E35F57"/>
    <w:rsid w:val="11E64942"/>
    <w:rsid w:val="11EB71E4"/>
    <w:rsid w:val="11EB7222"/>
    <w:rsid w:val="11EBA607"/>
    <w:rsid w:val="11F6EB08"/>
    <w:rsid w:val="11FBBCEF"/>
    <w:rsid w:val="11FE98C7"/>
    <w:rsid w:val="11FEA662"/>
    <w:rsid w:val="11FF63E1"/>
    <w:rsid w:val="12089022"/>
    <w:rsid w:val="120A6E03"/>
    <w:rsid w:val="120B339C"/>
    <w:rsid w:val="120F8F72"/>
    <w:rsid w:val="120FE5E1"/>
    <w:rsid w:val="121F7782"/>
    <w:rsid w:val="12237AEE"/>
    <w:rsid w:val="1226B62F"/>
    <w:rsid w:val="1229C987"/>
    <w:rsid w:val="122F806B"/>
    <w:rsid w:val="123093C8"/>
    <w:rsid w:val="12309A44"/>
    <w:rsid w:val="1232390D"/>
    <w:rsid w:val="12333ED2"/>
    <w:rsid w:val="12346C0C"/>
    <w:rsid w:val="1238F4C3"/>
    <w:rsid w:val="1241594B"/>
    <w:rsid w:val="12442830"/>
    <w:rsid w:val="124A43E9"/>
    <w:rsid w:val="124B119F"/>
    <w:rsid w:val="124D9913"/>
    <w:rsid w:val="1251F9C9"/>
    <w:rsid w:val="1252F668"/>
    <w:rsid w:val="1257D57F"/>
    <w:rsid w:val="125A4262"/>
    <w:rsid w:val="12620AD7"/>
    <w:rsid w:val="1265A683"/>
    <w:rsid w:val="1268C4F9"/>
    <w:rsid w:val="12697139"/>
    <w:rsid w:val="126E5CC2"/>
    <w:rsid w:val="1271DB49"/>
    <w:rsid w:val="1276B494"/>
    <w:rsid w:val="12790A88"/>
    <w:rsid w:val="127E3F85"/>
    <w:rsid w:val="128714E7"/>
    <w:rsid w:val="1289FCA5"/>
    <w:rsid w:val="128D91B2"/>
    <w:rsid w:val="1290C9A8"/>
    <w:rsid w:val="1292B348"/>
    <w:rsid w:val="129F1A38"/>
    <w:rsid w:val="12A97A28"/>
    <w:rsid w:val="12B3E26B"/>
    <w:rsid w:val="12B83DA4"/>
    <w:rsid w:val="12BC05A5"/>
    <w:rsid w:val="12BF1211"/>
    <w:rsid w:val="12C1DFD1"/>
    <w:rsid w:val="12C86EB9"/>
    <w:rsid w:val="12D4C294"/>
    <w:rsid w:val="12D7B593"/>
    <w:rsid w:val="12E176A3"/>
    <w:rsid w:val="12E4726A"/>
    <w:rsid w:val="12E5FB81"/>
    <w:rsid w:val="12F80C82"/>
    <w:rsid w:val="12F9A95C"/>
    <w:rsid w:val="13012E50"/>
    <w:rsid w:val="130A66A3"/>
    <w:rsid w:val="130E6CC8"/>
    <w:rsid w:val="13110485"/>
    <w:rsid w:val="13131559"/>
    <w:rsid w:val="1318ECC7"/>
    <w:rsid w:val="131DAA99"/>
    <w:rsid w:val="131DCEC9"/>
    <w:rsid w:val="13209F2B"/>
    <w:rsid w:val="132656D5"/>
    <w:rsid w:val="132C969B"/>
    <w:rsid w:val="13303890"/>
    <w:rsid w:val="1331AF81"/>
    <w:rsid w:val="1336A7E0"/>
    <w:rsid w:val="133B9158"/>
    <w:rsid w:val="1343FEE3"/>
    <w:rsid w:val="1346E9C7"/>
    <w:rsid w:val="13475053"/>
    <w:rsid w:val="134AFDA3"/>
    <w:rsid w:val="13527875"/>
    <w:rsid w:val="1355BD31"/>
    <w:rsid w:val="135D08EF"/>
    <w:rsid w:val="135E09AF"/>
    <w:rsid w:val="13636D7E"/>
    <w:rsid w:val="13643E9F"/>
    <w:rsid w:val="1365961A"/>
    <w:rsid w:val="1372A2D0"/>
    <w:rsid w:val="1380CE2C"/>
    <w:rsid w:val="13831D14"/>
    <w:rsid w:val="1386CBFB"/>
    <w:rsid w:val="138C80BF"/>
    <w:rsid w:val="1393ED6F"/>
    <w:rsid w:val="13A02EE5"/>
    <w:rsid w:val="13A8D0C7"/>
    <w:rsid w:val="13B89AB0"/>
    <w:rsid w:val="13BDF5BD"/>
    <w:rsid w:val="13C18F67"/>
    <w:rsid w:val="13C1E4C6"/>
    <w:rsid w:val="13C3B788"/>
    <w:rsid w:val="13C77DA9"/>
    <w:rsid w:val="13D6FCAD"/>
    <w:rsid w:val="13DD29AC"/>
    <w:rsid w:val="13E0A4E1"/>
    <w:rsid w:val="13E3D495"/>
    <w:rsid w:val="13E721F1"/>
    <w:rsid w:val="13F4CAAF"/>
    <w:rsid w:val="13FCA85D"/>
    <w:rsid w:val="14068CB8"/>
    <w:rsid w:val="14086A5D"/>
    <w:rsid w:val="140970E7"/>
    <w:rsid w:val="140C4C1E"/>
    <w:rsid w:val="140D9529"/>
    <w:rsid w:val="140FBC23"/>
    <w:rsid w:val="1429949E"/>
    <w:rsid w:val="14314853"/>
    <w:rsid w:val="14336269"/>
    <w:rsid w:val="143E7F86"/>
    <w:rsid w:val="144440AE"/>
    <w:rsid w:val="14553331"/>
    <w:rsid w:val="1462998D"/>
    <w:rsid w:val="146A657D"/>
    <w:rsid w:val="146B2A48"/>
    <w:rsid w:val="146C655F"/>
    <w:rsid w:val="146DF72D"/>
    <w:rsid w:val="14747AAF"/>
    <w:rsid w:val="147C9A0B"/>
    <w:rsid w:val="14853173"/>
    <w:rsid w:val="148D0B3D"/>
    <w:rsid w:val="148E1BDC"/>
    <w:rsid w:val="149181DA"/>
    <w:rsid w:val="1491F5BF"/>
    <w:rsid w:val="14946F1B"/>
    <w:rsid w:val="149882B4"/>
    <w:rsid w:val="14BB6CCC"/>
    <w:rsid w:val="14BBBE3B"/>
    <w:rsid w:val="14BD8D34"/>
    <w:rsid w:val="14C64F4C"/>
    <w:rsid w:val="14CA4BA8"/>
    <w:rsid w:val="14CC0EE1"/>
    <w:rsid w:val="14E21892"/>
    <w:rsid w:val="14E407A3"/>
    <w:rsid w:val="14E4352F"/>
    <w:rsid w:val="14E57B0F"/>
    <w:rsid w:val="14E7F2DA"/>
    <w:rsid w:val="14EF6BF3"/>
    <w:rsid w:val="14F2CA5C"/>
    <w:rsid w:val="14F562AF"/>
    <w:rsid w:val="14FB34F5"/>
    <w:rsid w:val="14FBF4CB"/>
    <w:rsid w:val="14FE00D6"/>
    <w:rsid w:val="1505E846"/>
    <w:rsid w:val="15094759"/>
    <w:rsid w:val="150E8464"/>
    <w:rsid w:val="1520A26B"/>
    <w:rsid w:val="152D814C"/>
    <w:rsid w:val="152E6E65"/>
    <w:rsid w:val="1530C661"/>
    <w:rsid w:val="1534F213"/>
    <w:rsid w:val="15388BB2"/>
    <w:rsid w:val="1539C80E"/>
    <w:rsid w:val="153BCD2C"/>
    <w:rsid w:val="153EE124"/>
    <w:rsid w:val="153F2F1C"/>
    <w:rsid w:val="154410B6"/>
    <w:rsid w:val="154557BA"/>
    <w:rsid w:val="15464182"/>
    <w:rsid w:val="1546EC39"/>
    <w:rsid w:val="154E9A03"/>
    <w:rsid w:val="155162DE"/>
    <w:rsid w:val="1552836D"/>
    <w:rsid w:val="155A0B51"/>
    <w:rsid w:val="155FCCCD"/>
    <w:rsid w:val="15633597"/>
    <w:rsid w:val="156E9130"/>
    <w:rsid w:val="15708A95"/>
    <w:rsid w:val="157286D1"/>
    <w:rsid w:val="1574570B"/>
    <w:rsid w:val="157FF5B2"/>
    <w:rsid w:val="1585D078"/>
    <w:rsid w:val="1588F679"/>
    <w:rsid w:val="158A1DD7"/>
    <w:rsid w:val="158A4EA9"/>
    <w:rsid w:val="15918711"/>
    <w:rsid w:val="15918A10"/>
    <w:rsid w:val="159EF8C5"/>
    <w:rsid w:val="15A1548D"/>
    <w:rsid w:val="15A22363"/>
    <w:rsid w:val="15A309AD"/>
    <w:rsid w:val="15A634F4"/>
    <w:rsid w:val="15B0A8AE"/>
    <w:rsid w:val="15B28680"/>
    <w:rsid w:val="15B54340"/>
    <w:rsid w:val="15C3EA07"/>
    <w:rsid w:val="15C82AF1"/>
    <w:rsid w:val="15C9064A"/>
    <w:rsid w:val="15C99350"/>
    <w:rsid w:val="15CED8AA"/>
    <w:rsid w:val="15CF9831"/>
    <w:rsid w:val="15DB70F5"/>
    <w:rsid w:val="15DD139B"/>
    <w:rsid w:val="15DFFE4A"/>
    <w:rsid w:val="15E05DF4"/>
    <w:rsid w:val="15F0E892"/>
    <w:rsid w:val="15F1A820"/>
    <w:rsid w:val="15F2A10D"/>
    <w:rsid w:val="15F33518"/>
    <w:rsid w:val="15F4EA3E"/>
    <w:rsid w:val="15F793E8"/>
    <w:rsid w:val="15FFF102"/>
    <w:rsid w:val="160D32A7"/>
    <w:rsid w:val="1610127C"/>
    <w:rsid w:val="16131E7D"/>
    <w:rsid w:val="162193F1"/>
    <w:rsid w:val="162849B8"/>
    <w:rsid w:val="1633BDFB"/>
    <w:rsid w:val="16442194"/>
    <w:rsid w:val="164BFF6F"/>
    <w:rsid w:val="164E28B0"/>
    <w:rsid w:val="16588BEF"/>
    <w:rsid w:val="165EB868"/>
    <w:rsid w:val="166152B6"/>
    <w:rsid w:val="1665D745"/>
    <w:rsid w:val="16673D0E"/>
    <w:rsid w:val="16689788"/>
    <w:rsid w:val="16785F66"/>
    <w:rsid w:val="1678D44E"/>
    <w:rsid w:val="167F23E6"/>
    <w:rsid w:val="168296CA"/>
    <w:rsid w:val="168449C8"/>
    <w:rsid w:val="168806D2"/>
    <w:rsid w:val="1688D9EA"/>
    <w:rsid w:val="168D34E0"/>
    <w:rsid w:val="168D81C1"/>
    <w:rsid w:val="168E5C84"/>
    <w:rsid w:val="1690B031"/>
    <w:rsid w:val="16AA54C5"/>
    <w:rsid w:val="16AC13D3"/>
    <w:rsid w:val="16AFADBA"/>
    <w:rsid w:val="16BE4C8A"/>
    <w:rsid w:val="16C36A18"/>
    <w:rsid w:val="16D170FE"/>
    <w:rsid w:val="16D7C780"/>
    <w:rsid w:val="16DD4991"/>
    <w:rsid w:val="16E34AF0"/>
    <w:rsid w:val="16F12DE0"/>
    <w:rsid w:val="16F1CF13"/>
    <w:rsid w:val="16F33A22"/>
    <w:rsid w:val="16F43F85"/>
    <w:rsid w:val="16F8754D"/>
    <w:rsid w:val="16F9E9F6"/>
    <w:rsid w:val="16FBE4D8"/>
    <w:rsid w:val="16FF1EF8"/>
    <w:rsid w:val="1705464F"/>
    <w:rsid w:val="170DB40B"/>
    <w:rsid w:val="170E6E2C"/>
    <w:rsid w:val="1717BE64"/>
    <w:rsid w:val="171C2C5F"/>
    <w:rsid w:val="171D4EF1"/>
    <w:rsid w:val="171E0478"/>
    <w:rsid w:val="1728A83A"/>
    <w:rsid w:val="172B671C"/>
    <w:rsid w:val="172C5EE9"/>
    <w:rsid w:val="1730B132"/>
    <w:rsid w:val="173B0886"/>
    <w:rsid w:val="1740F811"/>
    <w:rsid w:val="1748B379"/>
    <w:rsid w:val="174A6F55"/>
    <w:rsid w:val="174B05C6"/>
    <w:rsid w:val="174CACF6"/>
    <w:rsid w:val="174CAE56"/>
    <w:rsid w:val="175007EE"/>
    <w:rsid w:val="175608C0"/>
    <w:rsid w:val="176F0F1B"/>
    <w:rsid w:val="177041B5"/>
    <w:rsid w:val="17708040"/>
    <w:rsid w:val="1775C656"/>
    <w:rsid w:val="178FFCB5"/>
    <w:rsid w:val="17908C62"/>
    <w:rsid w:val="1790F99A"/>
    <w:rsid w:val="17A415CE"/>
    <w:rsid w:val="17A57DDF"/>
    <w:rsid w:val="17AA9585"/>
    <w:rsid w:val="17AAD103"/>
    <w:rsid w:val="17B5E353"/>
    <w:rsid w:val="17B818FA"/>
    <w:rsid w:val="17B93D52"/>
    <w:rsid w:val="17B97229"/>
    <w:rsid w:val="17C1E1AE"/>
    <w:rsid w:val="17D13E32"/>
    <w:rsid w:val="17D4A37A"/>
    <w:rsid w:val="17D585A4"/>
    <w:rsid w:val="17D5C63D"/>
    <w:rsid w:val="17E20D26"/>
    <w:rsid w:val="17E99D8E"/>
    <w:rsid w:val="17F8C68E"/>
    <w:rsid w:val="17FD3099"/>
    <w:rsid w:val="17FED6D3"/>
    <w:rsid w:val="18012B0D"/>
    <w:rsid w:val="18066112"/>
    <w:rsid w:val="18072C01"/>
    <w:rsid w:val="180A307C"/>
    <w:rsid w:val="180AD4CD"/>
    <w:rsid w:val="1811C170"/>
    <w:rsid w:val="182BDC41"/>
    <w:rsid w:val="1830C812"/>
    <w:rsid w:val="18317C59"/>
    <w:rsid w:val="1839108D"/>
    <w:rsid w:val="183EBAF4"/>
    <w:rsid w:val="18473AA9"/>
    <w:rsid w:val="18499006"/>
    <w:rsid w:val="184BEADB"/>
    <w:rsid w:val="184D475E"/>
    <w:rsid w:val="18574343"/>
    <w:rsid w:val="185D5CFE"/>
    <w:rsid w:val="186DD368"/>
    <w:rsid w:val="186E5E4F"/>
    <w:rsid w:val="187211AA"/>
    <w:rsid w:val="18791591"/>
    <w:rsid w:val="187A4AFA"/>
    <w:rsid w:val="18804E9C"/>
    <w:rsid w:val="18845F70"/>
    <w:rsid w:val="189B01D7"/>
    <w:rsid w:val="189ECA5E"/>
    <w:rsid w:val="18AA2793"/>
    <w:rsid w:val="18ABD291"/>
    <w:rsid w:val="18ABE0F5"/>
    <w:rsid w:val="18ADA848"/>
    <w:rsid w:val="18AE8005"/>
    <w:rsid w:val="18B544E4"/>
    <w:rsid w:val="18BFB47F"/>
    <w:rsid w:val="18D4EFB3"/>
    <w:rsid w:val="18D7D60E"/>
    <w:rsid w:val="18DD8506"/>
    <w:rsid w:val="18DF22E5"/>
    <w:rsid w:val="18E459AB"/>
    <w:rsid w:val="18E6EB9F"/>
    <w:rsid w:val="18E70888"/>
    <w:rsid w:val="18E8F393"/>
    <w:rsid w:val="18EF9853"/>
    <w:rsid w:val="18F1F481"/>
    <w:rsid w:val="18FA415F"/>
    <w:rsid w:val="18FF8710"/>
    <w:rsid w:val="1904715A"/>
    <w:rsid w:val="1913082A"/>
    <w:rsid w:val="1915A63B"/>
    <w:rsid w:val="1917C020"/>
    <w:rsid w:val="1917C31B"/>
    <w:rsid w:val="191C4E80"/>
    <w:rsid w:val="191F9F6A"/>
    <w:rsid w:val="1920CF04"/>
    <w:rsid w:val="1922CDBC"/>
    <w:rsid w:val="1922DEB7"/>
    <w:rsid w:val="1929B802"/>
    <w:rsid w:val="192EB3F0"/>
    <w:rsid w:val="193C66A3"/>
    <w:rsid w:val="193CB023"/>
    <w:rsid w:val="1948CE45"/>
    <w:rsid w:val="194CB878"/>
    <w:rsid w:val="194E518A"/>
    <w:rsid w:val="1950DE2B"/>
    <w:rsid w:val="19548F55"/>
    <w:rsid w:val="195EEAED"/>
    <w:rsid w:val="19699210"/>
    <w:rsid w:val="19699E15"/>
    <w:rsid w:val="197175DB"/>
    <w:rsid w:val="197580CC"/>
    <w:rsid w:val="197BF2E5"/>
    <w:rsid w:val="1988E22E"/>
    <w:rsid w:val="198AC9A3"/>
    <w:rsid w:val="1995BC78"/>
    <w:rsid w:val="199639A3"/>
    <w:rsid w:val="199A1D91"/>
    <w:rsid w:val="199ABD42"/>
    <w:rsid w:val="19A2FF1A"/>
    <w:rsid w:val="19ACDC44"/>
    <w:rsid w:val="19AE7E87"/>
    <w:rsid w:val="19BA3153"/>
    <w:rsid w:val="19C33727"/>
    <w:rsid w:val="19C3B221"/>
    <w:rsid w:val="19CCF266"/>
    <w:rsid w:val="19CFC11C"/>
    <w:rsid w:val="19DBB70A"/>
    <w:rsid w:val="19DDB627"/>
    <w:rsid w:val="19DFACE5"/>
    <w:rsid w:val="19E05491"/>
    <w:rsid w:val="19E8D5C2"/>
    <w:rsid w:val="19EA337A"/>
    <w:rsid w:val="19EEE9C6"/>
    <w:rsid w:val="19F08A96"/>
    <w:rsid w:val="19F13C0C"/>
    <w:rsid w:val="19FE4C2E"/>
    <w:rsid w:val="1A058F0A"/>
    <w:rsid w:val="1A0B619B"/>
    <w:rsid w:val="1A0CF36A"/>
    <w:rsid w:val="1A0E54D2"/>
    <w:rsid w:val="1A0EA55B"/>
    <w:rsid w:val="1A0F6842"/>
    <w:rsid w:val="1A10DEE0"/>
    <w:rsid w:val="1A1742ED"/>
    <w:rsid w:val="1A180A94"/>
    <w:rsid w:val="1A1A2263"/>
    <w:rsid w:val="1A1B52EC"/>
    <w:rsid w:val="1A1ED350"/>
    <w:rsid w:val="1A263D53"/>
    <w:rsid w:val="1A2697E8"/>
    <w:rsid w:val="1A297B4F"/>
    <w:rsid w:val="1A2D3A6D"/>
    <w:rsid w:val="1A2EF240"/>
    <w:rsid w:val="1A32BACA"/>
    <w:rsid w:val="1A349995"/>
    <w:rsid w:val="1A3BD2D3"/>
    <w:rsid w:val="1A3E66F9"/>
    <w:rsid w:val="1A3F1BC9"/>
    <w:rsid w:val="1A459DB5"/>
    <w:rsid w:val="1A46E360"/>
    <w:rsid w:val="1A4D07AA"/>
    <w:rsid w:val="1A4D962B"/>
    <w:rsid w:val="1A4E6F7E"/>
    <w:rsid w:val="1A53609E"/>
    <w:rsid w:val="1A5445B5"/>
    <w:rsid w:val="1A55AA4A"/>
    <w:rsid w:val="1A5843FB"/>
    <w:rsid w:val="1A5EA405"/>
    <w:rsid w:val="1A6197A3"/>
    <w:rsid w:val="1A646226"/>
    <w:rsid w:val="1A682971"/>
    <w:rsid w:val="1A6EA99C"/>
    <w:rsid w:val="1A6F691A"/>
    <w:rsid w:val="1A704E15"/>
    <w:rsid w:val="1A7537EC"/>
    <w:rsid w:val="1A78E9F5"/>
    <w:rsid w:val="1A8090D7"/>
    <w:rsid w:val="1A9FE271"/>
    <w:rsid w:val="1AA5F602"/>
    <w:rsid w:val="1AB14FB8"/>
    <w:rsid w:val="1AB62848"/>
    <w:rsid w:val="1AB971B8"/>
    <w:rsid w:val="1ABA232C"/>
    <w:rsid w:val="1ABA2EDB"/>
    <w:rsid w:val="1ABE8C24"/>
    <w:rsid w:val="1AC4B3B2"/>
    <w:rsid w:val="1AC79897"/>
    <w:rsid w:val="1AC8620B"/>
    <w:rsid w:val="1ACB01D2"/>
    <w:rsid w:val="1ACDDA2D"/>
    <w:rsid w:val="1ACF76E6"/>
    <w:rsid w:val="1ACFE3D4"/>
    <w:rsid w:val="1AEB2635"/>
    <w:rsid w:val="1AEC18EF"/>
    <w:rsid w:val="1AEEA0BA"/>
    <w:rsid w:val="1AFA8B1D"/>
    <w:rsid w:val="1AFF541F"/>
    <w:rsid w:val="1B0082C6"/>
    <w:rsid w:val="1B054BED"/>
    <w:rsid w:val="1B10D35D"/>
    <w:rsid w:val="1B18B9B6"/>
    <w:rsid w:val="1B1DFCA7"/>
    <w:rsid w:val="1B22AF5F"/>
    <w:rsid w:val="1B256663"/>
    <w:rsid w:val="1B282C93"/>
    <w:rsid w:val="1B2AD869"/>
    <w:rsid w:val="1B408254"/>
    <w:rsid w:val="1B4AD852"/>
    <w:rsid w:val="1B4C4340"/>
    <w:rsid w:val="1B583093"/>
    <w:rsid w:val="1B5FC72E"/>
    <w:rsid w:val="1B70660F"/>
    <w:rsid w:val="1B8065D5"/>
    <w:rsid w:val="1B838502"/>
    <w:rsid w:val="1B86C291"/>
    <w:rsid w:val="1B8C7F27"/>
    <w:rsid w:val="1B8D1B85"/>
    <w:rsid w:val="1B8D7363"/>
    <w:rsid w:val="1B963EA0"/>
    <w:rsid w:val="1BA4774F"/>
    <w:rsid w:val="1BA85375"/>
    <w:rsid w:val="1BAFC24C"/>
    <w:rsid w:val="1BB7D116"/>
    <w:rsid w:val="1BBF655D"/>
    <w:rsid w:val="1BC0DDD9"/>
    <w:rsid w:val="1BD38F1F"/>
    <w:rsid w:val="1BD8B772"/>
    <w:rsid w:val="1BDB6B58"/>
    <w:rsid w:val="1BDBB74B"/>
    <w:rsid w:val="1BE03B80"/>
    <w:rsid w:val="1BE0B8F8"/>
    <w:rsid w:val="1BE7CEA5"/>
    <w:rsid w:val="1BF21D4C"/>
    <w:rsid w:val="1BF31FFA"/>
    <w:rsid w:val="1C06058A"/>
    <w:rsid w:val="1C072087"/>
    <w:rsid w:val="1C245D71"/>
    <w:rsid w:val="1C26D10D"/>
    <w:rsid w:val="1C323F6F"/>
    <w:rsid w:val="1C4387E0"/>
    <w:rsid w:val="1C45F22D"/>
    <w:rsid w:val="1C519B10"/>
    <w:rsid w:val="1C58E243"/>
    <w:rsid w:val="1C625548"/>
    <w:rsid w:val="1C6A1E93"/>
    <w:rsid w:val="1C6DEB14"/>
    <w:rsid w:val="1C6FDB8F"/>
    <w:rsid w:val="1C766064"/>
    <w:rsid w:val="1C76B890"/>
    <w:rsid w:val="1C7BE2DD"/>
    <w:rsid w:val="1C84E67A"/>
    <w:rsid w:val="1C86F696"/>
    <w:rsid w:val="1C884BFE"/>
    <w:rsid w:val="1C8BD2B9"/>
    <w:rsid w:val="1C8BEB92"/>
    <w:rsid w:val="1C8C7108"/>
    <w:rsid w:val="1C971394"/>
    <w:rsid w:val="1C9927F2"/>
    <w:rsid w:val="1CA06636"/>
    <w:rsid w:val="1CA0B8EF"/>
    <w:rsid w:val="1CA2033D"/>
    <w:rsid w:val="1CAD1DCA"/>
    <w:rsid w:val="1CAD671D"/>
    <w:rsid w:val="1CB1B7AE"/>
    <w:rsid w:val="1CB649C5"/>
    <w:rsid w:val="1CB70BDD"/>
    <w:rsid w:val="1CC1DEED"/>
    <w:rsid w:val="1CC3C698"/>
    <w:rsid w:val="1CC6F263"/>
    <w:rsid w:val="1CCBAE56"/>
    <w:rsid w:val="1CDD8D38"/>
    <w:rsid w:val="1CEB0969"/>
    <w:rsid w:val="1CF604C1"/>
    <w:rsid w:val="1CFD6E62"/>
    <w:rsid w:val="1D00678D"/>
    <w:rsid w:val="1D035666"/>
    <w:rsid w:val="1D08B054"/>
    <w:rsid w:val="1D16E860"/>
    <w:rsid w:val="1D1D5B2A"/>
    <w:rsid w:val="1D237D03"/>
    <w:rsid w:val="1D23A31B"/>
    <w:rsid w:val="1D242D1D"/>
    <w:rsid w:val="1D2BDB5D"/>
    <w:rsid w:val="1D388348"/>
    <w:rsid w:val="1D3DFFD8"/>
    <w:rsid w:val="1D4DF48C"/>
    <w:rsid w:val="1D51E090"/>
    <w:rsid w:val="1D59D6EC"/>
    <w:rsid w:val="1D5A46F1"/>
    <w:rsid w:val="1D711DBA"/>
    <w:rsid w:val="1D727435"/>
    <w:rsid w:val="1D77D79D"/>
    <w:rsid w:val="1D7B538C"/>
    <w:rsid w:val="1D80D53A"/>
    <w:rsid w:val="1D83184E"/>
    <w:rsid w:val="1D8DB883"/>
    <w:rsid w:val="1D8E3FBC"/>
    <w:rsid w:val="1D93DA8A"/>
    <w:rsid w:val="1DA5CEA0"/>
    <w:rsid w:val="1DA7D4ED"/>
    <w:rsid w:val="1DABA6F6"/>
    <w:rsid w:val="1DAED0EC"/>
    <w:rsid w:val="1DB6477A"/>
    <w:rsid w:val="1DBAC2E2"/>
    <w:rsid w:val="1DC1A3B1"/>
    <w:rsid w:val="1DC666F5"/>
    <w:rsid w:val="1DC74D46"/>
    <w:rsid w:val="1DCCA446"/>
    <w:rsid w:val="1DD3D14E"/>
    <w:rsid w:val="1DD7FA98"/>
    <w:rsid w:val="1DE34454"/>
    <w:rsid w:val="1DE51EEF"/>
    <w:rsid w:val="1DE66152"/>
    <w:rsid w:val="1DE71C52"/>
    <w:rsid w:val="1DF344CC"/>
    <w:rsid w:val="1DF68765"/>
    <w:rsid w:val="1DFD48F8"/>
    <w:rsid w:val="1DFE3B10"/>
    <w:rsid w:val="1E028903"/>
    <w:rsid w:val="1E1CE0AF"/>
    <w:rsid w:val="1E24C94F"/>
    <w:rsid w:val="1E24F934"/>
    <w:rsid w:val="1E2FAF83"/>
    <w:rsid w:val="1E326C34"/>
    <w:rsid w:val="1E3EE2C8"/>
    <w:rsid w:val="1E416A0B"/>
    <w:rsid w:val="1E54AB6B"/>
    <w:rsid w:val="1E57C7E3"/>
    <w:rsid w:val="1E64C36D"/>
    <w:rsid w:val="1E6ECD2F"/>
    <w:rsid w:val="1E752F40"/>
    <w:rsid w:val="1E769B12"/>
    <w:rsid w:val="1E7828E3"/>
    <w:rsid w:val="1E7CC726"/>
    <w:rsid w:val="1E8192FB"/>
    <w:rsid w:val="1E8208E2"/>
    <w:rsid w:val="1E836BB8"/>
    <w:rsid w:val="1E8BA125"/>
    <w:rsid w:val="1E8BC6A8"/>
    <w:rsid w:val="1E8F395D"/>
    <w:rsid w:val="1E90AA29"/>
    <w:rsid w:val="1E9118A2"/>
    <w:rsid w:val="1E958E44"/>
    <w:rsid w:val="1EB87531"/>
    <w:rsid w:val="1EC11113"/>
    <w:rsid w:val="1EC32F2E"/>
    <w:rsid w:val="1ECAA0A5"/>
    <w:rsid w:val="1EDCFFF3"/>
    <w:rsid w:val="1EDFF684"/>
    <w:rsid w:val="1EE061D5"/>
    <w:rsid w:val="1EE82EDD"/>
    <w:rsid w:val="1EED3126"/>
    <w:rsid w:val="1EFA9326"/>
    <w:rsid w:val="1F0809F5"/>
    <w:rsid w:val="1F11140C"/>
    <w:rsid w:val="1F16D05C"/>
    <w:rsid w:val="1F23026A"/>
    <w:rsid w:val="1F2DB220"/>
    <w:rsid w:val="1F30F463"/>
    <w:rsid w:val="1F33AC95"/>
    <w:rsid w:val="1F36FF97"/>
    <w:rsid w:val="1F40F5FD"/>
    <w:rsid w:val="1F4360DF"/>
    <w:rsid w:val="1F4568EA"/>
    <w:rsid w:val="1F47B9B9"/>
    <w:rsid w:val="1F4A8B90"/>
    <w:rsid w:val="1F4E12AD"/>
    <w:rsid w:val="1F5074B9"/>
    <w:rsid w:val="1F519BF0"/>
    <w:rsid w:val="1F5B6195"/>
    <w:rsid w:val="1F5DE8A9"/>
    <w:rsid w:val="1F60C804"/>
    <w:rsid w:val="1F62EE0B"/>
    <w:rsid w:val="1F646C16"/>
    <w:rsid w:val="1F6FD111"/>
    <w:rsid w:val="1F75BCBD"/>
    <w:rsid w:val="1F77F220"/>
    <w:rsid w:val="1F7C0AD9"/>
    <w:rsid w:val="1F7C28F9"/>
    <w:rsid w:val="1F804F68"/>
    <w:rsid w:val="1F8649F0"/>
    <w:rsid w:val="1F8A7563"/>
    <w:rsid w:val="1F928A97"/>
    <w:rsid w:val="1F9E7002"/>
    <w:rsid w:val="1F9F2783"/>
    <w:rsid w:val="1F9F64F8"/>
    <w:rsid w:val="1FA10719"/>
    <w:rsid w:val="1FA5FB15"/>
    <w:rsid w:val="1FA9B0CA"/>
    <w:rsid w:val="1FAE3D1F"/>
    <w:rsid w:val="1FB4E2EC"/>
    <w:rsid w:val="1FB61C2F"/>
    <w:rsid w:val="1FBC9591"/>
    <w:rsid w:val="1FBD766E"/>
    <w:rsid w:val="1FCDBABA"/>
    <w:rsid w:val="1FD2C8C3"/>
    <w:rsid w:val="1FD3CFC8"/>
    <w:rsid w:val="1FD5B8D6"/>
    <w:rsid w:val="1FE92397"/>
    <w:rsid w:val="1FEAF204"/>
    <w:rsid w:val="1FF0E409"/>
    <w:rsid w:val="1FF1D9F0"/>
    <w:rsid w:val="1FF962EE"/>
    <w:rsid w:val="1FFA5740"/>
    <w:rsid w:val="20019F1E"/>
    <w:rsid w:val="200E4BC5"/>
    <w:rsid w:val="200F575C"/>
    <w:rsid w:val="20147072"/>
    <w:rsid w:val="20187A34"/>
    <w:rsid w:val="20258A3F"/>
    <w:rsid w:val="2030030F"/>
    <w:rsid w:val="203DAA83"/>
    <w:rsid w:val="204382E6"/>
    <w:rsid w:val="20491F55"/>
    <w:rsid w:val="204CA4A0"/>
    <w:rsid w:val="205219B1"/>
    <w:rsid w:val="20583CA7"/>
    <w:rsid w:val="205FC379"/>
    <w:rsid w:val="2060271C"/>
    <w:rsid w:val="206D865A"/>
    <w:rsid w:val="20719F4F"/>
    <w:rsid w:val="208A0919"/>
    <w:rsid w:val="20977FCB"/>
    <w:rsid w:val="209DB36C"/>
    <w:rsid w:val="20A0445B"/>
    <w:rsid w:val="20A0E347"/>
    <w:rsid w:val="20A3EC93"/>
    <w:rsid w:val="20A66F80"/>
    <w:rsid w:val="20A71AD2"/>
    <w:rsid w:val="20B40199"/>
    <w:rsid w:val="20BE0648"/>
    <w:rsid w:val="20C3D6C1"/>
    <w:rsid w:val="20C457C4"/>
    <w:rsid w:val="20D0E163"/>
    <w:rsid w:val="20D23F98"/>
    <w:rsid w:val="20DDA152"/>
    <w:rsid w:val="20DF60EC"/>
    <w:rsid w:val="20ED1323"/>
    <w:rsid w:val="20F09FAF"/>
    <w:rsid w:val="20F9189B"/>
    <w:rsid w:val="2102C363"/>
    <w:rsid w:val="210EEF93"/>
    <w:rsid w:val="2124ACD9"/>
    <w:rsid w:val="213260B7"/>
    <w:rsid w:val="213655CC"/>
    <w:rsid w:val="21374787"/>
    <w:rsid w:val="213A0F3C"/>
    <w:rsid w:val="21495D3F"/>
    <w:rsid w:val="214A0D80"/>
    <w:rsid w:val="214E37EA"/>
    <w:rsid w:val="21571F37"/>
    <w:rsid w:val="2159C9C6"/>
    <w:rsid w:val="215B1A9D"/>
    <w:rsid w:val="215F01E9"/>
    <w:rsid w:val="2166AEB3"/>
    <w:rsid w:val="2167E4EC"/>
    <w:rsid w:val="216D8689"/>
    <w:rsid w:val="2173E65F"/>
    <w:rsid w:val="21757460"/>
    <w:rsid w:val="21757D89"/>
    <w:rsid w:val="2178B9F8"/>
    <w:rsid w:val="217C4038"/>
    <w:rsid w:val="217D71D1"/>
    <w:rsid w:val="2182E666"/>
    <w:rsid w:val="2183A21C"/>
    <w:rsid w:val="21858E02"/>
    <w:rsid w:val="218781E1"/>
    <w:rsid w:val="218C3AE7"/>
    <w:rsid w:val="218C86B1"/>
    <w:rsid w:val="2195DC55"/>
    <w:rsid w:val="219AC1DB"/>
    <w:rsid w:val="21A14B88"/>
    <w:rsid w:val="21A2E5C4"/>
    <w:rsid w:val="21A311E5"/>
    <w:rsid w:val="21D3DFA3"/>
    <w:rsid w:val="21D4E062"/>
    <w:rsid w:val="21E43BE8"/>
    <w:rsid w:val="21ECDC0C"/>
    <w:rsid w:val="21ED145C"/>
    <w:rsid w:val="21FDFA39"/>
    <w:rsid w:val="2200FF31"/>
    <w:rsid w:val="220A7078"/>
    <w:rsid w:val="220BB516"/>
    <w:rsid w:val="220D9BC7"/>
    <w:rsid w:val="22163DFB"/>
    <w:rsid w:val="2216B7E0"/>
    <w:rsid w:val="22170DB0"/>
    <w:rsid w:val="22182FA7"/>
    <w:rsid w:val="221AA5B4"/>
    <w:rsid w:val="221D59E8"/>
    <w:rsid w:val="2222EF76"/>
    <w:rsid w:val="2229AAB2"/>
    <w:rsid w:val="222AB66B"/>
    <w:rsid w:val="222ADEEF"/>
    <w:rsid w:val="22415B38"/>
    <w:rsid w:val="2248A010"/>
    <w:rsid w:val="22497543"/>
    <w:rsid w:val="224C0CA0"/>
    <w:rsid w:val="224E6AFC"/>
    <w:rsid w:val="225667F4"/>
    <w:rsid w:val="2258D780"/>
    <w:rsid w:val="225D39AE"/>
    <w:rsid w:val="225DB3DA"/>
    <w:rsid w:val="225EECE8"/>
    <w:rsid w:val="2262AACF"/>
    <w:rsid w:val="22650AE1"/>
    <w:rsid w:val="2266815D"/>
    <w:rsid w:val="2267230F"/>
    <w:rsid w:val="2269ACC3"/>
    <w:rsid w:val="226E4C94"/>
    <w:rsid w:val="2276280C"/>
    <w:rsid w:val="227F4C8A"/>
    <w:rsid w:val="22879DB0"/>
    <w:rsid w:val="22952E02"/>
    <w:rsid w:val="22A29D3B"/>
    <w:rsid w:val="22A7800E"/>
    <w:rsid w:val="22ABA0D1"/>
    <w:rsid w:val="22B17B86"/>
    <w:rsid w:val="22B8C320"/>
    <w:rsid w:val="22BE8886"/>
    <w:rsid w:val="22C03CFF"/>
    <w:rsid w:val="22C69B65"/>
    <w:rsid w:val="22C6DB3F"/>
    <w:rsid w:val="22CC5184"/>
    <w:rsid w:val="22D4E2FE"/>
    <w:rsid w:val="22DCC534"/>
    <w:rsid w:val="22F59A27"/>
    <w:rsid w:val="22F5C437"/>
    <w:rsid w:val="22FA8F47"/>
    <w:rsid w:val="22FB6054"/>
    <w:rsid w:val="2303C56A"/>
    <w:rsid w:val="23077767"/>
    <w:rsid w:val="230A8C1D"/>
    <w:rsid w:val="2313CBEC"/>
    <w:rsid w:val="2314B1EE"/>
    <w:rsid w:val="23158607"/>
    <w:rsid w:val="23239C56"/>
    <w:rsid w:val="232AEA72"/>
    <w:rsid w:val="232D5C36"/>
    <w:rsid w:val="232E0C21"/>
    <w:rsid w:val="232E142E"/>
    <w:rsid w:val="2334EC4F"/>
    <w:rsid w:val="2342D731"/>
    <w:rsid w:val="23449B37"/>
    <w:rsid w:val="2348AA74"/>
    <w:rsid w:val="234B9DC1"/>
    <w:rsid w:val="235577F8"/>
    <w:rsid w:val="235D5DFA"/>
    <w:rsid w:val="2362C9D9"/>
    <w:rsid w:val="2366BF5F"/>
    <w:rsid w:val="236A3F50"/>
    <w:rsid w:val="236D5704"/>
    <w:rsid w:val="236D9EAB"/>
    <w:rsid w:val="2372E955"/>
    <w:rsid w:val="237A04F2"/>
    <w:rsid w:val="237C91E1"/>
    <w:rsid w:val="23849A61"/>
    <w:rsid w:val="2389CA8D"/>
    <w:rsid w:val="238E27EA"/>
    <w:rsid w:val="238E71C3"/>
    <w:rsid w:val="238F56B0"/>
    <w:rsid w:val="238FE1E8"/>
    <w:rsid w:val="23997D3F"/>
    <w:rsid w:val="2399C166"/>
    <w:rsid w:val="23A5BB82"/>
    <w:rsid w:val="23A6F463"/>
    <w:rsid w:val="23A73210"/>
    <w:rsid w:val="23A9C802"/>
    <w:rsid w:val="23B31701"/>
    <w:rsid w:val="23C1B056"/>
    <w:rsid w:val="23C3DF8B"/>
    <w:rsid w:val="23CA3E03"/>
    <w:rsid w:val="23E3787B"/>
    <w:rsid w:val="23E8005B"/>
    <w:rsid w:val="23E98A0D"/>
    <w:rsid w:val="23EA7806"/>
    <w:rsid w:val="23ED0B63"/>
    <w:rsid w:val="23F683FA"/>
    <w:rsid w:val="2405D793"/>
    <w:rsid w:val="2409BB4B"/>
    <w:rsid w:val="240B0061"/>
    <w:rsid w:val="24102605"/>
    <w:rsid w:val="242AC065"/>
    <w:rsid w:val="24311953"/>
    <w:rsid w:val="24331659"/>
    <w:rsid w:val="2435325F"/>
    <w:rsid w:val="243962DF"/>
    <w:rsid w:val="243A4542"/>
    <w:rsid w:val="244C558E"/>
    <w:rsid w:val="244C6CF7"/>
    <w:rsid w:val="244D3D8D"/>
    <w:rsid w:val="2454D980"/>
    <w:rsid w:val="2459E625"/>
    <w:rsid w:val="245E24F4"/>
    <w:rsid w:val="2468A813"/>
    <w:rsid w:val="246AE940"/>
    <w:rsid w:val="24730AC4"/>
    <w:rsid w:val="247FECF8"/>
    <w:rsid w:val="24863EB6"/>
    <w:rsid w:val="24888996"/>
    <w:rsid w:val="248AF05C"/>
    <w:rsid w:val="248BC2B5"/>
    <w:rsid w:val="24903100"/>
    <w:rsid w:val="2498C42D"/>
    <w:rsid w:val="249ED4DF"/>
    <w:rsid w:val="249EFB6A"/>
    <w:rsid w:val="24A7FD51"/>
    <w:rsid w:val="24B613F7"/>
    <w:rsid w:val="24BC1F51"/>
    <w:rsid w:val="24C2DB55"/>
    <w:rsid w:val="24C4552C"/>
    <w:rsid w:val="24C7A10E"/>
    <w:rsid w:val="24E55698"/>
    <w:rsid w:val="24E91E01"/>
    <w:rsid w:val="24EA59F2"/>
    <w:rsid w:val="24ED923C"/>
    <w:rsid w:val="24EED58E"/>
    <w:rsid w:val="24F97FBE"/>
    <w:rsid w:val="25056AFA"/>
    <w:rsid w:val="25082F39"/>
    <w:rsid w:val="2508B65F"/>
    <w:rsid w:val="250AE1FA"/>
    <w:rsid w:val="25112009"/>
    <w:rsid w:val="2511B925"/>
    <w:rsid w:val="251401EC"/>
    <w:rsid w:val="2514A909"/>
    <w:rsid w:val="2514D752"/>
    <w:rsid w:val="251CE71A"/>
    <w:rsid w:val="251FF62C"/>
    <w:rsid w:val="2526C862"/>
    <w:rsid w:val="253A7AC5"/>
    <w:rsid w:val="253E749D"/>
    <w:rsid w:val="2541AC6A"/>
    <w:rsid w:val="2549B1CB"/>
    <w:rsid w:val="254C79A1"/>
    <w:rsid w:val="2551842A"/>
    <w:rsid w:val="25526965"/>
    <w:rsid w:val="2558C4A6"/>
    <w:rsid w:val="2559FC16"/>
    <w:rsid w:val="255AA623"/>
    <w:rsid w:val="255F989F"/>
    <w:rsid w:val="25650D14"/>
    <w:rsid w:val="25694987"/>
    <w:rsid w:val="256BD59B"/>
    <w:rsid w:val="256CFE72"/>
    <w:rsid w:val="25738C0C"/>
    <w:rsid w:val="25764A5E"/>
    <w:rsid w:val="2585B001"/>
    <w:rsid w:val="258C8BDF"/>
    <w:rsid w:val="258CEDE5"/>
    <w:rsid w:val="258DFCD0"/>
    <w:rsid w:val="259060C1"/>
    <w:rsid w:val="2593AD8C"/>
    <w:rsid w:val="2593D859"/>
    <w:rsid w:val="259475C9"/>
    <w:rsid w:val="25964616"/>
    <w:rsid w:val="259D2BEA"/>
    <w:rsid w:val="25AFE7DD"/>
    <w:rsid w:val="25B26CD5"/>
    <w:rsid w:val="25B8BA4A"/>
    <w:rsid w:val="25C19DDF"/>
    <w:rsid w:val="25CCFB71"/>
    <w:rsid w:val="25D186A5"/>
    <w:rsid w:val="25D7C03B"/>
    <w:rsid w:val="25D7E525"/>
    <w:rsid w:val="25DBBF05"/>
    <w:rsid w:val="25E0DE58"/>
    <w:rsid w:val="25E1798B"/>
    <w:rsid w:val="25E8994F"/>
    <w:rsid w:val="25EDE63D"/>
    <w:rsid w:val="25FC3A74"/>
    <w:rsid w:val="26068B81"/>
    <w:rsid w:val="2608250F"/>
    <w:rsid w:val="260A32C5"/>
    <w:rsid w:val="260C18F7"/>
    <w:rsid w:val="260E38E3"/>
    <w:rsid w:val="260F3994"/>
    <w:rsid w:val="26260EA9"/>
    <w:rsid w:val="26308000"/>
    <w:rsid w:val="263E7CBC"/>
    <w:rsid w:val="263F9993"/>
    <w:rsid w:val="2640914F"/>
    <w:rsid w:val="26421EB0"/>
    <w:rsid w:val="26472042"/>
    <w:rsid w:val="26524339"/>
    <w:rsid w:val="265D5CF8"/>
    <w:rsid w:val="26752AE7"/>
    <w:rsid w:val="2679927E"/>
    <w:rsid w:val="267E1F74"/>
    <w:rsid w:val="2681D05A"/>
    <w:rsid w:val="26832C65"/>
    <w:rsid w:val="2686A18B"/>
    <w:rsid w:val="26895B70"/>
    <w:rsid w:val="26918BE0"/>
    <w:rsid w:val="2694A0C9"/>
    <w:rsid w:val="2696271E"/>
    <w:rsid w:val="269E6B0E"/>
    <w:rsid w:val="26A2CBAA"/>
    <w:rsid w:val="26A848FE"/>
    <w:rsid w:val="26AD7328"/>
    <w:rsid w:val="26B290EF"/>
    <w:rsid w:val="26B34A3A"/>
    <w:rsid w:val="26B5880E"/>
    <w:rsid w:val="26B80970"/>
    <w:rsid w:val="26BA5527"/>
    <w:rsid w:val="26BB19FB"/>
    <w:rsid w:val="26C41222"/>
    <w:rsid w:val="26CA9CF7"/>
    <w:rsid w:val="26CCE602"/>
    <w:rsid w:val="26E244EC"/>
    <w:rsid w:val="26E7A05B"/>
    <w:rsid w:val="26E94E3A"/>
    <w:rsid w:val="26E95ACE"/>
    <w:rsid w:val="26EE39C6"/>
    <w:rsid w:val="26EEB41D"/>
    <w:rsid w:val="26EF1A3A"/>
    <w:rsid w:val="26EF331A"/>
    <w:rsid w:val="26FAB07C"/>
    <w:rsid w:val="26FAB14D"/>
    <w:rsid w:val="26FD1BD5"/>
    <w:rsid w:val="26FDC2E7"/>
    <w:rsid w:val="26FE66FD"/>
    <w:rsid w:val="26FFEFCD"/>
    <w:rsid w:val="27029485"/>
    <w:rsid w:val="270946E1"/>
    <w:rsid w:val="270D8F16"/>
    <w:rsid w:val="270E725E"/>
    <w:rsid w:val="270F213E"/>
    <w:rsid w:val="2711DC2A"/>
    <w:rsid w:val="27146074"/>
    <w:rsid w:val="2719DA06"/>
    <w:rsid w:val="2719DAE7"/>
    <w:rsid w:val="271F911B"/>
    <w:rsid w:val="27223440"/>
    <w:rsid w:val="2727EA6F"/>
    <w:rsid w:val="273D9BE3"/>
    <w:rsid w:val="273F28DE"/>
    <w:rsid w:val="27460D56"/>
    <w:rsid w:val="27489039"/>
    <w:rsid w:val="274A39D7"/>
    <w:rsid w:val="2756C36B"/>
    <w:rsid w:val="27609B44"/>
    <w:rsid w:val="27636835"/>
    <w:rsid w:val="2772712F"/>
    <w:rsid w:val="27751299"/>
    <w:rsid w:val="277DCE57"/>
    <w:rsid w:val="2787DBEB"/>
    <w:rsid w:val="2788B81E"/>
    <w:rsid w:val="278B6166"/>
    <w:rsid w:val="278CA71E"/>
    <w:rsid w:val="27948A50"/>
    <w:rsid w:val="27978DC9"/>
    <w:rsid w:val="2799DBD1"/>
    <w:rsid w:val="279AFB40"/>
    <w:rsid w:val="27A27BAD"/>
    <w:rsid w:val="27A3FA9E"/>
    <w:rsid w:val="27A57435"/>
    <w:rsid w:val="27A745A7"/>
    <w:rsid w:val="27B393E9"/>
    <w:rsid w:val="27B85A72"/>
    <w:rsid w:val="27C4AC05"/>
    <w:rsid w:val="27CD4139"/>
    <w:rsid w:val="27CD5FD6"/>
    <w:rsid w:val="27D11D2D"/>
    <w:rsid w:val="27DA91C7"/>
    <w:rsid w:val="27E124CA"/>
    <w:rsid w:val="27E2B861"/>
    <w:rsid w:val="27E4607A"/>
    <w:rsid w:val="27E5F24D"/>
    <w:rsid w:val="27E6029A"/>
    <w:rsid w:val="27E9A18A"/>
    <w:rsid w:val="27F8A917"/>
    <w:rsid w:val="27FB9D98"/>
    <w:rsid w:val="27FD5161"/>
    <w:rsid w:val="280116A3"/>
    <w:rsid w:val="28055E98"/>
    <w:rsid w:val="2806E441"/>
    <w:rsid w:val="28100F59"/>
    <w:rsid w:val="28103CE2"/>
    <w:rsid w:val="2812600E"/>
    <w:rsid w:val="28191EE2"/>
    <w:rsid w:val="282269F3"/>
    <w:rsid w:val="28319D38"/>
    <w:rsid w:val="2836B012"/>
    <w:rsid w:val="28382928"/>
    <w:rsid w:val="28499B3C"/>
    <w:rsid w:val="284A0D9D"/>
    <w:rsid w:val="284A8F57"/>
    <w:rsid w:val="284F19FF"/>
    <w:rsid w:val="285944B9"/>
    <w:rsid w:val="2859C787"/>
    <w:rsid w:val="285BB104"/>
    <w:rsid w:val="286239BF"/>
    <w:rsid w:val="286307D4"/>
    <w:rsid w:val="28639A06"/>
    <w:rsid w:val="28643647"/>
    <w:rsid w:val="2868B979"/>
    <w:rsid w:val="286FAF3A"/>
    <w:rsid w:val="28730E25"/>
    <w:rsid w:val="287F87BB"/>
    <w:rsid w:val="288124A4"/>
    <w:rsid w:val="2887B666"/>
    <w:rsid w:val="2887D606"/>
    <w:rsid w:val="2888635A"/>
    <w:rsid w:val="28888803"/>
    <w:rsid w:val="288B8AFB"/>
    <w:rsid w:val="289D2D40"/>
    <w:rsid w:val="28A0A208"/>
    <w:rsid w:val="28A1A89F"/>
    <w:rsid w:val="28ABF3F0"/>
    <w:rsid w:val="28B3187F"/>
    <w:rsid w:val="28B9EBFC"/>
    <w:rsid w:val="28C2C0F0"/>
    <w:rsid w:val="28D36A62"/>
    <w:rsid w:val="28D9C626"/>
    <w:rsid w:val="28DE67FA"/>
    <w:rsid w:val="28E5F224"/>
    <w:rsid w:val="28E9A3BF"/>
    <w:rsid w:val="28EA5F79"/>
    <w:rsid w:val="28F05E7E"/>
    <w:rsid w:val="28F87C95"/>
    <w:rsid w:val="29016AD9"/>
    <w:rsid w:val="2901D73A"/>
    <w:rsid w:val="2909281B"/>
    <w:rsid w:val="290F14D0"/>
    <w:rsid w:val="291C9E74"/>
    <w:rsid w:val="291DEBD3"/>
    <w:rsid w:val="292C5553"/>
    <w:rsid w:val="2930C778"/>
    <w:rsid w:val="29345669"/>
    <w:rsid w:val="29380C6B"/>
    <w:rsid w:val="293BF1EF"/>
    <w:rsid w:val="293D7384"/>
    <w:rsid w:val="2947BFAE"/>
    <w:rsid w:val="2948E7B1"/>
    <w:rsid w:val="2954BB8D"/>
    <w:rsid w:val="295DECB2"/>
    <w:rsid w:val="2976EE1D"/>
    <w:rsid w:val="297C6710"/>
    <w:rsid w:val="29806BF0"/>
    <w:rsid w:val="29859BF4"/>
    <w:rsid w:val="29A056F7"/>
    <w:rsid w:val="29AC6559"/>
    <w:rsid w:val="29B10571"/>
    <w:rsid w:val="29B88084"/>
    <w:rsid w:val="29C0A9F3"/>
    <w:rsid w:val="29C21A5A"/>
    <w:rsid w:val="29CD3A2D"/>
    <w:rsid w:val="29D5BF9D"/>
    <w:rsid w:val="29D948A9"/>
    <w:rsid w:val="29D9B2EE"/>
    <w:rsid w:val="29DC22D8"/>
    <w:rsid w:val="29DD4E68"/>
    <w:rsid w:val="29DFD8EF"/>
    <w:rsid w:val="29E86453"/>
    <w:rsid w:val="29EA6608"/>
    <w:rsid w:val="29F3D3E2"/>
    <w:rsid w:val="29F55283"/>
    <w:rsid w:val="29F6A841"/>
    <w:rsid w:val="2A0D3B25"/>
    <w:rsid w:val="2A0DAD5D"/>
    <w:rsid w:val="2A1D34C5"/>
    <w:rsid w:val="2A22E3FB"/>
    <w:rsid w:val="2A2416DE"/>
    <w:rsid w:val="2A2EBE78"/>
    <w:rsid w:val="2A31CB25"/>
    <w:rsid w:val="2A36BB6C"/>
    <w:rsid w:val="2A37579D"/>
    <w:rsid w:val="2A387EB6"/>
    <w:rsid w:val="2A4159A7"/>
    <w:rsid w:val="2A42DD85"/>
    <w:rsid w:val="2A437983"/>
    <w:rsid w:val="2A46DFF2"/>
    <w:rsid w:val="2A48002C"/>
    <w:rsid w:val="2A57EB46"/>
    <w:rsid w:val="2A593D8A"/>
    <w:rsid w:val="2A599E1E"/>
    <w:rsid w:val="2A5A7BCB"/>
    <w:rsid w:val="2A67B41B"/>
    <w:rsid w:val="2A80F8FC"/>
    <w:rsid w:val="2A87FE1A"/>
    <w:rsid w:val="2A8DB699"/>
    <w:rsid w:val="2A95CC23"/>
    <w:rsid w:val="2A9A38AD"/>
    <w:rsid w:val="2AA71F53"/>
    <w:rsid w:val="2AACAB0A"/>
    <w:rsid w:val="2AB3453A"/>
    <w:rsid w:val="2AB5C955"/>
    <w:rsid w:val="2AB67DA0"/>
    <w:rsid w:val="2AB88C09"/>
    <w:rsid w:val="2ABFB92F"/>
    <w:rsid w:val="2AC00A3B"/>
    <w:rsid w:val="2AC88B14"/>
    <w:rsid w:val="2AC93650"/>
    <w:rsid w:val="2ACA9904"/>
    <w:rsid w:val="2ACB4EE4"/>
    <w:rsid w:val="2ACE0FF8"/>
    <w:rsid w:val="2AD065E4"/>
    <w:rsid w:val="2AD3F0F5"/>
    <w:rsid w:val="2AE1B1EB"/>
    <w:rsid w:val="2AEF2D0F"/>
    <w:rsid w:val="2AF109CE"/>
    <w:rsid w:val="2AF535C5"/>
    <w:rsid w:val="2AFAC9CD"/>
    <w:rsid w:val="2AFC916B"/>
    <w:rsid w:val="2B02A17F"/>
    <w:rsid w:val="2B03AC96"/>
    <w:rsid w:val="2B04FA3A"/>
    <w:rsid w:val="2B053CC8"/>
    <w:rsid w:val="2B0C58F8"/>
    <w:rsid w:val="2B128521"/>
    <w:rsid w:val="2B12F530"/>
    <w:rsid w:val="2B165090"/>
    <w:rsid w:val="2B19E663"/>
    <w:rsid w:val="2B1E3EE4"/>
    <w:rsid w:val="2B20CBDA"/>
    <w:rsid w:val="2B213B41"/>
    <w:rsid w:val="2B23F4B5"/>
    <w:rsid w:val="2B2E5ECE"/>
    <w:rsid w:val="2B2F9453"/>
    <w:rsid w:val="2B36430E"/>
    <w:rsid w:val="2B391E06"/>
    <w:rsid w:val="2B3F9C06"/>
    <w:rsid w:val="2B419578"/>
    <w:rsid w:val="2B41F2BA"/>
    <w:rsid w:val="2B44B3FF"/>
    <w:rsid w:val="2B464E12"/>
    <w:rsid w:val="2B4C60A9"/>
    <w:rsid w:val="2B53BEF2"/>
    <w:rsid w:val="2B551357"/>
    <w:rsid w:val="2B607438"/>
    <w:rsid w:val="2B673930"/>
    <w:rsid w:val="2B69B8F8"/>
    <w:rsid w:val="2B722E9A"/>
    <w:rsid w:val="2B7462FB"/>
    <w:rsid w:val="2B7A3801"/>
    <w:rsid w:val="2B853532"/>
    <w:rsid w:val="2B873441"/>
    <w:rsid w:val="2B8A6549"/>
    <w:rsid w:val="2B8EB91A"/>
    <w:rsid w:val="2BA0606F"/>
    <w:rsid w:val="2BA83DBD"/>
    <w:rsid w:val="2BAADCC7"/>
    <w:rsid w:val="2BB4356F"/>
    <w:rsid w:val="2BB4C2EB"/>
    <w:rsid w:val="2BBC5AE3"/>
    <w:rsid w:val="2BBD1D59"/>
    <w:rsid w:val="2BBE4889"/>
    <w:rsid w:val="2BBF61AA"/>
    <w:rsid w:val="2BC33BB5"/>
    <w:rsid w:val="2BC48A40"/>
    <w:rsid w:val="2BC8B0E3"/>
    <w:rsid w:val="2BCA93C8"/>
    <w:rsid w:val="2BCDC31E"/>
    <w:rsid w:val="2BD09754"/>
    <w:rsid w:val="2BD423B1"/>
    <w:rsid w:val="2BDF0BCA"/>
    <w:rsid w:val="2BEB1D62"/>
    <w:rsid w:val="2BEEFDAF"/>
    <w:rsid w:val="2BF3499F"/>
    <w:rsid w:val="2BFFA65B"/>
    <w:rsid w:val="2C0B86C9"/>
    <w:rsid w:val="2C10E7A7"/>
    <w:rsid w:val="2C16DB0E"/>
    <w:rsid w:val="2C1E812E"/>
    <w:rsid w:val="2C21338A"/>
    <w:rsid w:val="2C2BCC5F"/>
    <w:rsid w:val="2C3451AA"/>
    <w:rsid w:val="2C3C9261"/>
    <w:rsid w:val="2C3DAA13"/>
    <w:rsid w:val="2C42E2EE"/>
    <w:rsid w:val="2C4C1D76"/>
    <w:rsid w:val="2C53A020"/>
    <w:rsid w:val="2C54724D"/>
    <w:rsid w:val="2C55FD7A"/>
    <w:rsid w:val="2C58595A"/>
    <w:rsid w:val="2C594126"/>
    <w:rsid w:val="2C61FAD7"/>
    <w:rsid w:val="2C6275D0"/>
    <w:rsid w:val="2C6BE87C"/>
    <w:rsid w:val="2C7259AE"/>
    <w:rsid w:val="2C74F8EA"/>
    <w:rsid w:val="2C84C479"/>
    <w:rsid w:val="2C878824"/>
    <w:rsid w:val="2C8BC4D7"/>
    <w:rsid w:val="2C8BE2F3"/>
    <w:rsid w:val="2C8BE3E6"/>
    <w:rsid w:val="2C906C77"/>
    <w:rsid w:val="2C91935F"/>
    <w:rsid w:val="2C983433"/>
    <w:rsid w:val="2CAB8B6A"/>
    <w:rsid w:val="2CAFBCAA"/>
    <w:rsid w:val="2CB03446"/>
    <w:rsid w:val="2CB80476"/>
    <w:rsid w:val="2CC14FB4"/>
    <w:rsid w:val="2CC21255"/>
    <w:rsid w:val="2CC3493A"/>
    <w:rsid w:val="2CC81CEF"/>
    <w:rsid w:val="2CC9897C"/>
    <w:rsid w:val="2CCD6330"/>
    <w:rsid w:val="2CCEA223"/>
    <w:rsid w:val="2CD25FD4"/>
    <w:rsid w:val="2CD52365"/>
    <w:rsid w:val="2CD704DF"/>
    <w:rsid w:val="2CDACA41"/>
    <w:rsid w:val="2CDD1D73"/>
    <w:rsid w:val="2CE89CB5"/>
    <w:rsid w:val="2CECC298"/>
    <w:rsid w:val="2D022CD5"/>
    <w:rsid w:val="2D06960C"/>
    <w:rsid w:val="2D0A6DE7"/>
    <w:rsid w:val="2D17F7B0"/>
    <w:rsid w:val="2D1C794A"/>
    <w:rsid w:val="2D1FD9A3"/>
    <w:rsid w:val="2D234F60"/>
    <w:rsid w:val="2D297DD8"/>
    <w:rsid w:val="2D2E58B5"/>
    <w:rsid w:val="2D39705D"/>
    <w:rsid w:val="2D47AA21"/>
    <w:rsid w:val="2D482C07"/>
    <w:rsid w:val="2D54E474"/>
    <w:rsid w:val="2D5A22AD"/>
    <w:rsid w:val="2D6237E5"/>
    <w:rsid w:val="2D6BC90B"/>
    <w:rsid w:val="2D6F1FE0"/>
    <w:rsid w:val="2D7779C4"/>
    <w:rsid w:val="2D7DA3C3"/>
    <w:rsid w:val="2D7FFBC9"/>
    <w:rsid w:val="2D927EEF"/>
    <w:rsid w:val="2D939402"/>
    <w:rsid w:val="2D9621B8"/>
    <w:rsid w:val="2DA83602"/>
    <w:rsid w:val="2DB02AC3"/>
    <w:rsid w:val="2DB93709"/>
    <w:rsid w:val="2DBB3570"/>
    <w:rsid w:val="2DBB7B7C"/>
    <w:rsid w:val="2DC64026"/>
    <w:rsid w:val="2DC9D3D5"/>
    <w:rsid w:val="2DCB98A5"/>
    <w:rsid w:val="2DD1477C"/>
    <w:rsid w:val="2DD2C858"/>
    <w:rsid w:val="2DDC2BBD"/>
    <w:rsid w:val="2DE0DBBE"/>
    <w:rsid w:val="2DE443E4"/>
    <w:rsid w:val="2DE98843"/>
    <w:rsid w:val="2DECA81E"/>
    <w:rsid w:val="2DEF48D6"/>
    <w:rsid w:val="2DF3FF65"/>
    <w:rsid w:val="2DF6D05B"/>
    <w:rsid w:val="2DF7A515"/>
    <w:rsid w:val="2E087693"/>
    <w:rsid w:val="2E08788E"/>
    <w:rsid w:val="2E0AF886"/>
    <w:rsid w:val="2E166610"/>
    <w:rsid w:val="2E1A399A"/>
    <w:rsid w:val="2E1A8246"/>
    <w:rsid w:val="2E1D52D9"/>
    <w:rsid w:val="2E257A43"/>
    <w:rsid w:val="2E369FCE"/>
    <w:rsid w:val="2E3823EF"/>
    <w:rsid w:val="2E3EBA22"/>
    <w:rsid w:val="2E40D095"/>
    <w:rsid w:val="2E46D52A"/>
    <w:rsid w:val="2E51129A"/>
    <w:rsid w:val="2E51DB7E"/>
    <w:rsid w:val="2E5A5F5D"/>
    <w:rsid w:val="2E5DF966"/>
    <w:rsid w:val="2E61FD44"/>
    <w:rsid w:val="2E63FFBC"/>
    <w:rsid w:val="2E754877"/>
    <w:rsid w:val="2E95B91A"/>
    <w:rsid w:val="2E995C5A"/>
    <w:rsid w:val="2E9C17E0"/>
    <w:rsid w:val="2EB21074"/>
    <w:rsid w:val="2EB548BD"/>
    <w:rsid w:val="2EBB0CB8"/>
    <w:rsid w:val="2EBD84E9"/>
    <w:rsid w:val="2EC0E386"/>
    <w:rsid w:val="2EC2B8EA"/>
    <w:rsid w:val="2EC44E17"/>
    <w:rsid w:val="2ED19EBE"/>
    <w:rsid w:val="2ED49AD7"/>
    <w:rsid w:val="2EDF19FE"/>
    <w:rsid w:val="2EE1D07D"/>
    <w:rsid w:val="2EE327C0"/>
    <w:rsid w:val="2EE7BFE4"/>
    <w:rsid w:val="2EE84DBC"/>
    <w:rsid w:val="2EEAF7B4"/>
    <w:rsid w:val="2EF1DECF"/>
    <w:rsid w:val="2EFE3A1C"/>
    <w:rsid w:val="2EFEA23B"/>
    <w:rsid w:val="2F04AA18"/>
    <w:rsid w:val="2F0FE5E7"/>
    <w:rsid w:val="2F166550"/>
    <w:rsid w:val="2F186FDF"/>
    <w:rsid w:val="2F247794"/>
    <w:rsid w:val="2F2D43D6"/>
    <w:rsid w:val="2F372858"/>
    <w:rsid w:val="2F5150A8"/>
    <w:rsid w:val="2F51F7D2"/>
    <w:rsid w:val="2F5217F4"/>
    <w:rsid w:val="2F5973D9"/>
    <w:rsid w:val="2F5A9D84"/>
    <w:rsid w:val="2F5DA5CC"/>
    <w:rsid w:val="2F5F408E"/>
    <w:rsid w:val="2F67951D"/>
    <w:rsid w:val="2F72AEC7"/>
    <w:rsid w:val="2F76B81A"/>
    <w:rsid w:val="2F782629"/>
    <w:rsid w:val="2F78D774"/>
    <w:rsid w:val="2F7F3EB6"/>
    <w:rsid w:val="2F809163"/>
    <w:rsid w:val="2F878CDC"/>
    <w:rsid w:val="2F8FCFC6"/>
    <w:rsid w:val="2F93235F"/>
    <w:rsid w:val="2F9413D6"/>
    <w:rsid w:val="2F97A491"/>
    <w:rsid w:val="2F99828B"/>
    <w:rsid w:val="2F9D9BC9"/>
    <w:rsid w:val="2FA00C0A"/>
    <w:rsid w:val="2FA61EAB"/>
    <w:rsid w:val="2FA67577"/>
    <w:rsid w:val="2FA75978"/>
    <w:rsid w:val="2FA884EE"/>
    <w:rsid w:val="2FAAE30A"/>
    <w:rsid w:val="2FAE19AD"/>
    <w:rsid w:val="2FB1DBE0"/>
    <w:rsid w:val="2FB37A16"/>
    <w:rsid w:val="2FB5362D"/>
    <w:rsid w:val="2FBA46A9"/>
    <w:rsid w:val="2FBCB92C"/>
    <w:rsid w:val="2FBE0BCB"/>
    <w:rsid w:val="2FC01056"/>
    <w:rsid w:val="2FC93421"/>
    <w:rsid w:val="2FCD84B4"/>
    <w:rsid w:val="2FD09182"/>
    <w:rsid w:val="2FD4F6E4"/>
    <w:rsid w:val="2FDF0DD4"/>
    <w:rsid w:val="2FE58780"/>
    <w:rsid w:val="2FE9317F"/>
    <w:rsid w:val="2FF89843"/>
    <w:rsid w:val="2FFDA6C6"/>
    <w:rsid w:val="3000F5D4"/>
    <w:rsid w:val="300370AE"/>
    <w:rsid w:val="300528CE"/>
    <w:rsid w:val="3010AB77"/>
    <w:rsid w:val="30125552"/>
    <w:rsid w:val="30193FFC"/>
    <w:rsid w:val="3022B0DE"/>
    <w:rsid w:val="3024C6BD"/>
    <w:rsid w:val="302FB27A"/>
    <w:rsid w:val="304298ED"/>
    <w:rsid w:val="30481856"/>
    <w:rsid w:val="3048785C"/>
    <w:rsid w:val="304FA73D"/>
    <w:rsid w:val="3055AB67"/>
    <w:rsid w:val="30588C59"/>
    <w:rsid w:val="305A9C06"/>
    <w:rsid w:val="305FC515"/>
    <w:rsid w:val="306D6B7E"/>
    <w:rsid w:val="3070BEEF"/>
    <w:rsid w:val="3072202B"/>
    <w:rsid w:val="3076FC22"/>
    <w:rsid w:val="30841823"/>
    <w:rsid w:val="309A718B"/>
    <w:rsid w:val="309C888B"/>
    <w:rsid w:val="309EDED6"/>
    <w:rsid w:val="30A081F0"/>
    <w:rsid w:val="30A200FA"/>
    <w:rsid w:val="30A9E432"/>
    <w:rsid w:val="30ABE5D1"/>
    <w:rsid w:val="30ADDF91"/>
    <w:rsid w:val="30B1DBCB"/>
    <w:rsid w:val="30B2194E"/>
    <w:rsid w:val="30B56415"/>
    <w:rsid w:val="30B5ED2B"/>
    <w:rsid w:val="30B6349C"/>
    <w:rsid w:val="30B759B3"/>
    <w:rsid w:val="30B920D8"/>
    <w:rsid w:val="30B9776C"/>
    <w:rsid w:val="30C3E3BE"/>
    <w:rsid w:val="30D1D81E"/>
    <w:rsid w:val="30DB0735"/>
    <w:rsid w:val="30DB4832"/>
    <w:rsid w:val="30DC0D42"/>
    <w:rsid w:val="30E084F3"/>
    <w:rsid w:val="30E75F47"/>
    <w:rsid w:val="30E7B5BD"/>
    <w:rsid w:val="30E83654"/>
    <w:rsid w:val="30EDC6A9"/>
    <w:rsid w:val="30F66C37"/>
    <w:rsid w:val="30F7D526"/>
    <w:rsid w:val="30FB88DC"/>
    <w:rsid w:val="30FE605E"/>
    <w:rsid w:val="31018DDA"/>
    <w:rsid w:val="3102F702"/>
    <w:rsid w:val="31065808"/>
    <w:rsid w:val="31194749"/>
    <w:rsid w:val="311BD76D"/>
    <w:rsid w:val="311EB0EA"/>
    <w:rsid w:val="311FCFD5"/>
    <w:rsid w:val="312027AC"/>
    <w:rsid w:val="31208A70"/>
    <w:rsid w:val="312A1DB1"/>
    <w:rsid w:val="312F76CF"/>
    <w:rsid w:val="3130278B"/>
    <w:rsid w:val="31331CAD"/>
    <w:rsid w:val="31373C19"/>
    <w:rsid w:val="313E6E39"/>
    <w:rsid w:val="3141A472"/>
    <w:rsid w:val="3148F7DA"/>
    <w:rsid w:val="315E9E94"/>
    <w:rsid w:val="31700E0B"/>
    <w:rsid w:val="3171577F"/>
    <w:rsid w:val="317C79C2"/>
    <w:rsid w:val="317CA1C2"/>
    <w:rsid w:val="317CE98A"/>
    <w:rsid w:val="31804C5B"/>
    <w:rsid w:val="3183D3F2"/>
    <w:rsid w:val="3186280B"/>
    <w:rsid w:val="31868A6D"/>
    <w:rsid w:val="31869691"/>
    <w:rsid w:val="3188DEFF"/>
    <w:rsid w:val="318C19E4"/>
    <w:rsid w:val="318DDB14"/>
    <w:rsid w:val="318ECA33"/>
    <w:rsid w:val="318F372D"/>
    <w:rsid w:val="3194791D"/>
    <w:rsid w:val="319CE6F5"/>
    <w:rsid w:val="31A1AE79"/>
    <w:rsid w:val="31A593C2"/>
    <w:rsid w:val="31A680AF"/>
    <w:rsid w:val="31A7AB1B"/>
    <w:rsid w:val="31BA907E"/>
    <w:rsid w:val="31CFC1EC"/>
    <w:rsid w:val="31D963B3"/>
    <w:rsid w:val="31D9BDC2"/>
    <w:rsid w:val="31DD4792"/>
    <w:rsid w:val="31DED4B2"/>
    <w:rsid w:val="31E060E7"/>
    <w:rsid w:val="31E0D47D"/>
    <w:rsid w:val="31E3B020"/>
    <w:rsid w:val="31F1081B"/>
    <w:rsid w:val="31FB11E8"/>
    <w:rsid w:val="3202D07B"/>
    <w:rsid w:val="3214179F"/>
    <w:rsid w:val="321750DE"/>
    <w:rsid w:val="3219FE9F"/>
    <w:rsid w:val="32222B8D"/>
    <w:rsid w:val="322BDB05"/>
    <w:rsid w:val="32341837"/>
    <w:rsid w:val="323818E1"/>
    <w:rsid w:val="3238D9F3"/>
    <w:rsid w:val="323F47D8"/>
    <w:rsid w:val="3242DB24"/>
    <w:rsid w:val="324B5824"/>
    <w:rsid w:val="32501A31"/>
    <w:rsid w:val="3250580B"/>
    <w:rsid w:val="32546026"/>
    <w:rsid w:val="3256B90C"/>
    <w:rsid w:val="325B17D8"/>
    <w:rsid w:val="326553B4"/>
    <w:rsid w:val="3269156A"/>
    <w:rsid w:val="3279D821"/>
    <w:rsid w:val="327D84D8"/>
    <w:rsid w:val="3286E68E"/>
    <w:rsid w:val="32871F85"/>
    <w:rsid w:val="328F0241"/>
    <w:rsid w:val="32954E5A"/>
    <w:rsid w:val="329F5C07"/>
    <w:rsid w:val="32A25433"/>
    <w:rsid w:val="32A52E68"/>
    <w:rsid w:val="32A5544E"/>
    <w:rsid w:val="32A6B7BA"/>
    <w:rsid w:val="32AA6E56"/>
    <w:rsid w:val="32B0DB4E"/>
    <w:rsid w:val="32B6B5C7"/>
    <w:rsid w:val="32BCF69A"/>
    <w:rsid w:val="32CCF22C"/>
    <w:rsid w:val="32D8BEA9"/>
    <w:rsid w:val="32DB8828"/>
    <w:rsid w:val="32DC9B15"/>
    <w:rsid w:val="32DCCDE6"/>
    <w:rsid w:val="32E5AECD"/>
    <w:rsid w:val="32F1BD91"/>
    <w:rsid w:val="32F47729"/>
    <w:rsid w:val="32FE31F7"/>
    <w:rsid w:val="33080C73"/>
    <w:rsid w:val="330D564A"/>
    <w:rsid w:val="3314E1DB"/>
    <w:rsid w:val="33163205"/>
    <w:rsid w:val="331EE24A"/>
    <w:rsid w:val="33217C45"/>
    <w:rsid w:val="3325216A"/>
    <w:rsid w:val="332ACDAA"/>
    <w:rsid w:val="332DD7AA"/>
    <w:rsid w:val="332E04C2"/>
    <w:rsid w:val="332F5D26"/>
    <w:rsid w:val="332F7241"/>
    <w:rsid w:val="333CB365"/>
    <w:rsid w:val="333F75EC"/>
    <w:rsid w:val="334BBC76"/>
    <w:rsid w:val="334E0C42"/>
    <w:rsid w:val="334FBDC3"/>
    <w:rsid w:val="3357CAA4"/>
    <w:rsid w:val="3358A05E"/>
    <w:rsid w:val="33594DEB"/>
    <w:rsid w:val="335B2E1B"/>
    <w:rsid w:val="33665A6A"/>
    <w:rsid w:val="33769FBA"/>
    <w:rsid w:val="3377E36D"/>
    <w:rsid w:val="337DAFB5"/>
    <w:rsid w:val="33804A0E"/>
    <w:rsid w:val="3382B4F7"/>
    <w:rsid w:val="3388548E"/>
    <w:rsid w:val="33992290"/>
    <w:rsid w:val="339BD968"/>
    <w:rsid w:val="339BE283"/>
    <w:rsid w:val="33A24F02"/>
    <w:rsid w:val="33AE867E"/>
    <w:rsid w:val="33AF86C9"/>
    <w:rsid w:val="33B9F5B7"/>
    <w:rsid w:val="33BB1C8A"/>
    <w:rsid w:val="33C4BFDE"/>
    <w:rsid w:val="33DF6208"/>
    <w:rsid w:val="33E04C41"/>
    <w:rsid w:val="33ECF6D9"/>
    <w:rsid w:val="33F0FA20"/>
    <w:rsid w:val="33F103A1"/>
    <w:rsid w:val="33FA70DF"/>
    <w:rsid w:val="33FC9016"/>
    <w:rsid w:val="33FD9A48"/>
    <w:rsid w:val="3400A8AF"/>
    <w:rsid w:val="34039F29"/>
    <w:rsid w:val="340903BC"/>
    <w:rsid w:val="34107B71"/>
    <w:rsid w:val="3411022D"/>
    <w:rsid w:val="34138C7B"/>
    <w:rsid w:val="3414F305"/>
    <w:rsid w:val="341EE6D1"/>
    <w:rsid w:val="3424EECB"/>
    <w:rsid w:val="342FA901"/>
    <w:rsid w:val="3438E036"/>
    <w:rsid w:val="34394327"/>
    <w:rsid w:val="34399AF2"/>
    <w:rsid w:val="34515B96"/>
    <w:rsid w:val="3467E413"/>
    <w:rsid w:val="3469AF22"/>
    <w:rsid w:val="34705C6D"/>
    <w:rsid w:val="347224F3"/>
    <w:rsid w:val="3473048D"/>
    <w:rsid w:val="347AA42E"/>
    <w:rsid w:val="347C6316"/>
    <w:rsid w:val="347DC0B0"/>
    <w:rsid w:val="3485EF22"/>
    <w:rsid w:val="348A1440"/>
    <w:rsid w:val="348B11AF"/>
    <w:rsid w:val="349AD68C"/>
    <w:rsid w:val="34AA5755"/>
    <w:rsid w:val="34AAF903"/>
    <w:rsid w:val="34AF1CE6"/>
    <w:rsid w:val="34BF619D"/>
    <w:rsid w:val="34C52C02"/>
    <w:rsid w:val="34D6A81D"/>
    <w:rsid w:val="34D71F53"/>
    <w:rsid w:val="34D7A28A"/>
    <w:rsid w:val="34DAB07E"/>
    <w:rsid w:val="34DE9B49"/>
    <w:rsid w:val="34DFCD7B"/>
    <w:rsid w:val="34DFF6B9"/>
    <w:rsid w:val="34E1BD1F"/>
    <w:rsid w:val="34F51E0D"/>
    <w:rsid w:val="34F8056E"/>
    <w:rsid w:val="34F86F78"/>
    <w:rsid w:val="34FC2C2A"/>
    <w:rsid w:val="35139E10"/>
    <w:rsid w:val="351D8BFA"/>
    <w:rsid w:val="3524B566"/>
    <w:rsid w:val="35332BC8"/>
    <w:rsid w:val="3535755E"/>
    <w:rsid w:val="353ABA94"/>
    <w:rsid w:val="3542CC82"/>
    <w:rsid w:val="35434797"/>
    <w:rsid w:val="3543B8DB"/>
    <w:rsid w:val="3544BAD8"/>
    <w:rsid w:val="354987C4"/>
    <w:rsid w:val="354F6F9F"/>
    <w:rsid w:val="35535196"/>
    <w:rsid w:val="35575A31"/>
    <w:rsid w:val="3567D798"/>
    <w:rsid w:val="3569BE77"/>
    <w:rsid w:val="356C31B0"/>
    <w:rsid w:val="35713294"/>
    <w:rsid w:val="3575E023"/>
    <w:rsid w:val="357696FD"/>
    <w:rsid w:val="358FE977"/>
    <w:rsid w:val="35912B4D"/>
    <w:rsid w:val="3594668E"/>
    <w:rsid w:val="359A6A71"/>
    <w:rsid w:val="35A7CC8C"/>
    <w:rsid w:val="35A7D0AA"/>
    <w:rsid w:val="35AA0409"/>
    <w:rsid w:val="35B34B73"/>
    <w:rsid w:val="35B9E1B1"/>
    <w:rsid w:val="35C62559"/>
    <w:rsid w:val="35CA1107"/>
    <w:rsid w:val="35CAD104"/>
    <w:rsid w:val="35D08427"/>
    <w:rsid w:val="35D92B32"/>
    <w:rsid w:val="35E2AFD2"/>
    <w:rsid w:val="35E47AE1"/>
    <w:rsid w:val="35E906BF"/>
    <w:rsid w:val="35FFC862"/>
    <w:rsid w:val="36012001"/>
    <w:rsid w:val="3606F773"/>
    <w:rsid w:val="360850C2"/>
    <w:rsid w:val="36099284"/>
    <w:rsid w:val="360BC141"/>
    <w:rsid w:val="3613F3C7"/>
    <w:rsid w:val="361C8276"/>
    <w:rsid w:val="361F89DB"/>
    <w:rsid w:val="362464D0"/>
    <w:rsid w:val="3624DCEE"/>
    <w:rsid w:val="3624FED9"/>
    <w:rsid w:val="3628194D"/>
    <w:rsid w:val="3637312F"/>
    <w:rsid w:val="363C8465"/>
    <w:rsid w:val="3642AEA5"/>
    <w:rsid w:val="36465559"/>
    <w:rsid w:val="364C64FC"/>
    <w:rsid w:val="36568249"/>
    <w:rsid w:val="3657997A"/>
    <w:rsid w:val="36588029"/>
    <w:rsid w:val="3659992E"/>
    <w:rsid w:val="365A88F4"/>
    <w:rsid w:val="365CDD02"/>
    <w:rsid w:val="365EC2AC"/>
    <w:rsid w:val="36641089"/>
    <w:rsid w:val="36671C2D"/>
    <w:rsid w:val="366D9C47"/>
    <w:rsid w:val="366EC5D3"/>
    <w:rsid w:val="36702D78"/>
    <w:rsid w:val="3670B28C"/>
    <w:rsid w:val="3672B532"/>
    <w:rsid w:val="367AC914"/>
    <w:rsid w:val="36802388"/>
    <w:rsid w:val="3683FD9E"/>
    <w:rsid w:val="369287CE"/>
    <w:rsid w:val="36A2CF75"/>
    <w:rsid w:val="36A6A89A"/>
    <w:rsid w:val="36B531F0"/>
    <w:rsid w:val="36B658B4"/>
    <w:rsid w:val="36BA82B5"/>
    <w:rsid w:val="36BEDE67"/>
    <w:rsid w:val="36BFD0CF"/>
    <w:rsid w:val="36C03507"/>
    <w:rsid w:val="36D24A74"/>
    <w:rsid w:val="36D3BDF8"/>
    <w:rsid w:val="36E7B394"/>
    <w:rsid w:val="36EDFC0F"/>
    <w:rsid w:val="36F82296"/>
    <w:rsid w:val="37092AB0"/>
    <w:rsid w:val="370CA0B7"/>
    <w:rsid w:val="370DB949"/>
    <w:rsid w:val="370DBA1A"/>
    <w:rsid w:val="37228823"/>
    <w:rsid w:val="37282F26"/>
    <w:rsid w:val="372D2FBC"/>
    <w:rsid w:val="373679D7"/>
    <w:rsid w:val="3736BBBC"/>
    <w:rsid w:val="3739A34D"/>
    <w:rsid w:val="373A4C44"/>
    <w:rsid w:val="373B875E"/>
    <w:rsid w:val="374285D0"/>
    <w:rsid w:val="37435AB0"/>
    <w:rsid w:val="374D21F4"/>
    <w:rsid w:val="3750F88B"/>
    <w:rsid w:val="3753DCBA"/>
    <w:rsid w:val="37654B4D"/>
    <w:rsid w:val="376C109E"/>
    <w:rsid w:val="376E3D72"/>
    <w:rsid w:val="3774610A"/>
    <w:rsid w:val="377F213A"/>
    <w:rsid w:val="3782D3D5"/>
    <w:rsid w:val="378427C9"/>
    <w:rsid w:val="378BB236"/>
    <w:rsid w:val="3793B310"/>
    <w:rsid w:val="379B056A"/>
    <w:rsid w:val="37A4FA96"/>
    <w:rsid w:val="37A54387"/>
    <w:rsid w:val="37ABCE06"/>
    <w:rsid w:val="37AD0C42"/>
    <w:rsid w:val="37AEA2F2"/>
    <w:rsid w:val="37B54A36"/>
    <w:rsid w:val="37BFACF1"/>
    <w:rsid w:val="37C89285"/>
    <w:rsid w:val="37C99C0F"/>
    <w:rsid w:val="37CAB181"/>
    <w:rsid w:val="37D1C345"/>
    <w:rsid w:val="37E347A5"/>
    <w:rsid w:val="37E68C96"/>
    <w:rsid w:val="37EA759E"/>
    <w:rsid w:val="37ED87F2"/>
    <w:rsid w:val="37EFC250"/>
    <w:rsid w:val="37F6B661"/>
    <w:rsid w:val="37F8DFE2"/>
    <w:rsid w:val="38032F40"/>
    <w:rsid w:val="38067F9A"/>
    <w:rsid w:val="380AFBC0"/>
    <w:rsid w:val="380C2879"/>
    <w:rsid w:val="38117E58"/>
    <w:rsid w:val="3814D4A6"/>
    <w:rsid w:val="381C666B"/>
    <w:rsid w:val="381C993C"/>
    <w:rsid w:val="382200A9"/>
    <w:rsid w:val="38224E3F"/>
    <w:rsid w:val="38229B82"/>
    <w:rsid w:val="3826F014"/>
    <w:rsid w:val="3827878C"/>
    <w:rsid w:val="382787B9"/>
    <w:rsid w:val="382E783B"/>
    <w:rsid w:val="38330BC2"/>
    <w:rsid w:val="383924CF"/>
    <w:rsid w:val="384176BC"/>
    <w:rsid w:val="38437671"/>
    <w:rsid w:val="3845515B"/>
    <w:rsid w:val="3846F658"/>
    <w:rsid w:val="384C3F23"/>
    <w:rsid w:val="3854D20E"/>
    <w:rsid w:val="385B3AEB"/>
    <w:rsid w:val="3866141B"/>
    <w:rsid w:val="386C4891"/>
    <w:rsid w:val="387025FC"/>
    <w:rsid w:val="3871E038"/>
    <w:rsid w:val="3875B2CF"/>
    <w:rsid w:val="387A8677"/>
    <w:rsid w:val="3884D79A"/>
    <w:rsid w:val="3885DCB5"/>
    <w:rsid w:val="38863A38"/>
    <w:rsid w:val="38888473"/>
    <w:rsid w:val="388A36D9"/>
    <w:rsid w:val="388E9776"/>
    <w:rsid w:val="38968E22"/>
    <w:rsid w:val="38977043"/>
    <w:rsid w:val="38978098"/>
    <w:rsid w:val="389949F6"/>
    <w:rsid w:val="389BB5A1"/>
    <w:rsid w:val="38A02FE1"/>
    <w:rsid w:val="38A136B2"/>
    <w:rsid w:val="38A63A70"/>
    <w:rsid w:val="38AC2158"/>
    <w:rsid w:val="38AD2083"/>
    <w:rsid w:val="38AFE71F"/>
    <w:rsid w:val="38BE149A"/>
    <w:rsid w:val="38C3377E"/>
    <w:rsid w:val="38C43250"/>
    <w:rsid w:val="38C75518"/>
    <w:rsid w:val="38C7D797"/>
    <w:rsid w:val="38D81C82"/>
    <w:rsid w:val="38D98EA1"/>
    <w:rsid w:val="38DCAD69"/>
    <w:rsid w:val="38DD4F88"/>
    <w:rsid w:val="38E4B512"/>
    <w:rsid w:val="38EF7600"/>
    <w:rsid w:val="38F11847"/>
    <w:rsid w:val="38F7B673"/>
    <w:rsid w:val="38F98BFD"/>
    <w:rsid w:val="3907C883"/>
    <w:rsid w:val="39181F62"/>
    <w:rsid w:val="3918B2BD"/>
    <w:rsid w:val="392237F7"/>
    <w:rsid w:val="3927EE0B"/>
    <w:rsid w:val="39289E22"/>
    <w:rsid w:val="392C97FE"/>
    <w:rsid w:val="392CA7D0"/>
    <w:rsid w:val="39371038"/>
    <w:rsid w:val="39526623"/>
    <w:rsid w:val="3955A9A7"/>
    <w:rsid w:val="395A24EE"/>
    <w:rsid w:val="395A4A51"/>
    <w:rsid w:val="395B5243"/>
    <w:rsid w:val="3961650E"/>
    <w:rsid w:val="39622883"/>
    <w:rsid w:val="3962D00F"/>
    <w:rsid w:val="3964C78D"/>
    <w:rsid w:val="396D6456"/>
    <w:rsid w:val="39772C98"/>
    <w:rsid w:val="398196CD"/>
    <w:rsid w:val="3984D4C3"/>
    <w:rsid w:val="39893CBA"/>
    <w:rsid w:val="398C0451"/>
    <w:rsid w:val="398F2F25"/>
    <w:rsid w:val="398F3A3C"/>
    <w:rsid w:val="398F5C27"/>
    <w:rsid w:val="3995C77C"/>
    <w:rsid w:val="3998C772"/>
    <w:rsid w:val="39A49DD9"/>
    <w:rsid w:val="39A7D0D6"/>
    <w:rsid w:val="39A891A4"/>
    <w:rsid w:val="39AC2CAE"/>
    <w:rsid w:val="39ACDB39"/>
    <w:rsid w:val="39B6D6CC"/>
    <w:rsid w:val="39B6E09E"/>
    <w:rsid w:val="39BA39D7"/>
    <w:rsid w:val="39BC4E02"/>
    <w:rsid w:val="39BE2393"/>
    <w:rsid w:val="39C62BD5"/>
    <w:rsid w:val="39CCD937"/>
    <w:rsid w:val="39CD4B70"/>
    <w:rsid w:val="39CD770E"/>
    <w:rsid w:val="39D6DC0E"/>
    <w:rsid w:val="39D6EECF"/>
    <w:rsid w:val="39DE361D"/>
    <w:rsid w:val="39E35CB4"/>
    <w:rsid w:val="39E82CBD"/>
    <w:rsid w:val="39E85977"/>
    <w:rsid w:val="3A026735"/>
    <w:rsid w:val="3A02E79C"/>
    <w:rsid w:val="3A084526"/>
    <w:rsid w:val="3A14E562"/>
    <w:rsid w:val="3A1DAB2B"/>
    <w:rsid w:val="3A20D56C"/>
    <w:rsid w:val="3A276ACE"/>
    <w:rsid w:val="3A288594"/>
    <w:rsid w:val="3A2D0741"/>
    <w:rsid w:val="3A327755"/>
    <w:rsid w:val="3A33905D"/>
    <w:rsid w:val="3A377C93"/>
    <w:rsid w:val="3A3E4A24"/>
    <w:rsid w:val="3A409C71"/>
    <w:rsid w:val="3A435A4F"/>
    <w:rsid w:val="3A436007"/>
    <w:rsid w:val="3A485F60"/>
    <w:rsid w:val="3A4C6514"/>
    <w:rsid w:val="3A4FA2F3"/>
    <w:rsid w:val="3A519AB7"/>
    <w:rsid w:val="3A52CDE7"/>
    <w:rsid w:val="3A55C0FA"/>
    <w:rsid w:val="3A5E350F"/>
    <w:rsid w:val="3A7689FC"/>
    <w:rsid w:val="3A802B2D"/>
    <w:rsid w:val="3A8431D4"/>
    <w:rsid w:val="3A87B3D7"/>
    <w:rsid w:val="3A93A3FB"/>
    <w:rsid w:val="3A9DA8ED"/>
    <w:rsid w:val="3AA714E8"/>
    <w:rsid w:val="3AA779CB"/>
    <w:rsid w:val="3AAF20ED"/>
    <w:rsid w:val="3AB0A8E0"/>
    <w:rsid w:val="3ABC84AB"/>
    <w:rsid w:val="3AC46F9C"/>
    <w:rsid w:val="3AC7DBAF"/>
    <w:rsid w:val="3ACAC90E"/>
    <w:rsid w:val="3ACE9568"/>
    <w:rsid w:val="3ACF5B8D"/>
    <w:rsid w:val="3AD9DF67"/>
    <w:rsid w:val="3AE212BC"/>
    <w:rsid w:val="3AE3E843"/>
    <w:rsid w:val="3AE8E8BD"/>
    <w:rsid w:val="3AEC4E6F"/>
    <w:rsid w:val="3AEE5539"/>
    <w:rsid w:val="3AF07921"/>
    <w:rsid w:val="3AF1FC22"/>
    <w:rsid w:val="3AFC5F4E"/>
    <w:rsid w:val="3B045B77"/>
    <w:rsid w:val="3B0A9ACA"/>
    <w:rsid w:val="3B15961C"/>
    <w:rsid w:val="3B1DD06E"/>
    <w:rsid w:val="3B25135E"/>
    <w:rsid w:val="3B26E022"/>
    <w:rsid w:val="3B2709AB"/>
    <w:rsid w:val="3B2B0A9D"/>
    <w:rsid w:val="3B30BFC6"/>
    <w:rsid w:val="3B32D055"/>
    <w:rsid w:val="3B3B465E"/>
    <w:rsid w:val="3B43A949"/>
    <w:rsid w:val="3B43C93B"/>
    <w:rsid w:val="3B46FD0B"/>
    <w:rsid w:val="3B4A0906"/>
    <w:rsid w:val="3B4B8D52"/>
    <w:rsid w:val="3B536FB5"/>
    <w:rsid w:val="3B599FC7"/>
    <w:rsid w:val="3B5A1499"/>
    <w:rsid w:val="3B5C010A"/>
    <w:rsid w:val="3B631A72"/>
    <w:rsid w:val="3B63234E"/>
    <w:rsid w:val="3B65D4C0"/>
    <w:rsid w:val="3B67E653"/>
    <w:rsid w:val="3B73887E"/>
    <w:rsid w:val="3B7B83E9"/>
    <w:rsid w:val="3B7FB7BD"/>
    <w:rsid w:val="3B806D37"/>
    <w:rsid w:val="3B834A8A"/>
    <w:rsid w:val="3B844155"/>
    <w:rsid w:val="3B850C14"/>
    <w:rsid w:val="3B8BC2F0"/>
    <w:rsid w:val="3B92B195"/>
    <w:rsid w:val="3B92C6FA"/>
    <w:rsid w:val="3B9540A3"/>
    <w:rsid w:val="3B96F0D8"/>
    <w:rsid w:val="3B9B2350"/>
    <w:rsid w:val="3B9CF7A8"/>
    <w:rsid w:val="3BA5C880"/>
    <w:rsid w:val="3BAB1A2D"/>
    <w:rsid w:val="3BB8E4B9"/>
    <w:rsid w:val="3BBB8942"/>
    <w:rsid w:val="3BC7AF45"/>
    <w:rsid w:val="3BC8046B"/>
    <w:rsid w:val="3BD5A107"/>
    <w:rsid w:val="3BDE215C"/>
    <w:rsid w:val="3BE177F8"/>
    <w:rsid w:val="3BE64E0B"/>
    <w:rsid w:val="3BF791D5"/>
    <w:rsid w:val="3C010EE1"/>
    <w:rsid w:val="3C0F8EA5"/>
    <w:rsid w:val="3C133838"/>
    <w:rsid w:val="3C13C668"/>
    <w:rsid w:val="3C17F5B2"/>
    <w:rsid w:val="3C1C6E89"/>
    <w:rsid w:val="3C1EAD01"/>
    <w:rsid w:val="3C249FA0"/>
    <w:rsid w:val="3C298AE9"/>
    <w:rsid w:val="3C2A71F1"/>
    <w:rsid w:val="3C3115A3"/>
    <w:rsid w:val="3C314940"/>
    <w:rsid w:val="3C378C2E"/>
    <w:rsid w:val="3C37B37A"/>
    <w:rsid w:val="3C46A0AB"/>
    <w:rsid w:val="3C483D5A"/>
    <w:rsid w:val="3C48AB6E"/>
    <w:rsid w:val="3C4DE8A1"/>
    <w:rsid w:val="3C511E0E"/>
    <w:rsid w:val="3C57A028"/>
    <w:rsid w:val="3C5A2D39"/>
    <w:rsid w:val="3C5DBB00"/>
    <w:rsid w:val="3C628731"/>
    <w:rsid w:val="3C62A18E"/>
    <w:rsid w:val="3C635278"/>
    <w:rsid w:val="3C63C3E0"/>
    <w:rsid w:val="3C63C8D4"/>
    <w:rsid w:val="3C6BF4FF"/>
    <w:rsid w:val="3C73510F"/>
    <w:rsid w:val="3C787D41"/>
    <w:rsid w:val="3C7EECD1"/>
    <w:rsid w:val="3C7F127F"/>
    <w:rsid w:val="3C8525B4"/>
    <w:rsid w:val="3C8DF407"/>
    <w:rsid w:val="3C92F8B6"/>
    <w:rsid w:val="3C9659B2"/>
    <w:rsid w:val="3CB29A26"/>
    <w:rsid w:val="3CB2BE50"/>
    <w:rsid w:val="3CBCCB95"/>
    <w:rsid w:val="3CC4CFCE"/>
    <w:rsid w:val="3CC67376"/>
    <w:rsid w:val="3CC7DC9A"/>
    <w:rsid w:val="3CCAC697"/>
    <w:rsid w:val="3CDA84D3"/>
    <w:rsid w:val="3CE372A3"/>
    <w:rsid w:val="3CE84FAA"/>
    <w:rsid w:val="3CED5D08"/>
    <w:rsid w:val="3CF68012"/>
    <w:rsid w:val="3CFCDDB8"/>
    <w:rsid w:val="3D01448E"/>
    <w:rsid w:val="3D086873"/>
    <w:rsid w:val="3D090C85"/>
    <w:rsid w:val="3D0E14D1"/>
    <w:rsid w:val="3D126293"/>
    <w:rsid w:val="3D1C559C"/>
    <w:rsid w:val="3D1CAA1F"/>
    <w:rsid w:val="3D26285B"/>
    <w:rsid w:val="3D2773D5"/>
    <w:rsid w:val="3D2928D6"/>
    <w:rsid w:val="3D2E8A88"/>
    <w:rsid w:val="3D38FF75"/>
    <w:rsid w:val="3D3FABA4"/>
    <w:rsid w:val="3D45086E"/>
    <w:rsid w:val="3D4D5F62"/>
    <w:rsid w:val="3D53EFBA"/>
    <w:rsid w:val="3D57A511"/>
    <w:rsid w:val="3D627E79"/>
    <w:rsid w:val="3D641110"/>
    <w:rsid w:val="3D64B868"/>
    <w:rsid w:val="3D6BFB3F"/>
    <w:rsid w:val="3D6E55F6"/>
    <w:rsid w:val="3D7337A2"/>
    <w:rsid w:val="3D75BAB2"/>
    <w:rsid w:val="3D7AD409"/>
    <w:rsid w:val="3D85F523"/>
    <w:rsid w:val="3D894155"/>
    <w:rsid w:val="3D905BAE"/>
    <w:rsid w:val="3D93909F"/>
    <w:rsid w:val="3D9F836A"/>
    <w:rsid w:val="3DA1A557"/>
    <w:rsid w:val="3DADB34B"/>
    <w:rsid w:val="3DAEF6C7"/>
    <w:rsid w:val="3DB2FCF1"/>
    <w:rsid w:val="3DB52578"/>
    <w:rsid w:val="3DB780AB"/>
    <w:rsid w:val="3DB7A1FA"/>
    <w:rsid w:val="3DBAFB70"/>
    <w:rsid w:val="3DBBC703"/>
    <w:rsid w:val="3DBD0186"/>
    <w:rsid w:val="3DC9BF70"/>
    <w:rsid w:val="3DCAEEB7"/>
    <w:rsid w:val="3DD0964B"/>
    <w:rsid w:val="3DD530E5"/>
    <w:rsid w:val="3DF1541B"/>
    <w:rsid w:val="3DF237C7"/>
    <w:rsid w:val="3DF50A41"/>
    <w:rsid w:val="3DF7E21D"/>
    <w:rsid w:val="3E00A5B8"/>
    <w:rsid w:val="3E0C726E"/>
    <w:rsid w:val="3E11624C"/>
    <w:rsid w:val="3E15675D"/>
    <w:rsid w:val="3E20A3EA"/>
    <w:rsid w:val="3E2EBCD8"/>
    <w:rsid w:val="3E311DC3"/>
    <w:rsid w:val="3E360E77"/>
    <w:rsid w:val="3E3B5F85"/>
    <w:rsid w:val="3E411142"/>
    <w:rsid w:val="3E422D91"/>
    <w:rsid w:val="3E577285"/>
    <w:rsid w:val="3E5C2F34"/>
    <w:rsid w:val="3E66BE44"/>
    <w:rsid w:val="3E73AF77"/>
    <w:rsid w:val="3E86649D"/>
    <w:rsid w:val="3E8EE34D"/>
    <w:rsid w:val="3E8F7B12"/>
    <w:rsid w:val="3E92B2B9"/>
    <w:rsid w:val="3E979442"/>
    <w:rsid w:val="3E9AB3A2"/>
    <w:rsid w:val="3E9B116F"/>
    <w:rsid w:val="3EA0FBDC"/>
    <w:rsid w:val="3EA45855"/>
    <w:rsid w:val="3EA8088A"/>
    <w:rsid w:val="3EAAB91F"/>
    <w:rsid w:val="3EAC871D"/>
    <w:rsid w:val="3EB4B6CA"/>
    <w:rsid w:val="3EB702B4"/>
    <w:rsid w:val="3ECA83C5"/>
    <w:rsid w:val="3ECB3957"/>
    <w:rsid w:val="3ED6F7D2"/>
    <w:rsid w:val="3EDDFCBC"/>
    <w:rsid w:val="3EE61A2B"/>
    <w:rsid w:val="3EE9946A"/>
    <w:rsid w:val="3EEBD439"/>
    <w:rsid w:val="3EF0DA50"/>
    <w:rsid w:val="3EF381B5"/>
    <w:rsid w:val="3EF4DB2F"/>
    <w:rsid w:val="3EF6BD0C"/>
    <w:rsid w:val="3EF81214"/>
    <w:rsid w:val="3F0146F9"/>
    <w:rsid w:val="3F05C555"/>
    <w:rsid w:val="3F15D538"/>
    <w:rsid w:val="3F160D99"/>
    <w:rsid w:val="3F1FD097"/>
    <w:rsid w:val="3F30A740"/>
    <w:rsid w:val="3F36133D"/>
    <w:rsid w:val="3F5027CC"/>
    <w:rsid w:val="3F5627FB"/>
    <w:rsid w:val="3F5BC80E"/>
    <w:rsid w:val="3F5F7744"/>
    <w:rsid w:val="3F5FCF6E"/>
    <w:rsid w:val="3F6F4002"/>
    <w:rsid w:val="3F733F2A"/>
    <w:rsid w:val="3F7376EE"/>
    <w:rsid w:val="3F75620A"/>
    <w:rsid w:val="3F7D046C"/>
    <w:rsid w:val="3F7F4D89"/>
    <w:rsid w:val="3F8DA2CB"/>
    <w:rsid w:val="3F9DAED4"/>
    <w:rsid w:val="3FA2EE11"/>
    <w:rsid w:val="3FA3A810"/>
    <w:rsid w:val="3FA8505E"/>
    <w:rsid w:val="3FAB60FC"/>
    <w:rsid w:val="3FB9AD53"/>
    <w:rsid w:val="3FCBCE89"/>
    <w:rsid w:val="3FCDBC8A"/>
    <w:rsid w:val="3FCDFDC8"/>
    <w:rsid w:val="3FD7BB83"/>
    <w:rsid w:val="3FDA6205"/>
    <w:rsid w:val="3FE33D67"/>
    <w:rsid w:val="3FE64D9C"/>
    <w:rsid w:val="3FEC49CC"/>
    <w:rsid w:val="3FF08682"/>
    <w:rsid w:val="3FF54E11"/>
    <w:rsid w:val="3FF83F05"/>
    <w:rsid w:val="4001CA28"/>
    <w:rsid w:val="4011AD1F"/>
    <w:rsid w:val="40130D06"/>
    <w:rsid w:val="40195ED3"/>
    <w:rsid w:val="401B4F13"/>
    <w:rsid w:val="401E12AB"/>
    <w:rsid w:val="4030C2BD"/>
    <w:rsid w:val="403EFC91"/>
    <w:rsid w:val="40423B9F"/>
    <w:rsid w:val="40447483"/>
    <w:rsid w:val="404FC31A"/>
    <w:rsid w:val="405239E6"/>
    <w:rsid w:val="405AAAB7"/>
    <w:rsid w:val="405CD199"/>
    <w:rsid w:val="4063F64A"/>
    <w:rsid w:val="406C6F3F"/>
    <w:rsid w:val="406E80A3"/>
    <w:rsid w:val="406E908E"/>
    <w:rsid w:val="406EC2A3"/>
    <w:rsid w:val="40702E6D"/>
    <w:rsid w:val="40744EEA"/>
    <w:rsid w:val="40798079"/>
    <w:rsid w:val="407BE3EA"/>
    <w:rsid w:val="407E39EB"/>
    <w:rsid w:val="4080FAC1"/>
    <w:rsid w:val="40815AE1"/>
    <w:rsid w:val="40849729"/>
    <w:rsid w:val="408AE20F"/>
    <w:rsid w:val="408B2524"/>
    <w:rsid w:val="40A00419"/>
    <w:rsid w:val="40A2C9C6"/>
    <w:rsid w:val="40ADFD77"/>
    <w:rsid w:val="40B20904"/>
    <w:rsid w:val="40B668F4"/>
    <w:rsid w:val="40BC8B4B"/>
    <w:rsid w:val="40BED862"/>
    <w:rsid w:val="40C0C564"/>
    <w:rsid w:val="40C333C1"/>
    <w:rsid w:val="40C3AFB2"/>
    <w:rsid w:val="40C515C1"/>
    <w:rsid w:val="40C9CC18"/>
    <w:rsid w:val="40CCC4B5"/>
    <w:rsid w:val="40CE6261"/>
    <w:rsid w:val="40CF9DD4"/>
    <w:rsid w:val="40D18EB8"/>
    <w:rsid w:val="40D50CCE"/>
    <w:rsid w:val="40E49347"/>
    <w:rsid w:val="40E68F65"/>
    <w:rsid w:val="40F33950"/>
    <w:rsid w:val="40F4F536"/>
    <w:rsid w:val="40F6E4E2"/>
    <w:rsid w:val="41085938"/>
    <w:rsid w:val="410AAC61"/>
    <w:rsid w:val="410BC2BE"/>
    <w:rsid w:val="410D920F"/>
    <w:rsid w:val="41144A0A"/>
    <w:rsid w:val="412B547C"/>
    <w:rsid w:val="412DA491"/>
    <w:rsid w:val="412FA9F8"/>
    <w:rsid w:val="4139FAE0"/>
    <w:rsid w:val="41452241"/>
    <w:rsid w:val="4150F364"/>
    <w:rsid w:val="4161B8DB"/>
    <w:rsid w:val="416B9C36"/>
    <w:rsid w:val="416D8725"/>
    <w:rsid w:val="41739CFB"/>
    <w:rsid w:val="41825E47"/>
    <w:rsid w:val="418A3156"/>
    <w:rsid w:val="418B8FF2"/>
    <w:rsid w:val="418F9277"/>
    <w:rsid w:val="419013D2"/>
    <w:rsid w:val="419A40DD"/>
    <w:rsid w:val="419AD539"/>
    <w:rsid w:val="41A300BF"/>
    <w:rsid w:val="41A33388"/>
    <w:rsid w:val="41A6711D"/>
    <w:rsid w:val="41AB9D76"/>
    <w:rsid w:val="41AC1C54"/>
    <w:rsid w:val="41AC63D1"/>
    <w:rsid w:val="41B0F365"/>
    <w:rsid w:val="41B30E58"/>
    <w:rsid w:val="41B3AACD"/>
    <w:rsid w:val="41B85E38"/>
    <w:rsid w:val="41C02480"/>
    <w:rsid w:val="41CF1145"/>
    <w:rsid w:val="41CF54B9"/>
    <w:rsid w:val="41DE1922"/>
    <w:rsid w:val="41DFD7BD"/>
    <w:rsid w:val="41E02EC8"/>
    <w:rsid w:val="41E1366B"/>
    <w:rsid w:val="41E70006"/>
    <w:rsid w:val="41EB9553"/>
    <w:rsid w:val="41F43881"/>
    <w:rsid w:val="41F48C04"/>
    <w:rsid w:val="41FA4C07"/>
    <w:rsid w:val="41FEC196"/>
    <w:rsid w:val="4206AC09"/>
    <w:rsid w:val="420C3FD6"/>
    <w:rsid w:val="42211042"/>
    <w:rsid w:val="4222EA1F"/>
    <w:rsid w:val="42279983"/>
    <w:rsid w:val="422E413C"/>
    <w:rsid w:val="423305FC"/>
    <w:rsid w:val="4237636A"/>
    <w:rsid w:val="423980AC"/>
    <w:rsid w:val="423C9258"/>
    <w:rsid w:val="423E8313"/>
    <w:rsid w:val="424C1FB5"/>
    <w:rsid w:val="42538040"/>
    <w:rsid w:val="42596E85"/>
    <w:rsid w:val="426199C0"/>
    <w:rsid w:val="4262B4C3"/>
    <w:rsid w:val="426FAC0F"/>
    <w:rsid w:val="4271F2BB"/>
    <w:rsid w:val="4275FF7D"/>
    <w:rsid w:val="428B3D12"/>
    <w:rsid w:val="428B6EEB"/>
    <w:rsid w:val="428E0F14"/>
    <w:rsid w:val="428FDAF5"/>
    <w:rsid w:val="4291D08F"/>
    <w:rsid w:val="4292B543"/>
    <w:rsid w:val="4295FC70"/>
    <w:rsid w:val="429C9393"/>
    <w:rsid w:val="429D0AA5"/>
    <w:rsid w:val="42A73771"/>
    <w:rsid w:val="42A7B098"/>
    <w:rsid w:val="42ABF3D9"/>
    <w:rsid w:val="42ADF2CA"/>
    <w:rsid w:val="42AEF9E7"/>
    <w:rsid w:val="42B31A2D"/>
    <w:rsid w:val="42B4D587"/>
    <w:rsid w:val="42B5275A"/>
    <w:rsid w:val="42B8459A"/>
    <w:rsid w:val="42BDABFE"/>
    <w:rsid w:val="42C4D0DF"/>
    <w:rsid w:val="42D4F685"/>
    <w:rsid w:val="42D84013"/>
    <w:rsid w:val="42D9836A"/>
    <w:rsid w:val="42DE64F8"/>
    <w:rsid w:val="42E806B5"/>
    <w:rsid w:val="42EBA471"/>
    <w:rsid w:val="42F2F17F"/>
    <w:rsid w:val="42F3B46C"/>
    <w:rsid w:val="42F5B1EF"/>
    <w:rsid w:val="42F68C14"/>
    <w:rsid w:val="430323C3"/>
    <w:rsid w:val="43073173"/>
    <w:rsid w:val="4307F512"/>
    <w:rsid w:val="430851EC"/>
    <w:rsid w:val="43098B02"/>
    <w:rsid w:val="430D7865"/>
    <w:rsid w:val="43150967"/>
    <w:rsid w:val="43174D82"/>
    <w:rsid w:val="431F0F98"/>
    <w:rsid w:val="4327D380"/>
    <w:rsid w:val="432946B4"/>
    <w:rsid w:val="432A9119"/>
    <w:rsid w:val="432CCAF2"/>
    <w:rsid w:val="432CFE26"/>
    <w:rsid w:val="432FF9E9"/>
    <w:rsid w:val="4331A3BF"/>
    <w:rsid w:val="433CBFE6"/>
    <w:rsid w:val="433E3E79"/>
    <w:rsid w:val="43426E87"/>
    <w:rsid w:val="434CD1AD"/>
    <w:rsid w:val="4352B887"/>
    <w:rsid w:val="43578915"/>
    <w:rsid w:val="4358C2BE"/>
    <w:rsid w:val="435943B7"/>
    <w:rsid w:val="43674401"/>
    <w:rsid w:val="436914D4"/>
    <w:rsid w:val="4369422B"/>
    <w:rsid w:val="436AE327"/>
    <w:rsid w:val="436F7CED"/>
    <w:rsid w:val="437086BA"/>
    <w:rsid w:val="43845444"/>
    <w:rsid w:val="43885501"/>
    <w:rsid w:val="4388ADDD"/>
    <w:rsid w:val="438E4542"/>
    <w:rsid w:val="439961B5"/>
    <w:rsid w:val="43A37889"/>
    <w:rsid w:val="43A7E258"/>
    <w:rsid w:val="43A8AE20"/>
    <w:rsid w:val="43B86011"/>
    <w:rsid w:val="43C6C331"/>
    <w:rsid w:val="43CB6AB6"/>
    <w:rsid w:val="43CF46DC"/>
    <w:rsid w:val="43CF857F"/>
    <w:rsid w:val="43D3289E"/>
    <w:rsid w:val="43D7311A"/>
    <w:rsid w:val="43DF3633"/>
    <w:rsid w:val="43E995D2"/>
    <w:rsid w:val="43F2F94E"/>
    <w:rsid w:val="43F38D08"/>
    <w:rsid w:val="43F3D129"/>
    <w:rsid w:val="43FDE2B7"/>
    <w:rsid w:val="43FF852B"/>
    <w:rsid w:val="4415C667"/>
    <w:rsid w:val="4415D4DF"/>
    <w:rsid w:val="4418CCAF"/>
    <w:rsid w:val="4419E10C"/>
    <w:rsid w:val="442B02D0"/>
    <w:rsid w:val="442B6BEA"/>
    <w:rsid w:val="4438AF09"/>
    <w:rsid w:val="444385CA"/>
    <w:rsid w:val="444465CD"/>
    <w:rsid w:val="444C3B59"/>
    <w:rsid w:val="44519229"/>
    <w:rsid w:val="445F9980"/>
    <w:rsid w:val="44600AC0"/>
    <w:rsid w:val="4466D2B0"/>
    <w:rsid w:val="44688E12"/>
    <w:rsid w:val="446BAC55"/>
    <w:rsid w:val="4481BCD0"/>
    <w:rsid w:val="4486639B"/>
    <w:rsid w:val="4486761E"/>
    <w:rsid w:val="44947CE2"/>
    <w:rsid w:val="44956F9C"/>
    <w:rsid w:val="449A960E"/>
    <w:rsid w:val="449C8FBB"/>
    <w:rsid w:val="449FB169"/>
    <w:rsid w:val="44A46E2D"/>
    <w:rsid w:val="44A921BF"/>
    <w:rsid w:val="44AD4182"/>
    <w:rsid w:val="44AFF94D"/>
    <w:rsid w:val="44B6958F"/>
    <w:rsid w:val="44BB6F69"/>
    <w:rsid w:val="44BC4D60"/>
    <w:rsid w:val="44C6707A"/>
    <w:rsid w:val="44CFBB58"/>
    <w:rsid w:val="44D1ECE3"/>
    <w:rsid w:val="44DB24D6"/>
    <w:rsid w:val="44E53A54"/>
    <w:rsid w:val="44E66AD4"/>
    <w:rsid w:val="44F39227"/>
    <w:rsid w:val="44F7E84B"/>
    <w:rsid w:val="44F7F96B"/>
    <w:rsid w:val="44FC855A"/>
    <w:rsid w:val="4501B228"/>
    <w:rsid w:val="4502255F"/>
    <w:rsid w:val="45054FC9"/>
    <w:rsid w:val="4509583B"/>
    <w:rsid w:val="450B6662"/>
    <w:rsid w:val="450D0E67"/>
    <w:rsid w:val="450D9679"/>
    <w:rsid w:val="451071ED"/>
    <w:rsid w:val="451242D2"/>
    <w:rsid w:val="451617A3"/>
    <w:rsid w:val="45185124"/>
    <w:rsid w:val="451A52A6"/>
    <w:rsid w:val="452056F6"/>
    <w:rsid w:val="4526EAD6"/>
    <w:rsid w:val="45315AC0"/>
    <w:rsid w:val="4531A402"/>
    <w:rsid w:val="4534A762"/>
    <w:rsid w:val="453549D6"/>
    <w:rsid w:val="453B87AE"/>
    <w:rsid w:val="453FE6DA"/>
    <w:rsid w:val="4543B2B9"/>
    <w:rsid w:val="45491601"/>
    <w:rsid w:val="454DC894"/>
    <w:rsid w:val="454EAC30"/>
    <w:rsid w:val="454FFCB9"/>
    <w:rsid w:val="45512E89"/>
    <w:rsid w:val="455268FE"/>
    <w:rsid w:val="455E5C32"/>
    <w:rsid w:val="456303B3"/>
    <w:rsid w:val="45635FDA"/>
    <w:rsid w:val="45666F9E"/>
    <w:rsid w:val="4566E49B"/>
    <w:rsid w:val="456FA676"/>
    <w:rsid w:val="458E0154"/>
    <w:rsid w:val="459E99E3"/>
    <w:rsid w:val="459F3F8D"/>
    <w:rsid w:val="45A557C0"/>
    <w:rsid w:val="45A8EE41"/>
    <w:rsid w:val="45AE26A5"/>
    <w:rsid w:val="45B231C3"/>
    <w:rsid w:val="45B25E69"/>
    <w:rsid w:val="45B6B00F"/>
    <w:rsid w:val="45BAF5B0"/>
    <w:rsid w:val="45C28E05"/>
    <w:rsid w:val="45CDFDB3"/>
    <w:rsid w:val="45D00EDD"/>
    <w:rsid w:val="45D2A1C0"/>
    <w:rsid w:val="45D778D8"/>
    <w:rsid w:val="45DEB8B3"/>
    <w:rsid w:val="45DF81DA"/>
    <w:rsid w:val="45DFA90B"/>
    <w:rsid w:val="45E0643A"/>
    <w:rsid w:val="45E27179"/>
    <w:rsid w:val="45E920EE"/>
    <w:rsid w:val="45EE8C5D"/>
    <w:rsid w:val="45EF08D4"/>
    <w:rsid w:val="45FB0959"/>
    <w:rsid w:val="45FB1903"/>
    <w:rsid w:val="45FF36BB"/>
    <w:rsid w:val="46020BAE"/>
    <w:rsid w:val="4603F90C"/>
    <w:rsid w:val="4608CFCC"/>
    <w:rsid w:val="46164485"/>
    <w:rsid w:val="461975ED"/>
    <w:rsid w:val="4620A7B1"/>
    <w:rsid w:val="4624A983"/>
    <w:rsid w:val="462F3914"/>
    <w:rsid w:val="4630C6B6"/>
    <w:rsid w:val="463A32B3"/>
    <w:rsid w:val="463A7B4E"/>
    <w:rsid w:val="4640C577"/>
    <w:rsid w:val="46420CED"/>
    <w:rsid w:val="464A2A79"/>
    <w:rsid w:val="464C8C56"/>
    <w:rsid w:val="464E41A8"/>
    <w:rsid w:val="464F02DC"/>
    <w:rsid w:val="46534534"/>
    <w:rsid w:val="4654DF9D"/>
    <w:rsid w:val="46564C86"/>
    <w:rsid w:val="465D182C"/>
    <w:rsid w:val="465F817B"/>
    <w:rsid w:val="4666C7F5"/>
    <w:rsid w:val="466785C9"/>
    <w:rsid w:val="46737EE0"/>
    <w:rsid w:val="4679DF2C"/>
    <w:rsid w:val="467A9D6A"/>
    <w:rsid w:val="46843FC0"/>
    <w:rsid w:val="46858800"/>
    <w:rsid w:val="46864946"/>
    <w:rsid w:val="4695263D"/>
    <w:rsid w:val="469D3D53"/>
    <w:rsid w:val="46A02E7C"/>
    <w:rsid w:val="46A6D8FC"/>
    <w:rsid w:val="46A81493"/>
    <w:rsid w:val="46B3531F"/>
    <w:rsid w:val="46BEB621"/>
    <w:rsid w:val="46BFD3B9"/>
    <w:rsid w:val="46CA4691"/>
    <w:rsid w:val="46D89B3C"/>
    <w:rsid w:val="46E2E394"/>
    <w:rsid w:val="46E77B7F"/>
    <w:rsid w:val="46E8731A"/>
    <w:rsid w:val="46E9D3AD"/>
    <w:rsid w:val="46EF778F"/>
    <w:rsid w:val="46F0C45F"/>
    <w:rsid w:val="46F11280"/>
    <w:rsid w:val="46F18236"/>
    <w:rsid w:val="46F2E4A6"/>
    <w:rsid w:val="46F40B95"/>
    <w:rsid w:val="46F54B37"/>
    <w:rsid w:val="46FEEE7E"/>
    <w:rsid w:val="470564C0"/>
    <w:rsid w:val="470F0752"/>
    <w:rsid w:val="4712AB22"/>
    <w:rsid w:val="471424D4"/>
    <w:rsid w:val="471496DF"/>
    <w:rsid w:val="471D5DD5"/>
    <w:rsid w:val="4723F51F"/>
    <w:rsid w:val="4725E519"/>
    <w:rsid w:val="47268D9A"/>
    <w:rsid w:val="472700A6"/>
    <w:rsid w:val="4739A9CE"/>
    <w:rsid w:val="473F3A5F"/>
    <w:rsid w:val="474A91A3"/>
    <w:rsid w:val="474BDECC"/>
    <w:rsid w:val="474D8E51"/>
    <w:rsid w:val="475606BB"/>
    <w:rsid w:val="4756D1F8"/>
    <w:rsid w:val="47602166"/>
    <w:rsid w:val="47737F79"/>
    <w:rsid w:val="4773EFD6"/>
    <w:rsid w:val="4774E692"/>
    <w:rsid w:val="477C095A"/>
    <w:rsid w:val="477DC528"/>
    <w:rsid w:val="477E067C"/>
    <w:rsid w:val="4798C559"/>
    <w:rsid w:val="479F1633"/>
    <w:rsid w:val="479FB6AC"/>
    <w:rsid w:val="47A686C0"/>
    <w:rsid w:val="47B34EDF"/>
    <w:rsid w:val="47B3A5CD"/>
    <w:rsid w:val="47BF81FC"/>
    <w:rsid w:val="47C49CBC"/>
    <w:rsid w:val="47D0A9C7"/>
    <w:rsid w:val="47EB1100"/>
    <w:rsid w:val="47EFB999"/>
    <w:rsid w:val="47FA1358"/>
    <w:rsid w:val="4810792E"/>
    <w:rsid w:val="4816B0F7"/>
    <w:rsid w:val="48224B7D"/>
    <w:rsid w:val="482DA7B7"/>
    <w:rsid w:val="482F7B46"/>
    <w:rsid w:val="483FC320"/>
    <w:rsid w:val="48409541"/>
    <w:rsid w:val="484348A3"/>
    <w:rsid w:val="4844B0C7"/>
    <w:rsid w:val="48483638"/>
    <w:rsid w:val="484A8AA0"/>
    <w:rsid w:val="484A9EC9"/>
    <w:rsid w:val="484C2BB6"/>
    <w:rsid w:val="484EB6B4"/>
    <w:rsid w:val="484F0BD6"/>
    <w:rsid w:val="486D0F7B"/>
    <w:rsid w:val="4875D034"/>
    <w:rsid w:val="4875E335"/>
    <w:rsid w:val="48767740"/>
    <w:rsid w:val="487AC0DE"/>
    <w:rsid w:val="487E08E8"/>
    <w:rsid w:val="4883CD7B"/>
    <w:rsid w:val="4883FC7A"/>
    <w:rsid w:val="488E430B"/>
    <w:rsid w:val="4895D583"/>
    <w:rsid w:val="489CA8D1"/>
    <w:rsid w:val="48A24DE2"/>
    <w:rsid w:val="48A31EE4"/>
    <w:rsid w:val="48A6E920"/>
    <w:rsid w:val="48AC121D"/>
    <w:rsid w:val="48B44044"/>
    <w:rsid w:val="48C69D15"/>
    <w:rsid w:val="48C6FCBD"/>
    <w:rsid w:val="48C75432"/>
    <w:rsid w:val="48C79B87"/>
    <w:rsid w:val="48CDC95F"/>
    <w:rsid w:val="48CF1B03"/>
    <w:rsid w:val="48D58A68"/>
    <w:rsid w:val="48D5E871"/>
    <w:rsid w:val="48D6AB36"/>
    <w:rsid w:val="48DC473C"/>
    <w:rsid w:val="48E06F0B"/>
    <w:rsid w:val="48E7C6DB"/>
    <w:rsid w:val="48EB3B9F"/>
    <w:rsid w:val="48F819EE"/>
    <w:rsid w:val="4900B4DA"/>
    <w:rsid w:val="4904AAAF"/>
    <w:rsid w:val="49141DFB"/>
    <w:rsid w:val="49155295"/>
    <w:rsid w:val="491C8953"/>
    <w:rsid w:val="491E9FC5"/>
    <w:rsid w:val="49237D46"/>
    <w:rsid w:val="49277382"/>
    <w:rsid w:val="49288923"/>
    <w:rsid w:val="492D7CD2"/>
    <w:rsid w:val="492E442C"/>
    <w:rsid w:val="4938B907"/>
    <w:rsid w:val="493FDA2C"/>
    <w:rsid w:val="4954AB70"/>
    <w:rsid w:val="4955699A"/>
    <w:rsid w:val="495A3B16"/>
    <w:rsid w:val="495B2532"/>
    <w:rsid w:val="496CA021"/>
    <w:rsid w:val="4975EB72"/>
    <w:rsid w:val="49785BA1"/>
    <w:rsid w:val="497AC4EC"/>
    <w:rsid w:val="497E35FB"/>
    <w:rsid w:val="49823CAB"/>
    <w:rsid w:val="498CAE57"/>
    <w:rsid w:val="49907D0E"/>
    <w:rsid w:val="499420DE"/>
    <w:rsid w:val="49973B32"/>
    <w:rsid w:val="49A8F703"/>
    <w:rsid w:val="49B111E9"/>
    <w:rsid w:val="49B19665"/>
    <w:rsid w:val="49B2C43C"/>
    <w:rsid w:val="49B39FD9"/>
    <w:rsid w:val="49BA05AC"/>
    <w:rsid w:val="49BDE1E4"/>
    <w:rsid w:val="49C4BD3A"/>
    <w:rsid w:val="49CAF92C"/>
    <w:rsid w:val="49CDBA88"/>
    <w:rsid w:val="49D4DE0F"/>
    <w:rsid w:val="49D60B8A"/>
    <w:rsid w:val="49D9E6D9"/>
    <w:rsid w:val="49DED88C"/>
    <w:rsid w:val="49DFEB5C"/>
    <w:rsid w:val="49E8E56B"/>
    <w:rsid w:val="49F6C01F"/>
    <w:rsid w:val="4A074D77"/>
    <w:rsid w:val="4A107C97"/>
    <w:rsid w:val="4A12BB36"/>
    <w:rsid w:val="4A16A8FB"/>
    <w:rsid w:val="4A2209F8"/>
    <w:rsid w:val="4A290DC7"/>
    <w:rsid w:val="4A2E307E"/>
    <w:rsid w:val="4A321BDA"/>
    <w:rsid w:val="4A345AF3"/>
    <w:rsid w:val="4A36E8CA"/>
    <w:rsid w:val="4A38D99D"/>
    <w:rsid w:val="4A3F16CA"/>
    <w:rsid w:val="4A45FBD9"/>
    <w:rsid w:val="4A52AFC7"/>
    <w:rsid w:val="4A58AA66"/>
    <w:rsid w:val="4A5A76CE"/>
    <w:rsid w:val="4A613E86"/>
    <w:rsid w:val="4A6AE5D2"/>
    <w:rsid w:val="4A7D8B41"/>
    <w:rsid w:val="4A7DA59F"/>
    <w:rsid w:val="4A91318D"/>
    <w:rsid w:val="4A933261"/>
    <w:rsid w:val="4A9560C2"/>
    <w:rsid w:val="4A95B77F"/>
    <w:rsid w:val="4A9880D6"/>
    <w:rsid w:val="4AA162F0"/>
    <w:rsid w:val="4AA49476"/>
    <w:rsid w:val="4AA94BF3"/>
    <w:rsid w:val="4AAD1408"/>
    <w:rsid w:val="4AAF25E8"/>
    <w:rsid w:val="4AC062B4"/>
    <w:rsid w:val="4AC0E6CD"/>
    <w:rsid w:val="4AC0F7F2"/>
    <w:rsid w:val="4AC4D826"/>
    <w:rsid w:val="4AC58885"/>
    <w:rsid w:val="4AC71E07"/>
    <w:rsid w:val="4AC72E61"/>
    <w:rsid w:val="4ACE84FD"/>
    <w:rsid w:val="4AD1B42C"/>
    <w:rsid w:val="4AD7AB51"/>
    <w:rsid w:val="4AE1005C"/>
    <w:rsid w:val="4AE26813"/>
    <w:rsid w:val="4AE3A2CC"/>
    <w:rsid w:val="4AEE1921"/>
    <w:rsid w:val="4AF06CF7"/>
    <w:rsid w:val="4AF08AC9"/>
    <w:rsid w:val="4AF186A1"/>
    <w:rsid w:val="4AF1FB41"/>
    <w:rsid w:val="4AF294B2"/>
    <w:rsid w:val="4AFBC558"/>
    <w:rsid w:val="4B01B869"/>
    <w:rsid w:val="4B05FF75"/>
    <w:rsid w:val="4B0ABBD3"/>
    <w:rsid w:val="4B12EF37"/>
    <w:rsid w:val="4B2286DB"/>
    <w:rsid w:val="4B24D8B6"/>
    <w:rsid w:val="4B271657"/>
    <w:rsid w:val="4B3A456F"/>
    <w:rsid w:val="4B3CF037"/>
    <w:rsid w:val="4B3D814B"/>
    <w:rsid w:val="4B49B6C4"/>
    <w:rsid w:val="4B4DFEE9"/>
    <w:rsid w:val="4B5AB9DA"/>
    <w:rsid w:val="4B651443"/>
    <w:rsid w:val="4B660027"/>
    <w:rsid w:val="4B682A23"/>
    <w:rsid w:val="4B68FC07"/>
    <w:rsid w:val="4B6D07AD"/>
    <w:rsid w:val="4B6DFA3A"/>
    <w:rsid w:val="4B70497F"/>
    <w:rsid w:val="4B73B421"/>
    <w:rsid w:val="4B77E837"/>
    <w:rsid w:val="4B874D90"/>
    <w:rsid w:val="4B8A3999"/>
    <w:rsid w:val="4B910905"/>
    <w:rsid w:val="4BA3CD81"/>
    <w:rsid w:val="4BA54A89"/>
    <w:rsid w:val="4BA7F0C9"/>
    <w:rsid w:val="4BA8486B"/>
    <w:rsid w:val="4BABA0A9"/>
    <w:rsid w:val="4BC077C2"/>
    <w:rsid w:val="4BD5374C"/>
    <w:rsid w:val="4BDD28EF"/>
    <w:rsid w:val="4BDECB71"/>
    <w:rsid w:val="4BE275C6"/>
    <w:rsid w:val="4BE53EBD"/>
    <w:rsid w:val="4BF2B80F"/>
    <w:rsid w:val="4BF2C25D"/>
    <w:rsid w:val="4BF5F3BA"/>
    <w:rsid w:val="4BF94AEC"/>
    <w:rsid w:val="4BF9B5D3"/>
    <w:rsid w:val="4BFAB9E3"/>
    <w:rsid w:val="4C039421"/>
    <w:rsid w:val="4C1AA4F0"/>
    <w:rsid w:val="4C1E8958"/>
    <w:rsid w:val="4C2828F6"/>
    <w:rsid w:val="4C2C5EE3"/>
    <w:rsid w:val="4C310B08"/>
    <w:rsid w:val="4C31EC87"/>
    <w:rsid w:val="4C32A8C0"/>
    <w:rsid w:val="4C34F15A"/>
    <w:rsid w:val="4C35E3C1"/>
    <w:rsid w:val="4C3A7984"/>
    <w:rsid w:val="4C3B23BB"/>
    <w:rsid w:val="4C400C0D"/>
    <w:rsid w:val="4C476F31"/>
    <w:rsid w:val="4C4C0EC2"/>
    <w:rsid w:val="4C4C4FF0"/>
    <w:rsid w:val="4C512F7F"/>
    <w:rsid w:val="4C54A1B6"/>
    <w:rsid w:val="4C571DC7"/>
    <w:rsid w:val="4C6E4B79"/>
    <w:rsid w:val="4C6E65D2"/>
    <w:rsid w:val="4C7973CD"/>
    <w:rsid w:val="4C79EB60"/>
    <w:rsid w:val="4C7B8A1B"/>
    <w:rsid w:val="4C7BD02A"/>
    <w:rsid w:val="4C7C4CB8"/>
    <w:rsid w:val="4C8B516C"/>
    <w:rsid w:val="4C972572"/>
    <w:rsid w:val="4C99D5B5"/>
    <w:rsid w:val="4C9BA7F0"/>
    <w:rsid w:val="4C9EE28E"/>
    <w:rsid w:val="4CA6259B"/>
    <w:rsid w:val="4CA7DC45"/>
    <w:rsid w:val="4CB554F9"/>
    <w:rsid w:val="4CB9215E"/>
    <w:rsid w:val="4CCD63C8"/>
    <w:rsid w:val="4CD1C1B4"/>
    <w:rsid w:val="4CD3107A"/>
    <w:rsid w:val="4CD3A883"/>
    <w:rsid w:val="4CD68585"/>
    <w:rsid w:val="4CD80ABC"/>
    <w:rsid w:val="4CE35E6C"/>
    <w:rsid w:val="4CE3A3A9"/>
    <w:rsid w:val="4CE45F63"/>
    <w:rsid w:val="4CE6859A"/>
    <w:rsid w:val="4CED5ACD"/>
    <w:rsid w:val="4CF5E946"/>
    <w:rsid w:val="4CFA1D9E"/>
    <w:rsid w:val="4CFB43C6"/>
    <w:rsid w:val="4CFC1A2D"/>
    <w:rsid w:val="4CFF2AFC"/>
    <w:rsid w:val="4D0051A8"/>
    <w:rsid w:val="4D0136B3"/>
    <w:rsid w:val="4D0326EE"/>
    <w:rsid w:val="4D05F625"/>
    <w:rsid w:val="4D15D569"/>
    <w:rsid w:val="4D1ECC2C"/>
    <w:rsid w:val="4D2D1A05"/>
    <w:rsid w:val="4D312C4A"/>
    <w:rsid w:val="4D36F2A3"/>
    <w:rsid w:val="4D41EBA2"/>
    <w:rsid w:val="4D4D23FA"/>
    <w:rsid w:val="4D5473FB"/>
    <w:rsid w:val="4D5553EB"/>
    <w:rsid w:val="4D57FB64"/>
    <w:rsid w:val="4D65D1E2"/>
    <w:rsid w:val="4D67B111"/>
    <w:rsid w:val="4D6D09E5"/>
    <w:rsid w:val="4D75BF05"/>
    <w:rsid w:val="4D873ECF"/>
    <w:rsid w:val="4D89AACA"/>
    <w:rsid w:val="4D8ACBCC"/>
    <w:rsid w:val="4D8B8152"/>
    <w:rsid w:val="4D8F1EED"/>
    <w:rsid w:val="4D9069A7"/>
    <w:rsid w:val="4D98B487"/>
    <w:rsid w:val="4DA11CF0"/>
    <w:rsid w:val="4DA8B223"/>
    <w:rsid w:val="4DBC4AF4"/>
    <w:rsid w:val="4DBD1437"/>
    <w:rsid w:val="4DBD53AF"/>
    <w:rsid w:val="4DBD5960"/>
    <w:rsid w:val="4DC83AD7"/>
    <w:rsid w:val="4DCB2659"/>
    <w:rsid w:val="4DCF11E0"/>
    <w:rsid w:val="4DCFE9DE"/>
    <w:rsid w:val="4DD650D7"/>
    <w:rsid w:val="4DDBA6DC"/>
    <w:rsid w:val="4DDFCCA0"/>
    <w:rsid w:val="4DE114F3"/>
    <w:rsid w:val="4DE16037"/>
    <w:rsid w:val="4DF0ADFC"/>
    <w:rsid w:val="4DF120EB"/>
    <w:rsid w:val="4DFB3CB0"/>
    <w:rsid w:val="4DFC4EDD"/>
    <w:rsid w:val="4DFD57BC"/>
    <w:rsid w:val="4E007EF9"/>
    <w:rsid w:val="4E04EB07"/>
    <w:rsid w:val="4E0563C5"/>
    <w:rsid w:val="4E0B8BDE"/>
    <w:rsid w:val="4E10F746"/>
    <w:rsid w:val="4E1A9382"/>
    <w:rsid w:val="4E2E87C0"/>
    <w:rsid w:val="4E310599"/>
    <w:rsid w:val="4E363C95"/>
    <w:rsid w:val="4E374758"/>
    <w:rsid w:val="4E3C7198"/>
    <w:rsid w:val="4E3CD179"/>
    <w:rsid w:val="4E3FDB94"/>
    <w:rsid w:val="4E55B9D8"/>
    <w:rsid w:val="4E56EC9D"/>
    <w:rsid w:val="4E596201"/>
    <w:rsid w:val="4E5DE661"/>
    <w:rsid w:val="4E6FC8F7"/>
    <w:rsid w:val="4E7002B8"/>
    <w:rsid w:val="4E7A0530"/>
    <w:rsid w:val="4E7C2E3E"/>
    <w:rsid w:val="4E7C7727"/>
    <w:rsid w:val="4E7EB948"/>
    <w:rsid w:val="4E811194"/>
    <w:rsid w:val="4E8D1FA6"/>
    <w:rsid w:val="4E989DD3"/>
    <w:rsid w:val="4E9E6F68"/>
    <w:rsid w:val="4EA4D7BB"/>
    <w:rsid w:val="4EB5DF42"/>
    <w:rsid w:val="4EB7B7F9"/>
    <w:rsid w:val="4EB8FA51"/>
    <w:rsid w:val="4EB9CA09"/>
    <w:rsid w:val="4EBAFF3A"/>
    <w:rsid w:val="4EC05D9B"/>
    <w:rsid w:val="4ECB8CCF"/>
    <w:rsid w:val="4ECBAE66"/>
    <w:rsid w:val="4ECCD47E"/>
    <w:rsid w:val="4ED3B8D3"/>
    <w:rsid w:val="4EDEAFB9"/>
    <w:rsid w:val="4EE1F88F"/>
    <w:rsid w:val="4EE3AA76"/>
    <w:rsid w:val="4EE8DD60"/>
    <w:rsid w:val="4EE9B3B0"/>
    <w:rsid w:val="4EE9D7DE"/>
    <w:rsid w:val="4EEFAC4D"/>
    <w:rsid w:val="4EF1C58E"/>
    <w:rsid w:val="4F00C134"/>
    <w:rsid w:val="4F02B824"/>
    <w:rsid w:val="4F034F3D"/>
    <w:rsid w:val="4F0A9DAD"/>
    <w:rsid w:val="4F1484B6"/>
    <w:rsid w:val="4F23BC76"/>
    <w:rsid w:val="4F249FA0"/>
    <w:rsid w:val="4F2AF559"/>
    <w:rsid w:val="4F470DBB"/>
    <w:rsid w:val="4F496C67"/>
    <w:rsid w:val="4F4B9389"/>
    <w:rsid w:val="4F56BEDB"/>
    <w:rsid w:val="4F593299"/>
    <w:rsid w:val="4F5A2104"/>
    <w:rsid w:val="4F5B68CE"/>
    <w:rsid w:val="4F5FB1E4"/>
    <w:rsid w:val="4F63B913"/>
    <w:rsid w:val="4F70407D"/>
    <w:rsid w:val="4F7655CB"/>
    <w:rsid w:val="4F7B9C7B"/>
    <w:rsid w:val="4F7C48BA"/>
    <w:rsid w:val="4F7E540E"/>
    <w:rsid w:val="4F7EE53A"/>
    <w:rsid w:val="4F821E2A"/>
    <w:rsid w:val="4F87C023"/>
    <w:rsid w:val="4F8BE9A4"/>
    <w:rsid w:val="4F8EEEFB"/>
    <w:rsid w:val="4F94BBE1"/>
    <w:rsid w:val="4F969094"/>
    <w:rsid w:val="4F97DCD6"/>
    <w:rsid w:val="4F9C8D0B"/>
    <w:rsid w:val="4FA0B8D2"/>
    <w:rsid w:val="4FA3E1C0"/>
    <w:rsid w:val="4FA9DD67"/>
    <w:rsid w:val="4FADECC0"/>
    <w:rsid w:val="4FB9F8A6"/>
    <w:rsid w:val="4FBCE18F"/>
    <w:rsid w:val="4FBE0F50"/>
    <w:rsid w:val="4FCD7D61"/>
    <w:rsid w:val="4FD49720"/>
    <w:rsid w:val="4FD948E6"/>
    <w:rsid w:val="4FE0211B"/>
    <w:rsid w:val="4FE5A43B"/>
    <w:rsid w:val="4FF8C4FD"/>
    <w:rsid w:val="4FF921E5"/>
    <w:rsid w:val="4FF95D95"/>
    <w:rsid w:val="4FFAB66B"/>
    <w:rsid w:val="4FFBE1C4"/>
    <w:rsid w:val="4FFE4670"/>
    <w:rsid w:val="5000E020"/>
    <w:rsid w:val="500D4D28"/>
    <w:rsid w:val="502837F1"/>
    <w:rsid w:val="50387954"/>
    <w:rsid w:val="5039FA3D"/>
    <w:rsid w:val="503B7D64"/>
    <w:rsid w:val="5046B806"/>
    <w:rsid w:val="504FE9EA"/>
    <w:rsid w:val="505080B3"/>
    <w:rsid w:val="50546492"/>
    <w:rsid w:val="50553537"/>
    <w:rsid w:val="50584E39"/>
    <w:rsid w:val="505FE223"/>
    <w:rsid w:val="5065C047"/>
    <w:rsid w:val="50663737"/>
    <w:rsid w:val="5066C4E6"/>
    <w:rsid w:val="50694698"/>
    <w:rsid w:val="506CCAB1"/>
    <w:rsid w:val="506DD609"/>
    <w:rsid w:val="506EDCF9"/>
    <w:rsid w:val="506EFA52"/>
    <w:rsid w:val="506FC8DC"/>
    <w:rsid w:val="5071D535"/>
    <w:rsid w:val="50761D44"/>
    <w:rsid w:val="50796868"/>
    <w:rsid w:val="507CF4E6"/>
    <w:rsid w:val="507FE746"/>
    <w:rsid w:val="508421E4"/>
    <w:rsid w:val="508789CA"/>
    <w:rsid w:val="508943DA"/>
    <w:rsid w:val="508EE0F3"/>
    <w:rsid w:val="5093A4E9"/>
    <w:rsid w:val="509FCF9D"/>
    <w:rsid w:val="50A35AEA"/>
    <w:rsid w:val="50AA7513"/>
    <w:rsid w:val="50B5978B"/>
    <w:rsid w:val="50B5AF13"/>
    <w:rsid w:val="50B9EF73"/>
    <w:rsid w:val="50BBDAA7"/>
    <w:rsid w:val="50CB9CF8"/>
    <w:rsid w:val="50D6EB62"/>
    <w:rsid w:val="50D99968"/>
    <w:rsid w:val="50DC0228"/>
    <w:rsid w:val="50E146E7"/>
    <w:rsid w:val="50E6E1F0"/>
    <w:rsid w:val="50E978E4"/>
    <w:rsid w:val="50F1C1F6"/>
    <w:rsid w:val="50F3BA26"/>
    <w:rsid w:val="50F4EBA0"/>
    <w:rsid w:val="50FD9E39"/>
    <w:rsid w:val="50FE4A8D"/>
    <w:rsid w:val="51014E32"/>
    <w:rsid w:val="5104FB1B"/>
    <w:rsid w:val="5105F311"/>
    <w:rsid w:val="51071760"/>
    <w:rsid w:val="5108627D"/>
    <w:rsid w:val="510F48E1"/>
    <w:rsid w:val="51187C02"/>
    <w:rsid w:val="511B8E94"/>
    <w:rsid w:val="511BE9DC"/>
    <w:rsid w:val="511F8428"/>
    <w:rsid w:val="511FDEBE"/>
    <w:rsid w:val="511FF816"/>
    <w:rsid w:val="51381F17"/>
    <w:rsid w:val="513AC0B3"/>
    <w:rsid w:val="513E5526"/>
    <w:rsid w:val="5140E8F4"/>
    <w:rsid w:val="5148E859"/>
    <w:rsid w:val="514D7579"/>
    <w:rsid w:val="514E34EB"/>
    <w:rsid w:val="514F2020"/>
    <w:rsid w:val="515C098F"/>
    <w:rsid w:val="515C4FFF"/>
    <w:rsid w:val="515F21E5"/>
    <w:rsid w:val="51637ADA"/>
    <w:rsid w:val="51660CEC"/>
    <w:rsid w:val="516AA0C3"/>
    <w:rsid w:val="516D2353"/>
    <w:rsid w:val="516EC522"/>
    <w:rsid w:val="517018B0"/>
    <w:rsid w:val="5170F9ED"/>
    <w:rsid w:val="51770125"/>
    <w:rsid w:val="5177D34B"/>
    <w:rsid w:val="518AA589"/>
    <w:rsid w:val="5194424B"/>
    <w:rsid w:val="5196226B"/>
    <w:rsid w:val="5196B112"/>
    <w:rsid w:val="51983E5A"/>
    <w:rsid w:val="51A404F8"/>
    <w:rsid w:val="51B4D917"/>
    <w:rsid w:val="51B85D71"/>
    <w:rsid w:val="51BE9B75"/>
    <w:rsid w:val="51C715E6"/>
    <w:rsid w:val="51C7401D"/>
    <w:rsid w:val="51CFDC64"/>
    <w:rsid w:val="51D1EB01"/>
    <w:rsid w:val="51D51C0E"/>
    <w:rsid w:val="51D59415"/>
    <w:rsid w:val="51D6041F"/>
    <w:rsid w:val="51E3B8FE"/>
    <w:rsid w:val="51EBEC14"/>
    <w:rsid w:val="51EF16C3"/>
    <w:rsid w:val="51F08742"/>
    <w:rsid w:val="51F19C4E"/>
    <w:rsid w:val="51F75EF2"/>
    <w:rsid w:val="520270EB"/>
    <w:rsid w:val="520EC5B6"/>
    <w:rsid w:val="52145D3D"/>
    <w:rsid w:val="521ED239"/>
    <w:rsid w:val="52246D2F"/>
    <w:rsid w:val="522A0A52"/>
    <w:rsid w:val="5234F0EA"/>
    <w:rsid w:val="5239C16E"/>
    <w:rsid w:val="52436EAC"/>
    <w:rsid w:val="5244A070"/>
    <w:rsid w:val="52515305"/>
    <w:rsid w:val="525B7A73"/>
    <w:rsid w:val="525CE876"/>
    <w:rsid w:val="526BB679"/>
    <w:rsid w:val="526C1BEE"/>
    <w:rsid w:val="526EBEB9"/>
    <w:rsid w:val="52706669"/>
    <w:rsid w:val="5270BF46"/>
    <w:rsid w:val="5270EC02"/>
    <w:rsid w:val="527111AB"/>
    <w:rsid w:val="5276A2E6"/>
    <w:rsid w:val="528CA4F6"/>
    <w:rsid w:val="528CCFDB"/>
    <w:rsid w:val="5293EEA6"/>
    <w:rsid w:val="52980838"/>
    <w:rsid w:val="529AA17F"/>
    <w:rsid w:val="529AF240"/>
    <w:rsid w:val="52A05943"/>
    <w:rsid w:val="52A91B19"/>
    <w:rsid w:val="52AB5670"/>
    <w:rsid w:val="52ABC8BE"/>
    <w:rsid w:val="52AE6EF6"/>
    <w:rsid w:val="52B6DB08"/>
    <w:rsid w:val="52BA3AAF"/>
    <w:rsid w:val="52C3C0FF"/>
    <w:rsid w:val="52D489D8"/>
    <w:rsid w:val="52D954D4"/>
    <w:rsid w:val="52E9397E"/>
    <w:rsid w:val="52EABC72"/>
    <w:rsid w:val="52EDA1F9"/>
    <w:rsid w:val="52FC90DE"/>
    <w:rsid w:val="530061B0"/>
    <w:rsid w:val="53018993"/>
    <w:rsid w:val="53023F61"/>
    <w:rsid w:val="53047211"/>
    <w:rsid w:val="5304C203"/>
    <w:rsid w:val="5309C509"/>
    <w:rsid w:val="5314CBEC"/>
    <w:rsid w:val="5322A1FD"/>
    <w:rsid w:val="532693C0"/>
    <w:rsid w:val="53279B5C"/>
    <w:rsid w:val="532B1743"/>
    <w:rsid w:val="532BBBB1"/>
    <w:rsid w:val="532E2A6D"/>
    <w:rsid w:val="53372406"/>
    <w:rsid w:val="533F1218"/>
    <w:rsid w:val="53453084"/>
    <w:rsid w:val="534B5090"/>
    <w:rsid w:val="535E1998"/>
    <w:rsid w:val="53712C04"/>
    <w:rsid w:val="5371BDF2"/>
    <w:rsid w:val="5374E587"/>
    <w:rsid w:val="537C7368"/>
    <w:rsid w:val="537FFE11"/>
    <w:rsid w:val="538133B6"/>
    <w:rsid w:val="53841ACE"/>
    <w:rsid w:val="539524C2"/>
    <w:rsid w:val="53987301"/>
    <w:rsid w:val="539CAEFB"/>
    <w:rsid w:val="53A19521"/>
    <w:rsid w:val="53A7E229"/>
    <w:rsid w:val="53A83562"/>
    <w:rsid w:val="53AF348F"/>
    <w:rsid w:val="53B82DB2"/>
    <w:rsid w:val="53B856E6"/>
    <w:rsid w:val="53C3F734"/>
    <w:rsid w:val="53C724D2"/>
    <w:rsid w:val="53C946D2"/>
    <w:rsid w:val="53D5A13B"/>
    <w:rsid w:val="53D89FCB"/>
    <w:rsid w:val="53EB3213"/>
    <w:rsid w:val="53EC2ACC"/>
    <w:rsid w:val="53F002AA"/>
    <w:rsid w:val="53F8C46C"/>
    <w:rsid w:val="54000A42"/>
    <w:rsid w:val="5406781E"/>
    <w:rsid w:val="540D421D"/>
    <w:rsid w:val="54252F0C"/>
    <w:rsid w:val="54264D70"/>
    <w:rsid w:val="542F8E65"/>
    <w:rsid w:val="5434BF68"/>
    <w:rsid w:val="543AF00A"/>
    <w:rsid w:val="543D751E"/>
    <w:rsid w:val="543F1809"/>
    <w:rsid w:val="544095D4"/>
    <w:rsid w:val="544492C2"/>
    <w:rsid w:val="5446C5AC"/>
    <w:rsid w:val="544DE14C"/>
    <w:rsid w:val="54526823"/>
    <w:rsid w:val="545F9724"/>
    <w:rsid w:val="54621457"/>
    <w:rsid w:val="54667605"/>
    <w:rsid w:val="54671520"/>
    <w:rsid w:val="5467BE1E"/>
    <w:rsid w:val="547A5B39"/>
    <w:rsid w:val="547A6065"/>
    <w:rsid w:val="547FACBE"/>
    <w:rsid w:val="547FFA1D"/>
    <w:rsid w:val="5481B929"/>
    <w:rsid w:val="5485700E"/>
    <w:rsid w:val="548ADC93"/>
    <w:rsid w:val="548DD999"/>
    <w:rsid w:val="548F4F34"/>
    <w:rsid w:val="54970EEA"/>
    <w:rsid w:val="54A89AAF"/>
    <w:rsid w:val="54B0CBEE"/>
    <w:rsid w:val="54BFF40B"/>
    <w:rsid w:val="54C3AA83"/>
    <w:rsid w:val="54C85F18"/>
    <w:rsid w:val="54C90C28"/>
    <w:rsid w:val="54CA80BD"/>
    <w:rsid w:val="54CD49E5"/>
    <w:rsid w:val="54D0C19D"/>
    <w:rsid w:val="54E490BE"/>
    <w:rsid w:val="54EA1D4F"/>
    <w:rsid w:val="54EEC392"/>
    <w:rsid w:val="54F457CA"/>
    <w:rsid w:val="54F4C8D5"/>
    <w:rsid w:val="5500509B"/>
    <w:rsid w:val="5510E887"/>
    <w:rsid w:val="5511E3F3"/>
    <w:rsid w:val="5518C7F2"/>
    <w:rsid w:val="551A91A1"/>
    <w:rsid w:val="551AD65B"/>
    <w:rsid w:val="551DFC24"/>
    <w:rsid w:val="551F6024"/>
    <w:rsid w:val="5521FDE8"/>
    <w:rsid w:val="55221E8E"/>
    <w:rsid w:val="552B2DCB"/>
    <w:rsid w:val="552CA7F7"/>
    <w:rsid w:val="552FD29F"/>
    <w:rsid w:val="5535936C"/>
    <w:rsid w:val="5535C627"/>
    <w:rsid w:val="553799D7"/>
    <w:rsid w:val="553AD0D0"/>
    <w:rsid w:val="5543AA2B"/>
    <w:rsid w:val="5545FCD9"/>
    <w:rsid w:val="554A5F73"/>
    <w:rsid w:val="554A9EDE"/>
    <w:rsid w:val="554AB0D8"/>
    <w:rsid w:val="554ACC0F"/>
    <w:rsid w:val="55537168"/>
    <w:rsid w:val="555974F7"/>
    <w:rsid w:val="555B3114"/>
    <w:rsid w:val="555CE02F"/>
    <w:rsid w:val="555DD1FF"/>
    <w:rsid w:val="555E68C6"/>
    <w:rsid w:val="55648A11"/>
    <w:rsid w:val="556623B6"/>
    <w:rsid w:val="55678D48"/>
    <w:rsid w:val="5568D212"/>
    <w:rsid w:val="556AB923"/>
    <w:rsid w:val="55771CFB"/>
    <w:rsid w:val="557A3816"/>
    <w:rsid w:val="557C2F22"/>
    <w:rsid w:val="558DEDC4"/>
    <w:rsid w:val="558F022D"/>
    <w:rsid w:val="5595790A"/>
    <w:rsid w:val="55A1BFFA"/>
    <w:rsid w:val="55A453ED"/>
    <w:rsid w:val="55B07E4B"/>
    <w:rsid w:val="55B1B2B9"/>
    <w:rsid w:val="55CD93FA"/>
    <w:rsid w:val="55CF9E82"/>
    <w:rsid w:val="55D558C8"/>
    <w:rsid w:val="55D5A748"/>
    <w:rsid w:val="55D621BE"/>
    <w:rsid w:val="55E6ECAE"/>
    <w:rsid w:val="55EEB2ED"/>
    <w:rsid w:val="55EF8A7E"/>
    <w:rsid w:val="55F47354"/>
    <w:rsid w:val="55F53757"/>
    <w:rsid w:val="55F5682E"/>
    <w:rsid w:val="55F63152"/>
    <w:rsid w:val="55F6C968"/>
    <w:rsid w:val="56084F48"/>
    <w:rsid w:val="56093B7E"/>
    <w:rsid w:val="5619DD86"/>
    <w:rsid w:val="5628E761"/>
    <w:rsid w:val="562B3B9D"/>
    <w:rsid w:val="56304688"/>
    <w:rsid w:val="563F0093"/>
    <w:rsid w:val="5643AE88"/>
    <w:rsid w:val="5646EBEA"/>
    <w:rsid w:val="56484F6E"/>
    <w:rsid w:val="564985CB"/>
    <w:rsid w:val="564B5BED"/>
    <w:rsid w:val="564DCD13"/>
    <w:rsid w:val="565740F5"/>
    <w:rsid w:val="5662D667"/>
    <w:rsid w:val="5667F148"/>
    <w:rsid w:val="56728BEA"/>
    <w:rsid w:val="5674A1E2"/>
    <w:rsid w:val="567C06EB"/>
    <w:rsid w:val="5687FA29"/>
    <w:rsid w:val="568DAAC0"/>
    <w:rsid w:val="568EF050"/>
    <w:rsid w:val="5696C5E3"/>
    <w:rsid w:val="56970ADF"/>
    <w:rsid w:val="569F11F6"/>
    <w:rsid w:val="56A6F9F2"/>
    <w:rsid w:val="56B3C1D6"/>
    <w:rsid w:val="56B6B821"/>
    <w:rsid w:val="56B86DEA"/>
    <w:rsid w:val="56BD1FDD"/>
    <w:rsid w:val="56BDF392"/>
    <w:rsid w:val="56C08008"/>
    <w:rsid w:val="56C6D246"/>
    <w:rsid w:val="56C7198B"/>
    <w:rsid w:val="56C9F974"/>
    <w:rsid w:val="56CC854E"/>
    <w:rsid w:val="56CE4B2E"/>
    <w:rsid w:val="56CE5A2A"/>
    <w:rsid w:val="56E5C581"/>
    <w:rsid w:val="56E98FFC"/>
    <w:rsid w:val="56EF6F78"/>
    <w:rsid w:val="56F24F78"/>
    <w:rsid w:val="56F2CDE6"/>
    <w:rsid w:val="56F32E76"/>
    <w:rsid w:val="56F65085"/>
    <w:rsid w:val="56FA1F78"/>
    <w:rsid w:val="56FAC0D3"/>
    <w:rsid w:val="56FF975A"/>
    <w:rsid w:val="5702A95B"/>
    <w:rsid w:val="5707B4AD"/>
    <w:rsid w:val="571189E7"/>
    <w:rsid w:val="5714E691"/>
    <w:rsid w:val="57196778"/>
    <w:rsid w:val="571C7835"/>
    <w:rsid w:val="57231168"/>
    <w:rsid w:val="572757D3"/>
    <w:rsid w:val="5730D213"/>
    <w:rsid w:val="5736C54A"/>
    <w:rsid w:val="5737F82E"/>
    <w:rsid w:val="573B44F0"/>
    <w:rsid w:val="574752FB"/>
    <w:rsid w:val="5747575D"/>
    <w:rsid w:val="5747D67F"/>
    <w:rsid w:val="57483A07"/>
    <w:rsid w:val="5748E519"/>
    <w:rsid w:val="574CC1BC"/>
    <w:rsid w:val="57596B3E"/>
    <w:rsid w:val="5766462D"/>
    <w:rsid w:val="576CA8D7"/>
    <w:rsid w:val="576D56B5"/>
    <w:rsid w:val="57779F1E"/>
    <w:rsid w:val="57794C18"/>
    <w:rsid w:val="577A6FBF"/>
    <w:rsid w:val="57855579"/>
    <w:rsid w:val="57880716"/>
    <w:rsid w:val="579EA853"/>
    <w:rsid w:val="57A417EB"/>
    <w:rsid w:val="57A5455B"/>
    <w:rsid w:val="57A7A308"/>
    <w:rsid w:val="57A98050"/>
    <w:rsid w:val="57AA0317"/>
    <w:rsid w:val="57B1121A"/>
    <w:rsid w:val="57B2B8E4"/>
    <w:rsid w:val="57B7CEC9"/>
    <w:rsid w:val="57C78784"/>
    <w:rsid w:val="57C79BB8"/>
    <w:rsid w:val="57CAE6B2"/>
    <w:rsid w:val="57CFD6B7"/>
    <w:rsid w:val="57DC99CE"/>
    <w:rsid w:val="57EB344E"/>
    <w:rsid w:val="57ECEC93"/>
    <w:rsid w:val="57EE5831"/>
    <w:rsid w:val="57F63D48"/>
    <w:rsid w:val="57FC8E9A"/>
    <w:rsid w:val="58000401"/>
    <w:rsid w:val="58001F7D"/>
    <w:rsid w:val="580C5A28"/>
    <w:rsid w:val="580FAD1C"/>
    <w:rsid w:val="5814CDA6"/>
    <w:rsid w:val="581507BA"/>
    <w:rsid w:val="5818FC50"/>
    <w:rsid w:val="5824B8E2"/>
    <w:rsid w:val="58272BDA"/>
    <w:rsid w:val="582E8A7E"/>
    <w:rsid w:val="5831FFBE"/>
    <w:rsid w:val="5833F7AC"/>
    <w:rsid w:val="58390473"/>
    <w:rsid w:val="5841E7C2"/>
    <w:rsid w:val="5846E8BF"/>
    <w:rsid w:val="5850040D"/>
    <w:rsid w:val="5857B5DA"/>
    <w:rsid w:val="586142A5"/>
    <w:rsid w:val="58637A17"/>
    <w:rsid w:val="586EBC28"/>
    <w:rsid w:val="5875758E"/>
    <w:rsid w:val="5876D4C6"/>
    <w:rsid w:val="587B1636"/>
    <w:rsid w:val="587B8EC9"/>
    <w:rsid w:val="587C9CE8"/>
    <w:rsid w:val="5886B27D"/>
    <w:rsid w:val="5886B8B7"/>
    <w:rsid w:val="58908F9C"/>
    <w:rsid w:val="589D88B1"/>
    <w:rsid w:val="589DAA62"/>
    <w:rsid w:val="589E3A1C"/>
    <w:rsid w:val="58A70316"/>
    <w:rsid w:val="58A9B15B"/>
    <w:rsid w:val="58ABD93E"/>
    <w:rsid w:val="58BE2333"/>
    <w:rsid w:val="58C6FB44"/>
    <w:rsid w:val="58CB552B"/>
    <w:rsid w:val="58CDFB38"/>
    <w:rsid w:val="58D085E2"/>
    <w:rsid w:val="58D7CE7E"/>
    <w:rsid w:val="58D8C38E"/>
    <w:rsid w:val="58D915D0"/>
    <w:rsid w:val="58E0E9E6"/>
    <w:rsid w:val="58E69BB6"/>
    <w:rsid w:val="58EE5E88"/>
    <w:rsid w:val="58F378B4"/>
    <w:rsid w:val="58F4FBDE"/>
    <w:rsid w:val="59005ACC"/>
    <w:rsid w:val="590311E0"/>
    <w:rsid w:val="5906D2D7"/>
    <w:rsid w:val="59084A0F"/>
    <w:rsid w:val="59129571"/>
    <w:rsid w:val="5914F06B"/>
    <w:rsid w:val="59234895"/>
    <w:rsid w:val="592634F0"/>
    <w:rsid w:val="592BB726"/>
    <w:rsid w:val="592BB84A"/>
    <w:rsid w:val="5934EEFF"/>
    <w:rsid w:val="5937218B"/>
    <w:rsid w:val="5938EFB5"/>
    <w:rsid w:val="593AB22B"/>
    <w:rsid w:val="59424DC7"/>
    <w:rsid w:val="5945FEA9"/>
    <w:rsid w:val="594B82D2"/>
    <w:rsid w:val="594FE170"/>
    <w:rsid w:val="5954E22A"/>
    <w:rsid w:val="59570BA2"/>
    <w:rsid w:val="595CEBBF"/>
    <w:rsid w:val="595D2235"/>
    <w:rsid w:val="59753D85"/>
    <w:rsid w:val="597714E0"/>
    <w:rsid w:val="598013B5"/>
    <w:rsid w:val="5981E226"/>
    <w:rsid w:val="59887D43"/>
    <w:rsid w:val="5991A66B"/>
    <w:rsid w:val="59920684"/>
    <w:rsid w:val="59955E26"/>
    <w:rsid w:val="59A8BFE2"/>
    <w:rsid w:val="59B53093"/>
    <w:rsid w:val="59B705C5"/>
    <w:rsid w:val="59BEBAA4"/>
    <w:rsid w:val="59C0A237"/>
    <w:rsid w:val="59C1AF44"/>
    <w:rsid w:val="59C61705"/>
    <w:rsid w:val="59C901CF"/>
    <w:rsid w:val="59D061B4"/>
    <w:rsid w:val="59D122F4"/>
    <w:rsid w:val="59D4D51D"/>
    <w:rsid w:val="59E2135D"/>
    <w:rsid w:val="59E66C9A"/>
    <w:rsid w:val="59E6EC0B"/>
    <w:rsid w:val="59EF29B1"/>
    <w:rsid w:val="59F0E5FF"/>
    <w:rsid w:val="59F37798"/>
    <w:rsid w:val="59FC26B0"/>
    <w:rsid w:val="5A00583C"/>
    <w:rsid w:val="5A0DEF9D"/>
    <w:rsid w:val="5A0FD399"/>
    <w:rsid w:val="5A15273E"/>
    <w:rsid w:val="5A15D402"/>
    <w:rsid w:val="5A3895A6"/>
    <w:rsid w:val="5A3CB59B"/>
    <w:rsid w:val="5A3D533C"/>
    <w:rsid w:val="5A3D61DA"/>
    <w:rsid w:val="5A49AD94"/>
    <w:rsid w:val="5A49FEBE"/>
    <w:rsid w:val="5A4D1BEF"/>
    <w:rsid w:val="5A4E475E"/>
    <w:rsid w:val="5A4E4D6A"/>
    <w:rsid w:val="5A4F9080"/>
    <w:rsid w:val="5A534BA3"/>
    <w:rsid w:val="5A539DE2"/>
    <w:rsid w:val="5A5A9EB2"/>
    <w:rsid w:val="5A5E2D86"/>
    <w:rsid w:val="5A605C38"/>
    <w:rsid w:val="5A66061D"/>
    <w:rsid w:val="5A66079B"/>
    <w:rsid w:val="5A668D7B"/>
    <w:rsid w:val="5A6BA9B7"/>
    <w:rsid w:val="5A6EDC44"/>
    <w:rsid w:val="5A74F3F0"/>
    <w:rsid w:val="5A75E138"/>
    <w:rsid w:val="5A773388"/>
    <w:rsid w:val="5A77548B"/>
    <w:rsid w:val="5A7C840A"/>
    <w:rsid w:val="5A7C9677"/>
    <w:rsid w:val="5A7EDFC9"/>
    <w:rsid w:val="5A940F9C"/>
    <w:rsid w:val="5A960B19"/>
    <w:rsid w:val="5A985781"/>
    <w:rsid w:val="5A9BA941"/>
    <w:rsid w:val="5AAFA6F4"/>
    <w:rsid w:val="5AC05379"/>
    <w:rsid w:val="5AC51E91"/>
    <w:rsid w:val="5AC84805"/>
    <w:rsid w:val="5ACF087F"/>
    <w:rsid w:val="5ADB8A0A"/>
    <w:rsid w:val="5ADCD995"/>
    <w:rsid w:val="5ADF3369"/>
    <w:rsid w:val="5AEB94DA"/>
    <w:rsid w:val="5AF19D90"/>
    <w:rsid w:val="5AF23428"/>
    <w:rsid w:val="5AFA8CD5"/>
    <w:rsid w:val="5B016C18"/>
    <w:rsid w:val="5B0750B8"/>
    <w:rsid w:val="5B07C720"/>
    <w:rsid w:val="5B08A7C9"/>
    <w:rsid w:val="5B0F2499"/>
    <w:rsid w:val="5B100417"/>
    <w:rsid w:val="5B169704"/>
    <w:rsid w:val="5B1A3892"/>
    <w:rsid w:val="5B1D14C7"/>
    <w:rsid w:val="5B20268F"/>
    <w:rsid w:val="5B237153"/>
    <w:rsid w:val="5B2663AC"/>
    <w:rsid w:val="5B29628C"/>
    <w:rsid w:val="5B29E75A"/>
    <w:rsid w:val="5B2A5F63"/>
    <w:rsid w:val="5B3462AA"/>
    <w:rsid w:val="5B3F9728"/>
    <w:rsid w:val="5B436E0E"/>
    <w:rsid w:val="5B4868AD"/>
    <w:rsid w:val="5B4B29CE"/>
    <w:rsid w:val="5B5122DE"/>
    <w:rsid w:val="5B51ADA3"/>
    <w:rsid w:val="5B5261EB"/>
    <w:rsid w:val="5B53E3FB"/>
    <w:rsid w:val="5B5A7004"/>
    <w:rsid w:val="5B657CCB"/>
    <w:rsid w:val="5B6979D3"/>
    <w:rsid w:val="5B6CC19D"/>
    <w:rsid w:val="5B718918"/>
    <w:rsid w:val="5B7C5890"/>
    <w:rsid w:val="5B8242DF"/>
    <w:rsid w:val="5B89D5A6"/>
    <w:rsid w:val="5B8D181E"/>
    <w:rsid w:val="5B8F17F1"/>
    <w:rsid w:val="5B8F7286"/>
    <w:rsid w:val="5B8F901B"/>
    <w:rsid w:val="5B94F8FF"/>
    <w:rsid w:val="5B959C23"/>
    <w:rsid w:val="5B97B906"/>
    <w:rsid w:val="5B98EF68"/>
    <w:rsid w:val="5B9D04F5"/>
    <w:rsid w:val="5B9F31A8"/>
    <w:rsid w:val="5BAF522C"/>
    <w:rsid w:val="5BB3136C"/>
    <w:rsid w:val="5BB9FCDE"/>
    <w:rsid w:val="5BBB319E"/>
    <w:rsid w:val="5BBC7E09"/>
    <w:rsid w:val="5BBD3BC2"/>
    <w:rsid w:val="5BCDA407"/>
    <w:rsid w:val="5BD23E50"/>
    <w:rsid w:val="5BD7F63C"/>
    <w:rsid w:val="5BDA36A9"/>
    <w:rsid w:val="5BE070E3"/>
    <w:rsid w:val="5BE5962D"/>
    <w:rsid w:val="5BE9D1AD"/>
    <w:rsid w:val="5BEB3822"/>
    <w:rsid w:val="5BF31A15"/>
    <w:rsid w:val="5BF6AF7B"/>
    <w:rsid w:val="5BF7FFF4"/>
    <w:rsid w:val="5BFF42CE"/>
    <w:rsid w:val="5C043F01"/>
    <w:rsid w:val="5C0E28FB"/>
    <w:rsid w:val="5C0E7FFC"/>
    <w:rsid w:val="5C10B52F"/>
    <w:rsid w:val="5C13A136"/>
    <w:rsid w:val="5C20AF0F"/>
    <w:rsid w:val="5C233409"/>
    <w:rsid w:val="5C276010"/>
    <w:rsid w:val="5C27C8AA"/>
    <w:rsid w:val="5C2A50AC"/>
    <w:rsid w:val="5C2EEC4F"/>
    <w:rsid w:val="5C37C144"/>
    <w:rsid w:val="5C3DD372"/>
    <w:rsid w:val="5C3EAE4F"/>
    <w:rsid w:val="5C49D97C"/>
    <w:rsid w:val="5C5445D7"/>
    <w:rsid w:val="5C571819"/>
    <w:rsid w:val="5C58E883"/>
    <w:rsid w:val="5C58FF83"/>
    <w:rsid w:val="5C59ED38"/>
    <w:rsid w:val="5C5B8943"/>
    <w:rsid w:val="5C5E9C03"/>
    <w:rsid w:val="5C60C0A3"/>
    <w:rsid w:val="5C642973"/>
    <w:rsid w:val="5C72C29A"/>
    <w:rsid w:val="5C77B72B"/>
    <w:rsid w:val="5C80F4FA"/>
    <w:rsid w:val="5C814974"/>
    <w:rsid w:val="5C86BF5C"/>
    <w:rsid w:val="5C86DDEE"/>
    <w:rsid w:val="5C90516E"/>
    <w:rsid w:val="5C92A035"/>
    <w:rsid w:val="5C968005"/>
    <w:rsid w:val="5C96CD99"/>
    <w:rsid w:val="5C99BC30"/>
    <w:rsid w:val="5CA06F28"/>
    <w:rsid w:val="5CA6ACEE"/>
    <w:rsid w:val="5CA9F8DB"/>
    <w:rsid w:val="5CAA00EB"/>
    <w:rsid w:val="5CB49C55"/>
    <w:rsid w:val="5CBC7507"/>
    <w:rsid w:val="5CCE41CD"/>
    <w:rsid w:val="5CCF1E4F"/>
    <w:rsid w:val="5CD79625"/>
    <w:rsid w:val="5CDAC980"/>
    <w:rsid w:val="5CDBF045"/>
    <w:rsid w:val="5CDE5905"/>
    <w:rsid w:val="5CE2113D"/>
    <w:rsid w:val="5CE6F273"/>
    <w:rsid w:val="5CF4EC24"/>
    <w:rsid w:val="5D098FDC"/>
    <w:rsid w:val="5D0D57D0"/>
    <w:rsid w:val="5D0E2846"/>
    <w:rsid w:val="5D1134CC"/>
    <w:rsid w:val="5D175C1B"/>
    <w:rsid w:val="5D1BCBCF"/>
    <w:rsid w:val="5D1F337A"/>
    <w:rsid w:val="5D28EEC3"/>
    <w:rsid w:val="5D2C3457"/>
    <w:rsid w:val="5D2F4794"/>
    <w:rsid w:val="5D3453DF"/>
    <w:rsid w:val="5D35DD7D"/>
    <w:rsid w:val="5D35E034"/>
    <w:rsid w:val="5D35EEB8"/>
    <w:rsid w:val="5D40CE18"/>
    <w:rsid w:val="5D411EEC"/>
    <w:rsid w:val="5D460EA2"/>
    <w:rsid w:val="5D46FEE7"/>
    <w:rsid w:val="5D4CB593"/>
    <w:rsid w:val="5D4F101A"/>
    <w:rsid w:val="5D54E03D"/>
    <w:rsid w:val="5D556B55"/>
    <w:rsid w:val="5D5C2FEE"/>
    <w:rsid w:val="5D62341A"/>
    <w:rsid w:val="5D63AD0A"/>
    <w:rsid w:val="5D6DAB9B"/>
    <w:rsid w:val="5D6E6F62"/>
    <w:rsid w:val="5D6FB027"/>
    <w:rsid w:val="5D75D89D"/>
    <w:rsid w:val="5D8965A9"/>
    <w:rsid w:val="5D9D8769"/>
    <w:rsid w:val="5DA5A79E"/>
    <w:rsid w:val="5DA68E4A"/>
    <w:rsid w:val="5DABB676"/>
    <w:rsid w:val="5DADE133"/>
    <w:rsid w:val="5DB62CE7"/>
    <w:rsid w:val="5DB79B76"/>
    <w:rsid w:val="5DB7FE15"/>
    <w:rsid w:val="5DB9D853"/>
    <w:rsid w:val="5DBAA8D2"/>
    <w:rsid w:val="5DBC7F00"/>
    <w:rsid w:val="5DC339E9"/>
    <w:rsid w:val="5DCCFC5D"/>
    <w:rsid w:val="5DE0EA94"/>
    <w:rsid w:val="5DE43FA4"/>
    <w:rsid w:val="5DE4F4E8"/>
    <w:rsid w:val="5DE5392C"/>
    <w:rsid w:val="5DE72010"/>
    <w:rsid w:val="5DE8E31C"/>
    <w:rsid w:val="5DEE1218"/>
    <w:rsid w:val="5DF5FF1E"/>
    <w:rsid w:val="5DF7384D"/>
    <w:rsid w:val="5DFCCF76"/>
    <w:rsid w:val="5E28C924"/>
    <w:rsid w:val="5E33E21D"/>
    <w:rsid w:val="5E34EFBD"/>
    <w:rsid w:val="5E39F51F"/>
    <w:rsid w:val="5E58A881"/>
    <w:rsid w:val="5E5F2E07"/>
    <w:rsid w:val="5E601765"/>
    <w:rsid w:val="5E61B41B"/>
    <w:rsid w:val="5E62B315"/>
    <w:rsid w:val="5E6C2FF7"/>
    <w:rsid w:val="5E6DFF10"/>
    <w:rsid w:val="5E703153"/>
    <w:rsid w:val="5E75E904"/>
    <w:rsid w:val="5E7737EA"/>
    <w:rsid w:val="5E78BB0B"/>
    <w:rsid w:val="5E7A2E6A"/>
    <w:rsid w:val="5E80270F"/>
    <w:rsid w:val="5E9148F0"/>
    <w:rsid w:val="5E98046D"/>
    <w:rsid w:val="5E9CA870"/>
    <w:rsid w:val="5E9E88F2"/>
    <w:rsid w:val="5E9E9266"/>
    <w:rsid w:val="5EA2F30D"/>
    <w:rsid w:val="5EADE85F"/>
    <w:rsid w:val="5EB7F681"/>
    <w:rsid w:val="5EB8E9FB"/>
    <w:rsid w:val="5EB95346"/>
    <w:rsid w:val="5EBB24AB"/>
    <w:rsid w:val="5EBEE566"/>
    <w:rsid w:val="5ECBA441"/>
    <w:rsid w:val="5ED27B7F"/>
    <w:rsid w:val="5ED60676"/>
    <w:rsid w:val="5EDEB011"/>
    <w:rsid w:val="5EE0C138"/>
    <w:rsid w:val="5EE3948F"/>
    <w:rsid w:val="5EE94FD3"/>
    <w:rsid w:val="5EE974D5"/>
    <w:rsid w:val="5EEEE8A4"/>
    <w:rsid w:val="5EF83C17"/>
    <w:rsid w:val="5EF9CB03"/>
    <w:rsid w:val="5EFC7D04"/>
    <w:rsid w:val="5EFCF430"/>
    <w:rsid w:val="5F051A2F"/>
    <w:rsid w:val="5F07919C"/>
    <w:rsid w:val="5F0914BA"/>
    <w:rsid w:val="5F1987B1"/>
    <w:rsid w:val="5F19A7DA"/>
    <w:rsid w:val="5F235A82"/>
    <w:rsid w:val="5F27C478"/>
    <w:rsid w:val="5F294B3A"/>
    <w:rsid w:val="5F2F67FE"/>
    <w:rsid w:val="5F31B9FE"/>
    <w:rsid w:val="5F387CF0"/>
    <w:rsid w:val="5F3C0DF6"/>
    <w:rsid w:val="5F3E0F1A"/>
    <w:rsid w:val="5F444FBE"/>
    <w:rsid w:val="5F524A2E"/>
    <w:rsid w:val="5F525374"/>
    <w:rsid w:val="5F5F4D84"/>
    <w:rsid w:val="5F69CFF4"/>
    <w:rsid w:val="5F6D5EBB"/>
    <w:rsid w:val="5F70B5C8"/>
    <w:rsid w:val="5F8168DE"/>
    <w:rsid w:val="5F82A745"/>
    <w:rsid w:val="5F8BD80F"/>
    <w:rsid w:val="5F8E0443"/>
    <w:rsid w:val="5F93ADFA"/>
    <w:rsid w:val="5F9A6075"/>
    <w:rsid w:val="5F9E22D1"/>
    <w:rsid w:val="5FA55335"/>
    <w:rsid w:val="5FA8AF1A"/>
    <w:rsid w:val="5FB3BBE8"/>
    <w:rsid w:val="5FBD2F72"/>
    <w:rsid w:val="5FC207BE"/>
    <w:rsid w:val="5FC2119C"/>
    <w:rsid w:val="5FC50EAB"/>
    <w:rsid w:val="5FC79A17"/>
    <w:rsid w:val="5FCAA7AD"/>
    <w:rsid w:val="5FD2E2A7"/>
    <w:rsid w:val="5FD4B4F2"/>
    <w:rsid w:val="5FD9412A"/>
    <w:rsid w:val="5FDA5903"/>
    <w:rsid w:val="5FDD0818"/>
    <w:rsid w:val="5FF5C7F3"/>
    <w:rsid w:val="5FFBDC37"/>
    <w:rsid w:val="5FFD35E4"/>
    <w:rsid w:val="60019AA3"/>
    <w:rsid w:val="60084408"/>
    <w:rsid w:val="600AEF01"/>
    <w:rsid w:val="600D749C"/>
    <w:rsid w:val="600FD0EA"/>
    <w:rsid w:val="601B2084"/>
    <w:rsid w:val="601F7E99"/>
    <w:rsid w:val="6023D023"/>
    <w:rsid w:val="602D81DE"/>
    <w:rsid w:val="602DC036"/>
    <w:rsid w:val="60305B74"/>
    <w:rsid w:val="603878D1"/>
    <w:rsid w:val="6039B023"/>
    <w:rsid w:val="604B261C"/>
    <w:rsid w:val="604DA83D"/>
    <w:rsid w:val="606BE565"/>
    <w:rsid w:val="60732D2E"/>
    <w:rsid w:val="607484A2"/>
    <w:rsid w:val="6083F485"/>
    <w:rsid w:val="60901BAB"/>
    <w:rsid w:val="60A39098"/>
    <w:rsid w:val="60B0105D"/>
    <w:rsid w:val="60B4C54C"/>
    <w:rsid w:val="60B61256"/>
    <w:rsid w:val="60B6A823"/>
    <w:rsid w:val="60B99205"/>
    <w:rsid w:val="60C31707"/>
    <w:rsid w:val="60C69C30"/>
    <w:rsid w:val="60CB7117"/>
    <w:rsid w:val="60D3665B"/>
    <w:rsid w:val="60D563A3"/>
    <w:rsid w:val="60D74184"/>
    <w:rsid w:val="60D9D1C3"/>
    <w:rsid w:val="60E3E2CD"/>
    <w:rsid w:val="60ECA86E"/>
    <w:rsid w:val="60ECBFB4"/>
    <w:rsid w:val="60F0F165"/>
    <w:rsid w:val="60F4BF16"/>
    <w:rsid w:val="60F7782F"/>
    <w:rsid w:val="60F90BC6"/>
    <w:rsid w:val="60F9BD6A"/>
    <w:rsid w:val="6105C38C"/>
    <w:rsid w:val="610BD95B"/>
    <w:rsid w:val="61113F23"/>
    <w:rsid w:val="6111DB31"/>
    <w:rsid w:val="6112B0CE"/>
    <w:rsid w:val="611985FE"/>
    <w:rsid w:val="611C00A8"/>
    <w:rsid w:val="6131330D"/>
    <w:rsid w:val="6132AABE"/>
    <w:rsid w:val="6137940F"/>
    <w:rsid w:val="613E6BDC"/>
    <w:rsid w:val="6144E8AF"/>
    <w:rsid w:val="6146CE06"/>
    <w:rsid w:val="6149198F"/>
    <w:rsid w:val="614F6B42"/>
    <w:rsid w:val="6150E653"/>
    <w:rsid w:val="6151101E"/>
    <w:rsid w:val="6154B1D8"/>
    <w:rsid w:val="6163FA3B"/>
    <w:rsid w:val="6171C713"/>
    <w:rsid w:val="61725019"/>
    <w:rsid w:val="6172E2F0"/>
    <w:rsid w:val="61742904"/>
    <w:rsid w:val="617583C8"/>
    <w:rsid w:val="617716DA"/>
    <w:rsid w:val="61784AD0"/>
    <w:rsid w:val="617AFF0C"/>
    <w:rsid w:val="617B1378"/>
    <w:rsid w:val="617C5F3C"/>
    <w:rsid w:val="6184EC5C"/>
    <w:rsid w:val="6186E34C"/>
    <w:rsid w:val="61892F5B"/>
    <w:rsid w:val="61921179"/>
    <w:rsid w:val="619F60CB"/>
    <w:rsid w:val="61A5910F"/>
    <w:rsid w:val="61ACBCD8"/>
    <w:rsid w:val="61AEADD7"/>
    <w:rsid w:val="61B0FB95"/>
    <w:rsid w:val="61B2A9CE"/>
    <w:rsid w:val="61B6876D"/>
    <w:rsid w:val="61C5572F"/>
    <w:rsid w:val="61CAAC9A"/>
    <w:rsid w:val="61CDB1EA"/>
    <w:rsid w:val="61D5791B"/>
    <w:rsid w:val="61D622AE"/>
    <w:rsid w:val="61EF75EE"/>
    <w:rsid w:val="61EFD8D8"/>
    <w:rsid w:val="61F5518E"/>
    <w:rsid w:val="61F597F4"/>
    <w:rsid w:val="61FEEC2F"/>
    <w:rsid w:val="62005B05"/>
    <w:rsid w:val="6208C03D"/>
    <w:rsid w:val="62106BE8"/>
    <w:rsid w:val="62128021"/>
    <w:rsid w:val="621C5103"/>
    <w:rsid w:val="6224E7FB"/>
    <w:rsid w:val="62290DD9"/>
    <w:rsid w:val="62300F80"/>
    <w:rsid w:val="62319F71"/>
    <w:rsid w:val="6232306F"/>
    <w:rsid w:val="62387AAD"/>
    <w:rsid w:val="623C7682"/>
    <w:rsid w:val="62418795"/>
    <w:rsid w:val="6241F1C6"/>
    <w:rsid w:val="624E0890"/>
    <w:rsid w:val="62543B0F"/>
    <w:rsid w:val="6254F1E3"/>
    <w:rsid w:val="62553A8A"/>
    <w:rsid w:val="625ED723"/>
    <w:rsid w:val="6267CC24"/>
    <w:rsid w:val="626DB576"/>
    <w:rsid w:val="626F0E39"/>
    <w:rsid w:val="627311E5"/>
    <w:rsid w:val="62745C3E"/>
    <w:rsid w:val="627D3F6B"/>
    <w:rsid w:val="6280CFF1"/>
    <w:rsid w:val="62852978"/>
    <w:rsid w:val="62866CE8"/>
    <w:rsid w:val="62925735"/>
    <w:rsid w:val="6294EDB6"/>
    <w:rsid w:val="6299018C"/>
    <w:rsid w:val="62A193ED"/>
    <w:rsid w:val="62A29820"/>
    <w:rsid w:val="62A5F913"/>
    <w:rsid w:val="62AB4C95"/>
    <w:rsid w:val="62AC2099"/>
    <w:rsid w:val="62ADDA03"/>
    <w:rsid w:val="62AED149"/>
    <w:rsid w:val="62B09EFF"/>
    <w:rsid w:val="62B9F4BC"/>
    <w:rsid w:val="62BA5133"/>
    <w:rsid w:val="62BAB6FA"/>
    <w:rsid w:val="62BD5C93"/>
    <w:rsid w:val="62C81829"/>
    <w:rsid w:val="62CF6C3F"/>
    <w:rsid w:val="62E3494A"/>
    <w:rsid w:val="62EABE9D"/>
    <w:rsid w:val="62EC80D3"/>
    <w:rsid w:val="62F1E4B5"/>
    <w:rsid w:val="62FEB98F"/>
    <w:rsid w:val="630314B5"/>
    <w:rsid w:val="6303F1AB"/>
    <w:rsid w:val="6308F750"/>
    <w:rsid w:val="630A9BD8"/>
    <w:rsid w:val="63161A20"/>
    <w:rsid w:val="631D4106"/>
    <w:rsid w:val="631D9FEE"/>
    <w:rsid w:val="6320377B"/>
    <w:rsid w:val="63260BCE"/>
    <w:rsid w:val="633296BC"/>
    <w:rsid w:val="6336CFDF"/>
    <w:rsid w:val="633863A3"/>
    <w:rsid w:val="63462345"/>
    <w:rsid w:val="634D5A5E"/>
    <w:rsid w:val="6354F301"/>
    <w:rsid w:val="63561D0C"/>
    <w:rsid w:val="6356DD3A"/>
    <w:rsid w:val="63574788"/>
    <w:rsid w:val="635E2C33"/>
    <w:rsid w:val="635EA153"/>
    <w:rsid w:val="63630209"/>
    <w:rsid w:val="63729380"/>
    <w:rsid w:val="63780B36"/>
    <w:rsid w:val="637F277E"/>
    <w:rsid w:val="6383D406"/>
    <w:rsid w:val="638E184C"/>
    <w:rsid w:val="63A081A3"/>
    <w:rsid w:val="63A462E4"/>
    <w:rsid w:val="63B3C2EA"/>
    <w:rsid w:val="63B50914"/>
    <w:rsid w:val="63B7528C"/>
    <w:rsid w:val="63CD0AD4"/>
    <w:rsid w:val="63CDE87A"/>
    <w:rsid w:val="63D3F995"/>
    <w:rsid w:val="63D7A50D"/>
    <w:rsid w:val="63DB4628"/>
    <w:rsid w:val="63DBFBE9"/>
    <w:rsid w:val="63E2961E"/>
    <w:rsid w:val="63EB1E21"/>
    <w:rsid w:val="63EF0347"/>
    <w:rsid w:val="63F89B18"/>
    <w:rsid w:val="63F9F8A2"/>
    <w:rsid w:val="6400ACE7"/>
    <w:rsid w:val="6402E4BD"/>
    <w:rsid w:val="6408BF69"/>
    <w:rsid w:val="640B61B3"/>
    <w:rsid w:val="640CA409"/>
    <w:rsid w:val="640F548A"/>
    <w:rsid w:val="64109648"/>
    <w:rsid w:val="64181DBB"/>
    <w:rsid w:val="642830D5"/>
    <w:rsid w:val="642AACA4"/>
    <w:rsid w:val="642AE9B2"/>
    <w:rsid w:val="642C05CC"/>
    <w:rsid w:val="642FE23F"/>
    <w:rsid w:val="6433B854"/>
    <w:rsid w:val="64428FE7"/>
    <w:rsid w:val="64499261"/>
    <w:rsid w:val="6454FDCE"/>
    <w:rsid w:val="645D26CA"/>
    <w:rsid w:val="645DE74C"/>
    <w:rsid w:val="64600495"/>
    <w:rsid w:val="6463DC86"/>
    <w:rsid w:val="6478A4B8"/>
    <w:rsid w:val="647D6FFD"/>
    <w:rsid w:val="6482E59B"/>
    <w:rsid w:val="6483BAB0"/>
    <w:rsid w:val="648E25EB"/>
    <w:rsid w:val="64962FD3"/>
    <w:rsid w:val="6498DC08"/>
    <w:rsid w:val="64B220FB"/>
    <w:rsid w:val="64B3E022"/>
    <w:rsid w:val="64B4E2E1"/>
    <w:rsid w:val="64B50BEE"/>
    <w:rsid w:val="64BA63A6"/>
    <w:rsid w:val="64C33CA2"/>
    <w:rsid w:val="64C55015"/>
    <w:rsid w:val="64CB18C0"/>
    <w:rsid w:val="64D5B5AE"/>
    <w:rsid w:val="64D5D13E"/>
    <w:rsid w:val="64D780CA"/>
    <w:rsid w:val="64E08145"/>
    <w:rsid w:val="64E37D85"/>
    <w:rsid w:val="64E57CE8"/>
    <w:rsid w:val="64E96642"/>
    <w:rsid w:val="64E972CD"/>
    <w:rsid w:val="64EA0EF6"/>
    <w:rsid w:val="64F945CC"/>
    <w:rsid w:val="6506E668"/>
    <w:rsid w:val="6508C200"/>
    <w:rsid w:val="650FA8EB"/>
    <w:rsid w:val="6512399C"/>
    <w:rsid w:val="65203253"/>
    <w:rsid w:val="65226E53"/>
    <w:rsid w:val="652834F8"/>
    <w:rsid w:val="6531EBAC"/>
    <w:rsid w:val="65346A1A"/>
    <w:rsid w:val="653544B0"/>
    <w:rsid w:val="653A7492"/>
    <w:rsid w:val="65418339"/>
    <w:rsid w:val="6546ECC6"/>
    <w:rsid w:val="6548BE94"/>
    <w:rsid w:val="654A1C60"/>
    <w:rsid w:val="654D5044"/>
    <w:rsid w:val="654E5D11"/>
    <w:rsid w:val="655213E1"/>
    <w:rsid w:val="6559054C"/>
    <w:rsid w:val="6562F408"/>
    <w:rsid w:val="65677353"/>
    <w:rsid w:val="656DFFD4"/>
    <w:rsid w:val="6572AEFF"/>
    <w:rsid w:val="6573CCFB"/>
    <w:rsid w:val="6576F939"/>
    <w:rsid w:val="657CBB88"/>
    <w:rsid w:val="6583D22C"/>
    <w:rsid w:val="6585B9DD"/>
    <w:rsid w:val="658C61C2"/>
    <w:rsid w:val="65979D74"/>
    <w:rsid w:val="659BB87A"/>
    <w:rsid w:val="65A3895C"/>
    <w:rsid w:val="65A975C2"/>
    <w:rsid w:val="65B6595F"/>
    <w:rsid w:val="65B7FDCF"/>
    <w:rsid w:val="65C19D24"/>
    <w:rsid w:val="65C52C9A"/>
    <w:rsid w:val="65C5790A"/>
    <w:rsid w:val="65CB8368"/>
    <w:rsid w:val="65D951DB"/>
    <w:rsid w:val="65DDC587"/>
    <w:rsid w:val="65E7B669"/>
    <w:rsid w:val="65E816A8"/>
    <w:rsid w:val="65F89486"/>
    <w:rsid w:val="66053034"/>
    <w:rsid w:val="660D54D4"/>
    <w:rsid w:val="661468FB"/>
    <w:rsid w:val="661777A0"/>
    <w:rsid w:val="6619ACAD"/>
    <w:rsid w:val="662BAE4A"/>
    <w:rsid w:val="663567E3"/>
    <w:rsid w:val="6637C4CF"/>
    <w:rsid w:val="663B55DE"/>
    <w:rsid w:val="663B5FC9"/>
    <w:rsid w:val="663D4C03"/>
    <w:rsid w:val="66421FB3"/>
    <w:rsid w:val="664434E1"/>
    <w:rsid w:val="664A2723"/>
    <w:rsid w:val="66598A6C"/>
    <w:rsid w:val="6659DEC8"/>
    <w:rsid w:val="665E63BF"/>
    <w:rsid w:val="66612E29"/>
    <w:rsid w:val="66680709"/>
    <w:rsid w:val="66696708"/>
    <w:rsid w:val="666CF814"/>
    <w:rsid w:val="667094A8"/>
    <w:rsid w:val="6673D55C"/>
    <w:rsid w:val="667B2289"/>
    <w:rsid w:val="6681C078"/>
    <w:rsid w:val="6682858D"/>
    <w:rsid w:val="66842836"/>
    <w:rsid w:val="6686E09C"/>
    <w:rsid w:val="668ABFC8"/>
    <w:rsid w:val="6694B088"/>
    <w:rsid w:val="669B15A9"/>
    <w:rsid w:val="66A8597F"/>
    <w:rsid w:val="66AC12DC"/>
    <w:rsid w:val="66CBF074"/>
    <w:rsid w:val="66CD89E5"/>
    <w:rsid w:val="66CE9298"/>
    <w:rsid w:val="66D4D47D"/>
    <w:rsid w:val="66D8D179"/>
    <w:rsid w:val="66DB83B3"/>
    <w:rsid w:val="66DE2EC9"/>
    <w:rsid w:val="66EA928C"/>
    <w:rsid w:val="66ED23D4"/>
    <w:rsid w:val="66EF2537"/>
    <w:rsid w:val="66F470E8"/>
    <w:rsid w:val="66F84432"/>
    <w:rsid w:val="6702F24E"/>
    <w:rsid w:val="6704A5B2"/>
    <w:rsid w:val="670D2356"/>
    <w:rsid w:val="670DB336"/>
    <w:rsid w:val="670E62BA"/>
    <w:rsid w:val="6710AF68"/>
    <w:rsid w:val="671363D7"/>
    <w:rsid w:val="6713B510"/>
    <w:rsid w:val="6717E7BF"/>
    <w:rsid w:val="671EC05F"/>
    <w:rsid w:val="672A39C2"/>
    <w:rsid w:val="672DAC24"/>
    <w:rsid w:val="6731285A"/>
    <w:rsid w:val="6744B208"/>
    <w:rsid w:val="674C4677"/>
    <w:rsid w:val="675362AA"/>
    <w:rsid w:val="6759226B"/>
    <w:rsid w:val="676698F8"/>
    <w:rsid w:val="67681B3F"/>
    <w:rsid w:val="676983D4"/>
    <w:rsid w:val="677133EF"/>
    <w:rsid w:val="6782D308"/>
    <w:rsid w:val="67870C85"/>
    <w:rsid w:val="67889A01"/>
    <w:rsid w:val="6788E9FE"/>
    <w:rsid w:val="678BC334"/>
    <w:rsid w:val="678E57E6"/>
    <w:rsid w:val="679040F6"/>
    <w:rsid w:val="6793CFC7"/>
    <w:rsid w:val="6795FB37"/>
    <w:rsid w:val="67974222"/>
    <w:rsid w:val="679A5ED0"/>
    <w:rsid w:val="679C0A28"/>
    <w:rsid w:val="67AFE03A"/>
    <w:rsid w:val="67B511AC"/>
    <w:rsid w:val="67B58552"/>
    <w:rsid w:val="67B8B520"/>
    <w:rsid w:val="67BEB734"/>
    <w:rsid w:val="67C1131C"/>
    <w:rsid w:val="67C4E599"/>
    <w:rsid w:val="67C7D5AC"/>
    <w:rsid w:val="67CAF7A5"/>
    <w:rsid w:val="67CF69BD"/>
    <w:rsid w:val="67CF8A23"/>
    <w:rsid w:val="67D33151"/>
    <w:rsid w:val="67DD1D3E"/>
    <w:rsid w:val="67E68F84"/>
    <w:rsid w:val="67ED8AFB"/>
    <w:rsid w:val="67EEB155"/>
    <w:rsid w:val="67F489D0"/>
    <w:rsid w:val="67F6A676"/>
    <w:rsid w:val="67FBBEE7"/>
    <w:rsid w:val="67FE96B7"/>
    <w:rsid w:val="68031F3C"/>
    <w:rsid w:val="68049912"/>
    <w:rsid w:val="68070223"/>
    <w:rsid w:val="68079E2F"/>
    <w:rsid w:val="68090ED2"/>
    <w:rsid w:val="680BB5CE"/>
    <w:rsid w:val="680C059E"/>
    <w:rsid w:val="681023C0"/>
    <w:rsid w:val="6813FC05"/>
    <w:rsid w:val="6817F003"/>
    <w:rsid w:val="68187A14"/>
    <w:rsid w:val="681E7479"/>
    <w:rsid w:val="68219DDF"/>
    <w:rsid w:val="68234CF1"/>
    <w:rsid w:val="6828FDF1"/>
    <w:rsid w:val="682A5E45"/>
    <w:rsid w:val="682BE4EF"/>
    <w:rsid w:val="682C3B2C"/>
    <w:rsid w:val="682E02E0"/>
    <w:rsid w:val="6831E8C4"/>
    <w:rsid w:val="68327D61"/>
    <w:rsid w:val="6833BB75"/>
    <w:rsid w:val="68362217"/>
    <w:rsid w:val="683FDDDC"/>
    <w:rsid w:val="6841E979"/>
    <w:rsid w:val="68458403"/>
    <w:rsid w:val="684784FD"/>
    <w:rsid w:val="6849546A"/>
    <w:rsid w:val="684D5569"/>
    <w:rsid w:val="685D0480"/>
    <w:rsid w:val="68619652"/>
    <w:rsid w:val="68688BD5"/>
    <w:rsid w:val="686AE1BA"/>
    <w:rsid w:val="68759122"/>
    <w:rsid w:val="6895BC69"/>
    <w:rsid w:val="689943E1"/>
    <w:rsid w:val="689C618E"/>
    <w:rsid w:val="689CC7DC"/>
    <w:rsid w:val="68A61B7C"/>
    <w:rsid w:val="68A7D944"/>
    <w:rsid w:val="68AC550A"/>
    <w:rsid w:val="68AD2499"/>
    <w:rsid w:val="68AE501C"/>
    <w:rsid w:val="68B4872D"/>
    <w:rsid w:val="68BC6E89"/>
    <w:rsid w:val="68C193EA"/>
    <w:rsid w:val="68C478A2"/>
    <w:rsid w:val="68D82BC3"/>
    <w:rsid w:val="68E2C132"/>
    <w:rsid w:val="68EA5285"/>
    <w:rsid w:val="68F3F856"/>
    <w:rsid w:val="68FA0BED"/>
    <w:rsid w:val="68FBFE4F"/>
    <w:rsid w:val="68FCD953"/>
    <w:rsid w:val="68FE4A04"/>
    <w:rsid w:val="68FEE565"/>
    <w:rsid w:val="68FF0647"/>
    <w:rsid w:val="6905F405"/>
    <w:rsid w:val="690C49B7"/>
    <w:rsid w:val="691414B5"/>
    <w:rsid w:val="691A5A34"/>
    <w:rsid w:val="692554DE"/>
    <w:rsid w:val="692F36B3"/>
    <w:rsid w:val="69363665"/>
    <w:rsid w:val="6939B99D"/>
    <w:rsid w:val="693C06AE"/>
    <w:rsid w:val="6942F9A6"/>
    <w:rsid w:val="69446837"/>
    <w:rsid w:val="694CC9B9"/>
    <w:rsid w:val="69565AD1"/>
    <w:rsid w:val="695A181C"/>
    <w:rsid w:val="695B1C2B"/>
    <w:rsid w:val="695BDF53"/>
    <w:rsid w:val="69639901"/>
    <w:rsid w:val="69646FC0"/>
    <w:rsid w:val="696B278B"/>
    <w:rsid w:val="696D416A"/>
    <w:rsid w:val="6970CDFA"/>
    <w:rsid w:val="69718A77"/>
    <w:rsid w:val="69749E78"/>
    <w:rsid w:val="69806921"/>
    <w:rsid w:val="69810854"/>
    <w:rsid w:val="6981C968"/>
    <w:rsid w:val="6982A66E"/>
    <w:rsid w:val="6985B95C"/>
    <w:rsid w:val="698B7BBC"/>
    <w:rsid w:val="698E1E2B"/>
    <w:rsid w:val="698EC542"/>
    <w:rsid w:val="699627E5"/>
    <w:rsid w:val="69981E67"/>
    <w:rsid w:val="699937A6"/>
    <w:rsid w:val="69A34B88"/>
    <w:rsid w:val="69A581FB"/>
    <w:rsid w:val="69A941C2"/>
    <w:rsid w:val="69AE805D"/>
    <w:rsid w:val="69B67FD0"/>
    <w:rsid w:val="69B8F279"/>
    <w:rsid w:val="69B9DC52"/>
    <w:rsid w:val="69CB2002"/>
    <w:rsid w:val="69CF42D7"/>
    <w:rsid w:val="69D2E588"/>
    <w:rsid w:val="69D5882D"/>
    <w:rsid w:val="69DB679E"/>
    <w:rsid w:val="69DD839C"/>
    <w:rsid w:val="69E0DF76"/>
    <w:rsid w:val="69E13CFE"/>
    <w:rsid w:val="69E1FAC5"/>
    <w:rsid w:val="69E73C44"/>
    <w:rsid w:val="69E8B613"/>
    <w:rsid w:val="69F9DA41"/>
    <w:rsid w:val="69FAB179"/>
    <w:rsid w:val="69FF124A"/>
    <w:rsid w:val="6A035D81"/>
    <w:rsid w:val="6A05B39B"/>
    <w:rsid w:val="6A0B9726"/>
    <w:rsid w:val="6A177B52"/>
    <w:rsid w:val="6A1A1CAA"/>
    <w:rsid w:val="6A2751F6"/>
    <w:rsid w:val="6A39B257"/>
    <w:rsid w:val="6A3DA079"/>
    <w:rsid w:val="6A408168"/>
    <w:rsid w:val="6A5702F4"/>
    <w:rsid w:val="6A5CA5BF"/>
    <w:rsid w:val="6A5E0E0D"/>
    <w:rsid w:val="6A6248AE"/>
    <w:rsid w:val="6A6616AE"/>
    <w:rsid w:val="6A680E71"/>
    <w:rsid w:val="6A69AD9C"/>
    <w:rsid w:val="6A6BA30F"/>
    <w:rsid w:val="6A6D2B20"/>
    <w:rsid w:val="6A71E585"/>
    <w:rsid w:val="6A759D5C"/>
    <w:rsid w:val="6A7A3D07"/>
    <w:rsid w:val="6A7CB02D"/>
    <w:rsid w:val="6A7E92D8"/>
    <w:rsid w:val="6A83D327"/>
    <w:rsid w:val="6A87A7F6"/>
    <w:rsid w:val="6A8D7E90"/>
    <w:rsid w:val="6A8F67FA"/>
    <w:rsid w:val="6A953EFA"/>
    <w:rsid w:val="6A9645B1"/>
    <w:rsid w:val="6AA2B550"/>
    <w:rsid w:val="6AB013E7"/>
    <w:rsid w:val="6AB03E3E"/>
    <w:rsid w:val="6AB6E032"/>
    <w:rsid w:val="6ABF6C44"/>
    <w:rsid w:val="6AC59580"/>
    <w:rsid w:val="6ACE2A2A"/>
    <w:rsid w:val="6AD0DD9C"/>
    <w:rsid w:val="6AD45619"/>
    <w:rsid w:val="6AD6312C"/>
    <w:rsid w:val="6ADC9D91"/>
    <w:rsid w:val="6AE2B37F"/>
    <w:rsid w:val="6AE5B00D"/>
    <w:rsid w:val="6AE85377"/>
    <w:rsid w:val="6AEA73A6"/>
    <w:rsid w:val="6AED57B6"/>
    <w:rsid w:val="6AF30CFC"/>
    <w:rsid w:val="6AF4CBA6"/>
    <w:rsid w:val="6AFB0473"/>
    <w:rsid w:val="6AFC538A"/>
    <w:rsid w:val="6AFF6E1C"/>
    <w:rsid w:val="6B0000DA"/>
    <w:rsid w:val="6B02C7AC"/>
    <w:rsid w:val="6B08A27A"/>
    <w:rsid w:val="6B1213B2"/>
    <w:rsid w:val="6B13A5E5"/>
    <w:rsid w:val="6B187FD0"/>
    <w:rsid w:val="6B203147"/>
    <w:rsid w:val="6B278DC7"/>
    <w:rsid w:val="6B2F6A95"/>
    <w:rsid w:val="6B301C6B"/>
    <w:rsid w:val="6B371CF9"/>
    <w:rsid w:val="6B38902F"/>
    <w:rsid w:val="6B478B92"/>
    <w:rsid w:val="6B576771"/>
    <w:rsid w:val="6B61D133"/>
    <w:rsid w:val="6B6388C9"/>
    <w:rsid w:val="6B6959FE"/>
    <w:rsid w:val="6B6A9CB9"/>
    <w:rsid w:val="6B6BF040"/>
    <w:rsid w:val="6B6FD40C"/>
    <w:rsid w:val="6B70007A"/>
    <w:rsid w:val="6B712633"/>
    <w:rsid w:val="6B77009C"/>
    <w:rsid w:val="6B7A2558"/>
    <w:rsid w:val="6B7A8D85"/>
    <w:rsid w:val="6B8481F6"/>
    <w:rsid w:val="6B868D97"/>
    <w:rsid w:val="6B8CD429"/>
    <w:rsid w:val="6B902967"/>
    <w:rsid w:val="6B960118"/>
    <w:rsid w:val="6B96DEC8"/>
    <w:rsid w:val="6B9BCF60"/>
    <w:rsid w:val="6BA29BD3"/>
    <w:rsid w:val="6BA7883C"/>
    <w:rsid w:val="6BA86256"/>
    <w:rsid w:val="6BB1520A"/>
    <w:rsid w:val="6BB1DAC1"/>
    <w:rsid w:val="6BB21747"/>
    <w:rsid w:val="6BB3AC42"/>
    <w:rsid w:val="6BB859E4"/>
    <w:rsid w:val="6BBCB474"/>
    <w:rsid w:val="6BC81811"/>
    <w:rsid w:val="6BCC01A5"/>
    <w:rsid w:val="6BCD2AA4"/>
    <w:rsid w:val="6BD22D39"/>
    <w:rsid w:val="6BD4C331"/>
    <w:rsid w:val="6BD6173D"/>
    <w:rsid w:val="6BDA6F5D"/>
    <w:rsid w:val="6BDED597"/>
    <w:rsid w:val="6BE72245"/>
    <w:rsid w:val="6BEA4C61"/>
    <w:rsid w:val="6BF74640"/>
    <w:rsid w:val="6BFA6003"/>
    <w:rsid w:val="6BFE2824"/>
    <w:rsid w:val="6BFFAA1E"/>
    <w:rsid w:val="6C24BC2D"/>
    <w:rsid w:val="6C256504"/>
    <w:rsid w:val="6C26A20F"/>
    <w:rsid w:val="6C28626C"/>
    <w:rsid w:val="6C293477"/>
    <w:rsid w:val="6C306000"/>
    <w:rsid w:val="6C3A02F4"/>
    <w:rsid w:val="6C3C1942"/>
    <w:rsid w:val="6C3C48A2"/>
    <w:rsid w:val="6C3C960A"/>
    <w:rsid w:val="6C4F942D"/>
    <w:rsid w:val="6C5D3340"/>
    <w:rsid w:val="6C5F6D77"/>
    <w:rsid w:val="6C69F4E2"/>
    <w:rsid w:val="6C72AE20"/>
    <w:rsid w:val="6C73B24F"/>
    <w:rsid w:val="6C7A045B"/>
    <w:rsid w:val="6C82ED05"/>
    <w:rsid w:val="6C84893E"/>
    <w:rsid w:val="6C869A50"/>
    <w:rsid w:val="6C8913F6"/>
    <w:rsid w:val="6C94D1F7"/>
    <w:rsid w:val="6C9B52FC"/>
    <w:rsid w:val="6CA6980E"/>
    <w:rsid w:val="6CA76E67"/>
    <w:rsid w:val="6CBB358C"/>
    <w:rsid w:val="6CC009F0"/>
    <w:rsid w:val="6CC553FB"/>
    <w:rsid w:val="6CC56644"/>
    <w:rsid w:val="6CCAE711"/>
    <w:rsid w:val="6CD0C21C"/>
    <w:rsid w:val="6CD3B75E"/>
    <w:rsid w:val="6CD89093"/>
    <w:rsid w:val="6CD9045A"/>
    <w:rsid w:val="6CD94E9F"/>
    <w:rsid w:val="6CD98170"/>
    <w:rsid w:val="6CE06B9B"/>
    <w:rsid w:val="6CE2AA3D"/>
    <w:rsid w:val="6CE4AE69"/>
    <w:rsid w:val="6CE70412"/>
    <w:rsid w:val="6CEDC61C"/>
    <w:rsid w:val="6CF04D7B"/>
    <w:rsid w:val="6CFA20AC"/>
    <w:rsid w:val="6D0EBDD7"/>
    <w:rsid w:val="6D0F0E88"/>
    <w:rsid w:val="6D12378B"/>
    <w:rsid w:val="6D15E8AC"/>
    <w:rsid w:val="6D1E659E"/>
    <w:rsid w:val="6D218E56"/>
    <w:rsid w:val="6D27DB28"/>
    <w:rsid w:val="6D2A955C"/>
    <w:rsid w:val="6D33A85D"/>
    <w:rsid w:val="6D405408"/>
    <w:rsid w:val="6D429806"/>
    <w:rsid w:val="6D48F8DA"/>
    <w:rsid w:val="6D4FBEED"/>
    <w:rsid w:val="6D5465FA"/>
    <w:rsid w:val="6D551FB9"/>
    <w:rsid w:val="6D5F2589"/>
    <w:rsid w:val="6D64C77E"/>
    <w:rsid w:val="6D6EF663"/>
    <w:rsid w:val="6D718CE0"/>
    <w:rsid w:val="6D72B737"/>
    <w:rsid w:val="6D7A4BC9"/>
    <w:rsid w:val="6D8CBBF0"/>
    <w:rsid w:val="6D8D15CE"/>
    <w:rsid w:val="6D8F2691"/>
    <w:rsid w:val="6D927A86"/>
    <w:rsid w:val="6D943457"/>
    <w:rsid w:val="6D98181D"/>
    <w:rsid w:val="6DA44966"/>
    <w:rsid w:val="6DAB2C0B"/>
    <w:rsid w:val="6DAD2F56"/>
    <w:rsid w:val="6DAEA94B"/>
    <w:rsid w:val="6DB76441"/>
    <w:rsid w:val="6DBAC2A0"/>
    <w:rsid w:val="6DBC0725"/>
    <w:rsid w:val="6DC014F3"/>
    <w:rsid w:val="6DC3414D"/>
    <w:rsid w:val="6DC6604E"/>
    <w:rsid w:val="6DCEF122"/>
    <w:rsid w:val="6DD4A5CF"/>
    <w:rsid w:val="6DD531F4"/>
    <w:rsid w:val="6DEBF2D5"/>
    <w:rsid w:val="6DF53144"/>
    <w:rsid w:val="6DFA2ED3"/>
    <w:rsid w:val="6DFE8CAD"/>
    <w:rsid w:val="6DFEB9DE"/>
    <w:rsid w:val="6E0EBD02"/>
    <w:rsid w:val="6E17A5D4"/>
    <w:rsid w:val="6E1A1FB9"/>
    <w:rsid w:val="6E1D7AD8"/>
    <w:rsid w:val="6E201E42"/>
    <w:rsid w:val="6E260D4B"/>
    <w:rsid w:val="6E27A40E"/>
    <w:rsid w:val="6E2CCE51"/>
    <w:rsid w:val="6E3272DB"/>
    <w:rsid w:val="6E35A773"/>
    <w:rsid w:val="6E35C19C"/>
    <w:rsid w:val="6E390CAC"/>
    <w:rsid w:val="6E397855"/>
    <w:rsid w:val="6E3F6BF4"/>
    <w:rsid w:val="6E3FD04C"/>
    <w:rsid w:val="6E40BF9B"/>
    <w:rsid w:val="6E436F11"/>
    <w:rsid w:val="6E459803"/>
    <w:rsid w:val="6E484259"/>
    <w:rsid w:val="6E4A4B9D"/>
    <w:rsid w:val="6E4F921C"/>
    <w:rsid w:val="6E5127CE"/>
    <w:rsid w:val="6E517026"/>
    <w:rsid w:val="6E576FAA"/>
    <w:rsid w:val="6E5EC4BD"/>
    <w:rsid w:val="6E5EF528"/>
    <w:rsid w:val="6E60D94C"/>
    <w:rsid w:val="6E640A73"/>
    <w:rsid w:val="6E64F198"/>
    <w:rsid w:val="6E6AFECC"/>
    <w:rsid w:val="6E6D7209"/>
    <w:rsid w:val="6E750395"/>
    <w:rsid w:val="6E7E54D9"/>
    <w:rsid w:val="6E878F36"/>
    <w:rsid w:val="6E87F7E3"/>
    <w:rsid w:val="6E888F49"/>
    <w:rsid w:val="6E8A866F"/>
    <w:rsid w:val="6E9016C2"/>
    <w:rsid w:val="6E954FBF"/>
    <w:rsid w:val="6E9A2A4D"/>
    <w:rsid w:val="6EA34BA1"/>
    <w:rsid w:val="6EAA5924"/>
    <w:rsid w:val="6EB0F4BF"/>
    <w:rsid w:val="6EB19044"/>
    <w:rsid w:val="6EB46487"/>
    <w:rsid w:val="6EB7FB56"/>
    <w:rsid w:val="6EBA115C"/>
    <w:rsid w:val="6EBAB9C0"/>
    <w:rsid w:val="6ED8206B"/>
    <w:rsid w:val="6ED9220B"/>
    <w:rsid w:val="6EE1D48D"/>
    <w:rsid w:val="6EE73DAC"/>
    <w:rsid w:val="6EE85066"/>
    <w:rsid w:val="6EEE09AE"/>
    <w:rsid w:val="6EEE39AB"/>
    <w:rsid w:val="6EEE5250"/>
    <w:rsid w:val="6EEFF1A5"/>
    <w:rsid w:val="6EF058F2"/>
    <w:rsid w:val="6EF338C1"/>
    <w:rsid w:val="6EF4B9D8"/>
    <w:rsid w:val="6F002F03"/>
    <w:rsid w:val="6F08B6BF"/>
    <w:rsid w:val="6F0BBCCC"/>
    <w:rsid w:val="6F12010B"/>
    <w:rsid w:val="6F14D232"/>
    <w:rsid w:val="6F15B01D"/>
    <w:rsid w:val="6F245A7B"/>
    <w:rsid w:val="6F25E82A"/>
    <w:rsid w:val="6F26A4F5"/>
    <w:rsid w:val="6F2B2968"/>
    <w:rsid w:val="6F39091F"/>
    <w:rsid w:val="6F3C9619"/>
    <w:rsid w:val="6F3D1361"/>
    <w:rsid w:val="6F3E028C"/>
    <w:rsid w:val="6F3FA950"/>
    <w:rsid w:val="6F403B55"/>
    <w:rsid w:val="6F41A2C4"/>
    <w:rsid w:val="6F434CF3"/>
    <w:rsid w:val="6F483145"/>
    <w:rsid w:val="6F4EDDF2"/>
    <w:rsid w:val="6F514592"/>
    <w:rsid w:val="6F5204B5"/>
    <w:rsid w:val="6F530C7C"/>
    <w:rsid w:val="6F536DBC"/>
    <w:rsid w:val="6F5B57FD"/>
    <w:rsid w:val="6F5D9CE9"/>
    <w:rsid w:val="6F63C45C"/>
    <w:rsid w:val="6F63F523"/>
    <w:rsid w:val="6F703BEE"/>
    <w:rsid w:val="6F7CD0AB"/>
    <w:rsid w:val="6F87BFEA"/>
    <w:rsid w:val="6F886217"/>
    <w:rsid w:val="6F8C326C"/>
    <w:rsid w:val="6F8FEC95"/>
    <w:rsid w:val="6F919900"/>
    <w:rsid w:val="6F929056"/>
    <w:rsid w:val="6F98CA43"/>
    <w:rsid w:val="6F9D02B2"/>
    <w:rsid w:val="6F9E6BD3"/>
    <w:rsid w:val="6FA48CAE"/>
    <w:rsid w:val="6FA7A0AB"/>
    <w:rsid w:val="6FB56BEF"/>
    <w:rsid w:val="6FB65CE5"/>
    <w:rsid w:val="6FBAAF42"/>
    <w:rsid w:val="6FC4048C"/>
    <w:rsid w:val="6FCC89BC"/>
    <w:rsid w:val="6FD32C3E"/>
    <w:rsid w:val="6FD5400C"/>
    <w:rsid w:val="6FDBF5CA"/>
    <w:rsid w:val="6FE04AAB"/>
    <w:rsid w:val="6FE09CBD"/>
    <w:rsid w:val="6FE2833E"/>
    <w:rsid w:val="6FE8B8FD"/>
    <w:rsid w:val="6FEAD479"/>
    <w:rsid w:val="6FEBEBBC"/>
    <w:rsid w:val="6FF59EC5"/>
    <w:rsid w:val="6FF5E5C9"/>
    <w:rsid w:val="6FF6D37C"/>
    <w:rsid w:val="6FF80E08"/>
    <w:rsid w:val="6FF8E79B"/>
    <w:rsid w:val="70035DFE"/>
    <w:rsid w:val="700DD218"/>
    <w:rsid w:val="7012DD20"/>
    <w:rsid w:val="7012F507"/>
    <w:rsid w:val="701BA277"/>
    <w:rsid w:val="701CA7FA"/>
    <w:rsid w:val="702115B0"/>
    <w:rsid w:val="7029412C"/>
    <w:rsid w:val="702FFD6B"/>
    <w:rsid w:val="7033684A"/>
    <w:rsid w:val="703418B3"/>
    <w:rsid w:val="70366198"/>
    <w:rsid w:val="7036973D"/>
    <w:rsid w:val="70393CF0"/>
    <w:rsid w:val="703FB50E"/>
    <w:rsid w:val="70490AC6"/>
    <w:rsid w:val="704EA238"/>
    <w:rsid w:val="70573643"/>
    <w:rsid w:val="705C864B"/>
    <w:rsid w:val="705D098D"/>
    <w:rsid w:val="706D64B3"/>
    <w:rsid w:val="7072E283"/>
    <w:rsid w:val="70731554"/>
    <w:rsid w:val="7074E961"/>
    <w:rsid w:val="707661BB"/>
    <w:rsid w:val="707BDEFC"/>
    <w:rsid w:val="707CBAAF"/>
    <w:rsid w:val="7081A9B7"/>
    <w:rsid w:val="70854AE9"/>
    <w:rsid w:val="708B0EC1"/>
    <w:rsid w:val="708C3B16"/>
    <w:rsid w:val="708D45A6"/>
    <w:rsid w:val="7091060E"/>
    <w:rsid w:val="70935E71"/>
    <w:rsid w:val="70A50A51"/>
    <w:rsid w:val="70A8F56D"/>
    <w:rsid w:val="70A9B1D0"/>
    <w:rsid w:val="70B487FC"/>
    <w:rsid w:val="70B69FB1"/>
    <w:rsid w:val="70BB6A2C"/>
    <w:rsid w:val="70BCB503"/>
    <w:rsid w:val="70BFEC02"/>
    <w:rsid w:val="70C1F207"/>
    <w:rsid w:val="70D37E57"/>
    <w:rsid w:val="70DCFF27"/>
    <w:rsid w:val="70DEE7A3"/>
    <w:rsid w:val="70DF4F7D"/>
    <w:rsid w:val="70E2FBEC"/>
    <w:rsid w:val="70E60531"/>
    <w:rsid w:val="70EA9FE0"/>
    <w:rsid w:val="70F60C95"/>
    <w:rsid w:val="70F9CABC"/>
    <w:rsid w:val="7103E6C9"/>
    <w:rsid w:val="71093164"/>
    <w:rsid w:val="710F5892"/>
    <w:rsid w:val="7110FD42"/>
    <w:rsid w:val="711199DD"/>
    <w:rsid w:val="71148A70"/>
    <w:rsid w:val="71261078"/>
    <w:rsid w:val="7129125C"/>
    <w:rsid w:val="712CD66F"/>
    <w:rsid w:val="71313F2C"/>
    <w:rsid w:val="713229B1"/>
    <w:rsid w:val="7140C158"/>
    <w:rsid w:val="71441D59"/>
    <w:rsid w:val="7148B6E4"/>
    <w:rsid w:val="714FF9D9"/>
    <w:rsid w:val="71541BD2"/>
    <w:rsid w:val="7155140B"/>
    <w:rsid w:val="7157FBFA"/>
    <w:rsid w:val="71645D79"/>
    <w:rsid w:val="716E8A66"/>
    <w:rsid w:val="71755E85"/>
    <w:rsid w:val="7175F3D2"/>
    <w:rsid w:val="7178F0E6"/>
    <w:rsid w:val="717AFDCA"/>
    <w:rsid w:val="717D6955"/>
    <w:rsid w:val="7185A99E"/>
    <w:rsid w:val="7190669A"/>
    <w:rsid w:val="7195FFC8"/>
    <w:rsid w:val="71974A6D"/>
    <w:rsid w:val="71A1C667"/>
    <w:rsid w:val="71A4F18F"/>
    <w:rsid w:val="71A95D43"/>
    <w:rsid w:val="71AACB84"/>
    <w:rsid w:val="71AEDDF1"/>
    <w:rsid w:val="71B737AC"/>
    <w:rsid w:val="71B7A1A5"/>
    <w:rsid w:val="71BC2F77"/>
    <w:rsid w:val="71D5AD7F"/>
    <w:rsid w:val="71D6FC7E"/>
    <w:rsid w:val="71DAC4F6"/>
    <w:rsid w:val="71DD4A14"/>
    <w:rsid w:val="71E04911"/>
    <w:rsid w:val="71ECBA3F"/>
    <w:rsid w:val="71ED5EEF"/>
    <w:rsid w:val="71EF426C"/>
    <w:rsid w:val="71F28B22"/>
    <w:rsid w:val="71F2CDA3"/>
    <w:rsid w:val="71F48986"/>
    <w:rsid w:val="71FB974A"/>
    <w:rsid w:val="71FD9BDB"/>
    <w:rsid w:val="72017D63"/>
    <w:rsid w:val="7203533E"/>
    <w:rsid w:val="7222B33F"/>
    <w:rsid w:val="72234265"/>
    <w:rsid w:val="722CB83B"/>
    <w:rsid w:val="722DEE36"/>
    <w:rsid w:val="72311DFA"/>
    <w:rsid w:val="72340A2F"/>
    <w:rsid w:val="7235318C"/>
    <w:rsid w:val="723C6551"/>
    <w:rsid w:val="72401D16"/>
    <w:rsid w:val="724F3E85"/>
    <w:rsid w:val="724FAD8B"/>
    <w:rsid w:val="7252FA33"/>
    <w:rsid w:val="725B4485"/>
    <w:rsid w:val="725B5F12"/>
    <w:rsid w:val="725EB3BA"/>
    <w:rsid w:val="726086F1"/>
    <w:rsid w:val="7261B0DA"/>
    <w:rsid w:val="72627497"/>
    <w:rsid w:val="72635369"/>
    <w:rsid w:val="7265DEA8"/>
    <w:rsid w:val="72697C4D"/>
    <w:rsid w:val="726AC67E"/>
    <w:rsid w:val="726BE7B2"/>
    <w:rsid w:val="726DF51D"/>
    <w:rsid w:val="726EBFD6"/>
    <w:rsid w:val="72705267"/>
    <w:rsid w:val="7270D5C4"/>
    <w:rsid w:val="72714B06"/>
    <w:rsid w:val="727B1D3C"/>
    <w:rsid w:val="72860822"/>
    <w:rsid w:val="7291AD59"/>
    <w:rsid w:val="72A10254"/>
    <w:rsid w:val="72ACD50F"/>
    <w:rsid w:val="72AFA729"/>
    <w:rsid w:val="72BBA894"/>
    <w:rsid w:val="72BED5DC"/>
    <w:rsid w:val="72C09B7E"/>
    <w:rsid w:val="72C97B1E"/>
    <w:rsid w:val="72CA4855"/>
    <w:rsid w:val="72D44403"/>
    <w:rsid w:val="72DBC8B2"/>
    <w:rsid w:val="72DE61FA"/>
    <w:rsid w:val="72E3795B"/>
    <w:rsid w:val="72EBCA02"/>
    <w:rsid w:val="72EF2401"/>
    <w:rsid w:val="72F40A3C"/>
    <w:rsid w:val="72F5858B"/>
    <w:rsid w:val="72F9CCE3"/>
    <w:rsid w:val="72FCA61A"/>
    <w:rsid w:val="7302DAE0"/>
    <w:rsid w:val="730380DA"/>
    <w:rsid w:val="7304F662"/>
    <w:rsid w:val="7305A819"/>
    <w:rsid w:val="7305FC5E"/>
    <w:rsid w:val="730B5F7C"/>
    <w:rsid w:val="73181B25"/>
    <w:rsid w:val="7318A462"/>
    <w:rsid w:val="731A4382"/>
    <w:rsid w:val="731FA281"/>
    <w:rsid w:val="732059BF"/>
    <w:rsid w:val="73286992"/>
    <w:rsid w:val="7328AD28"/>
    <w:rsid w:val="732EA456"/>
    <w:rsid w:val="732F4FF0"/>
    <w:rsid w:val="7335B91F"/>
    <w:rsid w:val="7335F69E"/>
    <w:rsid w:val="7337FA5A"/>
    <w:rsid w:val="733AB3EB"/>
    <w:rsid w:val="7345E28B"/>
    <w:rsid w:val="734EF09D"/>
    <w:rsid w:val="7363607C"/>
    <w:rsid w:val="73688274"/>
    <w:rsid w:val="736ED222"/>
    <w:rsid w:val="7375A270"/>
    <w:rsid w:val="73797F1C"/>
    <w:rsid w:val="7381A889"/>
    <w:rsid w:val="7384E12C"/>
    <w:rsid w:val="738A42FE"/>
    <w:rsid w:val="738B8A5A"/>
    <w:rsid w:val="73A3222F"/>
    <w:rsid w:val="73AF9B40"/>
    <w:rsid w:val="73BA64D9"/>
    <w:rsid w:val="73BF5D73"/>
    <w:rsid w:val="73C0D8D5"/>
    <w:rsid w:val="73C405B1"/>
    <w:rsid w:val="73CD3B65"/>
    <w:rsid w:val="73D2D507"/>
    <w:rsid w:val="73D66B18"/>
    <w:rsid w:val="73DD987B"/>
    <w:rsid w:val="73E0F970"/>
    <w:rsid w:val="73E9CC51"/>
    <w:rsid w:val="73F35E13"/>
    <w:rsid w:val="73FCF22F"/>
    <w:rsid w:val="73FD4E86"/>
    <w:rsid w:val="73FF0167"/>
    <w:rsid w:val="73FFA5BE"/>
    <w:rsid w:val="74031D4B"/>
    <w:rsid w:val="7407C51A"/>
    <w:rsid w:val="7409560B"/>
    <w:rsid w:val="740B5352"/>
    <w:rsid w:val="740C0768"/>
    <w:rsid w:val="7411A5AF"/>
    <w:rsid w:val="74121A33"/>
    <w:rsid w:val="7418E3EE"/>
    <w:rsid w:val="741FD8C7"/>
    <w:rsid w:val="742768ED"/>
    <w:rsid w:val="743460D6"/>
    <w:rsid w:val="74353829"/>
    <w:rsid w:val="743C2358"/>
    <w:rsid w:val="7445FB98"/>
    <w:rsid w:val="7449B7F0"/>
    <w:rsid w:val="744A028B"/>
    <w:rsid w:val="744DDE43"/>
    <w:rsid w:val="744FEBCD"/>
    <w:rsid w:val="74567317"/>
    <w:rsid w:val="7462C849"/>
    <w:rsid w:val="746F3180"/>
    <w:rsid w:val="747386B4"/>
    <w:rsid w:val="747C5E44"/>
    <w:rsid w:val="74918513"/>
    <w:rsid w:val="7494E2BC"/>
    <w:rsid w:val="7495B5AF"/>
    <w:rsid w:val="7499B88F"/>
    <w:rsid w:val="7499E21B"/>
    <w:rsid w:val="74A2A2CB"/>
    <w:rsid w:val="74A52CD2"/>
    <w:rsid w:val="74A5C66E"/>
    <w:rsid w:val="74ABCD2E"/>
    <w:rsid w:val="74AC932A"/>
    <w:rsid w:val="74AF03F5"/>
    <w:rsid w:val="74B083A2"/>
    <w:rsid w:val="74B73E60"/>
    <w:rsid w:val="74D86DA3"/>
    <w:rsid w:val="74E63359"/>
    <w:rsid w:val="74EE1931"/>
    <w:rsid w:val="74FE7AC1"/>
    <w:rsid w:val="750CDF77"/>
    <w:rsid w:val="751103C9"/>
    <w:rsid w:val="75171129"/>
    <w:rsid w:val="751C93EA"/>
    <w:rsid w:val="751E80A0"/>
    <w:rsid w:val="751F259C"/>
    <w:rsid w:val="7521F7F9"/>
    <w:rsid w:val="752352C5"/>
    <w:rsid w:val="752C248E"/>
    <w:rsid w:val="7531E782"/>
    <w:rsid w:val="753243B6"/>
    <w:rsid w:val="7538BC18"/>
    <w:rsid w:val="753AA7C2"/>
    <w:rsid w:val="75409B86"/>
    <w:rsid w:val="754A34E6"/>
    <w:rsid w:val="754C67DE"/>
    <w:rsid w:val="754E3599"/>
    <w:rsid w:val="754F405F"/>
    <w:rsid w:val="75535600"/>
    <w:rsid w:val="755AABC1"/>
    <w:rsid w:val="755FA8D3"/>
    <w:rsid w:val="7560FA35"/>
    <w:rsid w:val="7563827C"/>
    <w:rsid w:val="756DB6EA"/>
    <w:rsid w:val="75854C48"/>
    <w:rsid w:val="7587F2DC"/>
    <w:rsid w:val="758F6CB2"/>
    <w:rsid w:val="7592A7B2"/>
    <w:rsid w:val="759540FC"/>
    <w:rsid w:val="7597903B"/>
    <w:rsid w:val="75A1BD5C"/>
    <w:rsid w:val="75A3B207"/>
    <w:rsid w:val="75A44CA0"/>
    <w:rsid w:val="75A5CDE6"/>
    <w:rsid w:val="75A811BB"/>
    <w:rsid w:val="75AE3657"/>
    <w:rsid w:val="75AEB6C1"/>
    <w:rsid w:val="75B29566"/>
    <w:rsid w:val="75B76D1A"/>
    <w:rsid w:val="75B90B6A"/>
    <w:rsid w:val="75BB18E8"/>
    <w:rsid w:val="75C32470"/>
    <w:rsid w:val="75D0760C"/>
    <w:rsid w:val="75D13D75"/>
    <w:rsid w:val="75E743F6"/>
    <w:rsid w:val="75F443FA"/>
    <w:rsid w:val="76010B70"/>
    <w:rsid w:val="7604C6EA"/>
    <w:rsid w:val="76060187"/>
    <w:rsid w:val="7606F10D"/>
    <w:rsid w:val="7616F389"/>
    <w:rsid w:val="761C3783"/>
    <w:rsid w:val="761D90D1"/>
    <w:rsid w:val="761DDA9C"/>
    <w:rsid w:val="762022A6"/>
    <w:rsid w:val="7626010B"/>
    <w:rsid w:val="76269A88"/>
    <w:rsid w:val="762BE7E7"/>
    <w:rsid w:val="762EF48E"/>
    <w:rsid w:val="7630A8B5"/>
    <w:rsid w:val="76312B69"/>
    <w:rsid w:val="76313315"/>
    <w:rsid w:val="7631C18A"/>
    <w:rsid w:val="76380EED"/>
    <w:rsid w:val="7638A427"/>
    <w:rsid w:val="7638FA2D"/>
    <w:rsid w:val="763AAE11"/>
    <w:rsid w:val="763BC5B9"/>
    <w:rsid w:val="76440460"/>
    <w:rsid w:val="7644566C"/>
    <w:rsid w:val="764653FB"/>
    <w:rsid w:val="76472453"/>
    <w:rsid w:val="7648C64A"/>
    <w:rsid w:val="764A4AB9"/>
    <w:rsid w:val="764CC723"/>
    <w:rsid w:val="764E33D3"/>
    <w:rsid w:val="7653F944"/>
    <w:rsid w:val="765680C9"/>
    <w:rsid w:val="7657FE53"/>
    <w:rsid w:val="765B0E50"/>
    <w:rsid w:val="765F1F67"/>
    <w:rsid w:val="76607F63"/>
    <w:rsid w:val="766B760C"/>
    <w:rsid w:val="766BFBFA"/>
    <w:rsid w:val="766CA5E1"/>
    <w:rsid w:val="766FE307"/>
    <w:rsid w:val="768137AD"/>
    <w:rsid w:val="76854FE6"/>
    <w:rsid w:val="76860805"/>
    <w:rsid w:val="768AD85C"/>
    <w:rsid w:val="76914544"/>
    <w:rsid w:val="76947591"/>
    <w:rsid w:val="769B7F95"/>
    <w:rsid w:val="76A3CE9A"/>
    <w:rsid w:val="76A9839E"/>
    <w:rsid w:val="76AD24BF"/>
    <w:rsid w:val="76B085CB"/>
    <w:rsid w:val="76BFA44D"/>
    <w:rsid w:val="76D29459"/>
    <w:rsid w:val="76D630D5"/>
    <w:rsid w:val="76D95A1B"/>
    <w:rsid w:val="76F34A74"/>
    <w:rsid w:val="7702848C"/>
    <w:rsid w:val="7707E64F"/>
    <w:rsid w:val="77092E23"/>
    <w:rsid w:val="770A2701"/>
    <w:rsid w:val="77179AF4"/>
    <w:rsid w:val="77212CAD"/>
    <w:rsid w:val="772D4D80"/>
    <w:rsid w:val="77412A44"/>
    <w:rsid w:val="774E0BB8"/>
    <w:rsid w:val="7751553E"/>
    <w:rsid w:val="7753A1C5"/>
    <w:rsid w:val="7757187A"/>
    <w:rsid w:val="77571C9B"/>
    <w:rsid w:val="775CE323"/>
    <w:rsid w:val="775F3523"/>
    <w:rsid w:val="775F36AB"/>
    <w:rsid w:val="776E2EB3"/>
    <w:rsid w:val="77752A91"/>
    <w:rsid w:val="7777DB18"/>
    <w:rsid w:val="77799598"/>
    <w:rsid w:val="777DE6EE"/>
    <w:rsid w:val="77804416"/>
    <w:rsid w:val="7783D775"/>
    <w:rsid w:val="77846724"/>
    <w:rsid w:val="77862C8F"/>
    <w:rsid w:val="778830F5"/>
    <w:rsid w:val="7795ACE8"/>
    <w:rsid w:val="7797F5FF"/>
    <w:rsid w:val="779E2C48"/>
    <w:rsid w:val="77A36EA8"/>
    <w:rsid w:val="77A57BDF"/>
    <w:rsid w:val="77AF9173"/>
    <w:rsid w:val="77B11D6F"/>
    <w:rsid w:val="77B52996"/>
    <w:rsid w:val="77B8D782"/>
    <w:rsid w:val="77C2640D"/>
    <w:rsid w:val="77C670D8"/>
    <w:rsid w:val="77C87672"/>
    <w:rsid w:val="77CD2346"/>
    <w:rsid w:val="77CFC99A"/>
    <w:rsid w:val="77D27BDF"/>
    <w:rsid w:val="77DC8F6B"/>
    <w:rsid w:val="77F1C446"/>
    <w:rsid w:val="77F353FE"/>
    <w:rsid w:val="78082DBC"/>
    <w:rsid w:val="7810D4DD"/>
    <w:rsid w:val="7815F771"/>
    <w:rsid w:val="7817DBDF"/>
    <w:rsid w:val="781EDA46"/>
    <w:rsid w:val="7821BCC3"/>
    <w:rsid w:val="782D15A5"/>
    <w:rsid w:val="7833D534"/>
    <w:rsid w:val="78361331"/>
    <w:rsid w:val="783D2720"/>
    <w:rsid w:val="783ED19D"/>
    <w:rsid w:val="78410815"/>
    <w:rsid w:val="78446627"/>
    <w:rsid w:val="784B2BEF"/>
    <w:rsid w:val="78551A4C"/>
    <w:rsid w:val="785F0ED0"/>
    <w:rsid w:val="7866A49A"/>
    <w:rsid w:val="786CEC62"/>
    <w:rsid w:val="786F63A5"/>
    <w:rsid w:val="786F9721"/>
    <w:rsid w:val="78717E3B"/>
    <w:rsid w:val="788546C9"/>
    <w:rsid w:val="78879D2C"/>
    <w:rsid w:val="788C210F"/>
    <w:rsid w:val="7890288D"/>
    <w:rsid w:val="7890B125"/>
    <w:rsid w:val="78A0C102"/>
    <w:rsid w:val="78A2212A"/>
    <w:rsid w:val="78ABBC3B"/>
    <w:rsid w:val="78ABFC03"/>
    <w:rsid w:val="78AF83D7"/>
    <w:rsid w:val="78B46A87"/>
    <w:rsid w:val="78B73AF7"/>
    <w:rsid w:val="78BD199B"/>
    <w:rsid w:val="78E3F821"/>
    <w:rsid w:val="78E4A447"/>
    <w:rsid w:val="78F246A2"/>
    <w:rsid w:val="78F404EE"/>
    <w:rsid w:val="78FF4B79"/>
    <w:rsid w:val="790D5B8B"/>
    <w:rsid w:val="790DA079"/>
    <w:rsid w:val="7912ABB6"/>
    <w:rsid w:val="791459C2"/>
    <w:rsid w:val="79217031"/>
    <w:rsid w:val="79266075"/>
    <w:rsid w:val="792ABEB0"/>
    <w:rsid w:val="792E9464"/>
    <w:rsid w:val="7936D5D8"/>
    <w:rsid w:val="7937D61C"/>
    <w:rsid w:val="793AC97D"/>
    <w:rsid w:val="793CC14B"/>
    <w:rsid w:val="793DCC5A"/>
    <w:rsid w:val="793DD342"/>
    <w:rsid w:val="7942E043"/>
    <w:rsid w:val="794FED35"/>
    <w:rsid w:val="7957CC69"/>
    <w:rsid w:val="7961D2B2"/>
    <w:rsid w:val="79718F1D"/>
    <w:rsid w:val="79746902"/>
    <w:rsid w:val="7975DE23"/>
    <w:rsid w:val="797A14AC"/>
    <w:rsid w:val="797A8FCB"/>
    <w:rsid w:val="797B1472"/>
    <w:rsid w:val="797BFD75"/>
    <w:rsid w:val="79815262"/>
    <w:rsid w:val="798702DF"/>
    <w:rsid w:val="79890512"/>
    <w:rsid w:val="7999B143"/>
    <w:rsid w:val="79A04874"/>
    <w:rsid w:val="79A2A47D"/>
    <w:rsid w:val="79AA0C93"/>
    <w:rsid w:val="79AB6DF1"/>
    <w:rsid w:val="79AEC408"/>
    <w:rsid w:val="79C4FDFE"/>
    <w:rsid w:val="79C7ABB8"/>
    <w:rsid w:val="79CF5583"/>
    <w:rsid w:val="79D10AE7"/>
    <w:rsid w:val="79D1B669"/>
    <w:rsid w:val="79D962C0"/>
    <w:rsid w:val="79EC2117"/>
    <w:rsid w:val="79EC99AA"/>
    <w:rsid w:val="79EF6C75"/>
    <w:rsid w:val="79F38403"/>
    <w:rsid w:val="79FA624F"/>
    <w:rsid w:val="79FD0FE4"/>
    <w:rsid w:val="79FEDF69"/>
    <w:rsid w:val="7A00922D"/>
    <w:rsid w:val="7A024CA5"/>
    <w:rsid w:val="7A083F28"/>
    <w:rsid w:val="7A0CA2A7"/>
    <w:rsid w:val="7A0D1A2C"/>
    <w:rsid w:val="7A0E856D"/>
    <w:rsid w:val="7A123CE5"/>
    <w:rsid w:val="7A1553D4"/>
    <w:rsid w:val="7A21A6BC"/>
    <w:rsid w:val="7A22E13F"/>
    <w:rsid w:val="7A285A16"/>
    <w:rsid w:val="7A3D9804"/>
    <w:rsid w:val="7A3DBBB1"/>
    <w:rsid w:val="7A40B64D"/>
    <w:rsid w:val="7A4858FF"/>
    <w:rsid w:val="7A4F59B2"/>
    <w:rsid w:val="7A4FB648"/>
    <w:rsid w:val="7A581780"/>
    <w:rsid w:val="7A5B4725"/>
    <w:rsid w:val="7A5CA9FA"/>
    <w:rsid w:val="7A5DCF76"/>
    <w:rsid w:val="7A63E57C"/>
    <w:rsid w:val="7A657334"/>
    <w:rsid w:val="7A6D4010"/>
    <w:rsid w:val="7A6FDF56"/>
    <w:rsid w:val="7A742BE7"/>
    <w:rsid w:val="7A77D67D"/>
    <w:rsid w:val="7A843156"/>
    <w:rsid w:val="7A8B4F69"/>
    <w:rsid w:val="7A91E78B"/>
    <w:rsid w:val="7AA66E4D"/>
    <w:rsid w:val="7AB12EE0"/>
    <w:rsid w:val="7AB20330"/>
    <w:rsid w:val="7AB98BD1"/>
    <w:rsid w:val="7ABEB04D"/>
    <w:rsid w:val="7AC69247"/>
    <w:rsid w:val="7AC99F60"/>
    <w:rsid w:val="7ADACE8B"/>
    <w:rsid w:val="7ADDF4B4"/>
    <w:rsid w:val="7ADF3E95"/>
    <w:rsid w:val="7AE0EF32"/>
    <w:rsid w:val="7AE715FF"/>
    <w:rsid w:val="7AE8DAD7"/>
    <w:rsid w:val="7AEC3FC3"/>
    <w:rsid w:val="7AEC91FF"/>
    <w:rsid w:val="7AEFFE7B"/>
    <w:rsid w:val="7AF57463"/>
    <w:rsid w:val="7AF7758E"/>
    <w:rsid w:val="7AFB9869"/>
    <w:rsid w:val="7AFFF52D"/>
    <w:rsid w:val="7B02F3C2"/>
    <w:rsid w:val="7B081EA2"/>
    <w:rsid w:val="7B0A1481"/>
    <w:rsid w:val="7B21ECBE"/>
    <w:rsid w:val="7B23D929"/>
    <w:rsid w:val="7B266F5A"/>
    <w:rsid w:val="7B29A4A5"/>
    <w:rsid w:val="7B2C1208"/>
    <w:rsid w:val="7B31C04C"/>
    <w:rsid w:val="7B33ECAC"/>
    <w:rsid w:val="7B3F562D"/>
    <w:rsid w:val="7B42FC16"/>
    <w:rsid w:val="7B45C01F"/>
    <w:rsid w:val="7B46039D"/>
    <w:rsid w:val="7B47CE5D"/>
    <w:rsid w:val="7B4AB074"/>
    <w:rsid w:val="7B5C42E2"/>
    <w:rsid w:val="7B5EE4A6"/>
    <w:rsid w:val="7B5FC7F4"/>
    <w:rsid w:val="7B64B667"/>
    <w:rsid w:val="7B6835D4"/>
    <w:rsid w:val="7B717F3A"/>
    <w:rsid w:val="7B7443AD"/>
    <w:rsid w:val="7B842DEA"/>
    <w:rsid w:val="7B88ACCF"/>
    <w:rsid w:val="7B890A2B"/>
    <w:rsid w:val="7B930D07"/>
    <w:rsid w:val="7BAA553C"/>
    <w:rsid w:val="7BAADF0E"/>
    <w:rsid w:val="7BAF5CF3"/>
    <w:rsid w:val="7BB7E843"/>
    <w:rsid w:val="7BBD7A12"/>
    <w:rsid w:val="7BCF1E58"/>
    <w:rsid w:val="7BE4B066"/>
    <w:rsid w:val="7BF156B2"/>
    <w:rsid w:val="7BF7A2CE"/>
    <w:rsid w:val="7BFBE568"/>
    <w:rsid w:val="7BFF8394"/>
    <w:rsid w:val="7C0864DC"/>
    <w:rsid w:val="7C0CED0C"/>
    <w:rsid w:val="7C0FDD45"/>
    <w:rsid w:val="7C1128E9"/>
    <w:rsid w:val="7C1E351B"/>
    <w:rsid w:val="7C20EDF9"/>
    <w:rsid w:val="7C26B4A9"/>
    <w:rsid w:val="7C3C4CC9"/>
    <w:rsid w:val="7C3F9EBA"/>
    <w:rsid w:val="7C40748F"/>
    <w:rsid w:val="7C45B4A6"/>
    <w:rsid w:val="7C468A06"/>
    <w:rsid w:val="7C52E1CC"/>
    <w:rsid w:val="7C53EA2D"/>
    <w:rsid w:val="7C57EF13"/>
    <w:rsid w:val="7C59397A"/>
    <w:rsid w:val="7C6B880F"/>
    <w:rsid w:val="7C846F14"/>
    <w:rsid w:val="7C9C4845"/>
    <w:rsid w:val="7C9FD64D"/>
    <w:rsid w:val="7CA0597E"/>
    <w:rsid w:val="7CAA3B3D"/>
    <w:rsid w:val="7CB07B5A"/>
    <w:rsid w:val="7CB216BF"/>
    <w:rsid w:val="7CB2A69D"/>
    <w:rsid w:val="7CB58694"/>
    <w:rsid w:val="7CB75B95"/>
    <w:rsid w:val="7CB98ADB"/>
    <w:rsid w:val="7CBD4608"/>
    <w:rsid w:val="7CC0C3F7"/>
    <w:rsid w:val="7CCC29F2"/>
    <w:rsid w:val="7CD54FBF"/>
    <w:rsid w:val="7CD77F7B"/>
    <w:rsid w:val="7CDA7661"/>
    <w:rsid w:val="7CDC2E90"/>
    <w:rsid w:val="7CDD979A"/>
    <w:rsid w:val="7CDEDE29"/>
    <w:rsid w:val="7CDF4020"/>
    <w:rsid w:val="7CE41C8B"/>
    <w:rsid w:val="7CE532DE"/>
    <w:rsid w:val="7CED2CFA"/>
    <w:rsid w:val="7D040B0D"/>
    <w:rsid w:val="7D0B73E3"/>
    <w:rsid w:val="7D14F39A"/>
    <w:rsid w:val="7D16E140"/>
    <w:rsid w:val="7D186D07"/>
    <w:rsid w:val="7D1B665E"/>
    <w:rsid w:val="7D1BE287"/>
    <w:rsid w:val="7D1BE4CC"/>
    <w:rsid w:val="7D1CC439"/>
    <w:rsid w:val="7D1ECB55"/>
    <w:rsid w:val="7D26AD32"/>
    <w:rsid w:val="7D2D0956"/>
    <w:rsid w:val="7D2F9087"/>
    <w:rsid w:val="7D33C13A"/>
    <w:rsid w:val="7D356347"/>
    <w:rsid w:val="7D356E4F"/>
    <w:rsid w:val="7D37CBA7"/>
    <w:rsid w:val="7D3C50BF"/>
    <w:rsid w:val="7D413FB8"/>
    <w:rsid w:val="7D446DD3"/>
    <w:rsid w:val="7D4569C3"/>
    <w:rsid w:val="7D4B7874"/>
    <w:rsid w:val="7D4DF820"/>
    <w:rsid w:val="7D4ECD3F"/>
    <w:rsid w:val="7D503757"/>
    <w:rsid w:val="7D6039AB"/>
    <w:rsid w:val="7D61E0BB"/>
    <w:rsid w:val="7D74C5E9"/>
    <w:rsid w:val="7D7ECA96"/>
    <w:rsid w:val="7D7FCCBA"/>
    <w:rsid w:val="7D94B656"/>
    <w:rsid w:val="7D9EF17B"/>
    <w:rsid w:val="7DA72A6D"/>
    <w:rsid w:val="7DA8073D"/>
    <w:rsid w:val="7DA94CCA"/>
    <w:rsid w:val="7DB69DD7"/>
    <w:rsid w:val="7DBB65D0"/>
    <w:rsid w:val="7DBDB444"/>
    <w:rsid w:val="7DBF5FAE"/>
    <w:rsid w:val="7DC5CED1"/>
    <w:rsid w:val="7DCA7C86"/>
    <w:rsid w:val="7DCFC4DE"/>
    <w:rsid w:val="7DDA6B4B"/>
    <w:rsid w:val="7DDA8BAB"/>
    <w:rsid w:val="7DE0FCE4"/>
    <w:rsid w:val="7DEAFD88"/>
    <w:rsid w:val="7DED276F"/>
    <w:rsid w:val="7DEE09C3"/>
    <w:rsid w:val="7DEFDCFA"/>
    <w:rsid w:val="7DF5923D"/>
    <w:rsid w:val="7DF5E152"/>
    <w:rsid w:val="7DFA80D5"/>
    <w:rsid w:val="7DFD5F6B"/>
    <w:rsid w:val="7E021F35"/>
    <w:rsid w:val="7E03DA89"/>
    <w:rsid w:val="7E0469FB"/>
    <w:rsid w:val="7E06613F"/>
    <w:rsid w:val="7E1441DF"/>
    <w:rsid w:val="7E14BBCD"/>
    <w:rsid w:val="7E14BC9F"/>
    <w:rsid w:val="7E15EAAA"/>
    <w:rsid w:val="7E1B293E"/>
    <w:rsid w:val="7E1CA47B"/>
    <w:rsid w:val="7E216BB0"/>
    <w:rsid w:val="7E23EF68"/>
    <w:rsid w:val="7E35ECA2"/>
    <w:rsid w:val="7E3EF082"/>
    <w:rsid w:val="7E3F1E73"/>
    <w:rsid w:val="7E46EEE9"/>
    <w:rsid w:val="7E4A1F2D"/>
    <w:rsid w:val="7E531E45"/>
    <w:rsid w:val="7E55EB80"/>
    <w:rsid w:val="7E5B9A86"/>
    <w:rsid w:val="7E5CDDE1"/>
    <w:rsid w:val="7E659246"/>
    <w:rsid w:val="7E71CB32"/>
    <w:rsid w:val="7E7E0E77"/>
    <w:rsid w:val="7E853398"/>
    <w:rsid w:val="7E8AA9D1"/>
    <w:rsid w:val="7E8EBCD1"/>
    <w:rsid w:val="7E945060"/>
    <w:rsid w:val="7E9772C5"/>
    <w:rsid w:val="7E979B9E"/>
    <w:rsid w:val="7EA0FAF1"/>
    <w:rsid w:val="7EA3C632"/>
    <w:rsid w:val="7EA54209"/>
    <w:rsid w:val="7EAE51B1"/>
    <w:rsid w:val="7EAFB3B3"/>
    <w:rsid w:val="7EB18405"/>
    <w:rsid w:val="7EB7BEB7"/>
    <w:rsid w:val="7ECF0F34"/>
    <w:rsid w:val="7ED01BB3"/>
    <w:rsid w:val="7ED0A7AB"/>
    <w:rsid w:val="7ED6C7D9"/>
    <w:rsid w:val="7EDA5113"/>
    <w:rsid w:val="7EDC8CD8"/>
    <w:rsid w:val="7EF4FA86"/>
    <w:rsid w:val="7EF6E49D"/>
    <w:rsid w:val="7EF95DB0"/>
    <w:rsid w:val="7EFAB16A"/>
    <w:rsid w:val="7EFBE250"/>
    <w:rsid w:val="7F01CC7C"/>
    <w:rsid w:val="7F0824D9"/>
    <w:rsid w:val="7F0AC916"/>
    <w:rsid w:val="7F1116B7"/>
    <w:rsid w:val="7F1D8023"/>
    <w:rsid w:val="7F1E0F2D"/>
    <w:rsid w:val="7F20D207"/>
    <w:rsid w:val="7F25A231"/>
    <w:rsid w:val="7F27245F"/>
    <w:rsid w:val="7F3106A7"/>
    <w:rsid w:val="7F3137E6"/>
    <w:rsid w:val="7F385F6E"/>
    <w:rsid w:val="7F390DE3"/>
    <w:rsid w:val="7F3E0B9A"/>
    <w:rsid w:val="7F45301C"/>
    <w:rsid w:val="7F4A51C6"/>
    <w:rsid w:val="7F5804D8"/>
    <w:rsid w:val="7F582F59"/>
    <w:rsid w:val="7F5A0EB4"/>
    <w:rsid w:val="7F5EC624"/>
    <w:rsid w:val="7F69CA53"/>
    <w:rsid w:val="7F6F17EA"/>
    <w:rsid w:val="7F7E2DFB"/>
    <w:rsid w:val="7F7FA9A2"/>
    <w:rsid w:val="7F88615B"/>
    <w:rsid w:val="7F8DEE47"/>
    <w:rsid w:val="7F9B05D1"/>
    <w:rsid w:val="7F9CB2E1"/>
    <w:rsid w:val="7FA220A8"/>
    <w:rsid w:val="7FAE6D8C"/>
    <w:rsid w:val="7FAFEE8F"/>
    <w:rsid w:val="7FB00166"/>
    <w:rsid w:val="7FB13A36"/>
    <w:rsid w:val="7FB17535"/>
    <w:rsid w:val="7FCD12C0"/>
    <w:rsid w:val="7FCF1DFA"/>
    <w:rsid w:val="7FD04C7A"/>
    <w:rsid w:val="7FD72BA1"/>
    <w:rsid w:val="7FDA5024"/>
    <w:rsid w:val="7FE59940"/>
    <w:rsid w:val="7FEA4F0F"/>
    <w:rsid w:val="7FF12CFF"/>
    <w:rsid w:val="7FF15A7C"/>
    <w:rsid w:val="7FFB7600"/>
    <w:rsid w:val="7FFC5C2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EE2BF2"/>
  <w15:docId w15:val="{A9C40948-5F2A-488A-BCB2-FC1A68CE8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4" w:unhideWhenUsed="1" w:qFormat="1"/>
    <w:lsdException w:name="heading 3" w:semiHidden="1" w:uiPriority="4" w:unhideWhenUsed="1" w:qFormat="1"/>
    <w:lsdException w:name="heading 4" w:semiHidden="1" w:uiPriority="4" w:unhideWhenUsed="1" w:qFormat="1"/>
    <w:lsdException w:name="heading 5" w:semiHidden="1" w:uiPriority="4"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iPriority="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49" w:unhideWhenUsed="1" w:qFormat="1"/>
    <w:lsdException w:name="annotation reference" w:semiHidden="1" w:uiPriority="99" w:unhideWhenUsed="1"/>
    <w:lsdException w:name="line number" w:semiHidden="1" w:unhideWhenUsed="1"/>
    <w:lsdException w:name="page number" w:semiHidden="1" w:uiPriority="1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99" w:unhideWhenUsed="1"/>
    <w:lsdException w:name="List Number 5" w:semiHidden="1" w:uiPriority="99"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16E1"/>
    <w:pPr>
      <w:spacing w:line="276" w:lineRule="auto"/>
    </w:pPr>
    <w:rPr>
      <w:rFonts w:asciiTheme="minorHAnsi" w:eastAsiaTheme="minorHAnsi" w:hAnsiTheme="minorHAnsi" w:cstheme="minorBidi"/>
      <w:sz w:val="22"/>
      <w:szCs w:val="22"/>
    </w:rPr>
  </w:style>
  <w:style w:type="paragraph" w:styleId="Heading1">
    <w:name w:val="heading 1"/>
    <w:aliases w:val="P.Heading 1"/>
    <w:basedOn w:val="Normal"/>
    <w:next w:val="Normal"/>
    <w:link w:val="Heading1Char"/>
    <w:qFormat/>
    <w:rsid w:val="003C16E1"/>
    <w:pPr>
      <w:tabs>
        <w:tab w:val="left" w:pos="360"/>
        <w:tab w:val="left" w:pos="720"/>
        <w:tab w:val="left" w:pos="1080"/>
        <w:tab w:val="left" w:pos="1440"/>
        <w:tab w:val="left" w:pos="1800"/>
        <w:tab w:val="left" w:pos="2160"/>
        <w:tab w:val="left" w:pos="2520"/>
        <w:tab w:val="left" w:pos="2880"/>
      </w:tabs>
      <w:ind w:right="3600"/>
      <w:outlineLvl w:val="0"/>
    </w:pPr>
    <w:rPr>
      <w:b/>
      <w:bCs/>
      <w:color w:val="2F5496" w:themeColor="accent5" w:themeShade="BF"/>
      <w:sz w:val="48"/>
      <w:szCs w:val="40"/>
    </w:rPr>
  </w:style>
  <w:style w:type="paragraph" w:styleId="Heading2">
    <w:name w:val="heading 2"/>
    <w:basedOn w:val="Normal"/>
    <w:next w:val="BodyTextposthead"/>
    <w:link w:val="Heading2Char"/>
    <w:uiPriority w:val="4"/>
    <w:unhideWhenUsed/>
    <w:qFormat/>
    <w:rsid w:val="003C16E1"/>
    <w:pPr>
      <w:keepNext/>
      <w:pageBreakBefore/>
      <w:pBdr>
        <w:bottom w:val="single" w:sz="12" w:space="1" w:color="ED7D31" w:themeColor="accent2"/>
      </w:pBdr>
      <w:spacing w:after="120"/>
      <w:outlineLvl w:val="1"/>
    </w:pPr>
    <w:rPr>
      <w:rFonts w:asciiTheme="majorHAnsi" w:hAnsiTheme="majorHAnsi"/>
      <w:color w:val="2F5496" w:themeColor="accent5" w:themeShade="BF"/>
      <w:sz w:val="32"/>
    </w:rPr>
  </w:style>
  <w:style w:type="paragraph" w:styleId="Heading3">
    <w:name w:val="heading 3"/>
    <w:basedOn w:val="BodyText"/>
    <w:next w:val="BodyTextposthead"/>
    <w:link w:val="Heading3Char"/>
    <w:uiPriority w:val="4"/>
    <w:unhideWhenUsed/>
    <w:qFormat/>
    <w:rsid w:val="003C16E1"/>
    <w:pPr>
      <w:keepNext/>
      <w:outlineLvl w:val="2"/>
    </w:pPr>
    <w:rPr>
      <w:rFonts w:asciiTheme="majorHAnsi" w:hAnsiTheme="majorHAnsi"/>
      <w:color w:val="2F5496" w:themeColor="accent5" w:themeShade="BF"/>
      <w:sz w:val="28"/>
    </w:rPr>
  </w:style>
  <w:style w:type="paragraph" w:styleId="Heading4">
    <w:name w:val="heading 4"/>
    <w:basedOn w:val="Heading3"/>
    <w:next w:val="BodyTextposthead"/>
    <w:link w:val="Heading4Char"/>
    <w:uiPriority w:val="4"/>
    <w:unhideWhenUsed/>
    <w:qFormat/>
    <w:rsid w:val="003C16E1"/>
    <w:pPr>
      <w:outlineLvl w:val="3"/>
    </w:pPr>
    <w:rPr>
      <w:rFonts w:cstheme="majorBidi"/>
      <w:i/>
      <w:iCs/>
      <w:color w:val="2E74B5" w:themeColor="accent1" w:themeShade="BF"/>
      <w:sz w:val="22"/>
    </w:rPr>
  </w:style>
  <w:style w:type="paragraph" w:styleId="Heading5">
    <w:name w:val="heading 5"/>
    <w:basedOn w:val="Heading4"/>
    <w:next w:val="BodyTextposthead"/>
    <w:link w:val="Heading5Char"/>
    <w:uiPriority w:val="4"/>
    <w:unhideWhenUsed/>
    <w:qFormat/>
    <w:rsid w:val="003C16E1"/>
    <w:pPr>
      <w:outlineLvl w:val="4"/>
    </w:pPr>
    <w:rPr>
      <w:rFonts w:eastAsia="Times New Roman" w:cs="Times New Roman"/>
      <w:bCs/>
      <w:i w:val="0"/>
      <w:iCs w:val="0"/>
      <w:color w:val="auto"/>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
    <w:name w:val="Section"/>
    <w:basedOn w:val="Normal"/>
    <w:next w:val="Normal"/>
    <w:link w:val="SectionChar"/>
    <w:qFormat/>
    <w:rsid w:val="003C16E1"/>
    <w:pPr>
      <w:keepNext/>
      <w:pageBreakBefore/>
      <w:pBdr>
        <w:bottom w:val="single" w:sz="4" w:space="1" w:color="auto"/>
      </w:pBdr>
    </w:pPr>
    <w:rPr>
      <w:sz w:val="36"/>
    </w:rPr>
  </w:style>
  <w:style w:type="character" w:customStyle="1" w:styleId="SectionChar">
    <w:name w:val="Section Char"/>
    <w:basedOn w:val="DefaultParagraphFont"/>
    <w:link w:val="Section"/>
    <w:rsid w:val="003C16E1"/>
    <w:rPr>
      <w:rFonts w:asciiTheme="minorHAnsi" w:eastAsiaTheme="minorHAnsi" w:hAnsiTheme="minorHAnsi" w:cstheme="minorBidi"/>
      <w:sz w:val="36"/>
      <w:szCs w:val="22"/>
    </w:rPr>
  </w:style>
  <w:style w:type="paragraph" w:customStyle="1" w:styleId="Subsection">
    <w:name w:val="Subsection"/>
    <w:basedOn w:val="Normal"/>
    <w:next w:val="Normal"/>
    <w:link w:val="SubsectionChar"/>
    <w:qFormat/>
    <w:rsid w:val="003C16E1"/>
    <w:pPr>
      <w:keepNext/>
      <w:spacing w:before="200"/>
    </w:pPr>
    <w:rPr>
      <w:b/>
      <w:sz w:val="28"/>
    </w:rPr>
  </w:style>
  <w:style w:type="character" w:customStyle="1" w:styleId="SubsectionChar">
    <w:name w:val="Subsection Char"/>
    <w:basedOn w:val="DefaultParagraphFont"/>
    <w:link w:val="Subsection"/>
    <w:rsid w:val="003C16E1"/>
    <w:rPr>
      <w:rFonts w:asciiTheme="minorHAnsi" w:eastAsiaTheme="minorHAnsi" w:hAnsiTheme="minorHAnsi" w:cstheme="minorBidi"/>
      <w:b/>
      <w:sz w:val="28"/>
      <w:szCs w:val="22"/>
    </w:rPr>
  </w:style>
  <w:style w:type="paragraph" w:customStyle="1" w:styleId="Standard">
    <w:name w:val="Standard"/>
    <w:basedOn w:val="Normal"/>
    <w:link w:val="StandardChar"/>
    <w:qFormat/>
    <w:rsid w:val="003C16E1"/>
    <w:pPr>
      <w:widowControl w:val="0"/>
      <w:spacing w:before="240"/>
      <w:contextualSpacing/>
    </w:pPr>
    <w:rPr>
      <w:rFonts w:eastAsia="Cambria" w:cstheme="minorHAnsi"/>
      <w:b/>
      <w:bCs/>
      <w:i/>
      <w:iCs/>
      <w:sz w:val="24"/>
      <w:szCs w:val="24"/>
    </w:rPr>
  </w:style>
  <w:style w:type="character" w:customStyle="1" w:styleId="StandardChar">
    <w:name w:val="Standard Char"/>
    <w:basedOn w:val="DefaultParagraphFont"/>
    <w:link w:val="Standard"/>
    <w:rsid w:val="003C16E1"/>
    <w:rPr>
      <w:rFonts w:asciiTheme="minorHAnsi" w:eastAsia="Cambria" w:hAnsiTheme="minorHAnsi" w:cstheme="minorHAnsi"/>
      <w:b/>
      <w:bCs/>
      <w:i/>
      <w:iCs/>
      <w:sz w:val="24"/>
      <w:szCs w:val="24"/>
    </w:rPr>
  </w:style>
  <w:style w:type="paragraph" w:styleId="TOC1">
    <w:name w:val="toc 1"/>
    <w:basedOn w:val="Normal"/>
    <w:next w:val="Normal"/>
    <w:autoRedefine/>
    <w:uiPriority w:val="39"/>
    <w:unhideWhenUsed/>
    <w:rsid w:val="003C16E1"/>
    <w:pPr>
      <w:tabs>
        <w:tab w:val="right" w:leader="dot" w:pos="9350"/>
      </w:tabs>
      <w:spacing w:after="100"/>
      <w:ind w:right="720"/>
    </w:pPr>
  </w:style>
  <w:style w:type="paragraph" w:customStyle="1" w:styleId="Subsection2">
    <w:name w:val="Subsection2"/>
    <w:basedOn w:val="Normal"/>
    <w:link w:val="Subsection2Char"/>
    <w:qFormat/>
    <w:rsid w:val="003C16E1"/>
    <w:rPr>
      <w:b/>
    </w:rPr>
  </w:style>
  <w:style w:type="character" w:customStyle="1" w:styleId="Subsection2Char">
    <w:name w:val="Subsection2 Char"/>
    <w:basedOn w:val="DefaultParagraphFont"/>
    <w:link w:val="Subsection2"/>
    <w:rsid w:val="003C16E1"/>
    <w:rPr>
      <w:rFonts w:asciiTheme="minorHAnsi" w:eastAsiaTheme="minorHAnsi" w:hAnsiTheme="minorHAnsi" w:cstheme="minorBidi"/>
      <w:b/>
      <w:sz w:val="22"/>
      <w:szCs w:val="22"/>
    </w:rPr>
  </w:style>
  <w:style w:type="character" w:customStyle="1" w:styleId="FooterChar">
    <w:name w:val="Footer Char"/>
    <w:basedOn w:val="DefaultParagraphFont"/>
    <w:link w:val="Footer"/>
    <w:uiPriority w:val="99"/>
    <w:rsid w:val="003C16E1"/>
    <w:rPr>
      <w:rFonts w:asciiTheme="minorHAnsi" w:eastAsiaTheme="minorHAnsi" w:hAnsiTheme="minorHAnsi" w:cstheme="minorBidi"/>
      <w:szCs w:val="22"/>
    </w:rPr>
  </w:style>
  <w:style w:type="paragraph" w:styleId="Footer">
    <w:name w:val="footer"/>
    <w:basedOn w:val="Normal"/>
    <w:link w:val="FooterChar"/>
    <w:uiPriority w:val="99"/>
    <w:unhideWhenUsed/>
    <w:qFormat/>
    <w:rsid w:val="003C16E1"/>
    <w:pPr>
      <w:pBdr>
        <w:top w:val="single" w:sz="12" w:space="3" w:color="ED7D31" w:themeColor="accent2"/>
      </w:pBdr>
      <w:tabs>
        <w:tab w:val="right" w:pos="12870"/>
      </w:tabs>
      <w:spacing w:line="240" w:lineRule="auto"/>
      <w:ind w:right="54"/>
    </w:pPr>
    <w:rPr>
      <w:sz w:val="20"/>
    </w:rPr>
  </w:style>
  <w:style w:type="character" w:customStyle="1" w:styleId="FooterChar1">
    <w:name w:val="Footer Char1"/>
    <w:basedOn w:val="DefaultParagraphFont"/>
    <w:rsid w:val="003C16E1"/>
    <w:rPr>
      <w:rFonts w:asciiTheme="minorHAnsi" w:eastAsiaTheme="minorHAnsi" w:hAnsiTheme="minorHAnsi" w:cstheme="minorBidi"/>
      <w:sz w:val="22"/>
      <w:szCs w:val="22"/>
    </w:rPr>
  </w:style>
  <w:style w:type="character" w:styleId="Hyperlink">
    <w:name w:val="Hyperlink"/>
    <w:basedOn w:val="DefaultParagraphFont"/>
    <w:uiPriority w:val="99"/>
    <w:unhideWhenUsed/>
    <w:qFormat/>
    <w:rsid w:val="003C16E1"/>
    <w:rPr>
      <w:color w:val="0563C1" w:themeColor="hyperlink"/>
      <w:u w:val="single"/>
    </w:rPr>
  </w:style>
  <w:style w:type="paragraph" w:styleId="BalloonText">
    <w:name w:val="Balloon Text"/>
    <w:basedOn w:val="Normal"/>
    <w:link w:val="BalloonTextChar"/>
    <w:uiPriority w:val="99"/>
    <w:unhideWhenUsed/>
    <w:rsid w:val="003C16E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3C16E1"/>
    <w:rPr>
      <w:rFonts w:ascii="Segoe UI" w:eastAsiaTheme="minorHAnsi" w:hAnsi="Segoe UI" w:cs="Segoe UI"/>
      <w:sz w:val="18"/>
      <w:szCs w:val="18"/>
    </w:rPr>
  </w:style>
  <w:style w:type="table" w:styleId="TableGrid">
    <w:name w:val="Table Grid"/>
    <w:basedOn w:val="TableNormal"/>
    <w:uiPriority w:val="39"/>
    <w:rsid w:val="003C16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Title"/>
    <w:basedOn w:val="Normal"/>
    <w:link w:val="TableTitleChar"/>
    <w:qFormat/>
    <w:rsid w:val="003C16E1"/>
    <w:pPr>
      <w:jc w:val="center"/>
    </w:pPr>
    <w:rPr>
      <w:b/>
      <w:sz w:val="20"/>
    </w:rPr>
  </w:style>
  <w:style w:type="character" w:customStyle="1" w:styleId="TableTitleChar">
    <w:name w:val="TableTitle Char"/>
    <w:basedOn w:val="DefaultParagraphFont"/>
    <w:link w:val="TableTitle"/>
    <w:rsid w:val="003C16E1"/>
    <w:rPr>
      <w:rFonts w:asciiTheme="minorHAnsi" w:eastAsiaTheme="minorHAnsi" w:hAnsiTheme="minorHAnsi" w:cstheme="minorBidi"/>
      <w:b/>
      <w:szCs w:val="22"/>
    </w:rPr>
  </w:style>
  <w:style w:type="table" w:customStyle="1" w:styleId="TableGrid1">
    <w:name w:val="Table Grid1"/>
    <w:basedOn w:val="TableNormal"/>
    <w:next w:val="TableGrid"/>
    <w:rsid w:val="003C16E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qFormat/>
    <w:rsid w:val="003C16E1"/>
    <w:pPr>
      <w:tabs>
        <w:tab w:val="center" w:pos="4680"/>
        <w:tab w:val="right" w:pos="9360"/>
      </w:tabs>
      <w:spacing w:line="240" w:lineRule="auto"/>
    </w:pPr>
  </w:style>
  <w:style w:type="character" w:customStyle="1" w:styleId="HeaderChar">
    <w:name w:val="Header Char"/>
    <w:basedOn w:val="DefaultParagraphFont"/>
    <w:link w:val="Header"/>
    <w:uiPriority w:val="99"/>
    <w:rsid w:val="003C16E1"/>
    <w:rPr>
      <w:rFonts w:asciiTheme="minorHAnsi" w:eastAsiaTheme="minorHAnsi" w:hAnsiTheme="minorHAnsi" w:cstheme="minorBidi"/>
      <w:sz w:val="22"/>
      <w:szCs w:val="22"/>
    </w:rPr>
  </w:style>
  <w:style w:type="paragraph" w:styleId="ListParagraph">
    <w:name w:val="List Paragraph"/>
    <w:basedOn w:val="Normal"/>
    <w:link w:val="ListParagraphChar"/>
    <w:uiPriority w:val="34"/>
    <w:qFormat/>
    <w:rsid w:val="003C16E1"/>
    <w:pPr>
      <w:ind w:left="720"/>
      <w:contextualSpacing/>
    </w:pPr>
  </w:style>
  <w:style w:type="character" w:styleId="CommentReference">
    <w:name w:val="annotation reference"/>
    <w:basedOn w:val="DefaultParagraphFont"/>
    <w:uiPriority w:val="99"/>
    <w:unhideWhenUsed/>
    <w:rsid w:val="003C16E1"/>
    <w:rPr>
      <w:sz w:val="16"/>
      <w:szCs w:val="16"/>
    </w:rPr>
  </w:style>
  <w:style w:type="paragraph" w:styleId="CommentText">
    <w:name w:val="annotation text"/>
    <w:basedOn w:val="Normal"/>
    <w:link w:val="CommentTextChar"/>
    <w:uiPriority w:val="99"/>
    <w:unhideWhenUsed/>
    <w:rsid w:val="003C16E1"/>
    <w:pPr>
      <w:spacing w:line="240" w:lineRule="auto"/>
    </w:pPr>
    <w:rPr>
      <w:sz w:val="20"/>
      <w:szCs w:val="20"/>
    </w:rPr>
  </w:style>
  <w:style w:type="character" w:customStyle="1" w:styleId="CommentTextChar">
    <w:name w:val="Comment Text Char"/>
    <w:basedOn w:val="DefaultParagraphFont"/>
    <w:link w:val="CommentText"/>
    <w:uiPriority w:val="99"/>
    <w:rsid w:val="003C16E1"/>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unhideWhenUsed/>
    <w:rsid w:val="003C16E1"/>
    <w:rPr>
      <w:b/>
      <w:bCs/>
    </w:rPr>
  </w:style>
  <w:style w:type="character" w:customStyle="1" w:styleId="CommentSubjectChar">
    <w:name w:val="Comment Subject Char"/>
    <w:basedOn w:val="CommentTextChar"/>
    <w:link w:val="CommentSubject"/>
    <w:uiPriority w:val="99"/>
    <w:rsid w:val="003C16E1"/>
    <w:rPr>
      <w:rFonts w:asciiTheme="minorHAnsi" w:eastAsiaTheme="minorHAnsi" w:hAnsiTheme="minorHAnsi" w:cstheme="minorBidi"/>
      <w:b/>
      <w:bCs/>
    </w:rPr>
  </w:style>
  <w:style w:type="table" w:customStyle="1" w:styleId="TableGrid2">
    <w:name w:val="Table Grid2"/>
    <w:basedOn w:val="TableNormal"/>
    <w:next w:val="TableGrid"/>
    <w:uiPriority w:val="59"/>
    <w:rsid w:val="003C16E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C16E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3C16E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unhideWhenUsed/>
    <w:rsid w:val="003C16E1"/>
    <w:rPr>
      <w:color w:val="954F72" w:themeColor="followedHyperlink"/>
      <w:u w:val="single"/>
    </w:rPr>
  </w:style>
  <w:style w:type="character" w:customStyle="1" w:styleId="ListParagraphChar">
    <w:name w:val="List Paragraph Char"/>
    <w:link w:val="ListParagraph"/>
    <w:uiPriority w:val="34"/>
    <w:locked/>
    <w:rsid w:val="003C16E1"/>
    <w:rPr>
      <w:rFonts w:asciiTheme="minorHAnsi" w:eastAsiaTheme="minorHAnsi" w:hAnsiTheme="minorHAnsi" w:cstheme="minorBidi"/>
      <w:sz w:val="22"/>
      <w:szCs w:val="22"/>
    </w:rPr>
  </w:style>
  <w:style w:type="paragraph" w:styleId="FootnoteText">
    <w:name w:val="footnote text"/>
    <w:aliases w:val="F1,*Footnote Text,bv"/>
    <w:link w:val="FootnoteTextChar"/>
    <w:uiPriority w:val="99"/>
    <w:qFormat/>
    <w:rsid w:val="003C16E1"/>
    <w:pPr>
      <w:spacing w:line="276" w:lineRule="auto"/>
    </w:pPr>
    <w:rPr>
      <w:rFonts w:asciiTheme="minorHAnsi" w:eastAsiaTheme="minorEastAsia" w:hAnsiTheme="minorHAnsi" w:cstheme="minorBidi"/>
      <w:sz w:val="18"/>
      <w:szCs w:val="22"/>
    </w:rPr>
  </w:style>
  <w:style w:type="character" w:customStyle="1" w:styleId="FootnoteTextChar">
    <w:name w:val="Footnote Text Char"/>
    <w:aliases w:val="F1 Char,*Footnote Text Char,bv Char"/>
    <w:basedOn w:val="DefaultParagraphFont"/>
    <w:link w:val="FootnoteText"/>
    <w:uiPriority w:val="99"/>
    <w:rsid w:val="003C16E1"/>
    <w:rPr>
      <w:rFonts w:asciiTheme="minorHAnsi" w:eastAsiaTheme="minorEastAsia" w:hAnsiTheme="minorHAnsi" w:cstheme="minorBidi"/>
      <w:sz w:val="18"/>
      <w:szCs w:val="22"/>
    </w:rPr>
  </w:style>
  <w:style w:type="character" w:styleId="FootnoteReference">
    <w:name w:val="footnote reference"/>
    <w:uiPriority w:val="49"/>
    <w:qFormat/>
    <w:rsid w:val="003C16E1"/>
    <w:rPr>
      <w:rFonts w:ascii="Franklin Gothic Book" w:hAnsi="Franklin Gothic Book" w:cstheme="minorHAnsi"/>
      <w:sz w:val="20"/>
      <w:szCs w:val="20"/>
      <w:vertAlign w:val="superscript"/>
    </w:rPr>
  </w:style>
  <w:style w:type="character" w:customStyle="1" w:styleId="yiv6513263065">
    <w:name w:val="yiv6513263065"/>
    <w:basedOn w:val="DefaultParagraphFont"/>
    <w:rsid w:val="003C16E1"/>
  </w:style>
  <w:style w:type="character" w:styleId="Emphasis">
    <w:name w:val="Emphasis"/>
    <w:basedOn w:val="DefaultParagraphFont"/>
    <w:uiPriority w:val="20"/>
    <w:qFormat/>
    <w:rsid w:val="003C16E1"/>
    <w:rPr>
      <w:i/>
      <w:iCs/>
    </w:rPr>
  </w:style>
  <w:style w:type="paragraph" w:styleId="BodyTextIndent">
    <w:name w:val="Body Text Indent"/>
    <w:basedOn w:val="Normal"/>
    <w:link w:val="BodyTextIndentChar"/>
    <w:rsid w:val="003C16E1"/>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3C16E1"/>
    <w:rPr>
      <w:sz w:val="24"/>
      <w:szCs w:val="24"/>
    </w:rPr>
  </w:style>
  <w:style w:type="paragraph" w:styleId="Revision">
    <w:name w:val="Revision"/>
    <w:hidden/>
    <w:uiPriority w:val="99"/>
    <w:semiHidden/>
    <w:rsid w:val="00B6382C"/>
    <w:rPr>
      <w:sz w:val="24"/>
      <w:szCs w:val="24"/>
    </w:rPr>
  </w:style>
  <w:style w:type="character" w:styleId="UnresolvedMention">
    <w:name w:val="Unresolved Mention"/>
    <w:basedOn w:val="DefaultParagraphFont"/>
    <w:uiPriority w:val="99"/>
    <w:unhideWhenUsed/>
    <w:rsid w:val="003C16E1"/>
    <w:rPr>
      <w:color w:val="605E5C"/>
      <w:shd w:val="clear" w:color="auto" w:fill="E1DFDD"/>
    </w:rPr>
  </w:style>
  <w:style w:type="paragraph" w:customStyle="1" w:styleId="paragraph">
    <w:name w:val="paragraph"/>
    <w:basedOn w:val="Normal"/>
    <w:rsid w:val="003C16E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DefaultParagraphFont"/>
    <w:rsid w:val="003C16E1"/>
  </w:style>
  <w:style w:type="character" w:customStyle="1" w:styleId="normaltextrun">
    <w:name w:val="normaltextrun"/>
    <w:basedOn w:val="DefaultParagraphFont"/>
    <w:rsid w:val="003C16E1"/>
  </w:style>
  <w:style w:type="character" w:customStyle="1" w:styleId="eop">
    <w:name w:val="eop"/>
    <w:basedOn w:val="DefaultParagraphFont"/>
    <w:rsid w:val="003C16E1"/>
  </w:style>
  <w:style w:type="character" w:styleId="Strong">
    <w:name w:val="Strong"/>
    <w:basedOn w:val="DefaultParagraphFont"/>
    <w:uiPriority w:val="22"/>
    <w:qFormat/>
    <w:rsid w:val="003C16E1"/>
    <w:rPr>
      <w:b/>
      <w:bCs/>
    </w:rPr>
  </w:style>
  <w:style w:type="character" w:customStyle="1" w:styleId="apple-converted-space">
    <w:name w:val="apple-converted-space"/>
    <w:basedOn w:val="DefaultParagraphFont"/>
    <w:rsid w:val="003C16E1"/>
  </w:style>
  <w:style w:type="table" w:customStyle="1" w:styleId="TableGrid11">
    <w:name w:val="Table Grid11"/>
    <w:basedOn w:val="TableNormal"/>
    <w:next w:val="TableGrid"/>
    <w:uiPriority w:val="59"/>
    <w:rsid w:val="003C16E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3C16E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3C16E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3C16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3C16E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3C16E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3C16E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3C16E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19"/>
    <w:rsid w:val="003C16E1"/>
  </w:style>
  <w:style w:type="table" w:customStyle="1" w:styleId="TableGrid17">
    <w:name w:val="Table Grid17"/>
    <w:basedOn w:val="TableNormal"/>
    <w:uiPriority w:val="59"/>
    <w:rsid w:val="003C16E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sid w:val="003C16E1"/>
    <w:rPr>
      <w:color w:val="0000FF"/>
      <w:u w:val="single"/>
    </w:rPr>
  </w:style>
  <w:style w:type="character" w:customStyle="1" w:styleId="FollowedHyperlink1">
    <w:name w:val="FollowedHyperlink1"/>
    <w:basedOn w:val="DefaultParagraphFont"/>
    <w:uiPriority w:val="99"/>
    <w:semiHidden/>
    <w:unhideWhenUsed/>
    <w:rsid w:val="003C16E1"/>
    <w:rPr>
      <w:color w:val="800080"/>
      <w:u w:val="single"/>
    </w:rPr>
  </w:style>
  <w:style w:type="paragraph" w:styleId="NoSpacing">
    <w:name w:val="No Spacing"/>
    <w:uiPriority w:val="1"/>
    <w:qFormat/>
    <w:rsid w:val="003C16E1"/>
    <w:rPr>
      <w:rFonts w:asciiTheme="minorHAnsi" w:eastAsiaTheme="minorEastAsia" w:hAnsiTheme="minorHAnsi" w:cstheme="minorBidi"/>
    </w:rPr>
  </w:style>
  <w:style w:type="paragraph" w:styleId="NormalWeb">
    <w:name w:val="Normal (Web)"/>
    <w:basedOn w:val="Normal"/>
    <w:uiPriority w:val="99"/>
    <w:unhideWhenUsed/>
    <w:rsid w:val="003C16E1"/>
    <w:pPr>
      <w:spacing w:line="240" w:lineRule="auto"/>
    </w:pPr>
    <w:rPr>
      <w:rFonts w:ascii="Calibri" w:hAnsi="Calibri" w:cs="Calibri"/>
    </w:rPr>
  </w:style>
  <w:style w:type="paragraph" w:customStyle="1" w:styleId="xmsonormal">
    <w:name w:val="x_msonormal"/>
    <w:basedOn w:val="Normal"/>
    <w:rsid w:val="003C16E1"/>
    <w:pPr>
      <w:spacing w:line="240" w:lineRule="auto"/>
    </w:pPr>
    <w:rPr>
      <w:rFonts w:ascii="Calibri" w:hAnsi="Calibri" w:cs="Calibri"/>
    </w:rPr>
  </w:style>
  <w:style w:type="character" w:customStyle="1" w:styleId="pagebreaktextspan">
    <w:name w:val="pagebreaktextspan"/>
    <w:basedOn w:val="DefaultParagraphFont"/>
    <w:rsid w:val="003C16E1"/>
  </w:style>
  <w:style w:type="paragraph" w:styleId="BodyText">
    <w:name w:val="Body Text"/>
    <w:link w:val="BodyTextChar"/>
    <w:uiPriority w:val="99"/>
    <w:unhideWhenUsed/>
    <w:qFormat/>
    <w:rsid w:val="003C16E1"/>
    <w:pPr>
      <w:spacing w:before="240"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rsid w:val="003C16E1"/>
    <w:rPr>
      <w:rFonts w:asciiTheme="minorHAnsi" w:eastAsiaTheme="minorHAnsi" w:hAnsiTheme="minorHAnsi" w:cstheme="minorBidi"/>
      <w:sz w:val="22"/>
      <w:szCs w:val="22"/>
    </w:rPr>
  </w:style>
  <w:style w:type="paragraph" w:customStyle="1" w:styleId="TableText">
    <w:name w:val="Table Text"/>
    <w:link w:val="TableTextChar"/>
    <w:uiPriority w:val="6"/>
    <w:qFormat/>
    <w:rsid w:val="003C16E1"/>
    <w:pPr>
      <w:spacing w:before="40" w:after="40"/>
    </w:pPr>
    <w:rPr>
      <w:rFonts w:asciiTheme="minorHAnsi" w:hAnsiTheme="minorHAnsi"/>
    </w:rPr>
  </w:style>
  <w:style w:type="paragraph" w:customStyle="1" w:styleId="TableColHeadingCenter">
    <w:name w:val="Table Col Heading Center"/>
    <w:uiPriority w:val="9"/>
    <w:qFormat/>
    <w:rsid w:val="003C16E1"/>
    <w:pPr>
      <w:spacing w:before="40" w:after="40" w:line="276" w:lineRule="auto"/>
      <w:jc w:val="center"/>
    </w:pPr>
    <w:rPr>
      <w:rFonts w:ascii="Franklin Gothic Demi" w:eastAsiaTheme="minorEastAsia" w:hAnsi="Franklin Gothic Demi"/>
      <w:color w:val="FFFFFF" w:themeColor="background1"/>
    </w:rPr>
  </w:style>
  <w:style w:type="character" w:customStyle="1" w:styleId="TableTextChar">
    <w:name w:val="Table Text Char"/>
    <w:basedOn w:val="DefaultParagraphFont"/>
    <w:link w:val="TableText"/>
    <w:uiPriority w:val="6"/>
    <w:rsid w:val="003C16E1"/>
    <w:rPr>
      <w:rFonts w:asciiTheme="minorHAnsi" w:hAnsiTheme="minorHAnsi"/>
    </w:rPr>
  </w:style>
  <w:style w:type="paragraph" w:customStyle="1" w:styleId="TableTitle0">
    <w:name w:val="Table Title"/>
    <w:basedOn w:val="BodyText"/>
    <w:uiPriority w:val="5"/>
    <w:qFormat/>
    <w:rsid w:val="003C16E1"/>
    <w:pPr>
      <w:keepNext/>
      <w:spacing w:after="60"/>
    </w:pPr>
    <w:rPr>
      <w:rFonts w:ascii="Franklin Gothic Demi" w:hAnsi="Franklin Gothic Demi"/>
    </w:rPr>
  </w:style>
  <w:style w:type="paragraph" w:customStyle="1" w:styleId="TableTextCentered">
    <w:name w:val="Table Text Centered"/>
    <w:basedOn w:val="TableText"/>
    <w:link w:val="TableTextCenteredChar"/>
    <w:uiPriority w:val="9"/>
    <w:qFormat/>
    <w:rsid w:val="003C16E1"/>
    <w:pPr>
      <w:jc w:val="center"/>
    </w:pPr>
    <w:rPr>
      <w:rFonts w:eastAsiaTheme="minorEastAsia" w:cstheme="minorHAnsi"/>
    </w:rPr>
  </w:style>
  <w:style w:type="paragraph" w:customStyle="1" w:styleId="TableColHeadingLeft">
    <w:name w:val="Table Col Heading Left"/>
    <w:basedOn w:val="TableText"/>
    <w:uiPriority w:val="9"/>
    <w:qFormat/>
    <w:rsid w:val="003C16E1"/>
    <w:rPr>
      <w:rFonts w:ascii="Franklin Gothic Demi" w:eastAsiaTheme="minorEastAsia" w:hAnsi="Franklin Gothic Demi" w:cstheme="minorHAnsi"/>
      <w:bCs/>
      <w:color w:val="FFFFFF" w:themeColor="background1"/>
    </w:rPr>
  </w:style>
  <w:style w:type="paragraph" w:customStyle="1" w:styleId="TableNote">
    <w:name w:val="Table Note"/>
    <w:basedOn w:val="BodyText"/>
    <w:uiPriority w:val="8"/>
    <w:qFormat/>
    <w:rsid w:val="003C16E1"/>
    <w:pPr>
      <w:spacing w:before="120" w:after="0"/>
    </w:pPr>
    <w:rPr>
      <w:rFonts w:eastAsia="Times New Roman" w:cs="Times New Roman"/>
      <w:sz w:val="20"/>
      <w:szCs w:val="24"/>
    </w:rPr>
  </w:style>
  <w:style w:type="paragraph" w:customStyle="1" w:styleId="TableSubheading">
    <w:name w:val="Table Subheading"/>
    <w:basedOn w:val="TableText"/>
    <w:link w:val="TableSubheadingChar"/>
    <w:uiPriority w:val="6"/>
    <w:qFormat/>
    <w:rsid w:val="003C16E1"/>
    <w:rPr>
      <w:rFonts w:ascii="Franklin Gothic Demi" w:eastAsia="MS Mincho" w:hAnsi="Franklin Gothic Demi" w:cs="Calibri"/>
      <w:szCs w:val="24"/>
    </w:rPr>
  </w:style>
  <w:style w:type="table" w:customStyle="1" w:styleId="MSVTable1">
    <w:name w:val="MSV Table 1"/>
    <w:basedOn w:val="TableNormal"/>
    <w:uiPriority w:val="99"/>
    <w:rsid w:val="003C16E1"/>
    <w:pPr>
      <w:spacing w:before="40" w:after="40" w:line="259" w:lineRule="auto"/>
    </w:pPr>
    <w:rPr>
      <w:rFonts w:asciiTheme="minorHAnsi" w:eastAsiaTheme="minorHAnsi" w:hAnsiTheme="minorHAnsi" w:cstheme="minorBidi"/>
      <w:szCs w:val="22"/>
    </w:rPr>
    <w:tblPr>
      <w:tblStyleRowBandSize w:val="1"/>
      <w:tblBorders>
        <w:top w:val="single" w:sz="6"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insideH w:val="single" w:sz="6" w:space="0" w:color="2F5496" w:themeColor="accent5" w:themeShade="BF"/>
        <w:insideV w:val="single" w:sz="6" w:space="0" w:color="2F5496" w:themeColor="accent5" w:themeShade="BF"/>
      </w:tblBorders>
      <w:tblCellMar>
        <w:left w:w="58" w:type="dxa"/>
        <w:right w:w="58" w:type="dxa"/>
      </w:tblCellMar>
    </w:tblPr>
    <w:tblStylePr w:type="firstRow">
      <w:rPr>
        <w:color w:val="FFFFFF" w:themeColor="background1"/>
      </w:rPr>
      <w:tblPr/>
      <w:tcPr>
        <w:tcBorders>
          <w:insideH w:val="single" w:sz="4" w:space="0" w:color="FFFFFF" w:themeColor="background1"/>
          <w:insideV w:val="single" w:sz="4" w:space="0" w:color="FFFFFF" w:themeColor="background1"/>
        </w:tcBorders>
        <w:shd w:val="clear" w:color="auto" w:fill="2F5496" w:themeFill="accent5" w:themeFillShade="BF"/>
      </w:tcPr>
    </w:tblStylePr>
    <w:tblStylePr w:type="band1Horz">
      <w:tblPr/>
      <w:tcPr>
        <w:shd w:val="clear" w:color="auto" w:fill="D9E2F3" w:themeFill="accent5" w:themeFillTint="33"/>
      </w:tcPr>
    </w:tblStylePr>
  </w:style>
  <w:style w:type="paragraph" w:customStyle="1" w:styleId="TableTextCenteredDemi">
    <w:name w:val="Table Text Centered Demi"/>
    <w:basedOn w:val="TableTextCentered"/>
    <w:link w:val="TableTextCenteredDemiChar"/>
    <w:qFormat/>
    <w:rsid w:val="003C16E1"/>
    <w:rPr>
      <w:rFonts w:ascii="Franklin Gothic Demi" w:hAnsi="Franklin Gothic Demi"/>
    </w:rPr>
  </w:style>
  <w:style w:type="character" w:customStyle="1" w:styleId="TableTextCenteredChar">
    <w:name w:val="Table Text Centered Char"/>
    <w:basedOn w:val="DefaultParagraphFont"/>
    <w:link w:val="TableTextCentered"/>
    <w:uiPriority w:val="9"/>
    <w:rsid w:val="003C16E1"/>
    <w:rPr>
      <w:rFonts w:asciiTheme="minorHAnsi" w:eastAsiaTheme="minorEastAsia" w:hAnsiTheme="minorHAnsi" w:cstheme="minorHAnsi"/>
    </w:rPr>
  </w:style>
  <w:style w:type="character" w:customStyle="1" w:styleId="TableTextCenteredDemiChar">
    <w:name w:val="Table Text Centered Demi Char"/>
    <w:basedOn w:val="TableTextCenteredChar"/>
    <w:link w:val="TableTextCenteredDemi"/>
    <w:rsid w:val="003C16E1"/>
    <w:rPr>
      <w:rFonts w:ascii="Franklin Gothic Demi" w:eastAsiaTheme="minorEastAsia" w:hAnsi="Franklin Gothic Demi" w:cstheme="minorHAnsi"/>
    </w:rPr>
  </w:style>
  <w:style w:type="character" w:customStyle="1" w:styleId="TableSubheadingChar">
    <w:name w:val="Table Subheading Char"/>
    <w:basedOn w:val="TableTextChar"/>
    <w:link w:val="TableSubheading"/>
    <w:uiPriority w:val="6"/>
    <w:rsid w:val="003C16E1"/>
    <w:rPr>
      <w:rFonts w:ascii="Franklin Gothic Demi" w:eastAsia="MS Mincho" w:hAnsi="Franklin Gothic Demi" w:cs="Calibri"/>
      <w:szCs w:val="24"/>
    </w:rPr>
  </w:style>
  <w:style w:type="character" w:styleId="Mention">
    <w:name w:val="Mention"/>
    <w:basedOn w:val="DefaultParagraphFont"/>
    <w:uiPriority w:val="99"/>
    <w:unhideWhenUsed/>
    <w:rsid w:val="003C16E1"/>
    <w:rPr>
      <w:color w:val="2B579A"/>
      <w:shd w:val="clear" w:color="auto" w:fill="E6E6E6"/>
    </w:rPr>
  </w:style>
  <w:style w:type="character" w:customStyle="1" w:styleId="Heading2Char">
    <w:name w:val="Heading 2 Char"/>
    <w:basedOn w:val="DefaultParagraphFont"/>
    <w:link w:val="Heading2"/>
    <w:uiPriority w:val="4"/>
    <w:rsid w:val="003C16E1"/>
    <w:rPr>
      <w:rFonts w:asciiTheme="majorHAnsi" w:eastAsiaTheme="minorHAnsi" w:hAnsiTheme="majorHAnsi" w:cstheme="minorBidi"/>
      <w:color w:val="2F5496" w:themeColor="accent5" w:themeShade="BF"/>
      <w:sz w:val="32"/>
      <w:szCs w:val="22"/>
    </w:rPr>
  </w:style>
  <w:style w:type="paragraph" w:customStyle="1" w:styleId="Heading2-SIOR">
    <w:name w:val="Heading 2 - SIOR"/>
    <w:basedOn w:val="Heading2"/>
    <w:qFormat/>
    <w:rsid w:val="003C16E1"/>
  </w:style>
  <w:style w:type="character" w:customStyle="1" w:styleId="superscript">
    <w:name w:val="superscript"/>
    <w:basedOn w:val="DefaultParagraphFont"/>
    <w:rsid w:val="003C16E1"/>
  </w:style>
  <w:style w:type="paragraph" w:customStyle="1" w:styleId="Default">
    <w:name w:val="Default"/>
    <w:rsid w:val="003C16E1"/>
    <w:pPr>
      <w:autoSpaceDE w:val="0"/>
      <w:autoSpaceDN w:val="0"/>
      <w:adjustRightInd w:val="0"/>
    </w:pPr>
    <w:rPr>
      <w:rFonts w:ascii="Calibri" w:hAnsi="Calibri" w:cs="Calibri"/>
      <w:color w:val="000000"/>
      <w:sz w:val="24"/>
      <w:szCs w:val="24"/>
    </w:rPr>
  </w:style>
  <w:style w:type="character" w:customStyle="1" w:styleId="Heading1Char">
    <w:name w:val="Heading 1 Char"/>
    <w:aliases w:val="P.Heading 1 Char"/>
    <w:basedOn w:val="DefaultParagraphFont"/>
    <w:link w:val="Heading1"/>
    <w:rsid w:val="003C16E1"/>
    <w:rPr>
      <w:rFonts w:asciiTheme="minorHAnsi" w:eastAsiaTheme="minorHAnsi" w:hAnsiTheme="minorHAnsi" w:cstheme="minorBidi"/>
      <w:b/>
      <w:bCs/>
      <w:color w:val="2F5496" w:themeColor="accent5" w:themeShade="BF"/>
      <w:sz w:val="48"/>
      <w:szCs w:val="40"/>
    </w:rPr>
  </w:style>
  <w:style w:type="paragraph" w:styleId="TOCHeading">
    <w:name w:val="TOC Heading"/>
    <w:basedOn w:val="Heading2"/>
    <w:next w:val="BodyTextposthead"/>
    <w:uiPriority w:val="39"/>
    <w:unhideWhenUsed/>
    <w:qFormat/>
    <w:rsid w:val="003C16E1"/>
    <w:pPr>
      <w:pBdr>
        <w:bottom w:val="none" w:sz="0" w:space="0" w:color="auto"/>
      </w:pBdr>
      <w:spacing w:after="240"/>
      <w:outlineLvl w:val="9"/>
    </w:pPr>
  </w:style>
  <w:style w:type="character" w:customStyle="1" w:styleId="Heading3Char">
    <w:name w:val="Heading 3 Char"/>
    <w:basedOn w:val="DefaultParagraphFont"/>
    <w:link w:val="Heading3"/>
    <w:uiPriority w:val="4"/>
    <w:rsid w:val="003C16E1"/>
    <w:rPr>
      <w:rFonts w:asciiTheme="majorHAnsi" w:eastAsiaTheme="minorHAnsi" w:hAnsiTheme="majorHAnsi" w:cstheme="minorBidi"/>
      <w:color w:val="2F5496" w:themeColor="accent5" w:themeShade="BF"/>
      <w:sz w:val="28"/>
      <w:szCs w:val="22"/>
    </w:rPr>
  </w:style>
  <w:style w:type="character" w:customStyle="1" w:styleId="Heading4Char">
    <w:name w:val="Heading 4 Char"/>
    <w:basedOn w:val="DefaultParagraphFont"/>
    <w:link w:val="Heading4"/>
    <w:uiPriority w:val="4"/>
    <w:rsid w:val="003C16E1"/>
    <w:rPr>
      <w:rFonts w:asciiTheme="majorHAnsi" w:eastAsiaTheme="minorHAnsi" w:hAnsiTheme="majorHAnsi" w:cstheme="majorBidi"/>
      <w:i/>
      <w:iCs/>
      <w:color w:val="2E74B5" w:themeColor="accent1" w:themeShade="BF"/>
      <w:sz w:val="22"/>
      <w:szCs w:val="22"/>
    </w:rPr>
  </w:style>
  <w:style w:type="character" w:customStyle="1" w:styleId="Heading5Char">
    <w:name w:val="Heading 5 Char"/>
    <w:basedOn w:val="DefaultParagraphFont"/>
    <w:link w:val="Heading5"/>
    <w:uiPriority w:val="4"/>
    <w:rsid w:val="003C16E1"/>
    <w:rPr>
      <w:rFonts w:asciiTheme="majorHAnsi" w:hAnsiTheme="majorHAnsi"/>
      <w:bCs/>
      <w:sz w:val="22"/>
      <w:szCs w:val="26"/>
    </w:rPr>
  </w:style>
  <w:style w:type="paragraph" w:customStyle="1" w:styleId="Heading2NoTOC">
    <w:name w:val="Heading 2 No TOC"/>
    <w:basedOn w:val="Heading2"/>
    <w:next w:val="BodyTextposthead"/>
    <w:qFormat/>
    <w:rsid w:val="003C16E1"/>
    <w:pPr>
      <w:outlineLvl w:val="9"/>
    </w:pPr>
  </w:style>
  <w:style w:type="numbering" w:customStyle="1" w:styleId="MSVBulletList">
    <w:name w:val="MSV Bullet List"/>
    <w:uiPriority w:val="99"/>
    <w:rsid w:val="003C16E1"/>
    <w:pPr>
      <w:numPr>
        <w:numId w:val="5"/>
      </w:numPr>
    </w:pPr>
  </w:style>
  <w:style w:type="paragraph" w:customStyle="1" w:styleId="Bullet1">
    <w:name w:val="Bullet 1"/>
    <w:basedOn w:val="BodyText"/>
    <w:qFormat/>
    <w:rsid w:val="003C16E1"/>
    <w:pPr>
      <w:numPr>
        <w:numId w:val="5"/>
      </w:numPr>
      <w:spacing w:before="60" w:after="60"/>
    </w:pPr>
  </w:style>
  <w:style w:type="paragraph" w:customStyle="1" w:styleId="BodyText-Rating">
    <w:name w:val="Body Text-Rating"/>
    <w:qFormat/>
    <w:rsid w:val="003C16E1"/>
    <w:pPr>
      <w:spacing w:before="60" w:after="60"/>
      <w:jc w:val="center"/>
    </w:pPr>
    <w:rPr>
      <w:rFonts w:asciiTheme="minorHAnsi" w:eastAsiaTheme="minorHAnsi" w:hAnsiTheme="minorHAnsi" w:cstheme="minorBidi"/>
      <w:sz w:val="22"/>
      <w:szCs w:val="22"/>
    </w:rPr>
  </w:style>
  <w:style w:type="character" w:customStyle="1" w:styleId="FranklinGothicDemi">
    <w:name w:val="Franklin Gothic Demi"/>
    <w:basedOn w:val="DefaultParagraphFont"/>
    <w:uiPriority w:val="1"/>
    <w:qFormat/>
    <w:rsid w:val="003C16E1"/>
    <w:rPr>
      <w:rFonts w:ascii="Franklin Gothic Demi" w:hAnsi="Franklin Gothic Demi"/>
    </w:rPr>
  </w:style>
  <w:style w:type="paragraph" w:customStyle="1" w:styleId="CoverSubtitle">
    <w:name w:val="Cover Subtitle"/>
    <w:link w:val="CoverSubtitleChar"/>
    <w:qFormat/>
    <w:rsid w:val="003C16E1"/>
    <w:pPr>
      <w:spacing w:line="264" w:lineRule="auto"/>
      <w:ind w:left="720"/>
    </w:pPr>
    <w:rPr>
      <w:rFonts w:asciiTheme="majorHAnsi" w:eastAsiaTheme="minorHAnsi" w:hAnsiTheme="majorHAnsi" w:cstheme="minorBidi"/>
      <w:i/>
      <w:color w:val="2F5496" w:themeColor="accent5" w:themeShade="BF"/>
      <w:sz w:val="40"/>
      <w:szCs w:val="40"/>
    </w:rPr>
  </w:style>
  <w:style w:type="paragraph" w:customStyle="1" w:styleId="CoverSubtitle2">
    <w:name w:val="Cover Subtitle 2"/>
    <w:qFormat/>
    <w:rsid w:val="003C16E1"/>
    <w:pPr>
      <w:spacing w:before="480" w:after="160" w:line="259" w:lineRule="auto"/>
    </w:pPr>
    <w:rPr>
      <w:rFonts w:ascii="Franklin Gothic Medium" w:eastAsiaTheme="minorHAnsi" w:hAnsi="Franklin Gothic Medium" w:cstheme="minorBidi"/>
      <w:color w:val="FFFFFF" w:themeColor="background1"/>
      <w:sz w:val="36"/>
      <w:szCs w:val="40"/>
    </w:rPr>
  </w:style>
  <w:style w:type="paragraph" w:customStyle="1" w:styleId="CoverDate">
    <w:name w:val="Cover Date"/>
    <w:basedOn w:val="CoverSubtitle"/>
    <w:qFormat/>
    <w:rsid w:val="003C16E1"/>
    <w:pPr>
      <w:spacing w:before="960"/>
      <w:ind w:left="4032"/>
    </w:pPr>
    <w:rPr>
      <w:i w:val="0"/>
      <w:color w:val="000000" w:themeColor="text1"/>
      <w:sz w:val="32"/>
    </w:rPr>
  </w:style>
  <w:style w:type="paragraph" w:customStyle="1" w:styleId="CoverReportNumber">
    <w:name w:val="Cover Report Number"/>
    <w:link w:val="CoverReportNumberChar"/>
    <w:qFormat/>
    <w:rsid w:val="003C16E1"/>
    <w:pPr>
      <w:spacing w:before="120" w:line="259" w:lineRule="auto"/>
      <w:ind w:left="720"/>
    </w:pPr>
    <w:rPr>
      <w:rFonts w:asciiTheme="majorHAnsi" w:eastAsiaTheme="minorHAnsi" w:hAnsiTheme="majorHAnsi" w:cstheme="minorBidi"/>
      <w:color w:val="000000" w:themeColor="text1"/>
      <w:szCs w:val="22"/>
    </w:rPr>
  </w:style>
  <w:style w:type="character" w:customStyle="1" w:styleId="CoverReportNumberChar">
    <w:name w:val="Cover Report Number Char"/>
    <w:basedOn w:val="DefaultParagraphFont"/>
    <w:link w:val="CoverReportNumber"/>
    <w:rsid w:val="003C16E1"/>
    <w:rPr>
      <w:rFonts w:asciiTheme="majorHAnsi" w:eastAsiaTheme="minorHAnsi" w:hAnsiTheme="majorHAnsi" w:cstheme="minorBidi"/>
      <w:color w:val="000000" w:themeColor="text1"/>
      <w:szCs w:val="22"/>
    </w:rPr>
  </w:style>
  <w:style w:type="paragraph" w:customStyle="1" w:styleId="Cover-AIRaddress">
    <w:name w:val="Cover - AIR address"/>
    <w:qFormat/>
    <w:rsid w:val="003C16E1"/>
    <w:pPr>
      <w:tabs>
        <w:tab w:val="right" w:pos="10170"/>
      </w:tabs>
      <w:spacing w:before="6000" w:line="300" w:lineRule="auto"/>
      <w:contextualSpacing/>
    </w:pPr>
    <w:rPr>
      <w:rFonts w:asciiTheme="majorHAnsi" w:eastAsia="Calibri" w:hAnsiTheme="majorHAnsi" w:cs="Calibri"/>
      <w:szCs w:val="22"/>
    </w:rPr>
  </w:style>
  <w:style w:type="paragraph" w:customStyle="1" w:styleId="TIHeading1">
    <w:name w:val="TI Heading 1"/>
    <w:qFormat/>
    <w:rsid w:val="003C16E1"/>
    <w:pPr>
      <w:spacing w:line="259" w:lineRule="auto"/>
      <w:ind w:left="346"/>
    </w:pPr>
    <w:rPr>
      <w:rFonts w:asciiTheme="majorHAnsi" w:eastAsiaTheme="minorHAnsi" w:hAnsiTheme="majorHAnsi" w:cstheme="minorBidi"/>
      <w:color w:val="FFFFFF" w:themeColor="background1"/>
      <w:sz w:val="36"/>
      <w:szCs w:val="30"/>
    </w:rPr>
  </w:style>
  <w:style w:type="paragraph" w:customStyle="1" w:styleId="TIHeading2">
    <w:name w:val="TI Heading 2"/>
    <w:qFormat/>
    <w:rsid w:val="003C16E1"/>
    <w:pPr>
      <w:ind w:left="342"/>
    </w:pPr>
    <w:rPr>
      <w:rFonts w:asciiTheme="minorHAnsi" w:eastAsiaTheme="minorHAnsi" w:hAnsiTheme="minorHAnsi" w:cstheme="minorBidi"/>
      <w:color w:val="FFFFFF" w:themeColor="background1"/>
      <w:sz w:val="28"/>
      <w:szCs w:val="22"/>
    </w:rPr>
  </w:style>
  <w:style w:type="paragraph" w:customStyle="1" w:styleId="TableBullet1">
    <w:name w:val="Table Bullet 1"/>
    <w:basedOn w:val="Bullet1"/>
    <w:uiPriority w:val="7"/>
    <w:qFormat/>
    <w:rsid w:val="003C16E1"/>
    <w:pPr>
      <w:numPr>
        <w:numId w:val="8"/>
      </w:numPr>
      <w:spacing w:before="40" w:after="40"/>
    </w:pPr>
    <w:rPr>
      <w:sz w:val="20"/>
    </w:rPr>
  </w:style>
  <w:style w:type="paragraph" w:customStyle="1" w:styleId="TableNumbering">
    <w:name w:val="Table Numbering"/>
    <w:basedOn w:val="TableText"/>
    <w:uiPriority w:val="7"/>
    <w:qFormat/>
    <w:rsid w:val="003C16E1"/>
    <w:pPr>
      <w:numPr>
        <w:numId w:val="11"/>
      </w:numPr>
    </w:pPr>
  </w:style>
  <w:style w:type="paragraph" w:customStyle="1" w:styleId="BodyTextDemi">
    <w:name w:val="Body Text Demi"/>
    <w:basedOn w:val="BodyText"/>
    <w:link w:val="BodyTextDemiChar"/>
    <w:qFormat/>
    <w:rsid w:val="003C16E1"/>
    <w:rPr>
      <w:rFonts w:ascii="Franklin Gothic Demi" w:hAnsi="Franklin Gothic Demi"/>
    </w:rPr>
  </w:style>
  <w:style w:type="paragraph" w:customStyle="1" w:styleId="BodyTextposthead">
    <w:name w:val="Body Text post head"/>
    <w:basedOn w:val="BodyText"/>
    <w:link w:val="BodyTextpostheadChar"/>
    <w:qFormat/>
    <w:rsid w:val="003C16E1"/>
    <w:pPr>
      <w:spacing w:before="0"/>
    </w:pPr>
  </w:style>
  <w:style w:type="paragraph" w:styleId="TOC2">
    <w:name w:val="toc 2"/>
    <w:basedOn w:val="Normal"/>
    <w:next w:val="Normal"/>
    <w:autoRedefine/>
    <w:uiPriority w:val="39"/>
    <w:unhideWhenUsed/>
    <w:rsid w:val="003C16E1"/>
    <w:pPr>
      <w:tabs>
        <w:tab w:val="right" w:leader="dot" w:pos="9350"/>
      </w:tabs>
      <w:spacing w:after="100"/>
    </w:pPr>
    <w:rPr>
      <w:rFonts w:eastAsia="Times New Roman" w:cs="Calibri"/>
      <w:bCs/>
      <w:szCs w:val="24"/>
    </w:rPr>
  </w:style>
  <w:style w:type="paragraph" w:customStyle="1" w:styleId="TableColHeadingCtr-rev">
    <w:name w:val="Table Col Heading Ctr - rev"/>
    <w:basedOn w:val="TableColHeadingCenter"/>
    <w:qFormat/>
    <w:rsid w:val="003C16E1"/>
  </w:style>
  <w:style w:type="paragraph" w:customStyle="1" w:styleId="TableColHeadingLeft-rev">
    <w:name w:val="Table Col Heading Left - rev"/>
    <w:basedOn w:val="TableColHeadingLeft"/>
    <w:qFormat/>
    <w:rsid w:val="003C16E1"/>
  </w:style>
  <w:style w:type="paragraph" w:customStyle="1" w:styleId="TSVH1">
    <w:name w:val="TSV H1"/>
    <w:basedOn w:val="BodyText"/>
    <w:next w:val="Normal"/>
    <w:qFormat/>
    <w:rsid w:val="003C16E1"/>
    <w:pPr>
      <w:spacing w:before="0" w:after="0" w:line="240" w:lineRule="auto"/>
      <w:ind w:left="162"/>
      <w:outlineLvl w:val="1"/>
    </w:pPr>
    <w:rPr>
      <w:rFonts w:asciiTheme="majorHAnsi" w:hAnsiTheme="majorHAnsi"/>
      <w:color w:val="FFFFFF" w:themeColor="background1"/>
      <w:sz w:val="36"/>
      <w:szCs w:val="36"/>
    </w:rPr>
  </w:style>
  <w:style w:type="paragraph" w:customStyle="1" w:styleId="TSVH2">
    <w:name w:val="TSV H2"/>
    <w:basedOn w:val="BodyText"/>
    <w:next w:val="BodyText"/>
    <w:qFormat/>
    <w:rsid w:val="003C16E1"/>
    <w:pPr>
      <w:spacing w:before="0" w:after="0" w:line="240" w:lineRule="auto"/>
      <w:ind w:left="162"/>
      <w:outlineLvl w:val="2"/>
    </w:pPr>
    <w:rPr>
      <w:color w:val="FFFFFF" w:themeColor="background1"/>
      <w:sz w:val="28"/>
      <w:szCs w:val="28"/>
    </w:rPr>
  </w:style>
  <w:style w:type="paragraph" w:customStyle="1" w:styleId="TSVH3">
    <w:name w:val="TSV H3"/>
    <w:basedOn w:val="BodyText"/>
    <w:next w:val="BodyText"/>
    <w:qFormat/>
    <w:rsid w:val="003C16E1"/>
    <w:pPr>
      <w:spacing w:line="259" w:lineRule="auto"/>
      <w:outlineLvl w:val="3"/>
    </w:pPr>
    <w:rPr>
      <w:rFonts w:ascii="Franklin Gothic Demi" w:hAnsi="Franklin Gothic Demi"/>
    </w:rPr>
  </w:style>
  <w:style w:type="paragraph" w:customStyle="1" w:styleId="TPHeading1">
    <w:name w:val="TP Heading 1"/>
    <w:basedOn w:val="TSVH2"/>
    <w:rsid w:val="003C16E1"/>
    <w:rPr>
      <w:rFonts w:asciiTheme="majorHAnsi" w:hAnsiTheme="majorHAnsi"/>
      <w:sz w:val="36"/>
      <w:szCs w:val="36"/>
    </w:rPr>
  </w:style>
  <w:style w:type="paragraph" w:customStyle="1" w:styleId="Bullet2">
    <w:name w:val="Bullet 2"/>
    <w:basedOn w:val="BodyText"/>
    <w:uiPriority w:val="2"/>
    <w:qFormat/>
    <w:rsid w:val="003C16E1"/>
    <w:pPr>
      <w:numPr>
        <w:ilvl w:val="1"/>
        <w:numId w:val="5"/>
      </w:numPr>
      <w:spacing w:before="60" w:after="60"/>
      <w:ind w:left="576" w:hanging="288"/>
    </w:pPr>
    <w:rPr>
      <w:rFonts w:eastAsia="Times New Roman" w:cs="Times New Roman"/>
      <w:szCs w:val="24"/>
    </w:rPr>
  </w:style>
  <w:style w:type="paragraph" w:customStyle="1" w:styleId="Bullet3">
    <w:name w:val="Bullet 3"/>
    <w:basedOn w:val="BodyText"/>
    <w:uiPriority w:val="2"/>
    <w:qFormat/>
    <w:rsid w:val="003C16E1"/>
    <w:pPr>
      <w:numPr>
        <w:ilvl w:val="2"/>
        <w:numId w:val="5"/>
      </w:numPr>
      <w:spacing w:before="60" w:after="60"/>
      <w:ind w:left="864" w:hanging="288"/>
    </w:pPr>
    <w:rPr>
      <w:rFonts w:eastAsia="MS Mincho"/>
      <w:sz w:val="24"/>
    </w:rPr>
  </w:style>
  <w:style w:type="paragraph" w:styleId="Caption">
    <w:name w:val="caption"/>
    <w:basedOn w:val="TableTitle0"/>
    <w:next w:val="Normal"/>
    <w:uiPriority w:val="5"/>
    <w:unhideWhenUsed/>
    <w:qFormat/>
    <w:rsid w:val="003C16E1"/>
    <w:rPr>
      <w:rFonts w:ascii="Calibri" w:eastAsia="Times New Roman" w:hAnsi="Calibri" w:cs="Calibri"/>
      <w:b/>
      <w:sz w:val="24"/>
      <w:szCs w:val="24"/>
    </w:rPr>
  </w:style>
  <w:style w:type="paragraph" w:customStyle="1" w:styleId="NumberedList">
    <w:name w:val="Numbered List"/>
    <w:basedOn w:val="Normal"/>
    <w:uiPriority w:val="2"/>
    <w:qFormat/>
    <w:rsid w:val="003C16E1"/>
    <w:pPr>
      <w:numPr>
        <w:numId w:val="7"/>
      </w:numPr>
      <w:spacing w:before="120" w:line="240" w:lineRule="auto"/>
    </w:pPr>
    <w:rPr>
      <w:rFonts w:eastAsia="Times New Roman" w:cs="Times New Roman"/>
      <w:sz w:val="24"/>
      <w:szCs w:val="24"/>
    </w:rPr>
  </w:style>
  <w:style w:type="paragraph" w:customStyle="1" w:styleId="TableBullet2">
    <w:name w:val="Table Bullet 2"/>
    <w:basedOn w:val="TableText"/>
    <w:uiPriority w:val="7"/>
    <w:qFormat/>
    <w:rsid w:val="003C16E1"/>
    <w:pPr>
      <w:numPr>
        <w:ilvl w:val="1"/>
        <w:numId w:val="8"/>
      </w:numPr>
      <w:ind w:left="1440"/>
    </w:pPr>
    <w:rPr>
      <w:rFonts w:ascii="Calibri" w:eastAsia="MS Mincho" w:hAnsi="Calibri" w:cs="Calibri"/>
      <w:sz w:val="22"/>
      <w:szCs w:val="24"/>
    </w:rPr>
  </w:style>
  <w:style w:type="character" w:customStyle="1" w:styleId="CoverSubtitleChar">
    <w:name w:val="Cover Subtitle Char"/>
    <w:basedOn w:val="DefaultParagraphFont"/>
    <w:link w:val="CoverSubtitle"/>
    <w:rsid w:val="003C16E1"/>
    <w:rPr>
      <w:rFonts w:asciiTheme="majorHAnsi" w:eastAsiaTheme="minorHAnsi" w:hAnsiTheme="majorHAnsi" w:cstheme="minorBidi"/>
      <w:i/>
      <w:color w:val="2F5496" w:themeColor="accent5" w:themeShade="BF"/>
      <w:sz w:val="40"/>
      <w:szCs w:val="40"/>
    </w:rPr>
  </w:style>
  <w:style w:type="paragraph" w:styleId="TOC4">
    <w:name w:val="toc 4"/>
    <w:basedOn w:val="Normal"/>
    <w:next w:val="Normal"/>
    <w:autoRedefine/>
    <w:uiPriority w:val="39"/>
    <w:rsid w:val="003C16E1"/>
    <w:pPr>
      <w:tabs>
        <w:tab w:val="right" w:leader="dot" w:pos="9350"/>
      </w:tabs>
      <w:spacing w:before="120" w:line="240" w:lineRule="auto"/>
      <w:ind w:left="1166" w:right="720" w:hanging="86"/>
    </w:pPr>
    <w:rPr>
      <w:rFonts w:ascii="Calibri" w:eastAsia="Times New Roman" w:hAnsi="Calibri" w:cs="Times"/>
      <w:sz w:val="24"/>
    </w:rPr>
  </w:style>
  <w:style w:type="paragraph" w:styleId="TOC3">
    <w:name w:val="toc 3"/>
    <w:basedOn w:val="Normal"/>
    <w:next w:val="Normal"/>
    <w:autoRedefine/>
    <w:uiPriority w:val="39"/>
    <w:unhideWhenUsed/>
    <w:rsid w:val="003C16E1"/>
    <w:pPr>
      <w:tabs>
        <w:tab w:val="right" w:leader="dot" w:pos="9360"/>
      </w:tabs>
      <w:spacing w:after="100" w:line="240" w:lineRule="auto"/>
      <w:ind w:left="720" w:right="270" w:hanging="356"/>
    </w:pPr>
    <w:rPr>
      <w:rFonts w:eastAsia="MS Mincho"/>
      <w:noProof/>
    </w:rPr>
  </w:style>
  <w:style w:type="numbering" w:customStyle="1" w:styleId="Level1Bullet">
    <w:name w:val="Level 1 Bullet"/>
    <w:basedOn w:val="NoList"/>
    <w:rsid w:val="003C16E1"/>
    <w:pPr>
      <w:numPr>
        <w:numId w:val="1"/>
      </w:numPr>
    </w:pPr>
  </w:style>
  <w:style w:type="numbering" w:customStyle="1" w:styleId="Level2Bullet">
    <w:name w:val="Level 2 Bullet"/>
    <w:basedOn w:val="NoList"/>
    <w:rsid w:val="003C16E1"/>
    <w:pPr>
      <w:numPr>
        <w:numId w:val="3"/>
      </w:numPr>
    </w:pPr>
  </w:style>
  <w:style w:type="paragraph" w:customStyle="1" w:styleId="BlockQuote">
    <w:name w:val="Block Quote"/>
    <w:basedOn w:val="Normal"/>
    <w:uiPriority w:val="1"/>
    <w:qFormat/>
    <w:rsid w:val="003C16E1"/>
    <w:pPr>
      <w:ind w:left="720"/>
    </w:pPr>
    <w:rPr>
      <w:iCs/>
    </w:rPr>
  </w:style>
  <w:style w:type="paragraph" w:styleId="ListNumber4">
    <w:name w:val="List Number 4"/>
    <w:basedOn w:val="Normal"/>
    <w:uiPriority w:val="99"/>
    <w:semiHidden/>
    <w:unhideWhenUsed/>
    <w:rsid w:val="003C16E1"/>
    <w:pPr>
      <w:tabs>
        <w:tab w:val="num" w:pos="1440"/>
      </w:tabs>
      <w:spacing w:before="120" w:line="240" w:lineRule="auto"/>
      <w:ind w:left="1440" w:hanging="360"/>
    </w:pPr>
    <w:rPr>
      <w:rFonts w:eastAsia="MS Mincho"/>
      <w:sz w:val="24"/>
    </w:rPr>
  </w:style>
  <w:style w:type="paragraph" w:styleId="ListNumber5">
    <w:name w:val="List Number 5"/>
    <w:basedOn w:val="Normal"/>
    <w:uiPriority w:val="99"/>
    <w:semiHidden/>
    <w:unhideWhenUsed/>
    <w:rsid w:val="003C16E1"/>
    <w:pPr>
      <w:tabs>
        <w:tab w:val="num" w:pos="1800"/>
      </w:tabs>
      <w:spacing w:before="120" w:line="240" w:lineRule="auto"/>
      <w:ind w:left="1800" w:hanging="360"/>
    </w:pPr>
    <w:rPr>
      <w:rFonts w:eastAsia="MS Mincho"/>
      <w:sz w:val="24"/>
    </w:rPr>
  </w:style>
  <w:style w:type="paragraph" w:customStyle="1" w:styleId="Reference">
    <w:name w:val="Reference"/>
    <w:basedOn w:val="BodyText"/>
    <w:link w:val="ReferenceChar"/>
    <w:uiPriority w:val="19"/>
    <w:qFormat/>
    <w:rsid w:val="003C16E1"/>
    <w:pPr>
      <w:keepLines/>
      <w:ind w:left="720" w:hanging="720"/>
    </w:pPr>
    <w:rPr>
      <w:rFonts w:eastAsia="Times New Roman" w:cs="Calibri"/>
    </w:rPr>
  </w:style>
  <w:style w:type="character" w:customStyle="1" w:styleId="ReferenceChar">
    <w:name w:val="Reference Char"/>
    <w:basedOn w:val="DefaultParagraphFont"/>
    <w:link w:val="Reference"/>
    <w:uiPriority w:val="19"/>
    <w:rsid w:val="003C16E1"/>
    <w:rPr>
      <w:rFonts w:asciiTheme="minorHAnsi" w:hAnsiTheme="minorHAnsi" w:cs="Calibri"/>
      <w:sz w:val="22"/>
      <w:szCs w:val="22"/>
    </w:rPr>
  </w:style>
  <w:style w:type="character" w:customStyle="1" w:styleId="ReferenceItalics">
    <w:name w:val="Reference Italics"/>
    <w:basedOn w:val="DefaultParagraphFont"/>
    <w:uiPriority w:val="19"/>
    <w:qFormat/>
    <w:rsid w:val="003C16E1"/>
    <w:rPr>
      <w:i/>
    </w:rPr>
  </w:style>
  <w:style w:type="paragraph" w:customStyle="1" w:styleId="CoverSubtitle3">
    <w:name w:val="Cover Subtitle 3"/>
    <w:basedOn w:val="CoverSubtitle"/>
    <w:qFormat/>
    <w:rsid w:val="003C16E1"/>
    <w:pPr>
      <w:spacing w:before="120"/>
      <w:ind w:left="4032"/>
    </w:pPr>
    <w:rPr>
      <w:i w:val="0"/>
      <w:color w:val="000000" w:themeColor="text1"/>
      <w:sz w:val="28"/>
    </w:rPr>
  </w:style>
  <w:style w:type="paragraph" w:customStyle="1" w:styleId="CoverSubtitle2-SIOR">
    <w:name w:val="Cover Subtitle 2-SIOR"/>
    <w:basedOn w:val="CoverSubtitle2"/>
    <w:qFormat/>
    <w:rsid w:val="003C16E1"/>
    <w:pPr>
      <w:spacing w:before="840"/>
      <w:ind w:left="4032"/>
    </w:pPr>
    <w:rPr>
      <w:spacing w:val="-2"/>
      <w:sz w:val="32"/>
      <w:szCs w:val="32"/>
    </w:rPr>
  </w:style>
  <w:style w:type="paragraph" w:customStyle="1" w:styleId="Disclaimer">
    <w:name w:val="Disclaimer"/>
    <w:basedOn w:val="Normal"/>
    <w:uiPriority w:val="4"/>
    <w:rsid w:val="003C16E1"/>
    <w:pPr>
      <w:spacing w:line="240" w:lineRule="auto"/>
    </w:pPr>
    <w:rPr>
      <w:rFonts w:eastAsiaTheme="minorEastAsia"/>
      <w:i/>
      <w:spacing w:val="-2"/>
      <w:sz w:val="18"/>
      <w:szCs w:val="18"/>
    </w:rPr>
  </w:style>
  <w:style w:type="paragraph" w:customStyle="1" w:styleId="Heading3NoTOC">
    <w:name w:val="Heading 3 No TOC"/>
    <w:basedOn w:val="Heading3"/>
    <w:qFormat/>
    <w:rsid w:val="003C16E1"/>
    <w:pPr>
      <w:outlineLvl w:val="9"/>
    </w:pPr>
  </w:style>
  <w:style w:type="paragraph" w:customStyle="1" w:styleId="TableSubheadingCentered">
    <w:name w:val="Table Subheading Centered"/>
    <w:basedOn w:val="TableSubheading"/>
    <w:link w:val="TableSubheadingCenteredChar"/>
    <w:qFormat/>
    <w:rsid w:val="003C16E1"/>
    <w:pPr>
      <w:jc w:val="center"/>
    </w:pPr>
  </w:style>
  <w:style w:type="character" w:customStyle="1" w:styleId="TableSubheadingCenteredChar">
    <w:name w:val="Table Subheading Centered Char"/>
    <w:basedOn w:val="TableSubheadingChar"/>
    <w:link w:val="TableSubheadingCentered"/>
    <w:rsid w:val="003C16E1"/>
    <w:rPr>
      <w:rFonts w:ascii="Franklin Gothic Demi" w:eastAsia="MS Mincho" w:hAnsi="Franklin Gothic Demi" w:cs="Calibri"/>
      <w:szCs w:val="24"/>
    </w:rPr>
  </w:style>
  <w:style w:type="paragraph" w:customStyle="1" w:styleId="BodyTextDomain">
    <w:name w:val="Body Text Domain"/>
    <w:basedOn w:val="BodyTextposthead"/>
    <w:next w:val="BodyText"/>
    <w:link w:val="BodyTextDomainChar"/>
    <w:qFormat/>
    <w:rsid w:val="003C16E1"/>
    <w:rPr>
      <w:i/>
    </w:rPr>
  </w:style>
  <w:style w:type="character" w:customStyle="1" w:styleId="BodyTextDemiChar">
    <w:name w:val="Body Text Demi Char"/>
    <w:basedOn w:val="DefaultParagraphFont"/>
    <w:link w:val="BodyTextDemi"/>
    <w:rsid w:val="003C16E1"/>
    <w:rPr>
      <w:rFonts w:ascii="Franklin Gothic Demi" w:eastAsiaTheme="minorHAnsi" w:hAnsi="Franklin Gothic Demi" w:cstheme="minorBidi"/>
      <w:sz w:val="22"/>
      <w:szCs w:val="22"/>
    </w:rPr>
  </w:style>
  <w:style w:type="character" w:customStyle="1" w:styleId="BodyTextpostheadChar">
    <w:name w:val="Body Text post head Char"/>
    <w:basedOn w:val="BodyTextChar"/>
    <w:link w:val="BodyTextposthead"/>
    <w:rsid w:val="003C16E1"/>
    <w:rPr>
      <w:rFonts w:asciiTheme="minorHAnsi" w:eastAsiaTheme="minorHAnsi" w:hAnsiTheme="minorHAnsi" w:cstheme="minorBidi"/>
      <w:sz w:val="22"/>
      <w:szCs w:val="22"/>
    </w:rPr>
  </w:style>
  <w:style w:type="character" w:customStyle="1" w:styleId="BodyTextDomainChar">
    <w:name w:val="Body Text Domain Char"/>
    <w:basedOn w:val="BodyTextpostheadChar"/>
    <w:link w:val="BodyTextDomain"/>
    <w:rsid w:val="003C16E1"/>
    <w:rPr>
      <w:rFonts w:asciiTheme="minorHAnsi" w:eastAsiaTheme="minorHAnsi" w:hAnsiTheme="minorHAnsi" w:cstheme="minorBidi"/>
      <w:i/>
      <w:sz w:val="22"/>
      <w:szCs w:val="22"/>
    </w:rPr>
  </w:style>
  <w:style w:type="paragraph" w:customStyle="1" w:styleId="Heading1-SIOR">
    <w:name w:val="Heading 1 - SIOR"/>
    <w:basedOn w:val="Heading1"/>
    <w:qFormat/>
    <w:rsid w:val="003C16E1"/>
    <w:pPr>
      <w:spacing w:before="2720"/>
      <w:ind w:right="144"/>
    </w:pPr>
    <w:rPr>
      <w:sz w:val="40"/>
    </w:rPr>
  </w:style>
  <w:style w:type="paragraph" w:customStyle="1" w:styleId="TPHeading">
    <w:name w:val="TP Heading"/>
    <w:basedOn w:val="Heading3"/>
    <w:qFormat/>
    <w:rsid w:val="003C16E1"/>
    <w:pPr>
      <w:spacing w:before="120"/>
      <w:ind w:left="72"/>
      <w:outlineLvl w:val="9"/>
    </w:pPr>
    <w:rPr>
      <w:color w:val="FFFFFF" w:themeColor="background1"/>
    </w:rPr>
  </w:style>
  <w:style w:type="character" w:customStyle="1" w:styleId="cf01">
    <w:name w:val="cf01"/>
    <w:basedOn w:val="DefaultParagraphFont"/>
    <w:rsid w:val="003C16E1"/>
    <w:rPr>
      <w:rFonts w:ascii="Segoe UI" w:hAnsi="Segoe UI" w:cs="Segoe UI" w:hint="default"/>
      <w:sz w:val="18"/>
      <w:szCs w:val="18"/>
    </w:rPr>
  </w:style>
  <w:style w:type="table" w:customStyle="1" w:styleId="TableGrid18">
    <w:name w:val="Table Grid18"/>
    <w:basedOn w:val="TableNormal"/>
    <w:next w:val="TableGrid"/>
    <w:uiPriority w:val="59"/>
    <w:rsid w:val="003C16E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3C16E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3C16E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3C16E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3C16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3C16E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3C16E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3C16E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3C16E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uiPriority w:val="59"/>
    <w:rsid w:val="003C16E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
    <w:name w:val="bold"/>
    <w:basedOn w:val="DefaultParagraphFont"/>
    <w:rsid w:val="003C16E1"/>
    <w:rPr>
      <w:rFonts w:ascii="Franklin Gothic Demi" w:hAnsi="Franklin Gothic Demi"/>
    </w:rPr>
  </w:style>
  <w:style w:type="paragraph" w:styleId="Quote">
    <w:name w:val="Quote"/>
    <w:basedOn w:val="Normal"/>
    <w:next w:val="Normal"/>
    <w:link w:val="QuoteChar"/>
    <w:uiPriority w:val="29"/>
    <w:qFormat/>
    <w:rsid w:val="003C16E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C16E1"/>
    <w:rPr>
      <w:rFonts w:asciiTheme="minorHAnsi" w:eastAsiaTheme="minorHAnsi" w:hAnsiTheme="minorHAnsi" w:cstheme="minorBidi"/>
      <w:i/>
      <w:iCs/>
      <w:color w:val="404040" w:themeColor="text1" w:themeTint="BF"/>
      <w:sz w:val="22"/>
      <w:szCs w:val="22"/>
    </w:rPr>
  </w:style>
  <w:style w:type="table" w:customStyle="1" w:styleId="TableGrid7">
    <w:name w:val="Table Grid7"/>
    <w:basedOn w:val="TableNormal"/>
    <w:next w:val="TableGrid"/>
    <w:rsid w:val="003C16E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3C16E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3C16E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unhideWhenUsed/>
    <w:rsid w:val="003C16E1"/>
    <w:pPr>
      <w:spacing w:line="240" w:lineRule="auto"/>
    </w:pPr>
    <w:rPr>
      <w:sz w:val="20"/>
      <w:szCs w:val="20"/>
    </w:rPr>
  </w:style>
  <w:style w:type="character" w:customStyle="1" w:styleId="EndnoteTextChar">
    <w:name w:val="Endnote Text Char"/>
    <w:basedOn w:val="DefaultParagraphFont"/>
    <w:link w:val="EndnoteText"/>
    <w:uiPriority w:val="99"/>
    <w:rsid w:val="003C16E1"/>
    <w:rPr>
      <w:rFonts w:asciiTheme="minorHAnsi" w:eastAsiaTheme="minorHAnsi" w:hAnsiTheme="minorHAnsi" w:cstheme="minorBidi"/>
    </w:rPr>
  </w:style>
  <w:style w:type="character" w:styleId="EndnoteReference">
    <w:name w:val="endnote reference"/>
    <w:basedOn w:val="DefaultParagraphFont"/>
    <w:uiPriority w:val="99"/>
    <w:semiHidden/>
    <w:unhideWhenUsed/>
    <w:rsid w:val="003C16E1"/>
    <w:rPr>
      <w:vertAlign w:val="superscript"/>
    </w:rPr>
  </w:style>
  <w:style w:type="table" w:customStyle="1" w:styleId="TableGrid22">
    <w:name w:val="Table Grid22"/>
    <w:basedOn w:val="TableNormal"/>
    <w:next w:val="TableGrid"/>
    <w:rsid w:val="003C16E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demi0">
    <w:name w:val="Body text demi"/>
    <w:basedOn w:val="DefaultParagraphFont"/>
    <w:uiPriority w:val="1"/>
    <w:qFormat/>
    <w:rsid w:val="003C16E1"/>
    <w:rPr>
      <w:rFonts w:ascii="Franklin Gothic Demi" w:hAnsi="Franklin Gothic Demi"/>
      <w:b w:val="0"/>
      <w:bCs/>
    </w:rPr>
  </w:style>
  <w:style w:type="character" w:customStyle="1" w:styleId="spellingerrorsuperscript">
    <w:name w:val="spellingerrorsuperscript"/>
    <w:basedOn w:val="DefaultParagraphFont"/>
    <w:rsid w:val="003C16E1"/>
  </w:style>
  <w:style w:type="table" w:customStyle="1" w:styleId="MSVTable11">
    <w:name w:val="MSV Table 11"/>
    <w:basedOn w:val="TableNormal"/>
    <w:uiPriority w:val="99"/>
    <w:rsid w:val="003C16E1"/>
    <w:pPr>
      <w:spacing w:before="40" w:after="40" w:line="259" w:lineRule="auto"/>
    </w:pPr>
    <w:rPr>
      <w:rFonts w:ascii="Franklin Gothic Book" w:eastAsia="Franklin Gothic Book" w:hAnsi="Franklin Gothic Book" w:cs="Tahoma"/>
      <w:szCs w:val="22"/>
    </w:rPr>
    <w:tblPr>
      <w:tblStyleRowBandSize w:val="1"/>
      <w:tblBorders>
        <w:top w:val="single" w:sz="6" w:space="0" w:color="2F5496"/>
        <w:left w:val="single" w:sz="6" w:space="0" w:color="2F5496"/>
        <w:bottom w:val="single" w:sz="6" w:space="0" w:color="2F5496"/>
        <w:right w:val="single" w:sz="6" w:space="0" w:color="2F5496"/>
        <w:insideH w:val="single" w:sz="6" w:space="0" w:color="2F5496"/>
        <w:insideV w:val="single" w:sz="6" w:space="0" w:color="2F5496"/>
      </w:tblBorders>
      <w:tblCellMar>
        <w:left w:w="58" w:type="dxa"/>
        <w:right w:w="58" w:type="dxa"/>
      </w:tblCellMar>
    </w:tblPr>
    <w:tblStylePr w:type="firstRow">
      <w:rPr>
        <w:color w:val="FFFFFF"/>
      </w:rPr>
      <w:tblPr/>
      <w:tcPr>
        <w:tcBorders>
          <w:insideH w:val="single" w:sz="4" w:space="0" w:color="FFFFFF"/>
          <w:insideV w:val="single" w:sz="4" w:space="0" w:color="FFFFFF"/>
        </w:tcBorders>
        <w:shd w:val="clear" w:color="auto" w:fill="2F5496"/>
      </w:tcPr>
    </w:tblStylePr>
    <w:tblStylePr w:type="band1Horz">
      <w:tblPr/>
      <w:tcPr>
        <w:shd w:val="clear" w:color="auto" w:fill="D9E2F3"/>
      </w:tcPr>
    </w:tblStylePr>
  </w:style>
  <w:style w:type="character" w:styleId="SmartLink">
    <w:name w:val="Smart Link"/>
    <w:basedOn w:val="DefaultParagraphFont"/>
    <w:uiPriority w:val="99"/>
    <w:unhideWhenUsed/>
    <w:rsid w:val="003C16E1"/>
    <w:rPr>
      <w:color w:val="0000FF"/>
      <w:u w:val="single"/>
      <w:shd w:val="clear" w:color="auto" w:fill="F3F2F1"/>
    </w:rPr>
  </w:style>
  <w:style w:type="character" w:styleId="SmartHyperlink">
    <w:name w:val="Smart Hyperlink"/>
    <w:basedOn w:val="DefaultParagraphFont"/>
    <w:uiPriority w:val="99"/>
    <w:unhideWhenUsed/>
    <w:rsid w:val="003C16E1"/>
    <w:rPr>
      <w:u w:val="dotted"/>
    </w:rPr>
  </w:style>
  <w:style w:type="paragraph" w:customStyle="1" w:styleId="xmsolistparagraph">
    <w:name w:val="x_msolistparagraph"/>
    <w:basedOn w:val="Normal"/>
    <w:rsid w:val="003C16E1"/>
    <w:pPr>
      <w:spacing w:line="240" w:lineRule="auto"/>
      <w:ind w:left="720"/>
    </w:pPr>
    <w:rPr>
      <w:rFonts w:ascii="Calibri" w:hAnsi="Calibri" w:cs="Calibri"/>
      <w:sz w:val="20"/>
      <w:szCs w:val="20"/>
    </w:rPr>
  </w:style>
  <w:style w:type="paragraph" w:styleId="NormalIndent">
    <w:name w:val="Normal Indent"/>
    <w:basedOn w:val="Normal"/>
    <w:unhideWhenUsed/>
    <w:rsid w:val="003C16E1"/>
    <w:pPr>
      <w:ind w:left="720"/>
    </w:pPr>
  </w:style>
  <w:style w:type="paragraph" w:styleId="PlainText">
    <w:name w:val="Plain Text"/>
    <w:basedOn w:val="Normal"/>
    <w:link w:val="PlainTextChar"/>
    <w:unhideWhenUsed/>
    <w:rsid w:val="003C16E1"/>
    <w:pPr>
      <w:spacing w:line="240" w:lineRule="auto"/>
    </w:pPr>
    <w:rPr>
      <w:rFonts w:ascii="Consolas" w:hAnsi="Consolas"/>
      <w:sz w:val="21"/>
      <w:szCs w:val="21"/>
    </w:rPr>
  </w:style>
  <w:style w:type="character" w:customStyle="1" w:styleId="PlainTextChar">
    <w:name w:val="Plain Text Char"/>
    <w:basedOn w:val="DefaultParagraphFont"/>
    <w:link w:val="PlainText"/>
    <w:rsid w:val="003C16E1"/>
    <w:rPr>
      <w:rFonts w:ascii="Consolas" w:eastAsiaTheme="minorHAnsi" w:hAnsi="Consolas" w:cstheme="minorBidi"/>
      <w:sz w:val="21"/>
      <w:szCs w:val="21"/>
    </w:rPr>
  </w:style>
  <w:style w:type="paragraph" w:styleId="BlockText">
    <w:name w:val="Block Text"/>
    <w:basedOn w:val="Normal"/>
    <w:unhideWhenUsed/>
    <w:rsid w:val="003C16E1"/>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customStyle="1" w:styleId="msonormal0">
    <w:name w:val="msonormal"/>
    <w:basedOn w:val="Normal"/>
    <w:rsid w:val="003C16E1"/>
    <w:pPr>
      <w:spacing w:before="100" w:beforeAutospacing="1" w:after="100" w:afterAutospacing="1" w:line="240" w:lineRule="auto"/>
    </w:pPr>
    <w:rPr>
      <w:rFonts w:ascii="Times New Roman" w:eastAsia="Times New Roman" w:hAnsi="Times New Roman" w:cs="Times New Roman"/>
      <w:sz w:val="24"/>
      <w:szCs w:val="24"/>
    </w:rPr>
  </w:style>
  <w:style w:type="paragraph" w:styleId="Salutation">
    <w:name w:val="Salutation"/>
    <w:basedOn w:val="Normal"/>
    <w:next w:val="Normal"/>
    <w:link w:val="SalutationChar"/>
    <w:rsid w:val="003C16E1"/>
  </w:style>
  <w:style w:type="character" w:customStyle="1" w:styleId="SalutationChar">
    <w:name w:val="Salutation Char"/>
    <w:basedOn w:val="DefaultParagraphFont"/>
    <w:link w:val="Salutation"/>
    <w:rsid w:val="003C16E1"/>
    <w:rPr>
      <w:rFonts w:asciiTheme="minorHAnsi" w:eastAsiaTheme="minorHAnsi" w:hAnsiTheme="minorHAnsi" w:cstheme="minorBidi"/>
      <w:sz w:val="22"/>
      <w:szCs w:val="22"/>
    </w:rPr>
  </w:style>
  <w:style w:type="numbering" w:customStyle="1" w:styleId="MSVBulletList1">
    <w:name w:val="MSV Bullet List1"/>
    <w:uiPriority w:val="99"/>
    <w:rsid w:val="003C16E1"/>
    <w:pPr>
      <w:numPr>
        <w:numId w:val="6"/>
      </w:numPr>
    </w:pPr>
  </w:style>
  <w:style w:type="numbering" w:customStyle="1" w:styleId="TableBulletList1">
    <w:name w:val="Table Bullet List1"/>
    <w:uiPriority w:val="99"/>
    <w:rsid w:val="003C16E1"/>
    <w:pPr>
      <w:numPr>
        <w:numId w:val="10"/>
      </w:numPr>
    </w:pPr>
  </w:style>
  <w:style w:type="numbering" w:customStyle="1" w:styleId="Level1Bullet1">
    <w:name w:val="Level 1 Bullet1"/>
    <w:basedOn w:val="NoList"/>
    <w:rsid w:val="003C16E1"/>
    <w:pPr>
      <w:numPr>
        <w:numId w:val="2"/>
      </w:numPr>
    </w:pPr>
  </w:style>
  <w:style w:type="numbering" w:customStyle="1" w:styleId="Level2Bullet1">
    <w:name w:val="Level 2 Bullet1"/>
    <w:basedOn w:val="NoList"/>
    <w:rsid w:val="003C16E1"/>
    <w:pPr>
      <w:numPr>
        <w:numId w:val="4"/>
      </w:numPr>
    </w:pPr>
  </w:style>
  <w:style w:type="table" w:customStyle="1" w:styleId="MSVTable12">
    <w:name w:val="MSV Table 12"/>
    <w:basedOn w:val="TableNormal"/>
    <w:uiPriority w:val="99"/>
    <w:rsid w:val="003C16E1"/>
    <w:rPr>
      <w:rFonts w:ascii="Franklin Gothic Book" w:eastAsia="Franklin Gothic Book" w:hAnsi="Franklin Gothic Book"/>
      <w:szCs w:val="22"/>
    </w:rPr>
    <w:tblPr>
      <w:tblBorders>
        <w:top w:val="single" w:sz="6" w:space="0" w:color="2F5496"/>
        <w:left w:val="single" w:sz="6" w:space="0" w:color="2F5496"/>
        <w:bottom w:val="single" w:sz="6" w:space="0" w:color="2F5496"/>
        <w:right w:val="single" w:sz="6" w:space="0" w:color="2F5496"/>
        <w:insideH w:val="single" w:sz="6" w:space="0" w:color="2F5496"/>
        <w:insideV w:val="single" w:sz="6" w:space="0" w:color="2F5496"/>
      </w:tblBorders>
      <w:tblCellMar>
        <w:left w:w="58" w:type="dxa"/>
        <w:right w:w="58" w:type="dxa"/>
      </w:tblCellMar>
    </w:tblPr>
    <w:tblStylePr w:type="firstRow">
      <w:rPr>
        <w:color w:val="FFFFFF"/>
      </w:rPr>
      <w:tblPr/>
      <w:tcPr>
        <w:tcBorders>
          <w:insideH w:val="single" w:sz="4" w:space="0" w:color="FFFFFF"/>
          <w:insideV w:val="single" w:sz="4" w:space="0" w:color="FFFFFF"/>
        </w:tcBorders>
        <w:shd w:val="clear" w:color="auto" w:fill="2F5496"/>
      </w:tcPr>
    </w:tblStylePr>
  </w:style>
  <w:style w:type="table" w:customStyle="1" w:styleId="TableGrid10">
    <w:name w:val="Table Grid10"/>
    <w:basedOn w:val="TableNormal"/>
    <w:next w:val="TableGrid"/>
    <w:uiPriority w:val="59"/>
    <w:rsid w:val="003C16E1"/>
    <w:rPr>
      <w:rFonts w:ascii="Franklin Gothic Book" w:hAnsi="Franklin Gothic Book"/>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pagesubheading">
    <w:name w:val="Title page subheading"/>
    <w:basedOn w:val="Normal"/>
    <w:qFormat/>
    <w:rsid w:val="003C16E1"/>
    <w:pPr>
      <w:tabs>
        <w:tab w:val="left" w:pos="360"/>
        <w:tab w:val="left" w:pos="720"/>
        <w:tab w:val="left" w:pos="1080"/>
        <w:tab w:val="left" w:pos="1440"/>
        <w:tab w:val="left" w:pos="1800"/>
        <w:tab w:val="left" w:pos="2160"/>
        <w:tab w:val="left" w:pos="2520"/>
        <w:tab w:val="left" w:pos="2880"/>
      </w:tabs>
      <w:ind w:right="180"/>
    </w:pPr>
    <w:rPr>
      <w:sz w:val="44"/>
      <w:szCs w:val="44"/>
    </w:rPr>
  </w:style>
  <w:style w:type="paragraph" w:customStyle="1" w:styleId="Titlepagedate">
    <w:name w:val="Title page date"/>
    <w:basedOn w:val="Normal"/>
    <w:qFormat/>
    <w:rsid w:val="003C16E1"/>
    <w:pPr>
      <w:pBdr>
        <w:bottom w:val="single" w:sz="4" w:space="1" w:color="auto"/>
      </w:pBdr>
      <w:tabs>
        <w:tab w:val="left" w:pos="360"/>
        <w:tab w:val="left" w:pos="720"/>
        <w:tab w:val="left" w:pos="1080"/>
        <w:tab w:val="left" w:pos="1440"/>
        <w:tab w:val="left" w:pos="1800"/>
        <w:tab w:val="left" w:pos="2160"/>
        <w:tab w:val="left" w:pos="2520"/>
        <w:tab w:val="left" w:pos="2880"/>
      </w:tabs>
      <w:spacing w:before="120"/>
      <w:ind w:right="3600"/>
    </w:pPr>
    <w:rPr>
      <w:sz w:val="32"/>
      <w:szCs w:val="40"/>
    </w:rPr>
  </w:style>
  <w:style w:type="paragraph" w:customStyle="1" w:styleId="Titlepagetext10pt">
    <w:name w:val="Title page text_10 pt"/>
    <w:basedOn w:val="Normal"/>
    <w:qFormat/>
    <w:rsid w:val="003C16E1"/>
    <w:pPr>
      <w:tabs>
        <w:tab w:val="left" w:pos="360"/>
        <w:tab w:val="left" w:pos="720"/>
        <w:tab w:val="left" w:pos="1080"/>
        <w:tab w:val="left" w:pos="1440"/>
        <w:tab w:val="left" w:pos="1800"/>
        <w:tab w:val="left" w:pos="2160"/>
        <w:tab w:val="left" w:pos="2520"/>
        <w:tab w:val="left" w:pos="2880"/>
      </w:tabs>
      <w:spacing w:line="240" w:lineRule="auto"/>
      <w:ind w:right="2160"/>
    </w:pPr>
    <w:rPr>
      <w:sz w:val="20"/>
      <w:szCs w:val="20"/>
    </w:rPr>
  </w:style>
  <w:style w:type="paragraph" w:customStyle="1" w:styleId="Titlepageorganization">
    <w:name w:val="Title page organization"/>
    <w:basedOn w:val="Normal"/>
    <w:qFormat/>
    <w:rsid w:val="003C16E1"/>
    <w:pPr>
      <w:tabs>
        <w:tab w:val="left" w:pos="360"/>
        <w:tab w:val="left" w:pos="720"/>
        <w:tab w:val="left" w:pos="1080"/>
        <w:tab w:val="left" w:pos="1440"/>
        <w:tab w:val="left" w:pos="1800"/>
        <w:tab w:val="left" w:pos="2160"/>
        <w:tab w:val="left" w:pos="2520"/>
        <w:tab w:val="left" w:pos="2880"/>
      </w:tabs>
      <w:spacing w:line="240" w:lineRule="auto"/>
      <w:ind w:right="990"/>
    </w:pPr>
    <w:rPr>
      <w:rFonts w:ascii="Franklin Gothic Demi" w:hAnsi="Franklin Gothic Demi"/>
      <w:sz w:val="28"/>
      <w:szCs w:val="28"/>
    </w:rPr>
  </w:style>
  <w:style w:type="paragraph" w:customStyle="1" w:styleId="Titlepagetext14pt">
    <w:name w:val="Title page text_14 pt"/>
    <w:basedOn w:val="Normal"/>
    <w:qFormat/>
    <w:rsid w:val="003C16E1"/>
    <w:pPr>
      <w:tabs>
        <w:tab w:val="left" w:pos="360"/>
        <w:tab w:val="left" w:pos="720"/>
        <w:tab w:val="left" w:pos="1080"/>
        <w:tab w:val="left" w:pos="1440"/>
        <w:tab w:val="left" w:pos="1800"/>
        <w:tab w:val="left" w:pos="2160"/>
        <w:tab w:val="left" w:pos="2520"/>
        <w:tab w:val="left" w:pos="2880"/>
      </w:tabs>
      <w:spacing w:line="240" w:lineRule="auto"/>
      <w:ind w:right="3600"/>
    </w:pPr>
    <w:rPr>
      <w:sz w:val="28"/>
      <w:szCs w:val="28"/>
    </w:rPr>
  </w:style>
  <w:style w:type="character" w:customStyle="1" w:styleId="font151">
    <w:name w:val="font151"/>
    <w:basedOn w:val="DefaultParagraphFont"/>
    <w:rsid w:val="003C16E1"/>
    <w:rPr>
      <w:rFonts w:ascii="Calibri" w:hAnsi="Calibri" w:cs="Calibri" w:hint="default"/>
      <w:b w:val="0"/>
      <w:bCs w:val="0"/>
      <w:i w:val="0"/>
      <w:iCs w:val="0"/>
      <w:strike w:val="0"/>
      <w:dstrike w:val="0"/>
      <w:color w:val="000000"/>
      <w:sz w:val="18"/>
      <w:szCs w:val="18"/>
      <w:u w:val="none"/>
      <w:effect w:val="none"/>
    </w:rPr>
  </w:style>
  <w:style w:type="table" w:styleId="GridTable4-Accent1">
    <w:name w:val="Grid Table 4 Accent 1"/>
    <w:basedOn w:val="TableNormal"/>
    <w:uiPriority w:val="49"/>
    <w:rsid w:val="003C16E1"/>
    <w:rPr>
      <w:rFonts w:ascii="Arial" w:eastAsiaTheme="minorHAnsi" w:hAnsi="Arial" w:cs="Arial"/>
      <w:sz w:val="24"/>
      <w:szCs w:val="24"/>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PlainTable1">
    <w:name w:val="Plain Table 1"/>
    <w:basedOn w:val="TableNormal"/>
    <w:uiPriority w:val="41"/>
    <w:rsid w:val="009E634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omponent">
    <w:name w:val="Component"/>
    <w:basedOn w:val="Normal"/>
    <w:link w:val="ComponentChar"/>
    <w:uiPriority w:val="1"/>
    <w:qFormat/>
    <w:rsid w:val="009E634D"/>
    <w:pPr>
      <w:keepNext/>
      <w:keepLines/>
      <w:spacing w:before="160" w:after="80"/>
      <w:outlineLvl w:val="2"/>
    </w:pPr>
    <w:rPr>
      <w:rFonts w:ascii="Aptos" w:eastAsiaTheme="majorEastAsia" w:hAnsi="Aptos" w:cstheme="majorBidi"/>
      <w:color w:val="4C94D8"/>
      <w:sz w:val="28"/>
      <w:szCs w:val="28"/>
    </w:rPr>
  </w:style>
  <w:style w:type="character" w:customStyle="1" w:styleId="ComponentChar">
    <w:name w:val="Component Char"/>
    <w:basedOn w:val="DefaultParagraphFont"/>
    <w:link w:val="Component"/>
    <w:uiPriority w:val="1"/>
    <w:rsid w:val="009E634D"/>
    <w:rPr>
      <w:rFonts w:ascii="Aptos" w:eastAsiaTheme="majorEastAsia" w:hAnsi="Aptos" w:cstheme="majorBidi"/>
      <w:color w:val="4C94D8"/>
      <w:sz w:val="28"/>
      <w:szCs w:val="28"/>
    </w:rPr>
  </w:style>
  <w:style w:type="character" w:customStyle="1" w:styleId="CommentTextChar1">
    <w:name w:val="Comment Text Char1"/>
    <w:basedOn w:val="DefaultParagraphFont"/>
    <w:uiPriority w:val="99"/>
    <w:rsid w:val="000C62A8"/>
    <w:rPr>
      <w:sz w:val="20"/>
      <w:szCs w:val="20"/>
    </w:rPr>
  </w:style>
  <w:style w:type="paragraph" w:customStyle="1" w:styleId="CommentText1">
    <w:name w:val="Comment Text1"/>
    <w:basedOn w:val="Normal"/>
    <w:next w:val="CommentText"/>
    <w:uiPriority w:val="99"/>
    <w:unhideWhenUsed/>
    <w:rsid w:val="00B723D3"/>
    <w:pPr>
      <w:spacing w:after="160" w:line="240" w:lineRule="auto"/>
    </w:pPr>
    <w:rPr>
      <w:kern w:val="2"/>
      <w:sz w:val="20"/>
      <w:szCs w:val="20"/>
      <w14:ligatures w14:val="standardContextual"/>
    </w:rPr>
  </w:style>
  <w:style w:type="paragraph" w:customStyle="1" w:styleId="CoverBottomLogo">
    <w:name w:val="Cover Bottom Logo"/>
    <w:basedOn w:val="CoverDate"/>
    <w:qFormat/>
    <w:rsid w:val="003C16E1"/>
  </w:style>
  <w:style w:type="paragraph" w:customStyle="1" w:styleId="CoverDistrictName">
    <w:name w:val="Cover District Name"/>
    <w:basedOn w:val="CoverSubtitle"/>
    <w:qFormat/>
    <w:rsid w:val="003C16E1"/>
    <w:pPr>
      <w:spacing w:before="1680"/>
      <w:ind w:left="4032"/>
    </w:pPr>
  </w:style>
  <w:style w:type="paragraph" w:customStyle="1" w:styleId="CoverTopLogo">
    <w:name w:val="Cover Top Logo"/>
    <w:basedOn w:val="CoverSubtitle"/>
    <w:qFormat/>
    <w:rsid w:val="003C16E1"/>
    <w:pPr>
      <w:spacing w:before="480"/>
      <w:ind w:left="-86"/>
    </w:pPr>
    <w:rPr>
      <w:i w:val="0"/>
      <w:iCs/>
    </w:rPr>
  </w:style>
  <w:style w:type="numbering" w:customStyle="1" w:styleId="TableBulletList">
    <w:name w:val="Table Bullet List"/>
    <w:uiPriority w:val="99"/>
    <w:rsid w:val="003C16E1"/>
    <w:pPr>
      <w:numPr>
        <w:numId w:val="9"/>
      </w:numPr>
    </w:pPr>
  </w:style>
  <w:style w:type="paragraph" w:customStyle="1" w:styleId="TableETitles">
    <w:name w:val="Table E Titles"/>
    <w:basedOn w:val="TableTitle0"/>
    <w:qFormat/>
    <w:rsid w:val="003C16E1"/>
    <w:pPr>
      <w:spacing w:line="240" w:lineRule="auto"/>
    </w:pPr>
  </w:style>
  <w:style w:type="paragraph" w:styleId="TableofFigures">
    <w:name w:val="table of figures"/>
    <w:basedOn w:val="Normal"/>
    <w:next w:val="Normal"/>
    <w:uiPriority w:val="99"/>
    <w:unhideWhenUsed/>
    <w:rsid w:val="003C16E1"/>
    <w:pPr>
      <w:ind w:right="720"/>
    </w:pPr>
  </w:style>
  <w:style w:type="paragraph" w:customStyle="1" w:styleId="xxmsonormal">
    <w:name w:val="x_xmsonormal"/>
    <w:basedOn w:val="Normal"/>
    <w:rsid w:val="003C16E1"/>
    <w:pPr>
      <w:spacing w:line="240" w:lineRule="auto"/>
    </w:pPr>
    <w:rPr>
      <w:rFonts w:ascii="Aptos" w:hAnsi="Aptos" w:cs="Aptos"/>
      <w:sz w:val="24"/>
      <w:szCs w:val="24"/>
    </w:rPr>
  </w:style>
  <w:style w:type="table" w:customStyle="1" w:styleId="MSVTable13">
    <w:name w:val="MSV Table 13"/>
    <w:basedOn w:val="TableNormal"/>
    <w:uiPriority w:val="99"/>
    <w:rsid w:val="00BB54CB"/>
    <w:rPr>
      <w:rFonts w:ascii="Franklin Gothic Book" w:eastAsia="Franklin Gothic Book" w:hAnsi="Franklin Gothic Book"/>
      <w:szCs w:val="22"/>
    </w:rPr>
    <w:tblPr>
      <w:tblBorders>
        <w:top w:val="single" w:sz="6" w:space="0" w:color="2F5496"/>
        <w:left w:val="single" w:sz="6" w:space="0" w:color="2F5496"/>
        <w:bottom w:val="single" w:sz="6" w:space="0" w:color="2F5496"/>
        <w:right w:val="single" w:sz="6" w:space="0" w:color="2F5496"/>
        <w:insideH w:val="single" w:sz="6" w:space="0" w:color="2F5496"/>
        <w:insideV w:val="single" w:sz="6" w:space="0" w:color="2F5496"/>
      </w:tblBorders>
      <w:tblCellMar>
        <w:left w:w="58" w:type="dxa"/>
        <w:right w:w="58" w:type="dxa"/>
      </w:tblCellMar>
    </w:tblPr>
    <w:tblStylePr w:type="firstRow">
      <w:rPr>
        <w:color w:val="FFFFFF"/>
      </w:rPr>
      <w:tblPr/>
      <w:tcPr>
        <w:tcBorders>
          <w:insideH w:val="single" w:sz="4" w:space="0" w:color="FFFFFF"/>
          <w:insideV w:val="single" w:sz="4" w:space="0" w:color="FFFFFF"/>
        </w:tcBorders>
        <w:shd w:val="clear" w:color="auto" w:fill="2F549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608">
      <w:bodyDiv w:val="1"/>
      <w:marLeft w:val="0"/>
      <w:marRight w:val="0"/>
      <w:marTop w:val="0"/>
      <w:marBottom w:val="0"/>
      <w:divBdr>
        <w:top w:val="none" w:sz="0" w:space="0" w:color="auto"/>
        <w:left w:val="none" w:sz="0" w:space="0" w:color="auto"/>
        <w:bottom w:val="none" w:sz="0" w:space="0" w:color="auto"/>
        <w:right w:val="none" w:sz="0" w:space="0" w:color="auto"/>
      </w:divBdr>
    </w:div>
    <w:div w:id="6293045">
      <w:marLeft w:val="0"/>
      <w:marRight w:val="0"/>
      <w:marTop w:val="0"/>
      <w:marBottom w:val="0"/>
      <w:divBdr>
        <w:top w:val="none" w:sz="0" w:space="0" w:color="auto"/>
        <w:left w:val="none" w:sz="0" w:space="0" w:color="auto"/>
        <w:bottom w:val="none" w:sz="0" w:space="0" w:color="auto"/>
        <w:right w:val="none" w:sz="0" w:space="0" w:color="auto"/>
      </w:divBdr>
    </w:div>
    <w:div w:id="7222111">
      <w:bodyDiv w:val="1"/>
      <w:marLeft w:val="0"/>
      <w:marRight w:val="0"/>
      <w:marTop w:val="0"/>
      <w:marBottom w:val="0"/>
      <w:divBdr>
        <w:top w:val="none" w:sz="0" w:space="0" w:color="auto"/>
        <w:left w:val="none" w:sz="0" w:space="0" w:color="auto"/>
        <w:bottom w:val="none" w:sz="0" w:space="0" w:color="auto"/>
        <w:right w:val="none" w:sz="0" w:space="0" w:color="auto"/>
      </w:divBdr>
    </w:div>
    <w:div w:id="13265748">
      <w:bodyDiv w:val="1"/>
      <w:marLeft w:val="0"/>
      <w:marRight w:val="0"/>
      <w:marTop w:val="0"/>
      <w:marBottom w:val="0"/>
      <w:divBdr>
        <w:top w:val="none" w:sz="0" w:space="0" w:color="auto"/>
        <w:left w:val="none" w:sz="0" w:space="0" w:color="auto"/>
        <w:bottom w:val="none" w:sz="0" w:space="0" w:color="auto"/>
        <w:right w:val="none" w:sz="0" w:space="0" w:color="auto"/>
      </w:divBdr>
    </w:div>
    <w:div w:id="15159278">
      <w:bodyDiv w:val="1"/>
      <w:marLeft w:val="0"/>
      <w:marRight w:val="0"/>
      <w:marTop w:val="0"/>
      <w:marBottom w:val="0"/>
      <w:divBdr>
        <w:top w:val="none" w:sz="0" w:space="0" w:color="auto"/>
        <w:left w:val="none" w:sz="0" w:space="0" w:color="auto"/>
        <w:bottom w:val="none" w:sz="0" w:space="0" w:color="auto"/>
        <w:right w:val="none" w:sz="0" w:space="0" w:color="auto"/>
      </w:divBdr>
      <w:divsChild>
        <w:div w:id="1201091127">
          <w:marLeft w:val="0"/>
          <w:marRight w:val="0"/>
          <w:marTop w:val="0"/>
          <w:marBottom w:val="0"/>
          <w:divBdr>
            <w:top w:val="none" w:sz="0" w:space="0" w:color="auto"/>
            <w:left w:val="none" w:sz="0" w:space="0" w:color="auto"/>
            <w:bottom w:val="none" w:sz="0" w:space="0" w:color="auto"/>
            <w:right w:val="none" w:sz="0" w:space="0" w:color="auto"/>
          </w:divBdr>
        </w:div>
      </w:divsChild>
    </w:div>
    <w:div w:id="41903607">
      <w:bodyDiv w:val="1"/>
      <w:marLeft w:val="0"/>
      <w:marRight w:val="0"/>
      <w:marTop w:val="0"/>
      <w:marBottom w:val="0"/>
      <w:divBdr>
        <w:top w:val="none" w:sz="0" w:space="0" w:color="auto"/>
        <w:left w:val="none" w:sz="0" w:space="0" w:color="auto"/>
        <w:bottom w:val="none" w:sz="0" w:space="0" w:color="auto"/>
        <w:right w:val="none" w:sz="0" w:space="0" w:color="auto"/>
      </w:divBdr>
      <w:divsChild>
        <w:div w:id="99882893">
          <w:marLeft w:val="0"/>
          <w:marRight w:val="0"/>
          <w:marTop w:val="0"/>
          <w:marBottom w:val="0"/>
          <w:divBdr>
            <w:top w:val="none" w:sz="0" w:space="0" w:color="auto"/>
            <w:left w:val="none" w:sz="0" w:space="0" w:color="auto"/>
            <w:bottom w:val="none" w:sz="0" w:space="0" w:color="auto"/>
            <w:right w:val="none" w:sz="0" w:space="0" w:color="auto"/>
          </w:divBdr>
        </w:div>
      </w:divsChild>
    </w:div>
    <w:div w:id="69692269">
      <w:bodyDiv w:val="1"/>
      <w:marLeft w:val="0"/>
      <w:marRight w:val="0"/>
      <w:marTop w:val="0"/>
      <w:marBottom w:val="0"/>
      <w:divBdr>
        <w:top w:val="none" w:sz="0" w:space="0" w:color="auto"/>
        <w:left w:val="none" w:sz="0" w:space="0" w:color="auto"/>
        <w:bottom w:val="none" w:sz="0" w:space="0" w:color="auto"/>
        <w:right w:val="none" w:sz="0" w:space="0" w:color="auto"/>
      </w:divBdr>
      <w:divsChild>
        <w:div w:id="1043991209">
          <w:marLeft w:val="0"/>
          <w:marRight w:val="0"/>
          <w:marTop w:val="0"/>
          <w:marBottom w:val="0"/>
          <w:divBdr>
            <w:top w:val="none" w:sz="0" w:space="0" w:color="auto"/>
            <w:left w:val="none" w:sz="0" w:space="0" w:color="auto"/>
            <w:bottom w:val="none" w:sz="0" w:space="0" w:color="auto"/>
            <w:right w:val="none" w:sz="0" w:space="0" w:color="auto"/>
          </w:divBdr>
        </w:div>
      </w:divsChild>
    </w:div>
    <w:div w:id="71124735">
      <w:bodyDiv w:val="1"/>
      <w:marLeft w:val="0"/>
      <w:marRight w:val="0"/>
      <w:marTop w:val="0"/>
      <w:marBottom w:val="0"/>
      <w:divBdr>
        <w:top w:val="none" w:sz="0" w:space="0" w:color="auto"/>
        <w:left w:val="none" w:sz="0" w:space="0" w:color="auto"/>
        <w:bottom w:val="none" w:sz="0" w:space="0" w:color="auto"/>
        <w:right w:val="none" w:sz="0" w:space="0" w:color="auto"/>
      </w:divBdr>
      <w:divsChild>
        <w:div w:id="2143769813">
          <w:marLeft w:val="0"/>
          <w:marRight w:val="0"/>
          <w:marTop w:val="0"/>
          <w:marBottom w:val="0"/>
          <w:divBdr>
            <w:top w:val="none" w:sz="0" w:space="0" w:color="auto"/>
            <w:left w:val="none" w:sz="0" w:space="0" w:color="auto"/>
            <w:bottom w:val="none" w:sz="0" w:space="0" w:color="auto"/>
            <w:right w:val="none" w:sz="0" w:space="0" w:color="auto"/>
          </w:divBdr>
        </w:div>
      </w:divsChild>
    </w:div>
    <w:div w:id="92482100">
      <w:bodyDiv w:val="1"/>
      <w:marLeft w:val="0"/>
      <w:marRight w:val="0"/>
      <w:marTop w:val="0"/>
      <w:marBottom w:val="0"/>
      <w:divBdr>
        <w:top w:val="none" w:sz="0" w:space="0" w:color="auto"/>
        <w:left w:val="none" w:sz="0" w:space="0" w:color="auto"/>
        <w:bottom w:val="none" w:sz="0" w:space="0" w:color="auto"/>
        <w:right w:val="none" w:sz="0" w:space="0" w:color="auto"/>
      </w:divBdr>
    </w:div>
    <w:div w:id="105931559">
      <w:bodyDiv w:val="1"/>
      <w:marLeft w:val="0"/>
      <w:marRight w:val="0"/>
      <w:marTop w:val="0"/>
      <w:marBottom w:val="0"/>
      <w:divBdr>
        <w:top w:val="none" w:sz="0" w:space="0" w:color="auto"/>
        <w:left w:val="none" w:sz="0" w:space="0" w:color="auto"/>
        <w:bottom w:val="none" w:sz="0" w:space="0" w:color="auto"/>
        <w:right w:val="none" w:sz="0" w:space="0" w:color="auto"/>
      </w:divBdr>
    </w:div>
    <w:div w:id="112408823">
      <w:bodyDiv w:val="1"/>
      <w:marLeft w:val="0"/>
      <w:marRight w:val="0"/>
      <w:marTop w:val="0"/>
      <w:marBottom w:val="0"/>
      <w:divBdr>
        <w:top w:val="none" w:sz="0" w:space="0" w:color="auto"/>
        <w:left w:val="none" w:sz="0" w:space="0" w:color="auto"/>
        <w:bottom w:val="none" w:sz="0" w:space="0" w:color="auto"/>
        <w:right w:val="none" w:sz="0" w:space="0" w:color="auto"/>
      </w:divBdr>
      <w:divsChild>
        <w:div w:id="691498912">
          <w:marLeft w:val="0"/>
          <w:marRight w:val="0"/>
          <w:marTop w:val="0"/>
          <w:marBottom w:val="0"/>
          <w:divBdr>
            <w:top w:val="none" w:sz="0" w:space="0" w:color="auto"/>
            <w:left w:val="none" w:sz="0" w:space="0" w:color="auto"/>
            <w:bottom w:val="none" w:sz="0" w:space="0" w:color="auto"/>
            <w:right w:val="none" w:sz="0" w:space="0" w:color="auto"/>
          </w:divBdr>
        </w:div>
      </w:divsChild>
    </w:div>
    <w:div w:id="140733573">
      <w:bodyDiv w:val="1"/>
      <w:marLeft w:val="0"/>
      <w:marRight w:val="0"/>
      <w:marTop w:val="0"/>
      <w:marBottom w:val="0"/>
      <w:divBdr>
        <w:top w:val="none" w:sz="0" w:space="0" w:color="auto"/>
        <w:left w:val="none" w:sz="0" w:space="0" w:color="auto"/>
        <w:bottom w:val="none" w:sz="0" w:space="0" w:color="auto"/>
        <w:right w:val="none" w:sz="0" w:space="0" w:color="auto"/>
      </w:divBdr>
      <w:divsChild>
        <w:div w:id="922224347">
          <w:marLeft w:val="0"/>
          <w:marRight w:val="0"/>
          <w:marTop w:val="0"/>
          <w:marBottom w:val="0"/>
          <w:divBdr>
            <w:top w:val="none" w:sz="0" w:space="0" w:color="auto"/>
            <w:left w:val="none" w:sz="0" w:space="0" w:color="auto"/>
            <w:bottom w:val="none" w:sz="0" w:space="0" w:color="auto"/>
            <w:right w:val="none" w:sz="0" w:space="0" w:color="auto"/>
          </w:divBdr>
        </w:div>
      </w:divsChild>
    </w:div>
    <w:div w:id="155540682">
      <w:bodyDiv w:val="1"/>
      <w:marLeft w:val="0"/>
      <w:marRight w:val="0"/>
      <w:marTop w:val="0"/>
      <w:marBottom w:val="0"/>
      <w:divBdr>
        <w:top w:val="none" w:sz="0" w:space="0" w:color="auto"/>
        <w:left w:val="none" w:sz="0" w:space="0" w:color="auto"/>
        <w:bottom w:val="none" w:sz="0" w:space="0" w:color="auto"/>
        <w:right w:val="none" w:sz="0" w:space="0" w:color="auto"/>
      </w:divBdr>
      <w:divsChild>
        <w:div w:id="610741495">
          <w:marLeft w:val="0"/>
          <w:marRight w:val="0"/>
          <w:marTop w:val="0"/>
          <w:marBottom w:val="0"/>
          <w:divBdr>
            <w:top w:val="none" w:sz="0" w:space="0" w:color="auto"/>
            <w:left w:val="none" w:sz="0" w:space="0" w:color="auto"/>
            <w:bottom w:val="none" w:sz="0" w:space="0" w:color="auto"/>
            <w:right w:val="none" w:sz="0" w:space="0" w:color="auto"/>
          </w:divBdr>
        </w:div>
      </w:divsChild>
    </w:div>
    <w:div w:id="189952487">
      <w:bodyDiv w:val="1"/>
      <w:marLeft w:val="0"/>
      <w:marRight w:val="0"/>
      <w:marTop w:val="0"/>
      <w:marBottom w:val="0"/>
      <w:divBdr>
        <w:top w:val="none" w:sz="0" w:space="0" w:color="auto"/>
        <w:left w:val="none" w:sz="0" w:space="0" w:color="auto"/>
        <w:bottom w:val="none" w:sz="0" w:space="0" w:color="auto"/>
        <w:right w:val="none" w:sz="0" w:space="0" w:color="auto"/>
      </w:divBdr>
      <w:divsChild>
        <w:div w:id="866214902">
          <w:marLeft w:val="0"/>
          <w:marRight w:val="0"/>
          <w:marTop w:val="0"/>
          <w:marBottom w:val="0"/>
          <w:divBdr>
            <w:top w:val="none" w:sz="0" w:space="0" w:color="auto"/>
            <w:left w:val="none" w:sz="0" w:space="0" w:color="auto"/>
            <w:bottom w:val="none" w:sz="0" w:space="0" w:color="auto"/>
            <w:right w:val="none" w:sz="0" w:space="0" w:color="auto"/>
          </w:divBdr>
        </w:div>
      </w:divsChild>
    </w:div>
    <w:div w:id="195969642">
      <w:bodyDiv w:val="1"/>
      <w:marLeft w:val="0"/>
      <w:marRight w:val="0"/>
      <w:marTop w:val="0"/>
      <w:marBottom w:val="0"/>
      <w:divBdr>
        <w:top w:val="none" w:sz="0" w:space="0" w:color="auto"/>
        <w:left w:val="none" w:sz="0" w:space="0" w:color="auto"/>
        <w:bottom w:val="none" w:sz="0" w:space="0" w:color="auto"/>
        <w:right w:val="none" w:sz="0" w:space="0" w:color="auto"/>
      </w:divBdr>
    </w:div>
    <w:div w:id="208957456">
      <w:bodyDiv w:val="1"/>
      <w:marLeft w:val="0"/>
      <w:marRight w:val="0"/>
      <w:marTop w:val="0"/>
      <w:marBottom w:val="0"/>
      <w:divBdr>
        <w:top w:val="none" w:sz="0" w:space="0" w:color="auto"/>
        <w:left w:val="none" w:sz="0" w:space="0" w:color="auto"/>
        <w:bottom w:val="none" w:sz="0" w:space="0" w:color="auto"/>
        <w:right w:val="none" w:sz="0" w:space="0" w:color="auto"/>
      </w:divBdr>
      <w:divsChild>
        <w:div w:id="1158692842">
          <w:marLeft w:val="0"/>
          <w:marRight w:val="0"/>
          <w:marTop w:val="0"/>
          <w:marBottom w:val="0"/>
          <w:divBdr>
            <w:top w:val="none" w:sz="0" w:space="0" w:color="auto"/>
            <w:left w:val="none" w:sz="0" w:space="0" w:color="auto"/>
            <w:bottom w:val="none" w:sz="0" w:space="0" w:color="auto"/>
            <w:right w:val="none" w:sz="0" w:space="0" w:color="auto"/>
          </w:divBdr>
        </w:div>
      </w:divsChild>
    </w:div>
    <w:div w:id="227300724">
      <w:bodyDiv w:val="1"/>
      <w:marLeft w:val="0"/>
      <w:marRight w:val="0"/>
      <w:marTop w:val="0"/>
      <w:marBottom w:val="0"/>
      <w:divBdr>
        <w:top w:val="none" w:sz="0" w:space="0" w:color="auto"/>
        <w:left w:val="none" w:sz="0" w:space="0" w:color="auto"/>
        <w:bottom w:val="none" w:sz="0" w:space="0" w:color="auto"/>
        <w:right w:val="none" w:sz="0" w:space="0" w:color="auto"/>
      </w:divBdr>
      <w:divsChild>
        <w:div w:id="509874204">
          <w:marLeft w:val="0"/>
          <w:marRight w:val="0"/>
          <w:marTop w:val="0"/>
          <w:marBottom w:val="0"/>
          <w:divBdr>
            <w:top w:val="none" w:sz="0" w:space="0" w:color="auto"/>
            <w:left w:val="none" w:sz="0" w:space="0" w:color="auto"/>
            <w:bottom w:val="none" w:sz="0" w:space="0" w:color="auto"/>
            <w:right w:val="none" w:sz="0" w:space="0" w:color="auto"/>
          </w:divBdr>
        </w:div>
      </w:divsChild>
    </w:div>
    <w:div w:id="239993231">
      <w:bodyDiv w:val="1"/>
      <w:marLeft w:val="0"/>
      <w:marRight w:val="0"/>
      <w:marTop w:val="0"/>
      <w:marBottom w:val="0"/>
      <w:divBdr>
        <w:top w:val="none" w:sz="0" w:space="0" w:color="auto"/>
        <w:left w:val="none" w:sz="0" w:space="0" w:color="auto"/>
        <w:bottom w:val="none" w:sz="0" w:space="0" w:color="auto"/>
        <w:right w:val="none" w:sz="0" w:space="0" w:color="auto"/>
      </w:divBdr>
      <w:divsChild>
        <w:div w:id="2137143554">
          <w:marLeft w:val="0"/>
          <w:marRight w:val="0"/>
          <w:marTop w:val="0"/>
          <w:marBottom w:val="0"/>
          <w:divBdr>
            <w:top w:val="none" w:sz="0" w:space="0" w:color="auto"/>
            <w:left w:val="none" w:sz="0" w:space="0" w:color="auto"/>
            <w:bottom w:val="none" w:sz="0" w:space="0" w:color="auto"/>
            <w:right w:val="none" w:sz="0" w:space="0" w:color="auto"/>
          </w:divBdr>
        </w:div>
      </w:divsChild>
    </w:div>
    <w:div w:id="243413519">
      <w:bodyDiv w:val="1"/>
      <w:marLeft w:val="0"/>
      <w:marRight w:val="0"/>
      <w:marTop w:val="0"/>
      <w:marBottom w:val="0"/>
      <w:divBdr>
        <w:top w:val="none" w:sz="0" w:space="0" w:color="auto"/>
        <w:left w:val="none" w:sz="0" w:space="0" w:color="auto"/>
        <w:bottom w:val="none" w:sz="0" w:space="0" w:color="auto"/>
        <w:right w:val="none" w:sz="0" w:space="0" w:color="auto"/>
      </w:divBdr>
      <w:divsChild>
        <w:div w:id="522329095">
          <w:marLeft w:val="0"/>
          <w:marRight w:val="0"/>
          <w:marTop w:val="0"/>
          <w:marBottom w:val="0"/>
          <w:divBdr>
            <w:top w:val="none" w:sz="0" w:space="0" w:color="auto"/>
            <w:left w:val="none" w:sz="0" w:space="0" w:color="auto"/>
            <w:bottom w:val="none" w:sz="0" w:space="0" w:color="auto"/>
            <w:right w:val="none" w:sz="0" w:space="0" w:color="auto"/>
          </w:divBdr>
        </w:div>
        <w:div w:id="946160782">
          <w:marLeft w:val="0"/>
          <w:marRight w:val="0"/>
          <w:marTop w:val="0"/>
          <w:marBottom w:val="0"/>
          <w:divBdr>
            <w:top w:val="none" w:sz="0" w:space="0" w:color="auto"/>
            <w:left w:val="none" w:sz="0" w:space="0" w:color="auto"/>
            <w:bottom w:val="none" w:sz="0" w:space="0" w:color="auto"/>
            <w:right w:val="none" w:sz="0" w:space="0" w:color="auto"/>
          </w:divBdr>
          <w:divsChild>
            <w:div w:id="59602790">
              <w:marLeft w:val="0"/>
              <w:marRight w:val="0"/>
              <w:marTop w:val="30"/>
              <w:marBottom w:val="30"/>
              <w:divBdr>
                <w:top w:val="none" w:sz="0" w:space="0" w:color="auto"/>
                <w:left w:val="none" w:sz="0" w:space="0" w:color="auto"/>
                <w:bottom w:val="none" w:sz="0" w:space="0" w:color="auto"/>
                <w:right w:val="none" w:sz="0" w:space="0" w:color="auto"/>
              </w:divBdr>
              <w:divsChild>
                <w:div w:id="46953574">
                  <w:marLeft w:val="0"/>
                  <w:marRight w:val="0"/>
                  <w:marTop w:val="0"/>
                  <w:marBottom w:val="0"/>
                  <w:divBdr>
                    <w:top w:val="none" w:sz="0" w:space="0" w:color="auto"/>
                    <w:left w:val="none" w:sz="0" w:space="0" w:color="auto"/>
                    <w:bottom w:val="none" w:sz="0" w:space="0" w:color="auto"/>
                    <w:right w:val="none" w:sz="0" w:space="0" w:color="auto"/>
                  </w:divBdr>
                  <w:divsChild>
                    <w:div w:id="169372403">
                      <w:marLeft w:val="0"/>
                      <w:marRight w:val="0"/>
                      <w:marTop w:val="0"/>
                      <w:marBottom w:val="0"/>
                      <w:divBdr>
                        <w:top w:val="none" w:sz="0" w:space="0" w:color="auto"/>
                        <w:left w:val="none" w:sz="0" w:space="0" w:color="auto"/>
                        <w:bottom w:val="none" w:sz="0" w:space="0" w:color="auto"/>
                        <w:right w:val="none" w:sz="0" w:space="0" w:color="auto"/>
                      </w:divBdr>
                    </w:div>
                  </w:divsChild>
                </w:div>
                <w:div w:id="248733213">
                  <w:marLeft w:val="0"/>
                  <w:marRight w:val="0"/>
                  <w:marTop w:val="0"/>
                  <w:marBottom w:val="0"/>
                  <w:divBdr>
                    <w:top w:val="none" w:sz="0" w:space="0" w:color="auto"/>
                    <w:left w:val="none" w:sz="0" w:space="0" w:color="auto"/>
                    <w:bottom w:val="none" w:sz="0" w:space="0" w:color="auto"/>
                    <w:right w:val="none" w:sz="0" w:space="0" w:color="auto"/>
                  </w:divBdr>
                  <w:divsChild>
                    <w:div w:id="104430070">
                      <w:marLeft w:val="0"/>
                      <w:marRight w:val="0"/>
                      <w:marTop w:val="0"/>
                      <w:marBottom w:val="0"/>
                      <w:divBdr>
                        <w:top w:val="none" w:sz="0" w:space="0" w:color="auto"/>
                        <w:left w:val="none" w:sz="0" w:space="0" w:color="auto"/>
                        <w:bottom w:val="none" w:sz="0" w:space="0" w:color="auto"/>
                        <w:right w:val="none" w:sz="0" w:space="0" w:color="auto"/>
                      </w:divBdr>
                    </w:div>
                  </w:divsChild>
                </w:div>
                <w:div w:id="493883196">
                  <w:marLeft w:val="0"/>
                  <w:marRight w:val="0"/>
                  <w:marTop w:val="0"/>
                  <w:marBottom w:val="0"/>
                  <w:divBdr>
                    <w:top w:val="none" w:sz="0" w:space="0" w:color="auto"/>
                    <w:left w:val="none" w:sz="0" w:space="0" w:color="auto"/>
                    <w:bottom w:val="none" w:sz="0" w:space="0" w:color="auto"/>
                    <w:right w:val="none" w:sz="0" w:space="0" w:color="auto"/>
                  </w:divBdr>
                  <w:divsChild>
                    <w:div w:id="1109277324">
                      <w:marLeft w:val="0"/>
                      <w:marRight w:val="0"/>
                      <w:marTop w:val="0"/>
                      <w:marBottom w:val="0"/>
                      <w:divBdr>
                        <w:top w:val="none" w:sz="0" w:space="0" w:color="auto"/>
                        <w:left w:val="none" w:sz="0" w:space="0" w:color="auto"/>
                        <w:bottom w:val="none" w:sz="0" w:space="0" w:color="auto"/>
                        <w:right w:val="none" w:sz="0" w:space="0" w:color="auto"/>
                      </w:divBdr>
                    </w:div>
                  </w:divsChild>
                </w:div>
                <w:div w:id="510606765">
                  <w:marLeft w:val="0"/>
                  <w:marRight w:val="0"/>
                  <w:marTop w:val="0"/>
                  <w:marBottom w:val="0"/>
                  <w:divBdr>
                    <w:top w:val="none" w:sz="0" w:space="0" w:color="auto"/>
                    <w:left w:val="none" w:sz="0" w:space="0" w:color="auto"/>
                    <w:bottom w:val="none" w:sz="0" w:space="0" w:color="auto"/>
                    <w:right w:val="none" w:sz="0" w:space="0" w:color="auto"/>
                  </w:divBdr>
                  <w:divsChild>
                    <w:div w:id="1646736275">
                      <w:marLeft w:val="0"/>
                      <w:marRight w:val="0"/>
                      <w:marTop w:val="0"/>
                      <w:marBottom w:val="0"/>
                      <w:divBdr>
                        <w:top w:val="none" w:sz="0" w:space="0" w:color="auto"/>
                        <w:left w:val="none" w:sz="0" w:space="0" w:color="auto"/>
                        <w:bottom w:val="none" w:sz="0" w:space="0" w:color="auto"/>
                        <w:right w:val="none" w:sz="0" w:space="0" w:color="auto"/>
                      </w:divBdr>
                    </w:div>
                  </w:divsChild>
                </w:div>
                <w:div w:id="547569647">
                  <w:marLeft w:val="0"/>
                  <w:marRight w:val="0"/>
                  <w:marTop w:val="0"/>
                  <w:marBottom w:val="0"/>
                  <w:divBdr>
                    <w:top w:val="none" w:sz="0" w:space="0" w:color="auto"/>
                    <w:left w:val="none" w:sz="0" w:space="0" w:color="auto"/>
                    <w:bottom w:val="none" w:sz="0" w:space="0" w:color="auto"/>
                    <w:right w:val="none" w:sz="0" w:space="0" w:color="auto"/>
                  </w:divBdr>
                  <w:divsChild>
                    <w:div w:id="2089879643">
                      <w:marLeft w:val="0"/>
                      <w:marRight w:val="0"/>
                      <w:marTop w:val="0"/>
                      <w:marBottom w:val="0"/>
                      <w:divBdr>
                        <w:top w:val="none" w:sz="0" w:space="0" w:color="auto"/>
                        <w:left w:val="none" w:sz="0" w:space="0" w:color="auto"/>
                        <w:bottom w:val="none" w:sz="0" w:space="0" w:color="auto"/>
                        <w:right w:val="none" w:sz="0" w:space="0" w:color="auto"/>
                      </w:divBdr>
                    </w:div>
                  </w:divsChild>
                </w:div>
                <w:div w:id="643392261">
                  <w:marLeft w:val="0"/>
                  <w:marRight w:val="0"/>
                  <w:marTop w:val="0"/>
                  <w:marBottom w:val="0"/>
                  <w:divBdr>
                    <w:top w:val="none" w:sz="0" w:space="0" w:color="auto"/>
                    <w:left w:val="none" w:sz="0" w:space="0" w:color="auto"/>
                    <w:bottom w:val="none" w:sz="0" w:space="0" w:color="auto"/>
                    <w:right w:val="none" w:sz="0" w:space="0" w:color="auto"/>
                  </w:divBdr>
                  <w:divsChild>
                    <w:div w:id="1064183531">
                      <w:marLeft w:val="0"/>
                      <w:marRight w:val="0"/>
                      <w:marTop w:val="0"/>
                      <w:marBottom w:val="0"/>
                      <w:divBdr>
                        <w:top w:val="none" w:sz="0" w:space="0" w:color="auto"/>
                        <w:left w:val="none" w:sz="0" w:space="0" w:color="auto"/>
                        <w:bottom w:val="none" w:sz="0" w:space="0" w:color="auto"/>
                        <w:right w:val="none" w:sz="0" w:space="0" w:color="auto"/>
                      </w:divBdr>
                    </w:div>
                  </w:divsChild>
                </w:div>
                <w:div w:id="658113519">
                  <w:marLeft w:val="0"/>
                  <w:marRight w:val="0"/>
                  <w:marTop w:val="0"/>
                  <w:marBottom w:val="0"/>
                  <w:divBdr>
                    <w:top w:val="none" w:sz="0" w:space="0" w:color="auto"/>
                    <w:left w:val="none" w:sz="0" w:space="0" w:color="auto"/>
                    <w:bottom w:val="none" w:sz="0" w:space="0" w:color="auto"/>
                    <w:right w:val="none" w:sz="0" w:space="0" w:color="auto"/>
                  </w:divBdr>
                  <w:divsChild>
                    <w:div w:id="635259710">
                      <w:marLeft w:val="0"/>
                      <w:marRight w:val="0"/>
                      <w:marTop w:val="0"/>
                      <w:marBottom w:val="0"/>
                      <w:divBdr>
                        <w:top w:val="none" w:sz="0" w:space="0" w:color="auto"/>
                        <w:left w:val="none" w:sz="0" w:space="0" w:color="auto"/>
                        <w:bottom w:val="none" w:sz="0" w:space="0" w:color="auto"/>
                        <w:right w:val="none" w:sz="0" w:space="0" w:color="auto"/>
                      </w:divBdr>
                    </w:div>
                  </w:divsChild>
                </w:div>
                <w:div w:id="970793431">
                  <w:marLeft w:val="0"/>
                  <w:marRight w:val="0"/>
                  <w:marTop w:val="0"/>
                  <w:marBottom w:val="0"/>
                  <w:divBdr>
                    <w:top w:val="none" w:sz="0" w:space="0" w:color="auto"/>
                    <w:left w:val="none" w:sz="0" w:space="0" w:color="auto"/>
                    <w:bottom w:val="none" w:sz="0" w:space="0" w:color="auto"/>
                    <w:right w:val="none" w:sz="0" w:space="0" w:color="auto"/>
                  </w:divBdr>
                  <w:divsChild>
                    <w:div w:id="1022127553">
                      <w:marLeft w:val="0"/>
                      <w:marRight w:val="0"/>
                      <w:marTop w:val="0"/>
                      <w:marBottom w:val="0"/>
                      <w:divBdr>
                        <w:top w:val="none" w:sz="0" w:space="0" w:color="auto"/>
                        <w:left w:val="none" w:sz="0" w:space="0" w:color="auto"/>
                        <w:bottom w:val="none" w:sz="0" w:space="0" w:color="auto"/>
                        <w:right w:val="none" w:sz="0" w:space="0" w:color="auto"/>
                      </w:divBdr>
                    </w:div>
                  </w:divsChild>
                </w:div>
                <w:div w:id="1025131569">
                  <w:marLeft w:val="0"/>
                  <w:marRight w:val="0"/>
                  <w:marTop w:val="0"/>
                  <w:marBottom w:val="0"/>
                  <w:divBdr>
                    <w:top w:val="none" w:sz="0" w:space="0" w:color="auto"/>
                    <w:left w:val="none" w:sz="0" w:space="0" w:color="auto"/>
                    <w:bottom w:val="none" w:sz="0" w:space="0" w:color="auto"/>
                    <w:right w:val="none" w:sz="0" w:space="0" w:color="auto"/>
                  </w:divBdr>
                  <w:divsChild>
                    <w:div w:id="37516281">
                      <w:marLeft w:val="0"/>
                      <w:marRight w:val="0"/>
                      <w:marTop w:val="0"/>
                      <w:marBottom w:val="0"/>
                      <w:divBdr>
                        <w:top w:val="none" w:sz="0" w:space="0" w:color="auto"/>
                        <w:left w:val="none" w:sz="0" w:space="0" w:color="auto"/>
                        <w:bottom w:val="none" w:sz="0" w:space="0" w:color="auto"/>
                        <w:right w:val="none" w:sz="0" w:space="0" w:color="auto"/>
                      </w:divBdr>
                    </w:div>
                  </w:divsChild>
                </w:div>
                <w:div w:id="1136869665">
                  <w:marLeft w:val="0"/>
                  <w:marRight w:val="0"/>
                  <w:marTop w:val="0"/>
                  <w:marBottom w:val="0"/>
                  <w:divBdr>
                    <w:top w:val="none" w:sz="0" w:space="0" w:color="auto"/>
                    <w:left w:val="none" w:sz="0" w:space="0" w:color="auto"/>
                    <w:bottom w:val="none" w:sz="0" w:space="0" w:color="auto"/>
                    <w:right w:val="none" w:sz="0" w:space="0" w:color="auto"/>
                  </w:divBdr>
                  <w:divsChild>
                    <w:div w:id="385225037">
                      <w:marLeft w:val="0"/>
                      <w:marRight w:val="0"/>
                      <w:marTop w:val="0"/>
                      <w:marBottom w:val="0"/>
                      <w:divBdr>
                        <w:top w:val="none" w:sz="0" w:space="0" w:color="auto"/>
                        <w:left w:val="none" w:sz="0" w:space="0" w:color="auto"/>
                        <w:bottom w:val="none" w:sz="0" w:space="0" w:color="auto"/>
                        <w:right w:val="none" w:sz="0" w:space="0" w:color="auto"/>
                      </w:divBdr>
                    </w:div>
                  </w:divsChild>
                </w:div>
                <w:div w:id="1182431577">
                  <w:marLeft w:val="0"/>
                  <w:marRight w:val="0"/>
                  <w:marTop w:val="0"/>
                  <w:marBottom w:val="0"/>
                  <w:divBdr>
                    <w:top w:val="none" w:sz="0" w:space="0" w:color="auto"/>
                    <w:left w:val="none" w:sz="0" w:space="0" w:color="auto"/>
                    <w:bottom w:val="none" w:sz="0" w:space="0" w:color="auto"/>
                    <w:right w:val="none" w:sz="0" w:space="0" w:color="auto"/>
                  </w:divBdr>
                  <w:divsChild>
                    <w:div w:id="1488126487">
                      <w:marLeft w:val="0"/>
                      <w:marRight w:val="0"/>
                      <w:marTop w:val="0"/>
                      <w:marBottom w:val="0"/>
                      <w:divBdr>
                        <w:top w:val="none" w:sz="0" w:space="0" w:color="auto"/>
                        <w:left w:val="none" w:sz="0" w:space="0" w:color="auto"/>
                        <w:bottom w:val="none" w:sz="0" w:space="0" w:color="auto"/>
                        <w:right w:val="none" w:sz="0" w:space="0" w:color="auto"/>
                      </w:divBdr>
                    </w:div>
                  </w:divsChild>
                </w:div>
                <w:div w:id="1187447496">
                  <w:marLeft w:val="0"/>
                  <w:marRight w:val="0"/>
                  <w:marTop w:val="0"/>
                  <w:marBottom w:val="0"/>
                  <w:divBdr>
                    <w:top w:val="none" w:sz="0" w:space="0" w:color="auto"/>
                    <w:left w:val="none" w:sz="0" w:space="0" w:color="auto"/>
                    <w:bottom w:val="none" w:sz="0" w:space="0" w:color="auto"/>
                    <w:right w:val="none" w:sz="0" w:space="0" w:color="auto"/>
                  </w:divBdr>
                  <w:divsChild>
                    <w:div w:id="246767828">
                      <w:marLeft w:val="0"/>
                      <w:marRight w:val="0"/>
                      <w:marTop w:val="0"/>
                      <w:marBottom w:val="0"/>
                      <w:divBdr>
                        <w:top w:val="none" w:sz="0" w:space="0" w:color="auto"/>
                        <w:left w:val="none" w:sz="0" w:space="0" w:color="auto"/>
                        <w:bottom w:val="none" w:sz="0" w:space="0" w:color="auto"/>
                        <w:right w:val="none" w:sz="0" w:space="0" w:color="auto"/>
                      </w:divBdr>
                    </w:div>
                  </w:divsChild>
                </w:div>
                <w:div w:id="1552233259">
                  <w:marLeft w:val="0"/>
                  <w:marRight w:val="0"/>
                  <w:marTop w:val="0"/>
                  <w:marBottom w:val="0"/>
                  <w:divBdr>
                    <w:top w:val="none" w:sz="0" w:space="0" w:color="auto"/>
                    <w:left w:val="none" w:sz="0" w:space="0" w:color="auto"/>
                    <w:bottom w:val="none" w:sz="0" w:space="0" w:color="auto"/>
                    <w:right w:val="none" w:sz="0" w:space="0" w:color="auto"/>
                  </w:divBdr>
                  <w:divsChild>
                    <w:div w:id="798304571">
                      <w:marLeft w:val="0"/>
                      <w:marRight w:val="0"/>
                      <w:marTop w:val="0"/>
                      <w:marBottom w:val="0"/>
                      <w:divBdr>
                        <w:top w:val="none" w:sz="0" w:space="0" w:color="auto"/>
                        <w:left w:val="none" w:sz="0" w:space="0" w:color="auto"/>
                        <w:bottom w:val="none" w:sz="0" w:space="0" w:color="auto"/>
                        <w:right w:val="none" w:sz="0" w:space="0" w:color="auto"/>
                      </w:divBdr>
                    </w:div>
                  </w:divsChild>
                </w:div>
                <w:div w:id="1564952962">
                  <w:marLeft w:val="0"/>
                  <w:marRight w:val="0"/>
                  <w:marTop w:val="0"/>
                  <w:marBottom w:val="0"/>
                  <w:divBdr>
                    <w:top w:val="none" w:sz="0" w:space="0" w:color="auto"/>
                    <w:left w:val="none" w:sz="0" w:space="0" w:color="auto"/>
                    <w:bottom w:val="none" w:sz="0" w:space="0" w:color="auto"/>
                    <w:right w:val="none" w:sz="0" w:space="0" w:color="auto"/>
                  </w:divBdr>
                  <w:divsChild>
                    <w:div w:id="784932969">
                      <w:marLeft w:val="0"/>
                      <w:marRight w:val="0"/>
                      <w:marTop w:val="0"/>
                      <w:marBottom w:val="0"/>
                      <w:divBdr>
                        <w:top w:val="none" w:sz="0" w:space="0" w:color="auto"/>
                        <w:left w:val="none" w:sz="0" w:space="0" w:color="auto"/>
                        <w:bottom w:val="none" w:sz="0" w:space="0" w:color="auto"/>
                        <w:right w:val="none" w:sz="0" w:space="0" w:color="auto"/>
                      </w:divBdr>
                    </w:div>
                  </w:divsChild>
                </w:div>
                <w:div w:id="1704748736">
                  <w:marLeft w:val="0"/>
                  <w:marRight w:val="0"/>
                  <w:marTop w:val="0"/>
                  <w:marBottom w:val="0"/>
                  <w:divBdr>
                    <w:top w:val="none" w:sz="0" w:space="0" w:color="auto"/>
                    <w:left w:val="none" w:sz="0" w:space="0" w:color="auto"/>
                    <w:bottom w:val="none" w:sz="0" w:space="0" w:color="auto"/>
                    <w:right w:val="none" w:sz="0" w:space="0" w:color="auto"/>
                  </w:divBdr>
                  <w:divsChild>
                    <w:div w:id="1189445123">
                      <w:marLeft w:val="0"/>
                      <w:marRight w:val="0"/>
                      <w:marTop w:val="0"/>
                      <w:marBottom w:val="0"/>
                      <w:divBdr>
                        <w:top w:val="none" w:sz="0" w:space="0" w:color="auto"/>
                        <w:left w:val="none" w:sz="0" w:space="0" w:color="auto"/>
                        <w:bottom w:val="none" w:sz="0" w:space="0" w:color="auto"/>
                        <w:right w:val="none" w:sz="0" w:space="0" w:color="auto"/>
                      </w:divBdr>
                    </w:div>
                  </w:divsChild>
                </w:div>
                <w:div w:id="1754886942">
                  <w:marLeft w:val="0"/>
                  <w:marRight w:val="0"/>
                  <w:marTop w:val="0"/>
                  <w:marBottom w:val="0"/>
                  <w:divBdr>
                    <w:top w:val="none" w:sz="0" w:space="0" w:color="auto"/>
                    <w:left w:val="none" w:sz="0" w:space="0" w:color="auto"/>
                    <w:bottom w:val="none" w:sz="0" w:space="0" w:color="auto"/>
                    <w:right w:val="none" w:sz="0" w:space="0" w:color="auto"/>
                  </w:divBdr>
                  <w:divsChild>
                    <w:div w:id="686757932">
                      <w:marLeft w:val="0"/>
                      <w:marRight w:val="0"/>
                      <w:marTop w:val="0"/>
                      <w:marBottom w:val="0"/>
                      <w:divBdr>
                        <w:top w:val="none" w:sz="0" w:space="0" w:color="auto"/>
                        <w:left w:val="none" w:sz="0" w:space="0" w:color="auto"/>
                        <w:bottom w:val="none" w:sz="0" w:space="0" w:color="auto"/>
                        <w:right w:val="none" w:sz="0" w:space="0" w:color="auto"/>
                      </w:divBdr>
                    </w:div>
                  </w:divsChild>
                </w:div>
                <w:div w:id="1760373444">
                  <w:marLeft w:val="0"/>
                  <w:marRight w:val="0"/>
                  <w:marTop w:val="0"/>
                  <w:marBottom w:val="0"/>
                  <w:divBdr>
                    <w:top w:val="none" w:sz="0" w:space="0" w:color="auto"/>
                    <w:left w:val="none" w:sz="0" w:space="0" w:color="auto"/>
                    <w:bottom w:val="none" w:sz="0" w:space="0" w:color="auto"/>
                    <w:right w:val="none" w:sz="0" w:space="0" w:color="auto"/>
                  </w:divBdr>
                  <w:divsChild>
                    <w:div w:id="1273787142">
                      <w:marLeft w:val="0"/>
                      <w:marRight w:val="0"/>
                      <w:marTop w:val="0"/>
                      <w:marBottom w:val="0"/>
                      <w:divBdr>
                        <w:top w:val="none" w:sz="0" w:space="0" w:color="auto"/>
                        <w:left w:val="none" w:sz="0" w:space="0" w:color="auto"/>
                        <w:bottom w:val="none" w:sz="0" w:space="0" w:color="auto"/>
                        <w:right w:val="none" w:sz="0" w:space="0" w:color="auto"/>
                      </w:divBdr>
                    </w:div>
                  </w:divsChild>
                </w:div>
                <w:div w:id="1943804895">
                  <w:marLeft w:val="0"/>
                  <w:marRight w:val="0"/>
                  <w:marTop w:val="0"/>
                  <w:marBottom w:val="0"/>
                  <w:divBdr>
                    <w:top w:val="none" w:sz="0" w:space="0" w:color="auto"/>
                    <w:left w:val="none" w:sz="0" w:space="0" w:color="auto"/>
                    <w:bottom w:val="none" w:sz="0" w:space="0" w:color="auto"/>
                    <w:right w:val="none" w:sz="0" w:space="0" w:color="auto"/>
                  </w:divBdr>
                  <w:divsChild>
                    <w:div w:id="1924140136">
                      <w:marLeft w:val="0"/>
                      <w:marRight w:val="0"/>
                      <w:marTop w:val="0"/>
                      <w:marBottom w:val="0"/>
                      <w:divBdr>
                        <w:top w:val="none" w:sz="0" w:space="0" w:color="auto"/>
                        <w:left w:val="none" w:sz="0" w:space="0" w:color="auto"/>
                        <w:bottom w:val="none" w:sz="0" w:space="0" w:color="auto"/>
                        <w:right w:val="none" w:sz="0" w:space="0" w:color="auto"/>
                      </w:divBdr>
                    </w:div>
                  </w:divsChild>
                </w:div>
                <w:div w:id="1978147700">
                  <w:marLeft w:val="0"/>
                  <w:marRight w:val="0"/>
                  <w:marTop w:val="0"/>
                  <w:marBottom w:val="0"/>
                  <w:divBdr>
                    <w:top w:val="none" w:sz="0" w:space="0" w:color="auto"/>
                    <w:left w:val="none" w:sz="0" w:space="0" w:color="auto"/>
                    <w:bottom w:val="none" w:sz="0" w:space="0" w:color="auto"/>
                    <w:right w:val="none" w:sz="0" w:space="0" w:color="auto"/>
                  </w:divBdr>
                  <w:divsChild>
                    <w:div w:id="1840391891">
                      <w:marLeft w:val="0"/>
                      <w:marRight w:val="0"/>
                      <w:marTop w:val="0"/>
                      <w:marBottom w:val="0"/>
                      <w:divBdr>
                        <w:top w:val="none" w:sz="0" w:space="0" w:color="auto"/>
                        <w:left w:val="none" w:sz="0" w:space="0" w:color="auto"/>
                        <w:bottom w:val="none" w:sz="0" w:space="0" w:color="auto"/>
                        <w:right w:val="none" w:sz="0" w:space="0" w:color="auto"/>
                      </w:divBdr>
                    </w:div>
                  </w:divsChild>
                </w:div>
                <w:div w:id="2100517816">
                  <w:marLeft w:val="0"/>
                  <w:marRight w:val="0"/>
                  <w:marTop w:val="0"/>
                  <w:marBottom w:val="0"/>
                  <w:divBdr>
                    <w:top w:val="none" w:sz="0" w:space="0" w:color="auto"/>
                    <w:left w:val="none" w:sz="0" w:space="0" w:color="auto"/>
                    <w:bottom w:val="none" w:sz="0" w:space="0" w:color="auto"/>
                    <w:right w:val="none" w:sz="0" w:space="0" w:color="auto"/>
                  </w:divBdr>
                  <w:divsChild>
                    <w:div w:id="67260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140056">
          <w:marLeft w:val="0"/>
          <w:marRight w:val="0"/>
          <w:marTop w:val="0"/>
          <w:marBottom w:val="0"/>
          <w:divBdr>
            <w:top w:val="none" w:sz="0" w:space="0" w:color="auto"/>
            <w:left w:val="none" w:sz="0" w:space="0" w:color="auto"/>
            <w:bottom w:val="none" w:sz="0" w:space="0" w:color="auto"/>
            <w:right w:val="none" w:sz="0" w:space="0" w:color="auto"/>
          </w:divBdr>
        </w:div>
      </w:divsChild>
    </w:div>
    <w:div w:id="244341958">
      <w:bodyDiv w:val="1"/>
      <w:marLeft w:val="0"/>
      <w:marRight w:val="0"/>
      <w:marTop w:val="0"/>
      <w:marBottom w:val="0"/>
      <w:divBdr>
        <w:top w:val="none" w:sz="0" w:space="0" w:color="auto"/>
        <w:left w:val="none" w:sz="0" w:space="0" w:color="auto"/>
        <w:bottom w:val="none" w:sz="0" w:space="0" w:color="auto"/>
        <w:right w:val="none" w:sz="0" w:space="0" w:color="auto"/>
      </w:divBdr>
    </w:div>
    <w:div w:id="271865793">
      <w:bodyDiv w:val="1"/>
      <w:marLeft w:val="0"/>
      <w:marRight w:val="0"/>
      <w:marTop w:val="0"/>
      <w:marBottom w:val="0"/>
      <w:divBdr>
        <w:top w:val="none" w:sz="0" w:space="0" w:color="auto"/>
        <w:left w:val="none" w:sz="0" w:space="0" w:color="auto"/>
        <w:bottom w:val="none" w:sz="0" w:space="0" w:color="auto"/>
        <w:right w:val="none" w:sz="0" w:space="0" w:color="auto"/>
      </w:divBdr>
      <w:divsChild>
        <w:div w:id="227348581">
          <w:marLeft w:val="0"/>
          <w:marRight w:val="0"/>
          <w:marTop w:val="0"/>
          <w:marBottom w:val="0"/>
          <w:divBdr>
            <w:top w:val="none" w:sz="0" w:space="0" w:color="auto"/>
            <w:left w:val="none" w:sz="0" w:space="0" w:color="auto"/>
            <w:bottom w:val="none" w:sz="0" w:space="0" w:color="auto"/>
            <w:right w:val="none" w:sz="0" w:space="0" w:color="auto"/>
          </w:divBdr>
        </w:div>
      </w:divsChild>
    </w:div>
    <w:div w:id="286279493">
      <w:bodyDiv w:val="1"/>
      <w:marLeft w:val="0"/>
      <w:marRight w:val="0"/>
      <w:marTop w:val="0"/>
      <w:marBottom w:val="0"/>
      <w:divBdr>
        <w:top w:val="none" w:sz="0" w:space="0" w:color="auto"/>
        <w:left w:val="none" w:sz="0" w:space="0" w:color="auto"/>
        <w:bottom w:val="none" w:sz="0" w:space="0" w:color="auto"/>
        <w:right w:val="none" w:sz="0" w:space="0" w:color="auto"/>
      </w:divBdr>
      <w:divsChild>
        <w:div w:id="483281115">
          <w:marLeft w:val="0"/>
          <w:marRight w:val="0"/>
          <w:marTop w:val="0"/>
          <w:marBottom w:val="0"/>
          <w:divBdr>
            <w:top w:val="none" w:sz="0" w:space="0" w:color="auto"/>
            <w:left w:val="none" w:sz="0" w:space="0" w:color="auto"/>
            <w:bottom w:val="none" w:sz="0" w:space="0" w:color="auto"/>
            <w:right w:val="none" w:sz="0" w:space="0" w:color="auto"/>
          </w:divBdr>
        </w:div>
      </w:divsChild>
    </w:div>
    <w:div w:id="318382555">
      <w:bodyDiv w:val="1"/>
      <w:marLeft w:val="0"/>
      <w:marRight w:val="0"/>
      <w:marTop w:val="0"/>
      <w:marBottom w:val="0"/>
      <w:divBdr>
        <w:top w:val="none" w:sz="0" w:space="0" w:color="auto"/>
        <w:left w:val="none" w:sz="0" w:space="0" w:color="auto"/>
        <w:bottom w:val="none" w:sz="0" w:space="0" w:color="auto"/>
        <w:right w:val="none" w:sz="0" w:space="0" w:color="auto"/>
      </w:divBdr>
    </w:div>
    <w:div w:id="325282569">
      <w:bodyDiv w:val="1"/>
      <w:marLeft w:val="0"/>
      <w:marRight w:val="0"/>
      <w:marTop w:val="0"/>
      <w:marBottom w:val="0"/>
      <w:divBdr>
        <w:top w:val="none" w:sz="0" w:space="0" w:color="auto"/>
        <w:left w:val="none" w:sz="0" w:space="0" w:color="auto"/>
        <w:bottom w:val="none" w:sz="0" w:space="0" w:color="auto"/>
        <w:right w:val="none" w:sz="0" w:space="0" w:color="auto"/>
      </w:divBdr>
    </w:div>
    <w:div w:id="339357504">
      <w:bodyDiv w:val="1"/>
      <w:marLeft w:val="0"/>
      <w:marRight w:val="0"/>
      <w:marTop w:val="0"/>
      <w:marBottom w:val="0"/>
      <w:divBdr>
        <w:top w:val="none" w:sz="0" w:space="0" w:color="auto"/>
        <w:left w:val="none" w:sz="0" w:space="0" w:color="auto"/>
        <w:bottom w:val="none" w:sz="0" w:space="0" w:color="auto"/>
        <w:right w:val="none" w:sz="0" w:space="0" w:color="auto"/>
      </w:divBdr>
    </w:div>
    <w:div w:id="352192769">
      <w:bodyDiv w:val="1"/>
      <w:marLeft w:val="0"/>
      <w:marRight w:val="0"/>
      <w:marTop w:val="0"/>
      <w:marBottom w:val="0"/>
      <w:divBdr>
        <w:top w:val="none" w:sz="0" w:space="0" w:color="auto"/>
        <w:left w:val="none" w:sz="0" w:space="0" w:color="auto"/>
        <w:bottom w:val="none" w:sz="0" w:space="0" w:color="auto"/>
        <w:right w:val="none" w:sz="0" w:space="0" w:color="auto"/>
      </w:divBdr>
    </w:div>
    <w:div w:id="356199243">
      <w:bodyDiv w:val="1"/>
      <w:marLeft w:val="0"/>
      <w:marRight w:val="0"/>
      <w:marTop w:val="0"/>
      <w:marBottom w:val="0"/>
      <w:divBdr>
        <w:top w:val="none" w:sz="0" w:space="0" w:color="auto"/>
        <w:left w:val="none" w:sz="0" w:space="0" w:color="auto"/>
        <w:bottom w:val="none" w:sz="0" w:space="0" w:color="auto"/>
        <w:right w:val="none" w:sz="0" w:space="0" w:color="auto"/>
      </w:divBdr>
      <w:divsChild>
        <w:div w:id="264189742">
          <w:marLeft w:val="0"/>
          <w:marRight w:val="0"/>
          <w:marTop w:val="0"/>
          <w:marBottom w:val="0"/>
          <w:divBdr>
            <w:top w:val="none" w:sz="0" w:space="0" w:color="auto"/>
            <w:left w:val="none" w:sz="0" w:space="0" w:color="auto"/>
            <w:bottom w:val="none" w:sz="0" w:space="0" w:color="auto"/>
            <w:right w:val="none" w:sz="0" w:space="0" w:color="auto"/>
          </w:divBdr>
        </w:div>
        <w:div w:id="316571377">
          <w:marLeft w:val="0"/>
          <w:marRight w:val="0"/>
          <w:marTop w:val="0"/>
          <w:marBottom w:val="0"/>
          <w:divBdr>
            <w:top w:val="none" w:sz="0" w:space="0" w:color="auto"/>
            <w:left w:val="none" w:sz="0" w:space="0" w:color="auto"/>
            <w:bottom w:val="none" w:sz="0" w:space="0" w:color="auto"/>
            <w:right w:val="none" w:sz="0" w:space="0" w:color="auto"/>
          </w:divBdr>
        </w:div>
        <w:div w:id="571281231">
          <w:marLeft w:val="0"/>
          <w:marRight w:val="0"/>
          <w:marTop w:val="0"/>
          <w:marBottom w:val="0"/>
          <w:divBdr>
            <w:top w:val="none" w:sz="0" w:space="0" w:color="auto"/>
            <w:left w:val="none" w:sz="0" w:space="0" w:color="auto"/>
            <w:bottom w:val="none" w:sz="0" w:space="0" w:color="auto"/>
            <w:right w:val="none" w:sz="0" w:space="0" w:color="auto"/>
          </w:divBdr>
        </w:div>
        <w:div w:id="602691327">
          <w:marLeft w:val="0"/>
          <w:marRight w:val="0"/>
          <w:marTop w:val="0"/>
          <w:marBottom w:val="0"/>
          <w:divBdr>
            <w:top w:val="none" w:sz="0" w:space="0" w:color="auto"/>
            <w:left w:val="none" w:sz="0" w:space="0" w:color="auto"/>
            <w:bottom w:val="none" w:sz="0" w:space="0" w:color="auto"/>
            <w:right w:val="none" w:sz="0" w:space="0" w:color="auto"/>
          </w:divBdr>
        </w:div>
        <w:div w:id="603540105">
          <w:marLeft w:val="0"/>
          <w:marRight w:val="0"/>
          <w:marTop w:val="0"/>
          <w:marBottom w:val="0"/>
          <w:divBdr>
            <w:top w:val="none" w:sz="0" w:space="0" w:color="auto"/>
            <w:left w:val="none" w:sz="0" w:space="0" w:color="auto"/>
            <w:bottom w:val="none" w:sz="0" w:space="0" w:color="auto"/>
            <w:right w:val="none" w:sz="0" w:space="0" w:color="auto"/>
          </w:divBdr>
        </w:div>
        <w:div w:id="1108619905">
          <w:marLeft w:val="0"/>
          <w:marRight w:val="0"/>
          <w:marTop w:val="0"/>
          <w:marBottom w:val="0"/>
          <w:divBdr>
            <w:top w:val="none" w:sz="0" w:space="0" w:color="auto"/>
            <w:left w:val="none" w:sz="0" w:space="0" w:color="auto"/>
            <w:bottom w:val="none" w:sz="0" w:space="0" w:color="auto"/>
            <w:right w:val="none" w:sz="0" w:space="0" w:color="auto"/>
          </w:divBdr>
          <w:divsChild>
            <w:div w:id="483010828">
              <w:marLeft w:val="-75"/>
              <w:marRight w:val="0"/>
              <w:marTop w:val="30"/>
              <w:marBottom w:val="30"/>
              <w:divBdr>
                <w:top w:val="none" w:sz="0" w:space="0" w:color="auto"/>
                <w:left w:val="none" w:sz="0" w:space="0" w:color="auto"/>
                <w:bottom w:val="none" w:sz="0" w:space="0" w:color="auto"/>
                <w:right w:val="none" w:sz="0" w:space="0" w:color="auto"/>
              </w:divBdr>
              <w:divsChild>
                <w:div w:id="17512983">
                  <w:marLeft w:val="0"/>
                  <w:marRight w:val="0"/>
                  <w:marTop w:val="0"/>
                  <w:marBottom w:val="0"/>
                  <w:divBdr>
                    <w:top w:val="none" w:sz="0" w:space="0" w:color="auto"/>
                    <w:left w:val="none" w:sz="0" w:space="0" w:color="auto"/>
                    <w:bottom w:val="none" w:sz="0" w:space="0" w:color="auto"/>
                    <w:right w:val="none" w:sz="0" w:space="0" w:color="auto"/>
                  </w:divBdr>
                  <w:divsChild>
                    <w:div w:id="742482874">
                      <w:marLeft w:val="0"/>
                      <w:marRight w:val="0"/>
                      <w:marTop w:val="0"/>
                      <w:marBottom w:val="0"/>
                      <w:divBdr>
                        <w:top w:val="none" w:sz="0" w:space="0" w:color="auto"/>
                        <w:left w:val="none" w:sz="0" w:space="0" w:color="auto"/>
                        <w:bottom w:val="none" w:sz="0" w:space="0" w:color="auto"/>
                        <w:right w:val="none" w:sz="0" w:space="0" w:color="auto"/>
                      </w:divBdr>
                    </w:div>
                  </w:divsChild>
                </w:div>
                <w:div w:id="24409160">
                  <w:marLeft w:val="0"/>
                  <w:marRight w:val="0"/>
                  <w:marTop w:val="0"/>
                  <w:marBottom w:val="0"/>
                  <w:divBdr>
                    <w:top w:val="none" w:sz="0" w:space="0" w:color="auto"/>
                    <w:left w:val="none" w:sz="0" w:space="0" w:color="auto"/>
                    <w:bottom w:val="none" w:sz="0" w:space="0" w:color="auto"/>
                    <w:right w:val="none" w:sz="0" w:space="0" w:color="auto"/>
                  </w:divBdr>
                  <w:divsChild>
                    <w:div w:id="378624750">
                      <w:marLeft w:val="0"/>
                      <w:marRight w:val="0"/>
                      <w:marTop w:val="0"/>
                      <w:marBottom w:val="0"/>
                      <w:divBdr>
                        <w:top w:val="none" w:sz="0" w:space="0" w:color="auto"/>
                        <w:left w:val="none" w:sz="0" w:space="0" w:color="auto"/>
                        <w:bottom w:val="none" w:sz="0" w:space="0" w:color="auto"/>
                        <w:right w:val="none" w:sz="0" w:space="0" w:color="auto"/>
                      </w:divBdr>
                    </w:div>
                  </w:divsChild>
                </w:div>
                <w:div w:id="41634699">
                  <w:marLeft w:val="0"/>
                  <w:marRight w:val="0"/>
                  <w:marTop w:val="0"/>
                  <w:marBottom w:val="0"/>
                  <w:divBdr>
                    <w:top w:val="none" w:sz="0" w:space="0" w:color="auto"/>
                    <w:left w:val="none" w:sz="0" w:space="0" w:color="auto"/>
                    <w:bottom w:val="none" w:sz="0" w:space="0" w:color="auto"/>
                    <w:right w:val="none" w:sz="0" w:space="0" w:color="auto"/>
                  </w:divBdr>
                  <w:divsChild>
                    <w:div w:id="1357151681">
                      <w:marLeft w:val="0"/>
                      <w:marRight w:val="0"/>
                      <w:marTop w:val="0"/>
                      <w:marBottom w:val="0"/>
                      <w:divBdr>
                        <w:top w:val="none" w:sz="0" w:space="0" w:color="auto"/>
                        <w:left w:val="none" w:sz="0" w:space="0" w:color="auto"/>
                        <w:bottom w:val="none" w:sz="0" w:space="0" w:color="auto"/>
                        <w:right w:val="none" w:sz="0" w:space="0" w:color="auto"/>
                      </w:divBdr>
                    </w:div>
                  </w:divsChild>
                </w:div>
                <w:div w:id="57098869">
                  <w:marLeft w:val="0"/>
                  <w:marRight w:val="0"/>
                  <w:marTop w:val="0"/>
                  <w:marBottom w:val="0"/>
                  <w:divBdr>
                    <w:top w:val="none" w:sz="0" w:space="0" w:color="auto"/>
                    <w:left w:val="none" w:sz="0" w:space="0" w:color="auto"/>
                    <w:bottom w:val="none" w:sz="0" w:space="0" w:color="auto"/>
                    <w:right w:val="none" w:sz="0" w:space="0" w:color="auto"/>
                  </w:divBdr>
                  <w:divsChild>
                    <w:div w:id="955016302">
                      <w:marLeft w:val="0"/>
                      <w:marRight w:val="0"/>
                      <w:marTop w:val="0"/>
                      <w:marBottom w:val="0"/>
                      <w:divBdr>
                        <w:top w:val="none" w:sz="0" w:space="0" w:color="auto"/>
                        <w:left w:val="none" w:sz="0" w:space="0" w:color="auto"/>
                        <w:bottom w:val="none" w:sz="0" w:space="0" w:color="auto"/>
                        <w:right w:val="none" w:sz="0" w:space="0" w:color="auto"/>
                      </w:divBdr>
                    </w:div>
                  </w:divsChild>
                </w:div>
                <w:div w:id="90660164">
                  <w:marLeft w:val="0"/>
                  <w:marRight w:val="0"/>
                  <w:marTop w:val="0"/>
                  <w:marBottom w:val="0"/>
                  <w:divBdr>
                    <w:top w:val="none" w:sz="0" w:space="0" w:color="auto"/>
                    <w:left w:val="none" w:sz="0" w:space="0" w:color="auto"/>
                    <w:bottom w:val="none" w:sz="0" w:space="0" w:color="auto"/>
                    <w:right w:val="none" w:sz="0" w:space="0" w:color="auto"/>
                  </w:divBdr>
                  <w:divsChild>
                    <w:div w:id="1760709210">
                      <w:marLeft w:val="0"/>
                      <w:marRight w:val="0"/>
                      <w:marTop w:val="0"/>
                      <w:marBottom w:val="0"/>
                      <w:divBdr>
                        <w:top w:val="none" w:sz="0" w:space="0" w:color="auto"/>
                        <w:left w:val="none" w:sz="0" w:space="0" w:color="auto"/>
                        <w:bottom w:val="none" w:sz="0" w:space="0" w:color="auto"/>
                        <w:right w:val="none" w:sz="0" w:space="0" w:color="auto"/>
                      </w:divBdr>
                    </w:div>
                  </w:divsChild>
                </w:div>
                <w:div w:id="113210031">
                  <w:marLeft w:val="0"/>
                  <w:marRight w:val="0"/>
                  <w:marTop w:val="0"/>
                  <w:marBottom w:val="0"/>
                  <w:divBdr>
                    <w:top w:val="none" w:sz="0" w:space="0" w:color="auto"/>
                    <w:left w:val="none" w:sz="0" w:space="0" w:color="auto"/>
                    <w:bottom w:val="none" w:sz="0" w:space="0" w:color="auto"/>
                    <w:right w:val="none" w:sz="0" w:space="0" w:color="auto"/>
                  </w:divBdr>
                  <w:divsChild>
                    <w:div w:id="1419642694">
                      <w:marLeft w:val="0"/>
                      <w:marRight w:val="0"/>
                      <w:marTop w:val="0"/>
                      <w:marBottom w:val="0"/>
                      <w:divBdr>
                        <w:top w:val="none" w:sz="0" w:space="0" w:color="auto"/>
                        <w:left w:val="none" w:sz="0" w:space="0" w:color="auto"/>
                        <w:bottom w:val="none" w:sz="0" w:space="0" w:color="auto"/>
                        <w:right w:val="none" w:sz="0" w:space="0" w:color="auto"/>
                      </w:divBdr>
                    </w:div>
                  </w:divsChild>
                </w:div>
                <w:div w:id="121970064">
                  <w:marLeft w:val="0"/>
                  <w:marRight w:val="0"/>
                  <w:marTop w:val="0"/>
                  <w:marBottom w:val="0"/>
                  <w:divBdr>
                    <w:top w:val="none" w:sz="0" w:space="0" w:color="auto"/>
                    <w:left w:val="none" w:sz="0" w:space="0" w:color="auto"/>
                    <w:bottom w:val="none" w:sz="0" w:space="0" w:color="auto"/>
                    <w:right w:val="none" w:sz="0" w:space="0" w:color="auto"/>
                  </w:divBdr>
                  <w:divsChild>
                    <w:div w:id="1549341354">
                      <w:marLeft w:val="0"/>
                      <w:marRight w:val="0"/>
                      <w:marTop w:val="0"/>
                      <w:marBottom w:val="0"/>
                      <w:divBdr>
                        <w:top w:val="none" w:sz="0" w:space="0" w:color="auto"/>
                        <w:left w:val="none" w:sz="0" w:space="0" w:color="auto"/>
                        <w:bottom w:val="none" w:sz="0" w:space="0" w:color="auto"/>
                        <w:right w:val="none" w:sz="0" w:space="0" w:color="auto"/>
                      </w:divBdr>
                    </w:div>
                  </w:divsChild>
                </w:div>
                <w:div w:id="133569888">
                  <w:marLeft w:val="0"/>
                  <w:marRight w:val="0"/>
                  <w:marTop w:val="0"/>
                  <w:marBottom w:val="0"/>
                  <w:divBdr>
                    <w:top w:val="none" w:sz="0" w:space="0" w:color="auto"/>
                    <w:left w:val="none" w:sz="0" w:space="0" w:color="auto"/>
                    <w:bottom w:val="none" w:sz="0" w:space="0" w:color="auto"/>
                    <w:right w:val="none" w:sz="0" w:space="0" w:color="auto"/>
                  </w:divBdr>
                  <w:divsChild>
                    <w:div w:id="1874224602">
                      <w:marLeft w:val="0"/>
                      <w:marRight w:val="0"/>
                      <w:marTop w:val="0"/>
                      <w:marBottom w:val="0"/>
                      <w:divBdr>
                        <w:top w:val="none" w:sz="0" w:space="0" w:color="auto"/>
                        <w:left w:val="none" w:sz="0" w:space="0" w:color="auto"/>
                        <w:bottom w:val="none" w:sz="0" w:space="0" w:color="auto"/>
                        <w:right w:val="none" w:sz="0" w:space="0" w:color="auto"/>
                      </w:divBdr>
                    </w:div>
                  </w:divsChild>
                </w:div>
                <w:div w:id="142158534">
                  <w:marLeft w:val="0"/>
                  <w:marRight w:val="0"/>
                  <w:marTop w:val="0"/>
                  <w:marBottom w:val="0"/>
                  <w:divBdr>
                    <w:top w:val="none" w:sz="0" w:space="0" w:color="auto"/>
                    <w:left w:val="none" w:sz="0" w:space="0" w:color="auto"/>
                    <w:bottom w:val="none" w:sz="0" w:space="0" w:color="auto"/>
                    <w:right w:val="none" w:sz="0" w:space="0" w:color="auto"/>
                  </w:divBdr>
                  <w:divsChild>
                    <w:div w:id="667094958">
                      <w:marLeft w:val="0"/>
                      <w:marRight w:val="0"/>
                      <w:marTop w:val="0"/>
                      <w:marBottom w:val="0"/>
                      <w:divBdr>
                        <w:top w:val="none" w:sz="0" w:space="0" w:color="auto"/>
                        <w:left w:val="none" w:sz="0" w:space="0" w:color="auto"/>
                        <w:bottom w:val="none" w:sz="0" w:space="0" w:color="auto"/>
                        <w:right w:val="none" w:sz="0" w:space="0" w:color="auto"/>
                      </w:divBdr>
                    </w:div>
                  </w:divsChild>
                </w:div>
                <w:div w:id="144975672">
                  <w:marLeft w:val="0"/>
                  <w:marRight w:val="0"/>
                  <w:marTop w:val="0"/>
                  <w:marBottom w:val="0"/>
                  <w:divBdr>
                    <w:top w:val="none" w:sz="0" w:space="0" w:color="auto"/>
                    <w:left w:val="none" w:sz="0" w:space="0" w:color="auto"/>
                    <w:bottom w:val="none" w:sz="0" w:space="0" w:color="auto"/>
                    <w:right w:val="none" w:sz="0" w:space="0" w:color="auto"/>
                  </w:divBdr>
                  <w:divsChild>
                    <w:div w:id="1661078639">
                      <w:marLeft w:val="0"/>
                      <w:marRight w:val="0"/>
                      <w:marTop w:val="0"/>
                      <w:marBottom w:val="0"/>
                      <w:divBdr>
                        <w:top w:val="none" w:sz="0" w:space="0" w:color="auto"/>
                        <w:left w:val="none" w:sz="0" w:space="0" w:color="auto"/>
                        <w:bottom w:val="none" w:sz="0" w:space="0" w:color="auto"/>
                        <w:right w:val="none" w:sz="0" w:space="0" w:color="auto"/>
                      </w:divBdr>
                    </w:div>
                  </w:divsChild>
                </w:div>
                <w:div w:id="185020901">
                  <w:marLeft w:val="0"/>
                  <w:marRight w:val="0"/>
                  <w:marTop w:val="0"/>
                  <w:marBottom w:val="0"/>
                  <w:divBdr>
                    <w:top w:val="none" w:sz="0" w:space="0" w:color="auto"/>
                    <w:left w:val="none" w:sz="0" w:space="0" w:color="auto"/>
                    <w:bottom w:val="none" w:sz="0" w:space="0" w:color="auto"/>
                    <w:right w:val="none" w:sz="0" w:space="0" w:color="auto"/>
                  </w:divBdr>
                  <w:divsChild>
                    <w:div w:id="778841228">
                      <w:marLeft w:val="0"/>
                      <w:marRight w:val="0"/>
                      <w:marTop w:val="0"/>
                      <w:marBottom w:val="0"/>
                      <w:divBdr>
                        <w:top w:val="none" w:sz="0" w:space="0" w:color="auto"/>
                        <w:left w:val="none" w:sz="0" w:space="0" w:color="auto"/>
                        <w:bottom w:val="none" w:sz="0" w:space="0" w:color="auto"/>
                        <w:right w:val="none" w:sz="0" w:space="0" w:color="auto"/>
                      </w:divBdr>
                    </w:div>
                  </w:divsChild>
                </w:div>
                <w:div w:id="187573242">
                  <w:marLeft w:val="0"/>
                  <w:marRight w:val="0"/>
                  <w:marTop w:val="0"/>
                  <w:marBottom w:val="0"/>
                  <w:divBdr>
                    <w:top w:val="none" w:sz="0" w:space="0" w:color="auto"/>
                    <w:left w:val="none" w:sz="0" w:space="0" w:color="auto"/>
                    <w:bottom w:val="none" w:sz="0" w:space="0" w:color="auto"/>
                    <w:right w:val="none" w:sz="0" w:space="0" w:color="auto"/>
                  </w:divBdr>
                  <w:divsChild>
                    <w:div w:id="1848135088">
                      <w:marLeft w:val="0"/>
                      <w:marRight w:val="0"/>
                      <w:marTop w:val="0"/>
                      <w:marBottom w:val="0"/>
                      <w:divBdr>
                        <w:top w:val="none" w:sz="0" w:space="0" w:color="auto"/>
                        <w:left w:val="none" w:sz="0" w:space="0" w:color="auto"/>
                        <w:bottom w:val="none" w:sz="0" w:space="0" w:color="auto"/>
                        <w:right w:val="none" w:sz="0" w:space="0" w:color="auto"/>
                      </w:divBdr>
                    </w:div>
                  </w:divsChild>
                </w:div>
                <w:div w:id="200870639">
                  <w:marLeft w:val="0"/>
                  <w:marRight w:val="0"/>
                  <w:marTop w:val="0"/>
                  <w:marBottom w:val="0"/>
                  <w:divBdr>
                    <w:top w:val="none" w:sz="0" w:space="0" w:color="auto"/>
                    <w:left w:val="none" w:sz="0" w:space="0" w:color="auto"/>
                    <w:bottom w:val="none" w:sz="0" w:space="0" w:color="auto"/>
                    <w:right w:val="none" w:sz="0" w:space="0" w:color="auto"/>
                  </w:divBdr>
                  <w:divsChild>
                    <w:div w:id="1981569828">
                      <w:marLeft w:val="0"/>
                      <w:marRight w:val="0"/>
                      <w:marTop w:val="0"/>
                      <w:marBottom w:val="0"/>
                      <w:divBdr>
                        <w:top w:val="none" w:sz="0" w:space="0" w:color="auto"/>
                        <w:left w:val="none" w:sz="0" w:space="0" w:color="auto"/>
                        <w:bottom w:val="none" w:sz="0" w:space="0" w:color="auto"/>
                        <w:right w:val="none" w:sz="0" w:space="0" w:color="auto"/>
                      </w:divBdr>
                    </w:div>
                  </w:divsChild>
                </w:div>
                <w:div w:id="201210760">
                  <w:marLeft w:val="0"/>
                  <w:marRight w:val="0"/>
                  <w:marTop w:val="0"/>
                  <w:marBottom w:val="0"/>
                  <w:divBdr>
                    <w:top w:val="none" w:sz="0" w:space="0" w:color="auto"/>
                    <w:left w:val="none" w:sz="0" w:space="0" w:color="auto"/>
                    <w:bottom w:val="none" w:sz="0" w:space="0" w:color="auto"/>
                    <w:right w:val="none" w:sz="0" w:space="0" w:color="auto"/>
                  </w:divBdr>
                  <w:divsChild>
                    <w:div w:id="805389223">
                      <w:marLeft w:val="0"/>
                      <w:marRight w:val="0"/>
                      <w:marTop w:val="0"/>
                      <w:marBottom w:val="0"/>
                      <w:divBdr>
                        <w:top w:val="none" w:sz="0" w:space="0" w:color="auto"/>
                        <w:left w:val="none" w:sz="0" w:space="0" w:color="auto"/>
                        <w:bottom w:val="none" w:sz="0" w:space="0" w:color="auto"/>
                        <w:right w:val="none" w:sz="0" w:space="0" w:color="auto"/>
                      </w:divBdr>
                    </w:div>
                  </w:divsChild>
                </w:div>
                <w:div w:id="206570771">
                  <w:marLeft w:val="0"/>
                  <w:marRight w:val="0"/>
                  <w:marTop w:val="0"/>
                  <w:marBottom w:val="0"/>
                  <w:divBdr>
                    <w:top w:val="none" w:sz="0" w:space="0" w:color="auto"/>
                    <w:left w:val="none" w:sz="0" w:space="0" w:color="auto"/>
                    <w:bottom w:val="none" w:sz="0" w:space="0" w:color="auto"/>
                    <w:right w:val="none" w:sz="0" w:space="0" w:color="auto"/>
                  </w:divBdr>
                  <w:divsChild>
                    <w:div w:id="993797586">
                      <w:marLeft w:val="0"/>
                      <w:marRight w:val="0"/>
                      <w:marTop w:val="0"/>
                      <w:marBottom w:val="0"/>
                      <w:divBdr>
                        <w:top w:val="none" w:sz="0" w:space="0" w:color="auto"/>
                        <w:left w:val="none" w:sz="0" w:space="0" w:color="auto"/>
                        <w:bottom w:val="none" w:sz="0" w:space="0" w:color="auto"/>
                        <w:right w:val="none" w:sz="0" w:space="0" w:color="auto"/>
                      </w:divBdr>
                    </w:div>
                  </w:divsChild>
                </w:div>
                <w:div w:id="222369789">
                  <w:marLeft w:val="0"/>
                  <w:marRight w:val="0"/>
                  <w:marTop w:val="0"/>
                  <w:marBottom w:val="0"/>
                  <w:divBdr>
                    <w:top w:val="none" w:sz="0" w:space="0" w:color="auto"/>
                    <w:left w:val="none" w:sz="0" w:space="0" w:color="auto"/>
                    <w:bottom w:val="none" w:sz="0" w:space="0" w:color="auto"/>
                    <w:right w:val="none" w:sz="0" w:space="0" w:color="auto"/>
                  </w:divBdr>
                  <w:divsChild>
                    <w:div w:id="1684433321">
                      <w:marLeft w:val="0"/>
                      <w:marRight w:val="0"/>
                      <w:marTop w:val="0"/>
                      <w:marBottom w:val="0"/>
                      <w:divBdr>
                        <w:top w:val="none" w:sz="0" w:space="0" w:color="auto"/>
                        <w:left w:val="none" w:sz="0" w:space="0" w:color="auto"/>
                        <w:bottom w:val="none" w:sz="0" w:space="0" w:color="auto"/>
                        <w:right w:val="none" w:sz="0" w:space="0" w:color="auto"/>
                      </w:divBdr>
                    </w:div>
                  </w:divsChild>
                </w:div>
                <w:div w:id="234559830">
                  <w:marLeft w:val="0"/>
                  <w:marRight w:val="0"/>
                  <w:marTop w:val="0"/>
                  <w:marBottom w:val="0"/>
                  <w:divBdr>
                    <w:top w:val="none" w:sz="0" w:space="0" w:color="auto"/>
                    <w:left w:val="none" w:sz="0" w:space="0" w:color="auto"/>
                    <w:bottom w:val="none" w:sz="0" w:space="0" w:color="auto"/>
                    <w:right w:val="none" w:sz="0" w:space="0" w:color="auto"/>
                  </w:divBdr>
                  <w:divsChild>
                    <w:div w:id="20280035">
                      <w:marLeft w:val="0"/>
                      <w:marRight w:val="0"/>
                      <w:marTop w:val="0"/>
                      <w:marBottom w:val="0"/>
                      <w:divBdr>
                        <w:top w:val="none" w:sz="0" w:space="0" w:color="auto"/>
                        <w:left w:val="none" w:sz="0" w:space="0" w:color="auto"/>
                        <w:bottom w:val="none" w:sz="0" w:space="0" w:color="auto"/>
                        <w:right w:val="none" w:sz="0" w:space="0" w:color="auto"/>
                      </w:divBdr>
                    </w:div>
                  </w:divsChild>
                </w:div>
                <w:div w:id="247883766">
                  <w:marLeft w:val="0"/>
                  <w:marRight w:val="0"/>
                  <w:marTop w:val="0"/>
                  <w:marBottom w:val="0"/>
                  <w:divBdr>
                    <w:top w:val="none" w:sz="0" w:space="0" w:color="auto"/>
                    <w:left w:val="none" w:sz="0" w:space="0" w:color="auto"/>
                    <w:bottom w:val="none" w:sz="0" w:space="0" w:color="auto"/>
                    <w:right w:val="none" w:sz="0" w:space="0" w:color="auto"/>
                  </w:divBdr>
                  <w:divsChild>
                    <w:div w:id="633481953">
                      <w:marLeft w:val="0"/>
                      <w:marRight w:val="0"/>
                      <w:marTop w:val="0"/>
                      <w:marBottom w:val="0"/>
                      <w:divBdr>
                        <w:top w:val="none" w:sz="0" w:space="0" w:color="auto"/>
                        <w:left w:val="none" w:sz="0" w:space="0" w:color="auto"/>
                        <w:bottom w:val="none" w:sz="0" w:space="0" w:color="auto"/>
                        <w:right w:val="none" w:sz="0" w:space="0" w:color="auto"/>
                      </w:divBdr>
                    </w:div>
                  </w:divsChild>
                </w:div>
                <w:div w:id="254944384">
                  <w:marLeft w:val="0"/>
                  <w:marRight w:val="0"/>
                  <w:marTop w:val="0"/>
                  <w:marBottom w:val="0"/>
                  <w:divBdr>
                    <w:top w:val="none" w:sz="0" w:space="0" w:color="auto"/>
                    <w:left w:val="none" w:sz="0" w:space="0" w:color="auto"/>
                    <w:bottom w:val="none" w:sz="0" w:space="0" w:color="auto"/>
                    <w:right w:val="none" w:sz="0" w:space="0" w:color="auto"/>
                  </w:divBdr>
                  <w:divsChild>
                    <w:div w:id="475923423">
                      <w:marLeft w:val="0"/>
                      <w:marRight w:val="0"/>
                      <w:marTop w:val="0"/>
                      <w:marBottom w:val="0"/>
                      <w:divBdr>
                        <w:top w:val="none" w:sz="0" w:space="0" w:color="auto"/>
                        <w:left w:val="none" w:sz="0" w:space="0" w:color="auto"/>
                        <w:bottom w:val="none" w:sz="0" w:space="0" w:color="auto"/>
                        <w:right w:val="none" w:sz="0" w:space="0" w:color="auto"/>
                      </w:divBdr>
                    </w:div>
                  </w:divsChild>
                </w:div>
                <w:div w:id="264191033">
                  <w:marLeft w:val="0"/>
                  <w:marRight w:val="0"/>
                  <w:marTop w:val="0"/>
                  <w:marBottom w:val="0"/>
                  <w:divBdr>
                    <w:top w:val="none" w:sz="0" w:space="0" w:color="auto"/>
                    <w:left w:val="none" w:sz="0" w:space="0" w:color="auto"/>
                    <w:bottom w:val="none" w:sz="0" w:space="0" w:color="auto"/>
                    <w:right w:val="none" w:sz="0" w:space="0" w:color="auto"/>
                  </w:divBdr>
                  <w:divsChild>
                    <w:div w:id="871528076">
                      <w:marLeft w:val="0"/>
                      <w:marRight w:val="0"/>
                      <w:marTop w:val="0"/>
                      <w:marBottom w:val="0"/>
                      <w:divBdr>
                        <w:top w:val="none" w:sz="0" w:space="0" w:color="auto"/>
                        <w:left w:val="none" w:sz="0" w:space="0" w:color="auto"/>
                        <w:bottom w:val="none" w:sz="0" w:space="0" w:color="auto"/>
                        <w:right w:val="none" w:sz="0" w:space="0" w:color="auto"/>
                      </w:divBdr>
                    </w:div>
                  </w:divsChild>
                </w:div>
                <w:div w:id="264504013">
                  <w:marLeft w:val="0"/>
                  <w:marRight w:val="0"/>
                  <w:marTop w:val="0"/>
                  <w:marBottom w:val="0"/>
                  <w:divBdr>
                    <w:top w:val="none" w:sz="0" w:space="0" w:color="auto"/>
                    <w:left w:val="none" w:sz="0" w:space="0" w:color="auto"/>
                    <w:bottom w:val="none" w:sz="0" w:space="0" w:color="auto"/>
                    <w:right w:val="none" w:sz="0" w:space="0" w:color="auto"/>
                  </w:divBdr>
                  <w:divsChild>
                    <w:div w:id="1991054541">
                      <w:marLeft w:val="0"/>
                      <w:marRight w:val="0"/>
                      <w:marTop w:val="0"/>
                      <w:marBottom w:val="0"/>
                      <w:divBdr>
                        <w:top w:val="none" w:sz="0" w:space="0" w:color="auto"/>
                        <w:left w:val="none" w:sz="0" w:space="0" w:color="auto"/>
                        <w:bottom w:val="none" w:sz="0" w:space="0" w:color="auto"/>
                        <w:right w:val="none" w:sz="0" w:space="0" w:color="auto"/>
                      </w:divBdr>
                    </w:div>
                  </w:divsChild>
                </w:div>
                <w:div w:id="264970927">
                  <w:marLeft w:val="0"/>
                  <w:marRight w:val="0"/>
                  <w:marTop w:val="0"/>
                  <w:marBottom w:val="0"/>
                  <w:divBdr>
                    <w:top w:val="none" w:sz="0" w:space="0" w:color="auto"/>
                    <w:left w:val="none" w:sz="0" w:space="0" w:color="auto"/>
                    <w:bottom w:val="none" w:sz="0" w:space="0" w:color="auto"/>
                    <w:right w:val="none" w:sz="0" w:space="0" w:color="auto"/>
                  </w:divBdr>
                  <w:divsChild>
                    <w:div w:id="228620013">
                      <w:marLeft w:val="0"/>
                      <w:marRight w:val="0"/>
                      <w:marTop w:val="0"/>
                      <w:marBottom w:val="0"/>
                      <w:divBdr>
                        <w:top w:val="none" w:sz="0" w:space="0" w:color="auto"/>
                        <w:left w:val="none" w:sz="0" w:space="0" w:color="auto"/>
                        <w:bottom w:val="none" w:sz="0" w:space="0" w:color="auto"/>
                        <w:right w:val="none" w:sz="0" w:space="0" w:color="auto"/>
                      </w:divBdr>
                    </w:div>
                  </w:divsChild>
                </w:div>
                <w:div w:id="268239341">
                  <w:marLeft w:val="0"/>
                  <w:marRight w:val="0"/>
                  <w:marTop w:val="0"/>
                  <w:marBottom w:val="0"/>
                  <w:divBdr>
                    <w:top w:val="none" w:sz="0" w:space="0" w:color="auto"/>
                    <w:left w:val="none" w:sz="0" w:space="0" w:color="auto"/>
                    <w:bottom w:val="none" w:sz="0" w:space="0" w:color="auto"/>
                    <w:right w:val="none" w:sz="0" w:space="0" w:color="auto"/>
                  </w:divBdr>
                  <w:divsChild>
                    <w:div w:id="1419249732">
                      <w:marLeft w:val="0"/>
                      <w:marRight w:val="0"/>
                      <w:marTop w:val="0"/>
                      <w:marBottom w:val="0"/>
                      <w:divBdr>
                        <w:top w:val="none" w:sz="0" w:space="0" w:color="auto"/>
                        <w:left w:val="none" w:sz="0" w:space="0" w:color="auto"/>
                        <w:bottom w:val="none" w:sz="0" w:space="0" w:color="auto"/>
                        <w:right w:val="none" w:sz="0" w:space="0" w:color="auto"/>
                      </w:divBdr>
                    </w:div>
                  </w:divsChild>
                </w:div>
                <w:div w:id="290328732">
                  <w:marLeft w:val="0"/>
                  <w:marRight w:val="0"/>
                  <w:marTop w:val="0"/>
                  <w:marBottom w:val="0"/>
                  <w:divBdr>
                    <w:top w:val="none" w:sz="0" w:space="0" w:color="auto"/>
                    <w:left w:val="none" w:sz="0" w:space="0" w:color="auto"/>
                    <w:bottom w:val="none" w:sz="0" w:space="0" w:color="auto"/>
                    <w:right w:val="none" w:sz="0" w:space="0" w:color="auto"/>
                  </w:divBdr>
                  <w:divsChild>
                    <w:div w:id="811219285">
                      <w:marLeft w:val="0"/>
                      <w:marRight w:val="0"/>
                      <w:marTop w:val="0"/>
                      <w:marBottom w:val="0"/>
                      <w:divBdr>
                        <w:top w:val="none" w:sz="0" w:space="0" w:color="auto"/>
                        <w:left w:val="none" w:sz="0" w:space="0" w:color="auto"/>
                        <w:bottom w:val="none" w:sz="0" w:space="0" w:color="auto"/>
                        <w:right w:val="none" w:sz="0" w:space="0" w:color="auto"/>
                      </w:divBdr>
                    </w:div>
                  </w:divsChild>
                </w:div>
                <w:div w:id="312023554">
                  <w:marLeft w:val="0"/>
                  <w:marRight w:val="0"/>
                  <w:marTop w:val="0"/>
                  <w:marBottom w:val="0"/>
                  <w:divBdr>
                    <w:top w:val="none" w:sz="0" w:space="0" w:color="auto"/>
                    <w:left w:val="none" w:sz="0" w:space="0" w:color="auto"/>
                    <w:bottom w:val="none" w:sz="0" w:space="0" w:color="auto"/>
                    <w:right w:val="none" w:sz="0" w:space="0" w:color="auto"/>
                  </w:divBdr>
                  <w:divsChild>
                    <w:div w:id="153958761">
                      <w:marLeft w:val="0"/>
                      <w:marRight w:val="0"/>
                      <w:marTop w:val="0"/>
                      <w:marBottom w:val="0"/>
                      <w:divBdr>
                        <w:top w:val="none" w:sz="0" w:space="0" w:color="auto"/>
                        <w:left w:val="none" w:sz="0" w:space="0" w:color="auto"/>
                        <w:bottom w:val="none" w:sz="0" w:space="0" w:color="auto"/>
                        <w:right w:val="none" w:sz="0" w:space="0" w:color="auto"/>
                      </w:divBdr>
                    </w:div>
                  </w:divsChild>
                </w:div>
                <w:div w:id="315185729">
                  <w:marLeft w:val="0"/>
                  <w:marRight w:val="0"/>
                  <w:marTop w:val="0"/>
                  <w:marBottom w:val="0"/>
                  <w:divBdr>
                    <w:top w:val="none" w:sz="0" w:space="0" w:color="auto"/>
                    <w:left w:val="none" w:sz="0" w:space="0" w:color="auto"/>
                    <w:bottom w:val="none" w:sz="0" w:space="0" w:color="auto"/>
                    <w:right w:val="none" w:sz="0" w:space="0" w:color="auto"/>
                  </w:divBdr>
                  <w:divsChild>
                    <w:div w:id="475344946">
                      <w:marLeft w:val="0"/>
                      <w:marRight w:val="0"/>
                      <w:marTop w:val="0"/>
                      <w:marBottom w:val="0"/>
                      <w:divBdr>
                        <w:top w:val="none" w:sz="0" w:space="0" w:color="auto"/>
                        <w:left w:val="none" w:sz="0" w:space="0" w:color="auto"/>
                        <w:bottom w:val="none" w:sz="0" w:space="0" w:color="auto"/>
                        <w:right w:val="none" w:sz="0" w:space="0" w:color="auto"/>
                      </w:divBdr>
                    </w:div>
                  </w:divsChild>
                </w:div>
                <w:div w:id="323708800">
                  <w:marLeft w:val="0"/>
                  <w:marRight w:val="0"/>
                  <w:marTop w:val="0"/>
                  <w:marBottom w:val="0"/>
                  <w:divBdr>
                    <w:top w:val="none" w:sz="0" w:space="0" w:color="auto"/>
                    <w:left w:val="none" w:sz="0" w:space="0" w:color="auto"/>
                    <w:bottom w:val="none" w:sz="0" w:space="0" w:color="auto"/>
                    <w:right w:val="none" w:sz="0" w:space="0" w:color="auto"/>
                  </w:divBdr>
                  <w:divsChild>
                    <w:div w:id="1116367563">
                      <w:marLeft w:val="0"/>
                      <w:marRight w:val="0"/>
                      <w:marTop w:val="0"/>
                      <w:marBottom w:val="0"/>
                      <w:divBdr>
                        <w:top w:val="none" w:sz="0" w:space="0" w:color="auto"/>
                        <w:left w:val="none" w:sz="0" w:space="0" w:color="auto"/>
                        <w:bottom w:val="none" w:sz="0" w:space="0" w:color="auto"/>
                        <w:right w:val="none" w:sz="0" w:space="0" w:color="auto"/>
                      </w:divBdr>
                    </w:div>
                  </w:divsChild>
                </w:div>
                <w:div w:id="329144171">
                  <w:marLeft w:val="0"/>
                  <w:marRight w:val="0"/>
                  <w:marTop w:val="0"/>
                  <w:marBottom w:val="0"/>
                  <w:divBdr>
                    <w:top w:val="none" w:sz="0" w:space="0" w:color="auto"/>
                    <w:left w:val="none" w:sz="0" w:space="0" w:color="auto"/>
                    <w:bottom w:val="none" w:sz="0" w:space="0" w:color="auto"/>
                    <w:right w:val="none" w:sz="0" w:space="0" w:color="auto"/>
                  </w:divBdr>
                  <w:divsChild>
                    <w:div w:id="318509438">
                      <w:marLeft w:val="0"/>
                      <w:marRight w:val="0"/>
                      <w:marTop w:val="0"/>
                      <w:marBottom w:val="0"/>
                      <w:divBdr>
                        <w:top w:val="none" w:sz="0" w:space="0" w:color="auto"/>
                        <w:left w:val="none" w:sz="0" w:space="0" w:color="auto"/>
                        <w:bottom w:val="none" w:sz="0" w:space="0" w:color="auto"/>
                        <w:right w:val="none" w:sz="0" w:space="0" w:color="auto"/>
                      </w:divBdr>
                    </w:div>
                  </w:divsChild>
                </w:div>
                <w:div w:id="339359412">
                  <w:marLeft w:val="0"/>
                  <w:marRight w:val="0"/>
                  <w:marTop w:val="0"/>
                  <w:marBottom w:val="0"/>
                  <w:divBdr>
                    <w:top w:val="none" w:sz="0" w:space="0" w:color="auto"/>
                    <w:left w:val="none" w:sz="0" w:space="0" w:color="auto"/>
                    <w:bottom w:val="none" w:sz="0" w:space="0" w:color="auto"/>
                    <w:right w:val="none" w:sz="0" w:space="0" w:color="auto"/>
                  </w:divBdr>
                  <w:divsChild>
                    <w:div w:id="1296988506">
                      <w:marLeft w:val="0"/>
                      <w:marRight w:val="0"/>
                      <w:marTop w:val="0"/>
                      <w:marBottom w:val="0"/>
                      <w:divBdr>
                        <w:top w:val="none" w:sz="0" w:space="0" w:color="auto"/>
                        <w:left w:val="none" w:sz="0" w:space="0" w:color="auto"/>
                        <w:bottom w:val="none" w:sz="0" w:space="0" w:color="auto"/>
                        <w:right w:val="none" w:sz="0" w:space="0" w:color="auto"/>
                      </w:divBdr>
                    </w:div>
                  </w:divsChild>
                </w:div>
                <w:div w:id="354229074">
                  <w:marLeft w:val="0"/>
                  <w:marRight w:val="0"/>
                  <w:marTop w:val="0"/>
                  <w:marBottom w:val="0"/>
                  <w:divBdr>
                    <w:top w:val="none" w:sz="0" w:space="0" w:color="auto"/>
                    <w:left w:val="none" w:sz="0" w:space="0" w:color="auto"/>
                    <w:bottom w:val="none" w:sz="0" w:space="0" w:color="auto"/>
                    <w:right w:val="none" w:sz="0" w:space="0" w:color="auto"/>
                  </w:divBdr>
                  <w:divsChild>
                    <w:div w:id="909854212">
                      <w:marLeft w:val="0"/>
                      <w:marRight w:val="0"/>
                      <w:marTop w:val="0"/>
                      <w:marBottom w:val="0"/>
                      <w:divBdr>
                        <w:top w:val="none" w:sz="0" w:space="0" w:color="auto"/>
                        <w:left w:val="none" w:sz="0" w:space="0" w:color="auto"/>
                        <w:bottom w:val="none" w:sz="0" w:space="0" w:color="auto"/>
                        <w:right w:val="none" w:sz="0" w:space="0" w:color="auto"/>
                      </w:divBdr>
                    </w:div>
                  </w:divsChild>
                </w:div>
                <w:div w:id="399015849">
                  <w:marLeft w:val="0"/>
                  <w:marRight w:val="0"/>
                  <w:marTop w:val="0"/>
                  <w:marBottom w:val="0"/>
                  <w:divBdr>
                    <w:top w:val="none" w:sz="0" w:space="0" w:color="auto"/>
                    <w:left w:val="none" w:sz="0" w:space="0" w:color="auto"/>
                    <w:bottom w:val="none" w:sz="0" w:space="0" w:color="auto"/>
                    <w:right w:val="none" w:sz="0" w:space="0" w:color="auto"/>
                  </w:divBdr>
                  <w:divsChild>
                    <w:div w:id="31854113">
                      <w:marLeft w:val="0"/>
                      <w:marRight w:val="0"/>
                      <w:marTop w:val="0"/>
                      <w:marBottom w:val="0"/>
                      <w:divBdr>
                        <w:top w:val="none" w:sz="0" w:space="0" w:color="auto"/>
                        <w:left w:val="none" w:sz="0" w:space="0" w:color="auto"/>
                        <w:bottom w:val="none" w:sz="0" w:space="0" w:color="auto"/>
                        <w:right w:val="none" w:sz="0" w:space="0" w:color="auto"/>
                      </w:divBdr>
                    </w:div>
                  </w:divsChild>
                </w:div>
                <w:div w:id="399837940">
                  <w:marLeft w:val="0"/>
                  <w:marRight w:val="0"/>
                  <w:marTop w:val="0"/>
                  <w:marBottom w:val="0"/>
                  <w:divBdr>
                    <w:top w:val="none" w:sz="0" w:space="0" w:color="auto"/>
                    <w:left w:val="none" w:sz="0" w:space="0" w:color="auto"/>
                    <w:bottom w:val="none" w:sz="0" w:space="0" w:color="auto"/>
                    <w:right w:val="none" w:sz="0" w:space="0" w:color="auto"/>
                  </w:divBdr>
                  <w:divsChild>
                    <w:div w:id="394665443">
                      <w:marLeft w:val="0"/>
                      <w:marRight w:val="0"/>
                      <w:marTop w:val="0"/>
                      <w:marBottom w:val="0"/>
                      <w:divBdr>
                        <w:top w:val="none" w:sz="0" w:space="0" w:color="auto"/>
                        <w:left w:val="none" w:sz="0" w:space="0" w:color="auto"/>
                        <w:bottom w:val="none" w:sz="0" w:space="0" w:color="auto"/>
                        <w:right w:val="none" w:sz="0" w:space="0" w:color="auto"/>
                      </w:divBdr>
                    </w:div>
                  </w:divsChild>
                </w:div>
                <w:div w:id="401828145">
                  <w:marLeft w:val="0"/>
                  <w:marRight w:val="0"/>
                  <w:marTop w:val="0"/>
                  <w:marBottom w:val="0"/>
                  <w:divBdr>
                    <w:top w:val="none" w:sz="0" w:space="0" w:color="auto"/>
                    <w:left w:val="none" w:sz="0" w:space="0" w:color="auto"/>
                    <w:bottom w:val="none" w:sz="0" w:space="0" w:color="auto"/>
                    <w:right w:val="none" w:sz="0" w:space="0" w:color="auto"/>
                  </w:divBdr>
                  <w:divsChild>
                    <w:div w:id="1143931361">
                      <w:marLeft w:val="0"/>
                      <w:marRight w:val="0"/>
                      <w:marTop w:val="0"/>
                      <w:marBottom w:val="0"/>
                      <w:divBdr>
                        <w:top w:val="none" w:sz="0" w:space="0" w:color="auto"/>
                        <w:left w:val="none" w:sz="0" w:space="0" w:color="auto"/>
                        <w:bottom w:val="none" w:sz="0" w:space="0" w:color="auto"/>
                        <w:right w:val="none" w:sz="0" w:space="0" w:color="auto"/>
                      </w:divBdr>
                    </w:div>
                  </w:divsChild>
                </w:div>
                <w:div w:id="408387056">
                  <w:marLeft w:val="0"/>
                  <w:marRight w:val="0"/>
                  <w:marTop w:val="0"/>
                  <w:marBottom w:val="0"/>
                  <w:divBdr>
                    <w:top w:val="none" w:sz="0" w:space="0" w:color="auto"/>
                    <w:left w:val="none" w:sz="0" w:space="0" w:color="auto"/>
                    <w:bottom w:val="none" w:sz="0" w:space="0" w:color="auto"/>
                    <w:right w:val="none" w:sz="0" w:space="0" w:color="auto"/>
                  </w:divBdr>
                  <w:divsChild>
                    <w:div w:id="2014411301">
                      <w:marLeft w:val="0"/>
                      <w:marRight w:val="0"/>
                      <w:marTop w:val="0"/>
                      <w:marBottom w:val="0"/>
                      <w:divBdr>
                        <w:top w:val="none" w:sz="0" w:space="0" w:color="auto"/>
                        <w:left w:val="none" w:sz="0" w:space="0" w:color="auto"/>
                        <w:bottom w:val="none" w:sz="0" w:space="0" w:color="auto"/>
                        <w:right w:val="none" w:sz="0" w:space="0" w:color="auto"/>
                      </w:divBdr>
                    </w:div>
                  </w:divsChild>
                </w:div>
                <w:div w:id="408622460">
                  <w:marLeft w:val="0"/>
                  <w:marRight w:val="0"/>
                  <w:marTop w:val="0"/>
                  <w:marBottom w:val="0"/>
                  <w:divBdr>
                    <w:top w:val="none" w:sz="0" w:space="0" w:color="auto"/>
                    <w:left w:val="none" w:sz="0" w:space="0" w:color="auto"/>
                    <w:bottom w:val="none" w:sz="0" w:space="0" w:color="auto"/>
                    <w:right w:val="none" w:sz="0" w:space="0" w:color="auto"/>
                  </w:divBdr>
                  <w:divsChild>
                    <w:div w:id="118842469">
                      <w:marLeft w:val="0"/>
                      <w:marRight w:val="0"/>
                      <w:marTop w:val="0"/>
                      <w:marBottom w:val="0"/>
                      <w:divBdr>
                        <w:top w:val="none" w:sz="0" w:space="0" w:color="auto"/>
                        <w:left w:val="none" w:sz="0" w:space="0" w:color="auto"/>
                        <w:bottom w:val="none" w:sz="0" w:space="0" w:color="auto"/>
                        <w:right w:val="none" w:sz="0" w:space="0" w:color="auto"/>
                      </w:divBdr>
                    </w:div>
                  </w:divsChild>
                </w:div>
                <w:div w:id="433719076">
                  <w:marLeft w:val="0"/>
                  <w:marRight w:val="0"/>
                  <w:marTop w:val="0"/>
                  <w:marBottom w:val="0"/>
                  <w:divBdr>
                    <w:top w:val="none" w:sz="0" w:space="0" w:color="auto"/>
                    <w:left w:val="none" w:sz="0" w:space="0" w:color="auto"/>
                    <w:bottom w:val="none" w:sz="0" w:space="0" w:color="auto"/>
                    <w:right w:val="none" w:sz="0" w:space="0" w:color="auto"/>
                  </w:divBdr>
                  <w:divsChild>
                    <w:div w:id="1916863389">
                      <w:marLeft w:val="0"/>
                      <w:marRight w:val="0"/>
                      <w:marTop w:val="0"/>
                      <w:marBottom w:val="0"/>
                      <w:divBdr>
                        <w:top w:val="none" w:sz="0" w:space="0" w:color="auto"/>
                        <w:left w:val="none" w:sz="0" w:space="0" w:color="auto"/>
                        <w:bottom w:val="none" w:sz="0" w:space="0" w:color="auto"/>
                        <w:right w:val="none" w:sz="0" w:space="0" w:color="auto"/>
                      </w:divBdr>
                    </w:div>
                  </w:divsChild>
                </w:div>
                <w:div w:id="460270998">
                  <w:marLeft w:val="0"/>
                  <w:marRight w:val="0"/>
                  <w:marTop w:val="0"/>
                  <w:marBottom w:val="0"/>
                  <w:divBdr>
                    <w:top w:val="none" w:sz="0" w:space="0" w:color="auto"/>
                    <w:left w:val="none" w:sz="0" w:space="0" w:color="auto"/>
                    <w:bottom w:val="none" w:sz="0" w:space="0" w:color="auto"/>
                    <w:right w:val="none" w:sz="0" w:space="0" w:color="auto"/>
                  </w:divBdr>
                  <w:divsChild>
                    <w:div w:id="372275005">
                      <w:marLeft w:val="0"/>
                      <w:marRight w:val="0"/>
                      <w:marTop w:val="0"/>
                      <w:marBottom w:val="0"/>
                      <w:divBdr>
                        <w:top w:val="none" w:sz="0" w:space="0" w:color="auto"/>
                        <w:left w:val="none" w:sz="0" w:space="0" w:color="auto"/>
                        <w:bottom w:val="none" w:sz="0" w:space="0" w:color="auto"/>
                        <w:right w:val="none" w:sz="0" w:space="0" w:color="auto"/>
                      </w:divBdr>
                    </w:div>
                  </w:divsChild>
                </w:div>
                <w:div w:id="466171157">
                  <w:marLeft w:val="0"/>
                  <w:marRight w:val="0"/>
                  <w:marTop w:val="0"/>
                  <w:marBottom w:val="0"/>
                  <w:divBdr>
                    <w:top w:val="none" w:sz="0" w:space="0" w:color="auto"/>
                    <w:left w:val="none" w:sz="0" w:space="0" w:color="auto"/>
                    <w:bottom w:val="none" w:sz="0" w:space="0" w:color="auto"/>
                    <w:right w:val="none" w:sz="0" w:space="0" w:color="auto"/>
                  </w:divBdr>
                  <w:divsChild>
                    <w:div w:id="712310858">
                      <w:marLeft w:val="0"/>
                      <w:marRight w:val="0"/>
                      <w:marTop w:val="0"/>
                      <w:marBottom w:val="0"/>
                      <w:divBdr>
                        <w:top w:val="none" w:sz="0" w:space="0" w:color="auto"/>
                        <w:left w:val="none" w:sz="0" w:space="0" w:color="auto"/>
                        <w:bottom w:val="none" w:sz="0" w:space="0" w:color="auto"/>
                        <w:right w:val="none" w:sz="0" w:space="0" w:color="auto"/>
                      </w:divBdr>
                    </w:div>
                  </w:divsChild>
                </w:div>
                <w:div w:id="476342120">
                  <w:marLeft w:val="0"/>
                  <w:marRight w:val="0"/>
                  <w:marTop w:val="0"/>
                  <w:marBottom w:val="0"/>
                  <w:divBdr>
                    <w:top w:val="none" w:sz="0" w:space="0" w:color="auto"/>
                    <w:left w:val="none" w:sz="0" w:space="0" w:color="auto"/>
                    <w:bottom w:val="none" w:sz="0" w:space="0" w:color="auto"/>
                    <w:right w:val="none" w:sz="0" w:space="0" w:color="auto"/>
                  </w:divBdr>
                  <w:divsChild>
                    <w:div w:id="2125078574">
                      <w:marLeft w:val="0"/>
                      <w:marRight w:val="0"/>
                      <w:marTop w:val="0"/>
                      <w:marBottom w:val="0"/>
                      <w:divBdr>
                        <w:top w:val="none" w:sz="0" w:space="0" w:color="auto"/>
                        <w:left w:val="none" w:sz="0" w:space="0" w:color="auto"/>
                        <w:bottom w:val="none" w:sz="0" w:space="0" w:color="auto"/>
                        <w:right w:val="none" w:sz="0" w:space="0" w:color="auto"/>
                      </w:divBdr>
                    </w:div>
                  </w:divsChild>
                </w:div>
                <w:div w:id="508451626">
                  <w:marLeft w:val="0"/>
                  <w:marRight w:val="0"/>
                  <w:marTop w:val="0"/>
                  <w:marBottom w:val="0"/>
                  <w:divBdr>
                    <w:top w:val="none" w:sz="0" w:space="0" w:color="auto"/>
                    <w:left w:val="none" w:sz="0" w:space="0" w:color="auto"/>
                    <w:bottom w:val="none" w:sz="0" w:space="0" w:color="auto"/>
                    <w:right w:val="none" w:sz="0" w:space="0" w:color="auto"/>
                  </w:divBdr>
                  <w:divsChild>
                    <w:div w:id="2112041167">
                      <w:marLeft w:val="0"/>
                      <w:marRight w:val="0"/>
                      <w:marTop w:val="0"/>
                      <w:marBottom w:val="0"/>
                      <w:divBdr>
                        <w:top w:val="none" w:sz="0" w:space="0" w:color="auto"/>
                        <w:left w:val="none" w:sz="0" w:space="0" w:color="auto"/>
                        <w:bottom w:val="none" w:sz="0" w:space="0" w:color="auto"/>
                        <w:right w:val="none" w:sz="0" w:space="0" w:color="auto"/>
                      </w:divBdr>
                    </w:div>
                  </w:divsChild>
                </w:div>
                <w:div w:id="509878351">
                  <w:marLeft w:val="0"/>
                  <w:marRight w:val="0"/>
                  <w:marTop w:val="0"/>
                  <w:marBottom w:val="0"/>
                  <w:divBdr>
                    <w:top w:val="none" w:sz="0" w:space="0" w:color="auto"/>
                    <w:left w:val="none" w:sz="0" w:space="0" w:color="auto"/>
                    <w:bottom w:val="none" w:sz="0" w:space="0" w:color="auto"/>
                    <w:right w:val="none" w:sz="0" w:space="0" w:color="auto"/>
                  </w:divBdr>
                  <w:divsChild>
                    <w:div w:id="520779104">
                      <w:marLeft w:val="0"/>
                      <w:marRight w:val="0"/>
                      <w:marTop w:val="0"/>
                      <w:marBottom w:val="0"/>
                      <w:divBdr>
                        <w:top w:val="none" w:sz="0" w:space="0" w:color="auto"/>
                        <w:left w:val="none" w:sz="0" w:space="0" w:color="auto"/>
                        <w:bottom w:val="none" w:sz="0" w:space="0" w:color="auto"/>
                        <w:right w:val="none" w:sz="0" w:space="0" w:color="auto"/>
                      </w:divBdr>
                    </w:div>
                  </w:divsChild>
                </w:div>
                <w:div w:id="521822087">
                  <w:marLeft w:val="0"/>
                  <w:marRight w:val="0"/>
                  <w:marTop w:val="0"/>
                  <w:marBottom w:val="0"/>
                  <w:divBdr>
                    <w:top w:val="none" w:sz="0" w:space="0" w:color="auto"/>
                    <w:left w:val="none" w:sz="0" w:space="0" w:color="auto"/>
                    <w:bottom w:val="none" w:sz="0" w:space="0" w:color="auto"/>
                    <w:right w:val="none" w:sz="0" w:space="0" w:color="auto"/>
                  </w:divBdr>
                  <w:divsChild>
                    <w:div w:id="814683675">
                      <w:marLeft w:val="0"/>
                      <w:marRight w:val="0"/>
                      <w:marTop w:val="0"/>
                      <w:marBottom w:val="0"/>
                      <w:divBdr>
                        <w:top w:val="none" w:sz="0" w:space="0" w:color="auto"/>
                        <w:left w:val="none" w:sz="0" w:space="0" w:color="auto"/>
                        <w:bottom w:val="none" w:sz="0" w:space="0" w:color="auto"/>
                        <w:right w:val="none" w:sz="0" w:space="0" w:color="auto"/>
                      </w:divBdr>
                    </w:div>
                  </w:divsChild>
                </w:div>
                <w:div w:id="536549655">
                  <w:marLeft w:val="0"/>
                  <w:marRight w:val="0"/>
                  <w:marTop w:val="0"/>
                  <w:marBottom w:val="0"/>
                  <w:divBdr>
                    <w:top w:val="none" w:sz="0" w:space="0" w:color="auto"/>
                    <w:left w:val="none" w:sz="0" w:space="0" w:color="auto"/>
                    <w:bottom w:val="none" w:sz="0" w:space="0" w:color="auto"/>
                    <w:right w:val="none" w:sz="0" w:space="0" w:color="auto"/>
                  </w:divBdr>
                  <w:divsChild>
                    <w:div w:id="435752548">
                      <w:marLeft w:val="0"/>
                      <w:marRight w:val="0"/>
                      <w:marTop w:val="0"/>
                      <w:marBottom w:val="0"/>
                      <w:divBdr>
                        <w:top w:val="none" w:sz="0" w:space="0" w:color="auto"/>
                        <w:left w:val="none" w:sz="0" w:space="0" w:color="auto"/>
                        <w:bottom w:val="none" w:sz="0" w:space="0" w:color="auto"/>
                        <w:right w:val="none" w:sz="0" w:space="0" w:color="auto"/>
                      </w:divBdr>
                    </w:div>
                  </w:divsChild>
                </w:div>
                <w:div w:id="546991415">
                  <w:marLeft w:val="0"/>
                  <w:marRight w:val="0"/>
                  <w:marTop w:val="0"/>
                  <w:marBottom w:val="0"/>
                  <w:divBdr>
                    <w:top w:val="none" w:sz="0" w:space="0" w:color="auto"/>
                    <w:left w:val="none" w:sz="0" w:space="0" w:color="auto"/>
                    <w:bottom w:val="none" w:sz="0" w:space="0" w:color="auto"/>
                    <w:right w:val="none" w:sz="0" w:space="0" w:color="auto"/>
                  </w:divBdr>
                  <w:divsChild>
                    <w:div w:id="1210067675">
                      <w:marLeft w:val="0"/>
                      <w:marRight w:val="0"/>
                      <w:marTop w:val="0"/>
                      <w:marBottom w:val="0"/>
                      <w:divBdr>
                        <w:top w:val="none" w:sz="0" w:space="0" w:color="auto"/>
                        <w:left w:val="none" w:sz="0" w:space="0" w:color="auto"/>
                        <w:bottom w:val="none" w:sz="0" w:space="0" w:color="auto"/>
                        <w:right w:val="none" w:sz="0" w:space="0" w:color="auto"/>
                      </w:divBdr>
                    </w:div>
                  </w:divsChild>
                </w:div>
                <w:div w:id="555043799">
                  <w:marLeft w:val="0"/>
                  <w:marRight w:val="0"/>
                  <w:marTop w:val="0"/>
                  <w:marBottom w:val="0"/>
                  <w:divBdr>
                    <w:top w:val="none" w:sz="0" w:space="0" w:color="auto"/>
                    <w:left w:val="none" w:sz="0" w:space="0" w:color="auto"/>
                    <w:bottom w:val="none" w:sz="0" w:space="0" w:color="auto"/>
                    <w:right w:val="none" w:sz="0" w:space="0" w:color="auto"/>
                  </w:divBdr>
                  <w:divsChild>
                    <w:div w:id="453183072">
                      <w:marLeft w:val="0"/>
                      <w:marRight w:val="0"/>
                      <w:marTop w:val="0"/>
                      <w:marBottom w:val="0"/>
                      <w:divBdr>
                        <w:top w:val="none" w:sz="0" w:space="0" w:color="auto"/>
                        <w:left w:val="none" w:sz="0" w:space="0" w:color="auto"/>
                        <w:bottom w:val="none" w:sz="0" w:space="0" w:color="auto"/>
                        <w:right w:val="none" w:sz="0" w:space="0" w:color="auto"/>
                      </w:divBdr>
                    </w:div>
                  </w:divsChild>
                </w:div>
                <w:div w:id="570585285">
                  <w:marLeft w:val="0"/>
                  <w:marRight w:val="0"/>
                  <w:marTop w:val="0"/>
                  <w:marBottom w:val="0"/>
                  <w:divBdr>
                    <w:top w:val="none" w:sz="0" w:space="0" w:color="auto"/>
                    <w:left w:val="none" w:sz="0" w:space="0" w:color="auto"/>
                    <w:bottom w:val="none" w:sz="0" w:space="0" w:color="auto"/>
                    <w:right w:val="none" w:sz="0" w:space="0" w:color="auto"/>
                  </w:divBdr>
                  <w:divsChild>
                    <w:div w:id="1854951634">
                      <w:marLeft w:val="0"/>
                      <w:marRight w:val="0"/>
                      <w:marTop w:val="0"/>
                      <w:marBottom w:val="0"/>
                      <w:divBdr>
                        <w:top w:val="none" w:sz="0" w:space="0" w:color="auto"/>
                        <w:left w:val="none" w:sz="0" w:space="0" w:color="auto"/>
                        <w:bottom w:val="none" w:sz="0" w:space="0" w:color="auto"/>
                        <w:right w:val="none" w:sz="0" w:space="0" w:color="auto"/>
                      </w:divBdr>
                    </w:div>
                  </w:divsChild>
                </w:div>
                <w:div w:id="575674544">
                  <w:marLeft w:val="0"/>
                  <w:marRight w:val="0"/>
                  <w:marTop w:val="0"/>
                  <w:marBottom w:val="0"/>
                  <w:divBdr>
                    <w:top w:val="none" w:sz="0" w:space="0" w:color="auto"/>
                    <w:left w:val="none" w:sz="0" w:space="0" w:color="auto"/>
                    <w:bottom w:val="none" w:sz="0" w:space="0" w:color="auto"/>
                    <w:right w:val="none" w:sz="0" w:space="0" w:color="auto"/>
                  </w:divBdr>
                  <w:divsChild>
                    <w:div w:id="1842088051">
                      <w:marLeft w:val="0"/>
                      <w:marRight w:val="0"/>
                      <w:marTop w:val="0"/>
                      <w:marBottom w:val="0"/>
                      <w:divBdr>
                        <w:top w:val="none" w:sz="0" w:space="0" w:color="auto"/>
                        <w:left w:val="none" w:sz="0" w:space="0" w:color="auto"/>
                        <w:bottom w:val="none" w:sz="0" w:space="0" w:color="auto"/>
                        <w:right w:val="none" w:sz="0" w:space="0" w:color="auto"/>
                      </w:divBdr>
                    </w:div>
                  </w:divsChild>
                </w:div>
                <w:div w:id="583415957">
                  <w:marLeft w:val="0"/>
                  <w:marRight w:val="0"/>
                  <w:marTop w:val="0"/>
                  <w:marBottom w:val="0"/>
                  <w:divBdr>
                    <w:top w:val="none" w:sz="0" w:space="0" w:color="auto"/>
                    <w:left w:val="none" w:sz="0" w:space="0" w:color="auto"/>
                    <w:bottom w:val="none" w:sz="0" w:space="0" w:color="auto"/>
                    <w:right w:val="none" w:sz="0" w:space="0" w:color="auto"/>
                  </w:divBdr>
                  <w:divsChild>
                    <w:div w:id="576594076">
                      <w:marLeft w:val="0"/>
                      <w:marRight w:val="0"/>
                      <w:marTop w:val="0"/>
                      <w:marBottom w:val="0"/>
                      <w:divBdr>
                        <w:top w:val="none" w:sz="0" w:space="0" w:color="auto"/>
                        <w:left w:val="none" w:sz="0" w:space="0" w:color="auto"/>
                        <w:bottom w:val="none" w:sz="0" w:space="0" w:color="auto"/>
                        <w:right w:val="none" w:sz="0" w:space="0" w:color="auto"/>
                      </w:divBdr>
                    </w:div>
                  </w:divsChild>
                </w:div>
                <w:div w:id="602342087">
                  <w:marLeft w:val="0"/>
                  <w:marRight w:val="0"/>
                  <w:marTop w:val="0"/>
                  <w:marBottom w:val="0"/>
                  <w:divBdr>
                    <w:top w:val="none" w:sz="0" w:space="0" w:color="auto"/>
                    <w:left w:val="none" w:sz="0" w:space="0" w:color="auto"/>
                    <w:bottom w:val="none" w:sz="0" w:space="0" w:color="auto"/>
                    <w:right w:val="none" w:sz="0" w:space="0" w:color="auto"/>
                  </w:divBdr>
                  <w:divsChild>
                    <w:div w:id="335695461">
                      <w:marLeft w:val="0"/>
                      <w:marRight w:val="0"/>
                      <w:marTop w:val="0"/>
                      <w:marBottom w:val="0"/>
                      <w:divBdr>
                        <w:top w:val="none" w:sz="0" w:space="0" w:color="auto"/>
                        <w:left w:val="none" w:sz="0" w:space="0" w:color="auto"/>
                        <w:bottom w:val="none" w:sz="0" w:space="0" w:color="auto"/>
                        <w:right w:val="none" w:sz="0" w:space="0" w:color="auto"/>
                      </w:divBdr>
                    </w:div>
                  </w:divsChild>
                </w:div>
                <w:div w:id="613024377">
                  <w:marLeft w:val="0"/>
                  <w:marRight w:val="0"/>
                  <w:marTop w:val="0"/>
                  <w:marBottom w:val="0"/>
                  <w:divBdr>
                    <w:top w:val="none" w:sz="0" w:space="0" w:color="auto"/>
                    <w:left w:val="none" w:sz="0" w:space="0" w:color="auto"/>
                    <w:bottom w:val="none" w:sz="0" w:space="0" w:color="auto"/>
                    <w:right w:val="none" w:sz="0" w:space="0" w:color="auto"/>
                  </w:divBdr>
                  <w:divsChild>
                    <w:div w:id="133834502">
                      <w:marLeft w:val="0"/>
                      <w:marRight w:val="0"/>
                      <w:marTop w:val="0"/>
                      <w:marBottom w:val="0"/>
                      <w:divBdr>
                        <w:top w:val="none" w:sz="0" w:space="0" w:color="auto"/>
                        <w:left w:val="none" w:sz="0" w:space="0" w:color="auto"/>
                        <w:bottom w:val="none" w:sz="0" w:space="0" w:color="auto"/>
                        <w:right w:val="none" w:sz="0" w:space="0" w:color="auto"/>
                      </w:divBdr>
                    </w:div>
                  </w:divsChild>
                </w:div>
                <w:div w:id="620114348">
                  <w:marLeft w:val="0"/>
                  <w:marRight w:val="0"/>
                  <w:marTop w:val="0"/>
                  <w:marBottom w:val="0"/>
                  <w:divBdr>
                    <w:top w:val="none" w:sz="0" w:space="0" w:color="auto"/>
                    <w:left w:val="none" w:sz="0" w:space="0" w:color="auto"/>
                    <w:bottom w:val="none" w:sz="0" w:space="0" w:color="auto"/>
                    <w:right w:val="none" w:sz="0" w:space="0" w:color="auto"/>
                  </w:divBdr>
                  <w:divsChild>
                    <w:div w:id="522597160">
                      <w:marLeft w:val="0"/>
                      <w:marRight w:val="0"/>
                      <w:marTop w:val="0"/>
                      <w:marBottom w:val="0"/>
                      <w:divBdr>
                        <w:top w:val="none" w:sz="0" w:space="0" w:color="auto"/>
                        <w:left w:val="none" w:sz="0" w:space="0" w:color="auto"/>
                        <w:bottom w:val="none" w:sz="0" w:space="0" w:color="auto"/>
                        <w:right w:val="none" w:sz="0" w:space="0" w:color="auto"/>
                      </w:divBdr>
                    </w:div>
                  </w:divsChild>
                </w:div>
                <w:div w:id="661546962">
                  <w:marLeft w:val="0"/>
                  <w:marRight w:val="0"/>
                  <w:marTop w:val="0"/>
                  <w:marBottom w:val="0"/>
                  <w:divBdr>
                    <w:top w:val="none" w:sz="0" w:space="0" w:color="auto"/>
                    <w:left w:val="none" w:sz="0" w:space="0" w:color="auto"/>
                    <w:bottom w:val="none" w:sz="0" w:space="0" w:color="auto"/>
                    <w:right w:val="none" w:sz="0" w:space="0" w:color="auto"/>
                  </w:divBdr>
                  <w:divsChild>
                    <w:div w:id="1187520905">
                      <w:marLeft w:val="0"/>
                      <w:marRight w:val="0"/>
                      <w:marTop w:val="0"/>
                      <w:marBottom w:val="0"/>
                      <w:divBdr>
                        <w:top w:val="none" w:sz="0" w:space="0" w:color="auto"/>
                        <w:left w:val="none" w:sz="0" w:space="0" w:color="auto"/>
                        <w:bottom w:val="none" w:sz="0" w:space="0" w:color="auto"/>
                        <w:right w:val="none" w:sz="0" w:space="0" w:color="auto"/>
                      </w:divBdr>
                    </w:div>
                  </w:divsChild>
                </w:div>
                <w:div w:id="662124774">
                  <w:marLeft w:val="0"/>
                  <w:marRight w:val="0"/>
                  <w:marTop w:val="0"/>
                  <w:marBottom w:val="0"/>
                  <w:divBdr>
                    <w:top w:val="none" w:sz="0" w:space="0" w:color="auto"/>
                    <w:left w:val="none" w:sz="0" w:space="0" w:color="auto"/>
                    <w:bottom w:val="none" w:sz="0" w:space="0" w:color="auto"/>
                    <w:right w:val="none" w:sz="0" w:space="0" w:color="auto"/>
                  </w:divBdr>
                  <w:divsChild>
                    <w:div w:id="564485171">
                      <w:marLeft w:val="0"/>
                      <w:marRight w:val="0"/>
                      <w:marTop w:val="0"/>
                      <w:marBottom w:val="0"/>
                      <w:divBdr>
                        <w:top w:val="none" w:sz="0" w:space="0" w:color="auto"/>
                        <w:left w:val="none" w:sz="0" w:space="0" w:color="auto"/>
                        <w:bottom w:val="none" w:sz="0" w:space="0" w:color="auto"/>
                        <w:right w:val="none" w:sz="0" w:space="0" w:color="auto"/>
                      </w:divBdr>
                    </w:div>
                  </w:divsChild>
                </w:div>
                <w:div w:id="690228501">
                  <w:marLeft w:val="0"/>
                  <w:marRight w:val="0"/>
                  <w:marTop w:val="0"/>
                  <w:marBottom w:val="0"/>
                  <w:divBdr>
                    <w:top w:val="none" w:sz="0" w:space="0" w:color="auto"/>
                    <w:left w:val="none" w:sz="0" w:space="0" w:color="auto"/>
                    <w:bottom w:val="none" w:sz="0" w:space="0" w:color="auto"/>
                    <w:right w:val="none" w:sz="0" w:space="0" w:color="auto"/>
                  </w:divBdr>
                  <w:divsChild>
                    <w:div w:id="430584760">
                      <w:marLeft w:val="0"/>
                      <w:marRight w:val="0"/>
                      <w:marTop w:val="0"/>
                      <w:marBottom w:val="0"/>
                      <w:divBdr>
                        <w:top w:val="none" w:sz="0" w:space="0" w:color="auto"/>
                        <w:left w:val="none" w:sz="0" w:space="0" w:color="auto"/>
                        <w:bottom w:val="none" w:sz="0" w:space="0" w:color="auto"/>
                        <w:right w:val="none" w:sz="0" w:space="0" w:color="auto"/>
                      </w:divBdr>
                    </w:div>
                  </w:divsChild>
                </w:div>
                <w:div w:id="691415230">
                  <w:marLeft w:val="0"/>
                  <w:marRight w:val="0"/>
                  <w:marTop w:val="0"/>
                  <w:marBottom w:val="0"/>
                  <w:divBdr>
                    <w:top w:val="none" w:sz="0" w:space="0" w:color="auto"/>
                    <w:left w:val="none" w:sz="0" w:space="0" w:color="auto"/>
                    <w:bottom w:val="none" w:sz="0" w:space="0" w:color="auto"/>
                    <w:right w:val="none" w:sz="0" w:space="0" w:color="auto"/>
                  </w:divBdr>
                  <w:divsChild>
                    <w:div w:id="1147554936">
                      <w:marLeft w:val="0"/>
                      <w:marRight w:val="0"/>
                      <w:marTop w:val="0"/>
                      <w:marBottom w:val="0"/>
                      <w:divBdr>
                        <w:top w:val="none" w:sz="0" w:space="0" w:color="auto"/>
                        <w:left w:val="none" w:sz="0" w:space="0" w:color="auto"/>
                        <w:bottom w:val="none" w:sz="0" w:space="0" w:color="auto"/>
                        <w:right w:val="none" w:sz="0" w:space="0" w:color="auto"/>
                      </w:divBdr>
                    </w:div>
                  </w:divsChild>
                </w:div>
                <w:div w:id="702874589">
                  <w:marLeft w:val="0"/>
                  <w:marRight w:val="0"/>
                  <w:marTop w:val="0"/>
                  <w:marBottom w:val="0"/>
                  <w:divBdr>
                    <w:top w:val="none" w:sz="0" w:space="0" w:color="auto"/>
                    <w:left w:val="none" w:sz="0" w:space="0" w:color="auto"/>
                    <w:bottom w:val="none" w:sz="0" w:space="0" w:color="auto"/>
                    <w:right w:val="none" w:sz="0" w:space="0" w:color="auto"/>
                  </w:divBdr>
                  <w:divsChild>
                    <w:div w:id="1978021739">
                      <w:marLeft w:val="0"/>
                      <w:marRight w:val="0"/>
                      <w:marTop w:val="0"/>
                      <w:marBottom w:val="0"/>
                      <w:divBdr>
                        <w:top w:val="none" w:sz="0" w:space="0" w:color="auto"/>
                        <w:left w:val="none" w:sz="0" w:space="0" w:color="auto"/>
                        <w:bottom w:val="none" w:sz="0" w:space="0" w:color="auto"/>
                        <w:right w:val="none" w:sz="0" w:space="0" w:color="auto"/>
                      </w:divBdr>
                    </w:div>
                  </w:divsChild>
                </w:div>
                <w:div w:id="731579779">
                  <w:marLeft w:val="0"/>
                  <w:marRight w:val="0"/>
                  <w:marTop w:val="0"/>
                  <w:marBottom w:val="0"/>
                  <w:divBdr>
                    <w:top w:val="none" w:sz="0" w:space="0" w:color="auto"/>
                    <w:left w:val="none" w:sz="0" w:space="0" w:color="auto"/>
                    <w:bottom w:val="none" w:sz="0" w:space="0" w:color="auto"/>
                    <w:right w:val="none" w:sz="0" w:space="0" w:color="auto"/>
                  </w:divBdr>
                  <w:divsChild>
                    <w:div w:id="1688166815">
                      <w:marLeft w:val="0"/>
                      <w:marRight w:val="0"/>
                      <w:marTop w:val="0"/>
                      <w:marBottom w:val="0"/>
                      <w:divBdr>
                        <w:top w:val="none" w:sz="0" w:space="0" w:color="auto"/>
                        <w:left w:val="none" w:sz="0" w:space="0" w:color="auto"/>
                        <w:bottom w:val="none" w:sz="0" w:space="0" w:color="auto"/>
                        <w:right w:val="none" w:sz="0" w:space="0" w:color="auto"/>
                      </w:divBdr>
                    </w:div>
                  </w:divsChild>
                </w:div>
                <w:div w:id="745152007">
                  <w:marLeft w:val="0"/>
                  <w:marRight w:val="0"/>
                  <w:marTop w:val="0"/>
                  <w:marBottom w:val="0"/>
                  <w:divBdr>
                    <w:top w:val="none" w:sz="0" w:space="0" w:color="auto"/>
                    <w:left w:val="none" w:sz="0" w:space="0" w:color="auto"/>
                    <w:bottom w:val="none" w:sz="0" w:space="0" w:color="auto"/>
                    <w:right w:val="none" w:sz="0" w:space="0" w:color="auto"/>
                  </w:divBdr>
                  <w:divsChild>
                    <w:div w:id="178012169">
                      <w:marLeft w:val="0"/>
                      <w:marRight w:val="0"/>
                      <w:marTop w:val="0"/>
                      <w:marBottom w:val="0"/>
                      <w:divBdr>
                        <w:top w:val="none" w:sz="0" w:space="0" w:color="auto"/>
                        <w:left w:val="none" w:sz="0" w:space="0" w:color="auto"/>
                        <w:bottom w:val="none" w:sz="0" w:space="0" w:color="auto"/>
                        <w:right w:val="none" w:sz="0" w:space="0" w:color="auto"/>
                      </w:divBdr>
                    </w:div>
                  </w:divsChild>
                </w:div>
                <w:div w:id="766387154">
                  <w:marLeft w:val="0"/>
                  <w:marRight w:val="0"/>
                  <w:marTop w:val="0"/>
                  <w:marBottom w:val="0"/>
                  <w:divBdr>
                    <w:top w:val="none" w:sz="0" w:space="0" w:color="auto"/>
                    <w:left w:val="none" w:sz="0" w:space="0" w:color="auto"/>
                    <w:bottom w:val="none" w:sz="0" w:space="0" w:color="auto"/>
                    <w:right w:val="none" w:sz="0" w:space="0" w:color="auto"/>
                  </w:divBdr>
                  <w:divsChild>
                    <w:div w:id="622885761">
                      <w:marLeft w:val="0"/>
                      <w:marRight w:val="0"/>
                      <w:marTop w:val="0"/>
                      <w:marBottom w:val="0"/>
                      <w:divBdr>
                        <w:top w:val="none" w:sz="0" w:space="0" w:color="auto"/>
                        <w:left w:val="none" w:sz="0" w:space="0" w:color="auto"/>
                        <w:bottom w:val="none" w:sz="0" w:space="0" w:color="auto"/>
                        <w:right w:val="none" w:sz="0" w:space="0" w:color="auto"/>
                      </w:divBdr>
                    </w:div>
                  </w:divsChild>
                </w:div>
                <w:div w:id="772670644">
                  <w:marLeft w:val="0"/>
                  <w:marRight w:val="0"/>
                  <w:marTop w:val="0"/>
                  <w:marBottom w:val="0"/>
                  <w:divBdr>
                    <w:top w:val="none" w:sz="0" w:space="0" w:color="auto"/>
                    <w:left w:val="none" w:sz="0" w:space="0" w:color="auto"/>
                    <w:bottom w:val="none" w:sz="0" w:space="0" w:color="auto"/>
                    <w:right w:val="none" w:sz="0" w:space="0" w:color="auto"/>
                  </w:divBdr>
                  <w:divsChild>
                    <w:div w:id="2069959929">
                      <w:marLeft w:val="0"/>
                      <w:marRight w:val="0"/>
                      <w:marTop w:val="0"/>
                      <w:marBottom w:val="0"/>
                      <w:divBdr>
                        <w:top w:val="none" w:sz="0" w:space="0" w:color="auto"/>
                        <w:left w:val="none" w:sz="0" w:space="0" w:color="auto"/>
                        <w:bottom w:val="none" w:sz="0" w:space="0" w:color="auto"/>
                        <w:right w:val="none" w:sz="0" w:space="0" w:color="auto"/>
                      </w:divBdr>
                    </w:div>
                  </w:divsChild>
                </w:div>
                <w:div w:id="791900737">
                  <w:marLeft w:val="0"/>
                  <w:marRight w:val="0"/>
                  <w:marTop w:val="0"/>
                  <w:marBottom w:val="0"/>
                  <w:divBdr>
                    <w:top w:val="none" w:sz="0" w:space="0" w:color="auto"/>
                    <w:left w:val="none" w:sz="0" w:space="0" w:color="auto"/>
                    <w:bottom w:val="none" w:sz="0" w:space="0" w:color="auto"/>
                    <w:right w:val="none" w:sz="0" w:space="0" w:color="auto"/>
                  </w:divBdr>
                  <w:divsChild>
                    <w:div w:id="1128746151">
                      <w:marLeft w:val="0"/>
                      <w:marRight w:val="0"/>
                      <w:marTop w:val="0"/>
                      <w:marBottom w:val="0"/>
                      <w:divBdr>
                        <w:top w:val="none" w:sz="0" w:space="0" w:color="auto"/>
                        <w:left w:val="none" w:sz="0" w:space="0" w:color="auto"/>
                        <w:bottom w:val="none" w:sz="0" w:space="0" w:color="auto"/>
                        <w:right w:val="none" w:sz="0" w:space="0" w:color="auto"/>
                      </w:divBdr>
                    </w:div>
                  </w:divsChild>
                </w:div>
                <w:div w:id="792871690">
                  <w:marLeft w:val="0"/>
                  <w:marRight w:val="0"/>
                  <w:marTop w:val="0"/>
                  <w:marBottom w:val="0"/>
                  <w:divBdr>
                    <w:top w:val="none" w:sz="0" w:space="0" w:color="auto"/>
                    <w:left w:val="none" w:sz="0" w:space="0" w:color="auto"/>
                    <w:bottom w:val="none" w:sz="0" w:space="0" w:color="auto"/>
                    <w:right w:val="none" w:sz="0" w:space="0" w:color="auto"/>
                  </w:divBdr>
                  <w:divsChild>
                    <w:div w:id="599333477">
                      <w:marLeft w:val="0"/>
                      <w:marRight w:val="0"/>
                      <w:marTop w:val="0"/>
                      <w:marBottom w:val="0"/>
                      <w:divBdr>
                        <w:top w:val="none" w:sz="0" w:space="0" w:color="auto"/>
                        <w:left w:val="none" w:sz="0" w:space="0" w:color="auto"/>
                        <w:bottom w:val="none" w:sz="0" w:space="0" w:color="auto"/>
                        <w:right w:val="none" w:sz="0" w:space="0" w:color="auto"/>
                      </w:divBdr>
                    </w:div>
                  </w:divsChild>
                </w:div>
                <w:div w:id="819006098">
                  <w:marLeft w:val="0"/>
                  <w:marRight w:val="0"/>
                  <w:marTop w:val="0"/>
                  <w:marBottom w:val="0"/>
                  <w:divBdr>
                    <w:top w:val="none" w:sz="0" w:space="0" w:color="auto"/>
                    <w:left w:val="none" w:sz="0" w:space="0" w:color="auto"/>
                    <w:bottom w:val="none" w:sz="0" w:space="0" w:color="auto"/>
                    <w:right w:val="none" w:sz="0" w:space="0" w:color="auto"/>
                  </w:divBdr>
                  <w:divsChild>
                    <w:div w:id="523520039">
                      <w:marLeft w:val="0"/>
                      <w:marRight w:val="0"/>
                      <w:marTop w:val="0"/>
                      <w:marBottom w:val="0"/>
                      <w:divBdr>
                        <w:top w:val="none" w:sz="0" w:space="0" w:color="auto"/>
                        <w:left w:val="none" w:sz="0" w:space="0" w:color="auto"/>
                        <w:bottom w:val="none" w:sz="0" w:space="0" w:color="auto"/>
                        <w:right w:val="none" w:sz="0" w:space="0" w:color="auto"/>
                      </w:divBdr>
                    </w:div>
                  </w:divsChild>
                </w:div>
                <w:div w:id="834221750">
                  <w:marLeft w:val="0"/>
                  <w:marRight w:val="0"/>
                  <w:marTop w:val="0"/>
                  <w:marBottom w:val="0"/>
                  <w:divBdr>
                    <w:top w:val="none" w:sz="0" w:space="0" w:color="auto"/>
                    <w:left w:val="none" w:sz="0" w:space="0" w:color="auto"/>
                    <w:bottom w:val="none" w:sz="0" w:space="0" w:color="auto"/>
                    <w:right w:val="none" w:sz="0" w:space="0" w:color="auto"/>
                  </w:divBdr>
                  <w:divsChild>
                    <w:div w:id="481850774">
                      <w:marLeft w:val="0"/>
                      <w:marRight w:val="0"/>
                      <w:marTop w:val="0"/>
                      <w:marBottom w:val="0"/>
                      <w:divBdr>
                        <w:top w:val="none" w:sz="0" w:space="0" w:color="auto"/>
                        <w:left w:val="none" w:sz="0" w:space="0" w:color="auto"/>
                        <w:bottom w:val="none" w:sz="0" w:space="0" w:color="auto"/>
                        <w:right w:val="none" w:sz="0" w:space="0" w:color="auto"/>
                      </w:divBdr>
                    </w:div>
                  </w:divsChild>
                </w:div>
                <w:div w:id="842672858">
                  <w:marLeft w:val="0"/>
                  <w:marRight w:val="0"/>
                  <w:marTop w:val="0"/>
                  <w:marBottom w:val="0"/>
                  <w:divBdr>
                    <w:top w:val="none" w:sz="0" w:space="0" w:color="auto"/>
                    <w:left w:val="none" w:sz="0" w:space="0" w:color="auto"/>
                    <w:bottom w:val="none" w:sz="0" w:space="0" w:color="auto"/>
                    <w:right w:val="none" w:sz="0" w:space="0" w:color="auto"/>
                  </w:divBdr>
                  <w:divsChild>
                    <w:div w:id="2039315199">
                      <w:marLeft w:val="0"/>
                      <w:marRight w:val="0"/>
                      <w:marTop w:val="0"/>
                      <w:marBottom w:val="0"/>
                      <w:divBdr>
                        <w:top w:val="none" w:sz="0" w:space="0" w:color="auto"/>
                        <w:left w:val="none" w:sz="0" w:space="0" w:color="auto"/>
                        <w:bottom w:val="none" w:sz="0" w:space="0" w:color="auto"/>
                        <w:right w:val="none" w:sz="0" w:space="0" w:color="auto"/>
                      </w:divBdr>
                    </w:div>
                  </w:divsChild>
                </w:div>
                <w:div w:id="845098572">
                  <w:marLeft w:val="0"/>
                  <w:marRight w:val="0"/>
                  <w:marTop w:val="0"/>
                  <w:marBottom w:val="0"/>
                  <w:divBdr>
                    <w:top w:val="none" w:sz="0" w:space="0" w:color="auto"/>
                    <w:left w:val="none" w:sz="0" w:space="0" w:color="auto"/>
                    <w:bottom w:val="none" w:sz="0" w:space="0" w:color="auto"/>
                    <w:right w:val="none" w:sz="0" w:space="0" w:color="auto"/>
                  </w:divBdr>
                  <w:divsChild>
                    <w:div w:id="1167400536">
                      <w:marLeft w:val="0"/>
                      <w:marRight w:val="0"/>
                      <w:marTop w:val="0"/>
                      <w:marBottom w:val="0"/>
                      <w:divBdr>
                        <w:top w:val="none" w:sz="0" w:space="0" w:color="auto"/>
                        <w:left w:val="none" w:sz="0" w:space="0" w:color="auto"/>
                        <w:bottom w:val="none" w:sz="0" w:space="0" w:color="auto"/>
                        <w:right w:val="none" w:sz="0" w:space="0" w:color="auto"/>
                      </w:divBdr>
                    </w:div>
                  </w:divsChild>
                </w:div>
                <w:div w:id="880090040">
                  <w:marLeft w:val="0"/>
                  <w:marRight w:val="0"/>
                  <w:marTop w:val="0"/>
                  <w:marBottom w:val="0"/>
                  <w:divBdr>
                    <w:top w:val="none" w:sz="0" w:space="0" w:color="auto"/>
                    <w:left w:val="none" w:sz="0" w:space="0" w:color="auto"/>
                    <w:bottom w:val="none" w:sz="0" w:space="0" w:color="auto"/>
                    <w:right w:val="none" w:sz="0" w:space="0" w:color="auto"/>
                  </w:divBdr>
                  <w:divsChild>
                    <w:div w:id="193812524">
                      <w:marLeft w:val="0"/>
                      <w:marRight w:val="0"/>
                      <w:marTop w:val="0"/>
                      <w:marBottom w:val="0"/>
                      <w:divBdr>
                        <w:top w:val="none" w:sz="0" w:space="0" w:color="auto"/>
                        <w:left w:val="none" w:sz="0" w:space="0" w:color="auto"/>
                        <w:bottom w:val="none" w:sz="0" w:space="0" w:color="auto"/>
                        <w:right w:val="none" w:sz="0" w:space="0" w:color="auto"/>
                      </w:divBdr>
                    </w:div>
                  </w:divsChild>
                </w:div>
                <w:div w:id="880090279">
                  <w:marLeft w:val="0"/>
                  <w:marRight w:val="0"/>
                  <w:marTop w:val="0"/>
                  <w:marBottom w:val="0"/>
                  <w:divBdr>
                    <w:top w:val="none" w:sz="0" w:space="0" w:color="auto"/>
                    <w:left w:val="none" w:sz="0" w:space="0" w:color="auto"/>
                    <w:bottom w:val="none" w:sz="0" w:space="0" w:color="auto"/>
                    <w:right w:val="none" w:sz="0" w:space="0" w:color="auto"/>
                  </w:divBdr>
                  <w:divsChild>
                    <w:div w:id="1715961302">
                      <w:marLeft w:val="0"/>
                      <w:marRight w:val="0"/>
                      <w:marTop w:val="0"/>
                      <w:marBottom w:val="0"/>
                      <w:divBdr>
                        <w:top w:val="none" w:sz="0" w:space="0" w:color="auto"/>
                        <w:left w:val="none" w:sz="0" w:space="0" w:color="auto"/>
                        <w:bottom w:val="none" w:sz="0" w:space="0" w:color="auto"/>
                        <w:right w:val="none" w:sz="0" w:space="0" w:color="auto"/>
                      </w:divBdr>
                    </w:div>
                  </w:divsChild>
                </w:div>
                <w:div w:id="884412852">
                  <w:marLeft w:val="0"/>
                  <w:marRight w:val="0"/>
                  <w:marTop w:val="0"/>
                  <w:marBottom w:val="0"/>
                  <w:divBdr>
                    <w:top w:val="none" w:sz="0" w:space="0" w:color="auto"/>
                    <w:left w:val="none" w:sz="0" w:space="0" w:color="auto"/>
                    <w:bottom w:val="none" w:sz="0" w:space="0" w:color="auto"/>
                    <w:right w:val="none" w:sz="0" w:space="0" w:color="auto"/>
                  </w:divBdr>
                  <w:divsChild>
                    <w:div w:id="1354066576">
                      <w:marLeft w:val="0"/>
                      <w:marRight w:val="0"/>
                      <w:marTop w:val="0"/>
                      <w:marBottom w:val="0"/>
                      <w:divBdr>
                        <w:top w:val="none" w:sz="0" w:space="0" w:color="auto"/>
                        <w:left w:val="none" w:sz="0" w:space="0" w:color="auto"/>
                        <w:bottom w:val="none" w:sz="0" w:space="0" w:color="auto"/>
                        <w:right w:val="none" w:sz="0" w:space="0" w:color="auto"/>
                      </w:divBdr>
                    </w:div>
                  </w:divsChild>
                </w:div>
                <w:div w:id="884636267">
                  <w:marLeft w:val="0"/>
                  <w:marRight w:val="0"/>
                  <w:marTop w:val="0"/>
                  <w:marBottom w:val="0"/>
                  <w:divBdr>
                    <w:top w:val="none" w:sz="0" w:space="0" w:color="auto"/>
                    <w:left w:val="none" w:sz="0" w:space="0" w:color="auto"/>
                    <w:bottom w:val="none" w:sz="0" w:space="0" w:color="auto"/>
                    <w:right w:val="none" w:sz="0" w:space="0" w:color="auto"/>
                  </w:divBdr>
                  <w:divsChild>
                    <w:div w:id="546836639">
                      <w:marLeft w:val="0"/>
                      <w:marRight w:val="0"/>
                      <w:marTop w:val="0"/>
                      <w:marBottom w:val="0"/>
                      <w:divBdr>
                        <w:top w:val="none" w:sz="0" w:space="0" w:color="auto"/>
                        <w:left w:val="none" w:sz="0" w:space="0" w:color="auto"/>
                        <w:bottom w:val="none" w:sz="0" w:space="0" w:color="auto"/>
                        <w:right w:val="none" w:sz="0" w:space="0" w:color="auto"/>
                      </w:divBdr>
                    </w:div>
                  </w:divsChild>
                </w:div>
                <w:div w:id="911963100">
                  <w:marLeft w:val="0"/>
                  <w:marRight w:val="0"/>
                  <w:marTop w:val="0"/>
                  <w:marBottom w:val="0"/>
                  <w:divBdr>
                    <w:top w:val="none" w:sz="0" w:space="0" w:color="auto"/>
                    <w:left w:val="none" w:sz="0" w:space="0" w:color="auto"/>
                    <w:bottom w:val="none" w:sz="0" w:space="0" w:color="auto"/>
                    <w:right w:val="none" w:sz="0" w:space="0" w:color="auto"/>
                  </w:divBdr>
                  <w:divsChild>
                    <w:div w:id="454060344">
                      <w:marLeft w:val="0"/>
                      <w:marRight w:val="0"/>
                      <w:marTop w:val="0"/>
                      <w:marBottom w:val="0"/>
                      <w:divBdr>
                        <w:top w:val="none" w:sz="0" w:space="0" w:color="auto"/>
                        <w:left w:val="none" w:sz="0" w:space="0" w:color="auto"/>
                        <w:bottom w:val="none" w:sz="0" w:space="0" w:color="auto"/>
                        <w:right w:val="none" w:sz="0" w:space="0" w:color="auto"/>
                      </w:divBdr>
                    </w:div>
                  </w:divsChild>
                </w:div>
                <w:div w:id="923298934">
                  <w:marLeft w:val="0"/>
                  <w:marRight w:val="0"/>
                  <w:marTop w:val="0"/>
                  <w:marBottom w:val="0"/>
                  <w:divBdr>
                    <w:top w:val="none" w:sz="0" w:space="0" w:color="auto"/>
                    <w:left w:val="none" w:sz="0" w:space="0" w:color="auto"/>
                    <w:bottom w:val="none" w:sz="0" w:space="0" w:color="auto"/>
                    <w:right w:val="none" w:sz="0" w:space="0" w:color="auto"/>
                  </w:divBdr>
                  <w:divsChild>
                    <w:div w:id="1176117278">
                      <w:marLeft w:val="0"/>
                      <w:marRight w:val="0"/>
                      <w:marTop w:val="0"/>
                      <w:marBottom w:val="0"/>
                      <w:divBdr>
                        <w:top w:val="none" w:sz="0" w:space="0" w:color="auto"/>
                        <w:left w:val="none" w:sz="0" w:space="0" w:color="auto"/>
                        <w:bottom w:val="none" w:sz="0" w:space="0" w:color="auto"/>
                        <w:right w:val="none" w:sz="0" w:space="0" w:color="auto"/>
                      </w:divBdr>
                    </w:div>
                  </w:divsChild>
                </w:div>
                <w:div w:id="924268917">
                  <w:marLeft w:val="0"/>
                  <w:marRight w:val="0"/>
                  <w:marTop w:val="0"/>
                  <w:marBottom w:val="0"/>
                  <w:divBdr>
                    <w:top w:val="none" w:sz="0" w:space="0" w:color="auto"/>
                    <w:left w:val="none" w:sz="0" w:space="0" w:color="auto"/>
                    <w:bottom w:val="none" w:sz="0" w:space="0" w:color="auto"/>
                    <w:right w:val="none" w:sz="0" w:space="0" w:color="auto"/>
                  </w:divBdr>
                  <w:divsChild>
                    <w:div w:id="411200955">
                      <w:marLeft w:val="0"/>
                      <w:marRight w:val="0"/>
                      <w:marTop w:val="0"/>
                      <w:marBottom w:val="0"/>
                      <w:divBdr>
                        <w:top w:val="none" w:sz="0" w:space="0" w:color="auto"/>
                        <w:left w:val="none" w:sz="0" w:space="0" w:color="auto"/>
                        <w:bottom w:val="none" w:sz="0" w:space="0" w:color="auto"/>
                        <w:right w:val="none" w:sz="0" w:space="0" w:color="auto"/>
                      </w:divBdr>
                    </w:div>
                  </w:divsChild>
                </w:div>
                <w:div w:id="953250048">
                  <w:marLeft w:val="0"/>
                  <w:marRight w:val="0"/>
                  <w:marTop w:val="0"/>
                  <w:marBottom w:val="0"/>
                  <w:divBdr>
                    <w:top w:val="none" w:sz="0" w:space="0" w:color="auto"/>
                    <w:left w:val="none" w:sz="0" w:space="0" w:color="auto"/>
                    <w:bottom w:val="none" w:sz="0" w:space="0" w:color="auto"/>
                    <w:right w:val="none" w:sz="0" w:space="0" w:color="auto"/>
                  </w:divBdr>
                  <w:divsChild>
                    <w:div w:id="1766727173">
                      <w:marLeft w:val="0"/>
                      <w:marRight w:val="0"/>
                      <w:marTop w:val="0"/>
                      <w:marBottom w:val="0"/>
                      <w:divBdr>
                        <w:top w:val="none" w:sz="0" w:space="0" w:color="auto"/>
                        <w:left w:val="none" w:sz="0" w:space="0" w:color="auto"/>
                        <w:bottom w:val="none" w:sz="0" w:space="0" w:color="auto"/>
                        <w:right w:val="none" w:sz="0" w:space="0" w:color="auto"/>
                      </w:divBdr>
                    </w:div>
                  </w:divsChild>
                </w:div>
                <w:div w:id="957492791">
                  <w:marLeft w:val="0"/>
                  <w:marRight w:val="0"/>
                  <w:marTop w:val="0"/>
                  <w:marBottom w:val="0"/>
                  <w:divBdr>
                    <w:top w:val="none" w:sz="0" w:space="0" w:color="auto"/>
                    <w:left w:val="none" w:sz="0" w:space="0" w:color="auto"/>
                    <w:bottom w:val="none" w:sz="0" w:space="0" w:color="auto"/>
                    <w:right w:val="none" w:sz="0" w:space="0" w:color="auto"/>
                  </w:divBdr>
                  <w:divsChild>
                    <w:div w:id="57021549">
                      <w:marLeft w:val="0"/>
                      <w:marRight w:val="0"/>
                      <w:marTop w:val="0"/>
                      <w:marBottom w:val="0"/>
                      <w:divBdr>
                        <w:top w:val="none" w:sz="0" w:space="0" w:color="auto"/>
                        <w:left w:val="none" w:sz="0" w:space="0" w:color="auto"/>
                        <w:bottom w:val="none" w:sz="0" w:space="0" w:color="auto"/>
                        <w:right w:val="none" w:sz="0" w:space="0" w:color="auto"/>
                      </w:divBdr>
                    </w:div>
                  </w:divsChild>
                </w:div>
                <w:div w:id="961348953">
                  <w:marLeft w:val="0"/>
                  <w:marRight w:val="0"/>
                  <w:marTop w:val="0"/>
                  <w:marBottom w:val="0"/>
                  <w:divBdr>
                    <w:top w:val="none" w:sz="0" w:space="0" w:color="auto"/>
                    <w:left w:val="none" w:sz="0" w:space="0" w:color="auto"/>
                    <w:bottom w:val="none" w:sz="0" w:space="0" w:color="auto"/>
                    <w:right w:val="none" w:sz="0" w:space="0" w:color="auto"/>
                  </w:divBdr>
                  <w:divsChild>
                    <w:div w:id="1623338899">
                      <w:marLeft w:val="0"/>
                      <w:marRight w:val="0"/>
                      <w:marTop w:val="0"/>
                      <w:marBottom w:val="0"/>
                      <w:divBdr>
                        <w:top w:val="none" w:sz="0" w:space="0" w:color="auto"/>
                        <w:left w:val="none" w:sz="0" w:space="0" w:color="auto"/>
                        <w:bottom w:val="none" w:sz="0" w:space="0" w:color="auto"/>
                        <w:right w:val="none" w:sz="0" w:space="0" w:color="auto"/>
                      </w:divBdr>
                    </w:div>
                  </w:divsChild>
                </w:div>
                <w:div w:id="987788817">
                  <w:marLeft w:val="0"/>
                  <w:marRight w:val="0"/>
                  <w:marTop w:val="0"/>
                  <w:marBottom w:val="0"/>
                  <w:divBdr>
                    <w:top w:val="none" w:sz="0" w:space="0" w:color="auto"/>
                    <w:left w:val="none" w:sz="0" w:space="0" w:color="auto"/>
                    <w:bottom w:val="none" w:sz="0" w:space="0" w:color="auto"/>
                    <w:right w:val="none" w:sz="0" w:space="0" w:color="auto"/>
                  </w:divBdr>
                  <w:divsChild>
                    <w:div w:id="1792505452">
                      <w:marLeft w:val="0"/>
                      <w:marRight w:val="0"/>
                      <w:marTop w:val="0"/>
                      <w:marBottom w:val="0"/>
                      <w:divBdr>
                        <w:top w:val="none" w:sz="0" w:space="0" w:color="auto"/>
                        <w:left w:val="none" w:sz="0" w:space="0" w:color="auto"/>
                        <w:bottom w:val="none" w:sz="0" w:space="0" w:color="auto"/>
                        <w:right w:val="none" w:sz="0" w:space="0" w:color="auto"/>
                      </w:divBdr>
                    </w:div>
                  </w:divsChild>
                </w:div>
                <w:div w:id="1016077129">
                  <w:marLeft w:val="0"/>
                  <w:marRight w:val="0"/>
                  <w:marTop w:val="0"/>
                  <w:marBottom w:val="0"/>
                  <w:divBdr>
                    <w:top w:val="none" w:sz="0" w:space="0" w:color="auto"/>
                    <w:left w:val="none" w:sz="0" w:space="0" w:color="auto"/>
                    <w:bottom w:val="none" w:sz="0" w:space="0" w:color="auto"/>
                    <w:right w:val="none" w:sz="0" w:space="0" w:color="auto"/>
                  </w:divBdr>
                  <w:divsChild>
                    <w:div w:id="1629235341">
                      <w:marLeft w:val="0"/>
                      <w:marRight w:val="0"/>
                      <w:marTop w:val="0"/>
                      <w:marBottom w:val="0"/>
                      <w:divBdr>
                        <w:top w:val="none" w:sz="0" w:space="0" w:color="auto"/>
                        <w:left w:val="none" w:sz="0" w:space="0" w:color="auto"/>
                        <w:bottom w:val="none" w:sz="0" w:space="0" w:color="auto"/>
                        <w:right w:val="none" w:sz="0" w:space="0" w:color="auto"/>
                      </w:divBdr>
                    </w:div>
                  </w:divsChild>
                </w:div>
                <w:div w:id="1027873428">
                  <w:marLeft w:val="0"/>
                  <w:marRight w:val="0"/>
                  <w:marTop w:val="0"/>
                  <w:marBottom w:val="0"/>
                  <w:divBdr>
                    <w:top w:val="none" w:sz="0" w:space="0" w:color="auto"/>
                    <w:left w:val="none" w:sz="0" w:space="0" w:color="auto"/>
                    <w:bottom w:val="none" w:sz="0" w:space="0" w:color="auto"/>
                    <w:right w:val="none" w:sz="0" w:space="0" w:color="auto"/>
                  </w:divBdr>
                  <w:divsChild>
                    <w:div w:id="1335524419">
                      <w:marLeft w:val="0"/>
                      <w:marRight w:val="0"/>
                      <w:marTop w:val="0"/>
                      <w:marBottom w:val="0"/>
                      <w:divBdr>
                        <w:top w:val="none" w:sz="0" w:space="0" w:color="auto"/>
                        <w:left w:val="none" w:sz="0" w:space="0" w:color="auto"/>
                        <w:bottom w:val="none" w:sz="0" w:space="0" w:color="auto"/>
                        <w:right w:val="none" w:sz="0" w:space="0" w:color="auto"/>
                      </w:divBdr>
                    </w:div>
                  </w:divsChild>
                </w:div>
                <w:div w:id="1043673866">
                  <w:marLeft w:val="0"/>
                  <w:marRight w:val="0"/>
                  <w:marTop w:val="0"/>
                  <w:marBottom w:val="0"/>
                  <w:divBdr>
                    <w:top w:val="none" w:sz="0" w:space="0" w:color="auto"/>
                    <w:left w:val="none" w:sz="0" w:space="0" w:color="auto"/>
                    <w:bottom w:val="none" w:sz="0" w:space="0" w:color="auto"/>
                    <w:right w:val="none" w:sz="0" w:space="0" w:color="auto"/>
                  </w:divBdr>
                  <w:divsChild>
                    <w:div w:id="441188710">
                      <w:marLeft w:val="0"/>
                      <w:marRight w:val="0"/>
                      <w:marTop w:val="0"/>
                      <w:marBottom w:val="0"/>
                      <w:divBdr>
                        <w:top w:val="none" w:sz="0" w:space="0" w:color="auto"/>
                        <w:left w:val="none" w:sz="0" w:space="0" w:color="auto"/>
                        <w:bottom w:val="none" w:sz="0" w:space="0" w:color="auto"/>
                        <w:right w:val="none" w:sz="0" w:space="0" w:color="auto"/>
                      </w:divBdr>
                    </w:div>
                  </w:divsChild>
                </w:div>
                <w:div w:id="1048148538">
                  <w:marLeft w:val="0"/>
                  <w:marRight w:val="0"/>
                  <w:marTop w:val="0"/>
                  <w:marBottom w:val="0"/>
                  <w:divBdr>
                    <w:top w:val="none" w:sz="0" w:space="0" w:color="auto"/>
                    <w:left w:val="none" w:sz="0" w:space="0" w:color="auto"/>
                    <w:bottom w:val="none" w:sz="0" w:space="0" w:color="auto"/>
                    <w:right w:val="none" w:sz="0" w:space="0" w:color="auto"/>
                  </w:divBdr>
                  <w:divsChild>
                    <w:div w:id="997616899">
                      <w:marLeft w:val="0"/>
                      <w:marRight w:val="0"/>
                      <w:marTop w:val="0"/>
                      <w:marBottom w:val="0"/>
                      <w:divBdr>
                        <w:top w:val="none" w:sz="0" w:space="0" w:color="auto"/>
                        <w:left w:val="none" w:sz="0" w:space="0" w:color="auto"/>
                        <w:bottom w:val="none" w:sz="0" w:space="0" w:color="auto"/>
                        <w:right w:val="none" w:sz="0" w:space="0" w:color="auto"/>
                      </w:divBdr>
                    </w:div>
                  </w:divsChild>
                </w:div>
                <w:div w:id="1054622616">
                  <w:marLeft w:val="0"/>
                  <w:marRight w:val="0"/>
                  <w:marTop w:val="0"/>
                  <w:marBottom w:val="0"/>
                  <w:divBdr>
                    <w:top w:val="none" w:sz="0" w:space="0" w:color="auto"/>
                    <w:left w:val="none" w:sz="0" w:space="0" w:color="auto"/>
                    <w:bottom w:val="none" w:sz="0" w:space="0" w:color="auto"/>
                    <w:right w:val="none" w:sz="0" w:space="0" w:color="auto"/>
                  </w:divBdr>
                  <w:divsChild>
                    <w:div w:id="1292326493">
                      <w:marLeft w:val="0"/>
                      <w:marRight w:val="0"/>
                      <w:marTop w:val="0"/>
                      <w:marBottom w:val="0"/>
                      <w:divBdr>
                        <w:top w:val="none" w:sz="0" w:space="0" w:color="auto"/>
                        <w:left w:val="none" w:sz="0" w:space="0" w:color="auto"/>
                        <w:bottom w:val="none" w:sz="0" w:space="0" w:color="auto"/>
                        <w:right w:val="none" w:sz="0" w:space="0" w:color="auto"/>
                      </w:divBdr>
                    </w:div>
                  </w:divsChild>
                </w:div>
                <w:div w:id="1057124045">
                  <w:marLeft w:val="0"/>
                  <w:marRight w:val="0"/>
                  <w:marTop w:val="0"/>
                  <w:marBottom w:val="0"/>
                  <w:divBdr>
                    <w:top w:val="none" w:sz="0" w:space="0" w:color="auto"/>
                    <w:left w:val="none" w:sz="0" w:space="0" w:color="auto"/>
                    <w:bottom w:val="none" w:sz="0" w:space="0" w:color="auto"/>
                    <w:right w:val="none" w:sz="0" w:space="0" w:color="auto"/>
                  </w:divBdr>
                  <w:divsChild>
                    <w:div w:id="1872913363">
                      <w:marLeft w:val="0"/>
                      <w:marRight w:val="0"/>
                      <w:marTop w:val="0"/>
                      <w:marBottom w:val="0"/>
                      <w:divBdr>
                        <w:top w:val="none" w:sz="0" w:space="0" w:color="auto"/>
                        <w:left w:val="none" w:sz="0" w:space="0" w:color="auto"/>
                        <w:bottom w:val="none" w:sz="0" w:space="0" w:color="auto"/>
                        <w:right w:val="none" w:sz="0" w:space="0" w:color="auto"/>
                      </w:divBdr>
                    </w:div>
                  </w:divsChild>
                </w:div>
                <w:div w:id="1058745456">
                  <w:marLeft w:val="0"/>
                  <w:marRight w:val="0"/>
                  <w:marTop w:val="0"/>
                  <w:marBottom w:val="0"/>
                  <w:divBdr>
                    <w:top w:val="none" w:sz="0" w:space="0" w:color="auto"/>
                    <w:left w:val="none" w:sz="0" w:space="0" w:color="auto"/>
                    <w:bottom w:val="none" w:sz="0" w:space="0" w:color="auto"/>
                    <w:right w:val="none" w:sz="0" w:space="0" w:color="auto"/>
                  </w:divBdr>
                  <w:divsChild>
                    <w:div w:id="37318725">
                      <w:marLeft w:val="0"/>
                      <w:marRight w:val="0"/>
                      <w:marTop w:val="0"/>
                      <w:marBottom w:val="0"/>
                      <w:divBdr>
                        <w:top w:val="none" w:sz="0" w:space="0" w:color="auto"/>
                        <w:left w:val="none" w:sz="0" w:space="0" w:color="auto"/>
                        <w:bottom w:val="none" w:sz="0" w:space="0" w:color="auto"/>
                        <w:right w:val="none" w:sz="0" w:space="0" w:color="auto"/>
                      </w:divBdr>
                    </w:div>
                  </w:divsChild>
                </w:div>
                <w:div w:id="1069768173">
                  <w:marLeft w:val="0"/>
                  <w:marRight w:val="0"/>
                  <w:marTop w:val="0"/>
                  <w:marBottom w:val="0"/>
                  <w:divBdr>
                    <w:top w:val="none" w:sz="0" w:space="0" w:color="auto"/>
                    <w:left w:val="none" w:sz="0" w:space="0" w:color="auto"/>
                    <w:bottom w:val="none" w:sz="0" w:space="0" w:color="auto"/>
                    <w:right w:val="none" w:sz="0" w:space="0" w:color="auto"/>
                  </w:divBdr>
                  <w:divsChild>
                    <w:div w:id="1642416792">
                      <w:marLeft w:val="0"/>
                      <w:marRight w:val="0"/>
                      <w:marTop w:val="0"/>
                      <w:marBottom w:val="0"/>
                      <w:divBdr>
                        <w:top w:val="none" w:sz="0" w:space="0" w:color="auto"/>
                        <w:left w:val="none" w:sz="0" w:space="0" w:color="auto"/>
                        <w:bottom w:val="none" w:sz="0" w:space="0" w:color="auto"/>
                        <w:right w:val="none" w:sz="0" w:space="0" w:color="auto"/>
                      </w:divBdr>
                    </w:div>
                  </w:divsChild>
                </w:div>
                <w:div w:id="1085614607">
                  <w:marLeft w:val="0"/>
                  <w:marRight w:val="0"/>
                  <w:marTop w:val="0"/>
                  <w:marBottom w:val="0"/>
                  <w:divBdr>
                    <w:top w:val="none" w:sz="0" w:space="0" w:color="auto"/>
                    <w:left w:val="none" w:sz="0" w:space="0" w:color="auto"/>
                    <w:bottom w:val="none" w:sz="0" w:space="0" w:color="auto"/>
                    <w:right w:val="none" w:sz="0" w:space="0" w:color="auto"/>
                  </w:divBdr>
                  <w:divsChild>
                    <w:div w:id="1697922931">
                      <w:marLeft w:val="0"/>
                      <w:marRight w:val="0"/>
                      <w:marTop w:val="0"/>
                      <w:marBottom w:val="0"/>
                      <w:divBdr>
                        <w:top w:val="none" w:sz="0" w:space="0" w:color="auto"/>
                        <w:left w:val="none" w:sz="0" w:space="0" w:color="auto"/>
                        <w:bottom w:val="none" w:sz="0" w:space="0" w:color="auto"/>
                        <w:right w:val="none" w:sz="0" w:space="0" w:color="auto"/>
                      </w:divBdr>
                    </w:div>
                  </w:divsChild>
                </w:div>
                <w:div w:id="1115558016">
                  <w:marLeft w:val="0"/>
                  <w:marRight w:val="0"/>
                  <w:marTop w:val="0"/>
                  <w:marBottom w:val="0"/>
                  <w:divBdr>
                    <w:top w:val="none" w:sz="0" w:space="0" w:color="auto"/>
                    <w:left w:val="none" w:sz="0" w:space="0" w:color="auto"/>
                    <w:bottom w:val="none" w:sz="0" w:space="0" w:color="auto"/>
                    <w:right w:val="none" w:sz="0" w:space="0" w:color="auto"/>
                  </w:divBdr>
                  <w:divsChild>
                    <w:div w:id="2004114447">
                      <w:marLeft w:val="0"/>
                      <w:marRight w:val="0"/>
                      <w:marTop w:val="0"/>
                      <w:marBottom w:val="0"/>
                      <w:divBdr>
                        <w:top w:val="none" w:sz="0" w:space="0" w:color="auto"/>
                        <w:left w:val="none" w:sz="0" w:space="0" w:color="auto"/>
                        <w:bottom w:val="none" w:sz="0" w:space="0" w:color="auto"/>
                        <w:right w:val="none" w:sz="0" w:space="0" w:color="auto"/>
                      </w:divBdr>
                    </w:div>
                  </w:divsChild>
                </w:div>
                <w:div w:id="1157108634">
                  <w:marLeft w:val="0"/>
                  <w:marRight w:val="0"/>
                  <w:marTop w:val="0"/>
                  <w:marBottom w:val="0"/>
                  <w:divBdr>
                    <w:top w:val="none" w:sz="0" w:space="0" w:color="auto"/>
                    <w:left w:val="none" w:sz="0" w:space="0" w:color="auto"/>
                    <w:bottom w:val="none" w:sz="0" w:space="0" w:color="auto"/>
                    <w:right w:val="none" w:sz="0" w:space="0" w:color="auto"/>
                  </w:divBdr>
                  <w:divsChild>
                    <w:div w:id="198399624">
                      <w:marLeft w:val="0"/>
                      <w:marRight w:val="0"/>
                      <w:marTop w:val="0"/>
                      <w:marBottom w:val="0"/>
                      <w:divBdr>
                        <w:top w:val="none" w:sz="0" w:space="0" w:color="auto"/>
                        <w:left w:val="none" w:sz="0" w:space="0" w:color="auto"/>
                        <w:bottom w:val="none" w:sz="0" w:space="0" w:color="auto"/>
                        <w:right w:val="none" w:sz="0" w:space="0" w:color="auto"/>
                      </w:divBdr>
                    </w:div>
                  </w:divsChild>
                </w:div>
                <w:div w:id="1157696386">
                  <w:marLeft w:val="0"/>
                  <w:marRight w:val="0"/>
                  <w:marTop w:val="0"/>
                  <w:marBottom w:val="0"/>
                  <w:divBdr>
                    <w:top w:val="none" w:sz="0" w:space="0" w:color="auto"/>
                    <w:left w:val="none" w:sz="0" w:space="0" w:color="auto"/>
                    <w:bottom w:val="none" w:sz="0" w:space="0" w:color="auto"/>
                    <w:right w:val="none" w:sz="0" w:space="0" w:color="auto"/>
                  </w:divBdr>
                  <w:divsChild>
                    <w:div w:id="1656252895">
                      <w:marLeft w:val="0"/>
                      <w:marRight w:val="0"/>
                      <w:marTop w:val="0"/>
                      <w:marBottom w:val="0"/>
                      <w:divBdr>
                        <w:top w:val="none" w:sz="0" w:space="0" w:color="auto"/>
                        <w:left w:val="none" w:sz="0" w:space="0" w:color="auto"/>
                        <w:bottom w:val="none" w:sz="0" w:space="0" w:color="auto"/>
                        <w:right w:val="none" w:sz="0" w:space="0" w:color="auto"/>
                      </w:divBdr>
                    </w:div>
                  </w:divsChild>
                </w:div>
                <w:div w:id="1163013611">
                  <w:marLeft w:val="0"/>
                  <w:marRight w:val="0"/>
                  <w:marTop w:val="0"/>
                  <w:marBottom w:val="0"/>
                  <w:divBdr>
                    <w:top w:val="none" w:sz="0" w:space="0" w:color="auto"/>
                    <w:left w:val="none" w:sz="0" w:space="0" w:color="auto"/>
                    <w:bottom w:val="none" w:sz="0" w:space="0" w:color="auto"/>
                    <w:right w:val="none" w:sz="0" w:space="0" w:color="auto"/>
                  </w:divBdr>
                  <w:divsChild>
                    <w:div w:id="2032024959">
                      <w:marLeft w:val="0"/>
                      <w:marRight w:val="0"/>
                      <w:marTop w:val="0"/>
                      <w:marBottom w:val="0"/>
                      <w:divBdr>
                        <w:top w:val="none" w:sz="0" w:space="0" w:color="auto"/>
                        <w:left w:val="none" w:sz="0" w:space="0" w:color="auto"/>
                        <w:bottom w:val="none" w:sz="0" w:space="0" w:color="auto"/>
                        <w:right w:val="none" w:sz="0" w:space="0" w:color="auto"/>
                      </w:divBdr>
                    </w:div>
                  </w:divsChild>
                </w:div>
                <w:div w:id="1163349041">
                  <w:marLeft w:val="0"/>
                  <w:marRight w:val="0"/>
                  <w:marTop w:val="0"/>
                  <w:marBottom w:val="0"/>
                  <w:divBdr>
                    <w:top w:val="none" w:sz="0" w:space="0" w:color="auto"/>
                    <w:left w:val="none" w:sz="0" w:space="0" w:color="auto"/>
                    <w:bottom w:val="none" w:sz="0" w:space="0" w:color="auto"/>
                    <w:right w:val="none" w:sz="0" w:space="0" w:color="auto"/>
                  </w:divBdr>
                  <w:divsChild>
                    <w:div w:id="82921582">
                      <w:marLeft w:val="0"/>
                      <w:marRight w:val="0"/>
                      <w:marTop w:val="0"/>
                      <w:marBottom w:val="0"/>
                      <w:divBdr>
                        <w:top w:val="none" w:sz="0" w:space="0" w:color="auto"/>
                        <w:left w:val="none" w:sz="0" w:space="0" w:color="auto"/>
                        <w:bottom w:val="none" w:sz="0" w:space="0" w:color="auto"/>
                        <w:right w:val="none" w:sz="0" w:space="0" w:color="auto"/>
                      </w:divBdr>
                    </w:div>
                  </w:divsChild>
                </w:div>
                <w:div w:id="1198080089">
                  <w:marLeft w:val="0"/>
                  <w:marRight w:val="0"/>
                  <w:marTop w:val="0"/>
                  <w:marBottom w:val="0"/>
                  <w:divBdr>
                    <w:top w:val="none" w:sz="0" w:space="0" w:color="auto"/>
                    <w:left w:val="none" w:sz="0" w:space="0" w:color="auto"/>
                    <w:bottom w:val="none" w:sz="0" w:space="0" w:color="auto"/>
                    <w:right w:val="none" w:sz="0" w:space="0" w:color="auto"/>
                  </w:divBdr>
                  <w:divsChild>
                    <w:div w:id="1118716551">
                      <w:marLeft w:val="0"/>
                      <w:marRight w:val="0"/>
                      <w:marTop w:val="0"/>
                      <w:marBottom w:val="0"/>
                      <w:divBdr>
                        <w:top w:val="none" w:sz="0" w:space="0" w:color="auto"/>
                        <w:left w:val="none" w:sz="0" w:space="0" w:color="auto"/>
                        <w:bottom w:val="none" w:sz="0" w:space="0" w:color="auto"/>
                        <w:right w:val="none" w:sz="0" w:space="0" w:color="auto"/>
                      </w:divBdr>
                    </w:div>
                  </w:divsChild>
                </w:div>
                <w:div w:id="1198811704">
                  <w:marLeft w:val="0"/>
                  <w:marRight w:val="0"/>
                  <w:marTop w:val="0"/>
                  <w:marBottom w:val="0"/>
                  <w:divBdr>
                    <w:top w:val="none" w:sz="0" w:space="0" w:color="auto"/>
                    <w:left w:val="none" w:sz="0" w:space="0" w:color="auto"/>
                    <w:bottom w:val="none" w:sz="0" w:space="0" w:color="auto"/>
                    <w:right w:val="none" w:sz="0" w:space="0" w:color="auto"/>
                  </w:divBdr>
                  <w:divsChild>
                    <w:div w:id="693699970">
                      <w:marLeft w:val="0"/>
                      <w:marRight w:val="0"/>
                      <w:marTop w:val="0"/>
                      <w:marBottom w:val="0"/>
                      <w:divBdr>
                        <w:top w:val="none" w:sz="0" w:space="0" w:color="auto"/>
                        <w:left w:val="none" w:sz="0" w:space="0" w:color="auto"/>
                        <w:bottom w:val="none" w:sz="0" w:space="0" w:color="auto"/>
                        <w:right w:val="none" w:sz="0" w:space="0" w:color="auto"/>
                      </w:divBdr>
                    </w:div>
                  </w:divsChild>
                </w:div>
                <w:div w:id="1269654086">
                  <w:marLeft w:val="0"/>
                  <w:marRight w:val="0"/>
                  <w:marTop w:val="0"/>
                  <w:marBottom w:val="0"/>
                  <w:divBdr>
                    <w:top w:val="none" w:sz="0" w:space="0" w:color="auto"/>
                    <w:left w:val="none" w:sz="0" w:space="0" w:color="auto"/>
                    <w:bottom w:val="none" w:sz="0" w:space="0" w:color="auto"/>
                    <w:right w:val="none" w:sz="0" w:space="0" w:color="auto"/>
                  </w:divBdr>
                  <w:divsChild>
                    <w:div w:id="591209660">
                      <w:marLeft w:val="0"/>
                      <w:marRight w:val="0"/>
                      <w:marTop w:val="0"/>
                      <w:marBottom w:val="0"/>
                      <w:divBdr>
                        <w:top w:val="none" w:sz="0" w:space="0" w:color="auto"/>
                        <w:left w:val="none" w:sz="0" w:space="0" w:color="auto"/>
                        <w:bottom w:val="none" w:sz="0" w:space="0" w:color="auto"/>
                        <w:right w:val="none" w:sz="0" w:space="0" w:color="auto"/>
                      </w:divBdr>
                    </w:div>
                  </w:divsChild>
                </w:div>
                <w:div w:id="1276018336">
                  <w:marLeft w:val="0"/>
                  <w:marRight w:val="0"/>
                  <w:marTop w:val="0"/>
                  <w:marBottom w:val="0"/>
                  <w:divBdr>
                    <w:top w:val="none" w:sz="0" w:space="0" w:color="auto"/>
                    <w:left w:val="none" w:sz="0" w:space="0" w:color="auto"/>
                    <w:bottom w:val="none" w:sz="0" w:space="0" w:color="auto"/>
                    <w:right w:val="none" w:sz="0" w:space="0" w:color="auto"/>
                  </w:divBdr>
                  <w:divsChild>
                    <w:div w:id="2141680543">
                      <w:marLeft w:val="0"/>
                      <w:marRight w:val="0"/>
                      <w:marTop w:val="0"/>
                      <w:marBottom w:val="0"/>
                      <w:divBdr>
                        <w:top w:val="none" w:sz="0" w:space="0" w:color="auto"/>
                        <w:left w:val="none" w:sz="0" w:space="0" w:color="auto"/>
                        <w:bottom w:val="none" w:sz="0" w:space="0" w:color="auto"/>
                        <w:right w:val="none" w:sz="0" w:space="0" w:color="auto"/>
                      </w:divBdr>
                    </w:div>
                  </w:divsChild>
                </w:div>
                <w:div w:id="1297416805">
                  <w:marLeft w:val="0"/>
                  <w:marRight w:val="0"/>
                  <w:marTop w:val="0"/>
                  <w:marBottom w:val="0"/>
                  <w:divBdr>
                    <w:top w:val="none" w:sz="0" w:space="0" w:color="auto"/>
                    <w:left w:val="none" w:sz="0" w:space="0" w:color="auto"/>
                    <w:bottom w:val="none" w:sz="0" w:space="0" w:color="auto"/>
                    <w:right w:val="none" w:sz="0" w:space="0" w:color="auto"/>
                  </w:divBdr>
                  <w:divsChild>
                    <w:div w:id="826554427">
                      <w:marLeft w:val="0"/>
                      <w:marRight w:val="0"/>
                      <w:marTop w:val="0"/>
                      <w:marBottom w:val="0"/>
                      <w:divBdr>
                        <w:top w:val="none" w:sz="0" w:space="0" w:color="auto"/>
                        <w:left w:val="none" w:sz="0" w:space="0" w:color="auto"/>
                        <w:bottom w:val="none" w:sz="0" w:space="0" w:color="auto"/>
                        <w:right w:val="none" w:sz="0" w:space="0" w:color="auto"/>
                      </w:divBdr>
                    </w:div>
                  </w:divsChild>
                </w:div>
                <w:div w:id="1357579648">
                  <w:marLeft w:val="0"/>
                  <w:marRight w:val="0"/>
                  <w:marTop w:val="0"/>
                  <w:marBottom w:val="0"/>
                  <w:divBdr>
                    <w:top w:val="none" w:sz="0" w:space="0" w:color="auto"/>
                    <w:left w:val="none" w:sz="0" w:space="0" w:color="auto"/>
                    <w:bottom w:val="none" w:sz="0" w:space="0" w:color="auto"/>
                    <w:right w:val="none" w:sz="0" w:space="0" w:color="auto"/>
                  </w:divBdr>
                  <w:divsChild>
                    <w:div w:id="642462712">
                      <w:marLeft w:val="0"/>
                      <w:marRight w:val="0"/>
                      <w:marTop w:val="0"/>
                      <w:marBottom w:val="0"/>
                      <w:divBdr>
                        <w:top w:val="none" w:sz="0" w:space="0" w:color="auto"/>
                        <w:left w:val="none" w:sz="0" w:space="0" w:color="auto"/>
                        <w:bottom w:val="none" w:sz="0" w:space="0" w:color="auto"/>
                        <w:right w:val="none" w:sz="0" w:space="0" w:color="auto"/>
                      </w:divBdr>
                    </w:div>
                  </w:divsChild>
                </w:div>
                <w:div w:id="1404570315">
                  <w:marLeft w:val="0"/>
                  <w:marRight w:val="0"/>
                  <w:marTop w:val="0"/>
                  <w:marBottom w:val="0"/>
                  <w:divBdr>
                    <w:top w:val="none" w:sz="0" w:space="0" w:color="auto"/>
                    <w:left w:val="none" w:sz="0" w:space="0" w:color="auto"/>
                    <w:bottom w:val="none" w:sz="0" w:space="0" w:color="auto"/>
                    <w:right w:val="none" w:sz="0" w:space="0" w:color="auto"/>
                  </w:divBdr>
                  <w:divsChild>
                    <w:div w:id="1288047472">
                      <w:marLeft w:val="0"/>
                      <w:marRight w:val="0"/>
                      <w:marTop w:val="0"/>
                      <w:marBottom w:val="0"/>
                      <w:divBdr>
                        <w:top w:val="none" w:sz="0" w:space="0" w:color="auto"/>
                        <w:left w:val="none" w:sz="0" w:space="0" w:color="auto"/>
                        <w:bottom w:val="none" w:sz="0" w:space="0" w:color="auto"/>
                        <w:right w:val="none" w:sz="0" w:space="0" w:color="auto"/>
                      </w:divBdr>
                    </w:div>
                  </w:divsChild>
                </w:div>
                <w:div w:id="1413309491">
                  <w:marLeft w:val="0"/>
                  <w:marRight w:val="0"/>
                  <w:marTop w:val="0"/>
                  <w:marBottom w:val="0"/>
                  <w:divBdr>
                    <w:top w:val="none" w:sz="0" w:space="0" w:color="auto"/>
                    <w:left w:val="none" w:sz="0" w:space="0" w:color="auto"/>
                    <w:bottom w:val="none" w:sz="0" w:space="0" w:color="auto"/>
                    <w:right w:val="none" w:sz="0" w:space="0" w:color="auto"/>
                  </w:divBdr>
                  <w:divsChild>
                    <w:div w:id="1875658639">
                      <w:marLeft w:val="0"/>
                      <w:marRight w:val="0"/>
                      <w:marTop w:val="0"/>
                      <w:marBottom w:val="0"/>
                      <w:divBdr>
                        <w:top w:val="none" w:sz="0" w:space="0" w:color="auto"/>
                        <w:left w:val="none" w:sz="0" w:space="0" w:color="auto"/>
                        <w:bottom w:val="none" w:sz="0" w:space="0" w:color="auto"/>
                        <w:right w:val="none" w:sz="0" w:space="0" w:color="auto"/>
                      </w:divBdr>
                    </w:div>
                  </w:divsChild>
                </w:div>
                <w:div w:id="1426459707">
                  <w:marLeft w:val="0"/>
                  <w:marRight w:val="0"/>
                  <w:marTop w:val="0"/>
                  <w:marBottom w:val="0"/>
                  <w:divBdr>
                    <w:top w:val="none" w:sz="0" w:space="0" w:color="auto"/>
                    <w:left w:val="none" w:sz="0" w:space="0" w:color="auto"/>
                    <w:bottom w:val="none" w:sz="0" w:space="0" w:color="auto"/>
                    <w:right w:val="none" w:sz="0" w:space="0" w:color="auto"/>
                  </w:divBdr>
                  <w:divsChild>
                    <w:div w:id="1848908864">
                      <w:marLeft w:val="0"/>
                      <w:marRight w:val="0"/>
                      <w:marTop w:val="0"/>
                      <w:marBottom w:val="0"/>
                      <w:divBdr>
                        <w:top w:val="none" w:sz="0" w:space="0" w:color="auto"/>
                        <w:left w:val="none" w:sz="0" w:space="0" w:color="auto"/>
                        <w:bottom w:val="none" w:sz="0" w:space="0" w:color="auto"/>
                        <w:right w:val="none" w:sz="0" w:space="0" w:color="auto"/>
                      </w:divBdr>
                    </w:div>
                  </w:divsChild>
                </w:div>
                <w:div w:id="1450587196">
                  <w:marLeft w:val="0"/>
                  <w:marRight w:val="0"/>
                  <w:marTop w:val="0"/>
                  <w:marBottom w:val="0"/>
                  <w:divBdr>
                    <w:top w:val="none" w:sz="0" w:space="0" w:color="auto"/>
                    <w:left w:val="none" w:sz="0" w:space="0" w:color="auto"/>
                    <w:bottom w:val="none" w:sz="0" w:space="0" w:color="auto"/>
                    <w:right w:val="none" w:sz="0" w:space="0" w:color="auto"/>
                  </w:divBdr>
                  <w:divsChild>
                    <w:div w:id="1938248705">
                      <w:marLeft w:val="0"/>
                      <w:marRight w:val="0"/>
                      <w:marTop w:val="0"/>
                      <w:marBottom w:val="0"/>
                      <w:divBdr>
                        <w:top w:val="none" w:sz="0" w:space="0" w:color="auto"/>
                        <w:left w:val="none" w:sz="0" w:space="0" w:color="auto"/>
                        <w:bottom w:val="none" w:sz="0" w:space="0" w:color="auto"/>
                        <w:right w:val="none" w:sz="0" w:space="0" w:color="auto"/>
                      </w:divBdr>
                    </w:div>
                  </w:divsChild>
                </w:div>
                <w:div w:id="1499883743">
                  <w:marLeft w:val="0"/>
                  <w:marRight w:val="0"/>
                  <w:marTop w:val="0"/>
                  <w:marBottom w:val="0"/>
                  <w:divBdr>
                    <w:top w:val="none" w:sz="0" w:space="0" w:color="auto"/>
                    <w:left w:val="none" w:sz="0" w:space="0" w:color="auto"/>
                    <w:bottom w:val="none" w:sz="0" w:space="0" w:color="auto"/>
                    <w:right w:val="none" w:sz="0" w:space="0" w:color="auto"/>
                  </w:divBdr>
                  <w:divsChild>
                    <w:div w:id="213543469">
                      <w:marLeft w:val="0"/>
                      <w:marRight w:val="0"/>
                      <w:marTop w:val="0"/>
                      <w:marBottom w:val="0"/>
                      <w:divBdr>
                        <w:top w:val="none" w:sz="0" w:space="0" w:color="auto"/>
                        <w:left w:val="none" w:sz="0" w:space="0" w:color="auto"/>
                        <w:bottom w:val="none" w:sz="0" w:space="0" w:color="auto"/>
                        <w:right w:val="none" w:sz="0" w:space="0" w:color="auto"/>
                      </w:divBdr>
                    </w:div>
                  </w:divsChild>
                </w:div>
                <w:div w:id="1502428261">
                  <w:marLeft w:val="0"/>
                  <w:marRight w:val="0"/>
                  <w:marTop w:val="0"/>
                  <w:marBottom w:val="0"/>
                  <w:divBdr>
                    <w:top w:val="none" w:sz="0" w:space="0" w:color="auto"/>
                    <w:left w:val="none" w:sz="0" w:space="0" w:color="auto"/>
                    <w:bottom w:val="none" w:sz="0" w:space="0" w:color="auto"/>
                    <w:right w:val="none" w:sz="0" w:space="0" w:color="auto"/>
                  </w:divBdr>
                  <w:divsChild>
                    <w:div w:id="207685615">
                      <w:marLeft w:val="0"/>
                      <w:marRight w:val="0"/>
                      <w:marTop w:val="0"/>
                      <w:marBottom w:val="0"/>
                      <w:divBdr>
                        <w:top w:val="none" w:sz="0" w:space="0" w:color="auto"/>
                        <w:left w:val="none" w:sz="0" w:space="0" w:color="auto"/>
                        <w:bottom w:val="none" w:sz="0" w:space="0" w:color="auto"/>
                        <w:right w:val="none" w:sz="0" w:space="0" w:color="auto"/>
                      </w:divBdr>
                    </w:div>
                  </w:divsChild>
                </w:div>
                <w:div w:id="1583106199">
                  <w:marLeft w:val="0"/>
                  <w:marRight w:val="0"/>
                  <w:marTop w:val="0"/>
                  <w:marBottom w:val="0"/>
                  <w:divBdr>
                    <w:top w:val="none" w:sz="0" w:space="0" w:color="auto"/>
                    <w:left w:val="none" w:sz="0" w:space="0" w:color="auto"/>
                    <w:bottom w:val="none" w:sz="0" w:space="0" w:color="auto"/>
                    <w:right w:val="none" w:sz="0" w:space="0" w:color="auto"/>
                  </w:divBdr>
                  <w:divsChild>
                    <w:div w:id="543953777">
                      <w:marLeft w:val="0"/>
                      <w:marRight w:val="0"/>
                      <w:marTop w:val="0"/>
                      <w:marBottom w:val="0"/>
                      <w:divBdr>
                        <w:top w:val="none" w:sz="0" w:space="0" w:color="auto"/>
                        <w:left w:val="none" w:sz="0" w:space="0" w:color="auto"/>
                        <w:bottom w:val="none" w:sz="0" w:space="0" w:color="auto"/>
                        <w:right w:val="none" w:sz="0" w:space="0" w:color="auto"/>
                      </w:divBdr>
                    </w:div>
                  </w:divsChild>
                </w:div>
                <w:div w:id="1597396162">
                  <w:marLeft w:val="0"/>
                  <w:marRight w:val="0"/>
                  <w:marTop w:val="0"/>
                  <w:marBottom w:val="0"/>
                  <w:divBdr>
                    <w:top w:val="none" w:sz="0" w:space="0" w:color="auto"/>
                    <w:left w:val="none" w:sz="0" w:space="0" w:color="auto"/>
                    <w:bottom w:val="none" w:sz="0" w:space="0" w:color="auto"/>
                    <w:right w:val="none" w:sz="0" w:space="0" w:color="auto"/>
                  </w:divBdr>
                  <w:divsChild>
                    <w:div w:id="77212017">
                      <w:marLeft w:val="0"/>
                      <w:marRight w:val="0"/>
                      <w:marTop w:val="0"/>
                      <w:marBottom w:val="0"/>
                      <w:divBdr>
                        <w:top w:val="none" w:sz="0" w:space="0" w:color="auto"/>
                        <w:left w:val="none" w:sz="0" w:space="0" w:color="auto"/>
                        <w:bottom w:val="none" w:sz="0" w:space="0" w:color="auto"/>
                        <w:right w:val="none" w:sz="0" w:space="0" w:color="auto"/>
                      </w:divBdr>
                    </w:div>
                  </w:divsChild>
                </w:div>
                <w:div w:id="1609851287">
                  <w:marLeft w:val="0"/>
                  <w:marRight w:val="0"/>
                  <w:marTop w:val="0"/>
                  <w:marBottom w:val="0"/>
                  <w:divBdr>
                    <w:top w:val="none" w:sz="0" w:space="0" w:color="auto"/>
                    <w:left w:val="none" w:sz="0" w:space="0" w:color="auto"/>
                    <w:bottom w:val="none" w:sz="0" w:space="0" w:color="auto"/>
                    <w:right w:val="none" w:sz="0" w:space="0" w:color="auto"/>
                  </w:divBdr>
                  <w:divsChild>
                    <w:div w:id="549153735">
                      <w:marLeft w:val="0"/>
                      <w:marRight w:val="0"/>
                      <w:marTop w:val="0"/>
                      <w:marBottom w:val="0"/>
                      <w:divBdr>
                        <w:top w:val="none" w:sz="0" w:space="0" w:color="auto"/>
                        <w:left w:val="none" w:sz="0" w:space="0" w:color="auto"/>
                        <w:bottom w:val="none" w:sz="0" w:space="0" w:color="auto"/>
                        <w:right w:val="none" w:sz="0" w:space="0" w:color="auto"/>
                      </w:divBdr>
                    </w:div>
                  </w:divsChild>
                </w:div>
                <w:div w:id="1617059426">
                  <w:marLeft w:val="0"/>
                  <w:marRight w:val="0"/>
                  <w:marTop w:val="0"/>
                  <w:marBottom w:val="0"/>
                  <w:divBdr>
                    <w:top w:val="none" w:sz="0" w:space="0" w:color="auto"/>
                    <w:left w:val="none" w:sz="0" w:space="0" w:color="auto"/>
                    <w:bottom w:val="none" w:sz="0" w:space="0" w:color="auto"/>
                    <w:right w:val="none" w:sz="0" w:space="0" w:color="auto"/>
                  </w:divBdr>
                  <w:divsChild>
                    <w:div w:id="1291789240">
                      <w:marLeft w:val="0"/>
                      <w:marRight w:val="0"/>
                      <w:marTop w:val="0"/>
                      <w:marBottom w:val="0"/>
                      <w:divBdr>
                        <w:top w:val="none" w:sz="0" w:space="0" w:color="auto"/>
                        <w:left w:val="none" w:sz="0" w:space="0" w:color="auto"/>
                        <w:bottom w:val="none" w:sz="0" w:space="0" w:color="auto"/>
                        <w:right w:val="none" w:sz="0" w:space="0" w:color="auto"/>
                      </w:divBdr>
                    </w:div>
                  </w:divsChild>
                </w:div>
                <w:div w:id="1636906094">
                  <w:marLeft w:val="0"/>
                  <w:marRight w:val="0"/>
                  <w:marTop w:val="0"/>
                  <w:marBottom w:val="0"/>
                  <w:divBdr>
                    <w:top w:val="none" w:sz="0" w:space="0" w:color="auto"/>
                    <w:left w:val="none" w:sz="0" w:space="0" w:color="auto"/>
                    <w:bottom w:val="none" w:sz="0" w:space="0" w:color="auto"/>
                    <w:right w:val="none" w:sz="0" w:space="0" w:color="auto"/>
                  </w:divBdr>
                  <w:divsChild>
                    <w:div w:id="1634754185">
                      <w:marLeft w:val="0"/>
                      <w:marRight w:val="0"/>
                      <w:marTop w:val="0"/>
                      <w:marBottom w:val="0"/>
                      <w:divBdr>
                        <w:top w:val="none" w:sz="0" w:space="0" w:color="auto"/>
                        <w:left w:val="none" w:sz="0" w:space="0" w:color="auto"/>
                        <w:bottom w:val="none" w:sz="0" w:space="0" w:color="auto"/>
                        <w:right w:val="none" w:sz="0" w:space="0" w:color="auto"/>
                      </w:divBdr>
                    </w:div>
                  </w:divsChild>
                </w:div>
                <w:div w:id="1670325960">
                  <w:marLeft w:val="0"/>
                  <w:marRight w:val="0"/>
                  <w:marTop w:val="0"/>
                  <w:marBottom w:val="0"/>
                  <w:divBdr>
                    <w:top w:val="none" w:sz="0" w:space="0" w:color="auto"/>
                    <w:left w:val="none" w:sz="0" w:space="0" w:color="auto"/>
                    <w:bottom w:val="none" w:sz="0" w:space="0" w:color="auto"/>
                    <w:right w:val="none" w:sz="0" w:space="0" w:color="auto"/>
                  </w:divBdr>
                  <w:divsChild>
                    <w:div w:id="1590190826">
                      <w:marLeft w:val="0"/>
                      <w:marRight w:val="0"/>
                      <w:marTop w:val="0"/>
                      <w:marBottom w:val="0"/>
                      <w:divBdr>
                        <w:top w:val="none" w:sz="0" w:space="0" w:color="auto"/>
                        <w:left w:val="none" w:sz="0" w:space="0" w:color="auto"/>
                        <w:bottom w:val="none" w:sz="0" w:space="0" w:color="auto"/>
                        <w:right w:val="none" w:sz="0" w:space="0" w:color="auto"/>
                      </w:divBdr>
                    </w:div>
                  </w:divsChild>
                </w:div>
                <w:div w:id="1702700821">
                  <w:marLeft w:val="0"/>
                  <w:marRight w:val="0"/>
                  <w:marTop w:val="0"/>
                  <w:marBottom w:val="0"/>
                  <w:divBdr>
                    <w:top w:val="none" w:sz="0" w:space="0" w:color="auto"/>
                    <w:left w:val="none" w:sz="0" w:space="0" w:color="auto"/>
                    <w:bottom w:val="none" w:sz="0" w:space="0" w:color="auto"/>
                    <w:right w:val="none" w:sz="0" w:space="0" w:color="auto"/>
                  </w:divBdr>
                  <w:divsChild>
                    <w:div w:id="124128877">
                      <w:marLeft w:val="0"/>
                      <w:marRight w:val="0"/>
                      <w:marTop w:val="0"/>
                      <w:marBottom w:val="0"/>
                      <w:divBdr>
                        <w:top w:val="none" w:sz="0" w:space="0" w:color="auto"/>
                        <w:left w:val="none" w:sz="0" w:space="0" w:color="auto"/>
                        <w:bottom w:val="none" w:sz="0" w:space="0" w:color="auto"/>
                        <w:right w:val="none" w:sz="0" w:space="0" w:color="auto"/>
                      </w:divBdr>
                    </w:div>
                  </w:divsChild>
                </w:div>
                <w:div w:id="1706977254">
                  <w:marLeft w:val="0"/>
                  <w:marRight w:val="0"/>
                  <w:marTop w:val="0"/>
                  <w:marBottom w:val="0"/>
                  <w:divBdr>
                    <w:top w:val="none" w:sz="0" w:space="0" w:color="auto"/>
                    <w:left w:val="none" w:sz="0" w:space="0" w:color="auto"/>
                    <w:bottom w:val="none" w:sz="0" w:space="0" w:color="auto"/>
                    <w:right w:val="none" w:sz="0" w:space="0" w:color="auto"/>
                  </w:divBdr>
                  <w:divsChild>
                    <w:div w:id="219831999">
                      <w:marLeft w:val="0"/>
                      <w:marRight w:val="0"/>
                      <w:marTop w:val="0"/>
                      <w:marBottom w:val="0"/>
                      <w:divBdr>
                        <w:top w:val="none" w:sz="0" w:space="0" w:color="auto"/>
                        <w:left w:val="none" w:sz="0" w:space="0" w:color="auto"/>
                        <w:bottom w:val="none" w:sz="0" w:space="0" w:color="auto"/>
                        <w:right w:val="none" w:sz="0" w:space="0" w:color="auto"/>
                      </w:divBdr>
                    </w:div>
                  </w:divsChild>
                </w:div>
                <w:div w:id="1712219423">
                  <w:marLeft w:val="0"/>
                  <w:marRight w:val="0"/>
                  <w:marTop w:val="0"/>
                  <w:marBottom w:val="0"/>
                  <w:divBdr>
                    <w:top w:val="none" w:sz="0" w:space="0" w:color="auto"/>
                    <w:left w:val="none" w:sz="0" w:space="0" w:color="auto"/>
                    <w:bottom w:val="none" w:sz="0" w:space="0" w:color="auto"/>
                    <w:right w:val="none" w:sz="0" w:space="0" w:color="auto"/>
                  </w:divBdr>
                  <w:divsChild>
                    <w:div w:id="464932879">
                      <w:marLeft w:val="0"/>
                      <w:marRight w:val="0"/>
                      <w:marTop w:val="0"/>
                      <w:marBottom w:val="0"/>
                      <w:divBdr>
                        <w:top w:val="none" w:sz="0" w:space="0" w:color="auto"/>
                        <w:left w:val="none" w:sz="0" w:space="0" w:color="auto"/>
                        <w:bottom w:val="none" w:sz="0" w:space="0" w:color="auto"/>
                        <w:right w:val="none" w:sz="0" w:space="0" w:color="auto"/>
                      </w:divBdr>
                    </w:div>
                  </w:divsChild>
                </w:div>
                <w:div w:id="1718888981">
                  <w:marLeft w:val="0"/>
                  <w:marRight w:val="0"/>
                  <w:marTop w:val="0"/>
                  <w:marBottom w:val="0"/>
                  <w:divBdr>
                    <w:top w:val="none" w:sz="0" w:space="0" w:color="auto"/>
                    <w:left w:val="none" w:sz="0" w:space="0" w:color="auto"/>
                    <w:bottom w:val="none" w:sz="0" w:space="0" w:color="auto"/>
                    <w:right w:val="none" w:sz="0" w:space="0" w:color="auto"/>
                  </w:divBdr>
                  <w:divsChild>
                    <w:div w:id="721516331">
                      <w:marLeft w:val="0"/>
                      <w:marRight w:val="0"/>
                      <w:marTop w:val="0"/>
                      <w:marBottom w:val="0"/>
                      <w:divBdr>
                        <w:top w:val="none" w:sz="0" w:space="0" w:color="auto"/>
                        <w:left w:val="none" w:sz="0" w:space="0" w:color="auto"/>
                        <w:bottom w:val="none" w:sz="0" w:space="0" w:color="auto"/>
                        <w:right w:val="none" w:sz="0" w:space="0" w:color="auto"/>
                      </w:divBdr>
                    </w:div>
                  </w:divsChild>
                </w:div>
                <w:div w:id="1727872125">
                  <w:marLeft w:val="0"/>
                  <w:marRight w:val="0"/>
                  <w:marTop w:val="0"/>
                  <w:marBottom w:val="0"/>
                  <w:divBdr>
                    <w:top w:val="none" w:sz="0" w:space="0" w:color="auto"/>
                    <w:left w:val="none" w:sz="0" w:space="0" w:color="auto"/>
                    <w:bottom w:val="none" w:sz="0" w:space="0" w:color="auto"/>
                    <w:right w:val="none" w:sz="0" w:space="0" w:color="auto"/>
                  </w:divBdr>
                  <w:divsChild>
                    <w:div w:id="140008374">
                      <w:marLeft w:val="0"/>
                      <w:marRight w:val="0"/>
                      <w:marTop w:val="0"/>
                      <w:marBottom w:val="0"/>
                      <w:divBdr>
                        <w:top w:val="none" w:sz="0" w:space="0" w:color="auto"/>
                        <w:left w:val="none" w:sz="0" w:space="0" w:color="auto"/>
                        <w:bottom w:val="none" w:sz="0" w:space="0" w:color="auto"/>
                        <w:right w:val="none" w:sz="0" w:space="0" w:color="auto"/>
                      </w:divBdr>
                    </w:div>
                  </w:divsChild>
                </w:div>
                <w:div w:id="1730883330">
                  <w:marLeft w:val="0"/>
                  <w:marRight w:val="0"/>
                  <w:marTop w:val="0"/>
                  <w:marBottom w:val="0"/>
                  <w:divBdr>
                    <w:top w:val="none" w:sz="0" w:space="0" w:color="auto"/>
                    <w:left w:val="none" w:sz="0" w:space="0" w:color="auto"/>
                    <w:bottom w:val="none" w:sz="0" w:space="0" w:color="auto"/>
                    <w:right w:val="none" w:sz="0" w:space="0" w:color="auto"/>
                  </w:divBdr>
                  <w:divsChild>
                    <w:div w:id="997802592">
                      <w:marLeft w:val="0"/>
                      <w:marRight w:val="0"/>
                      <w:marTop w:val="0"/>
                      <w:marBottom w:val="0"/>
                      <w:divBdr>
                        <w:top w:val="none" w:sz="0" w:space="0" w:color="auto"/>
                        <w:left w:val="none" w:sz="0" w:space="0" w:color="auto"/>
                        <w:bottom w:val="none" w:sz="0" w:space="0" w:color="auto"/>
                        <w:right w:val="none" w:sz="0" w:space="0" w:color="auto"/>
                      </w:divBdr>
                    </w:div>
                  </w:divsChild>
                </w:div>
                <w:div w:id="1735002086">
                  <w:marLeft w:val="0"/>
                  <w:marRight w:val="0"/>
                  <w:marTop w:val="0"/>
                  <w:marBottom w:val="0"/>
                  <w:divBdr>
                    <w:top w:val="none" w:sz="0" w:space="0" w:color="auto"/>
                    <w:left w:val="none" w:sz="0" w:space="0" w:color="auto"/>
                    <w:bottom w:val="none" w:sz="0" w:space="0" w:color="auto"/>
                    <w:right w:val="none" w:sz="0" w:space="0" w:color="auto"/>
                  </w:divBdr>
                  <w:divsChild>
                    <w:div w:id="393897196">
                      <w:marLeft w:val="0"/>
                      <w:marRight w:val="0"/>
                      <w:marTop w:val="0"/>
                      <w:marBottom w:val="0"/>
                      <w:divBdr>
                        <w:top w:val="none" w:sz="0" w:space="0" w:color="auto"/>
                        <w:left w:val="none" w:sz="0" w:space="0" w:color="auto"/>
                        <w:bottom w:val="none" w:sz="0" w:space="0" w:color="auto"/>
                        <w:right w:val="none" w:sz="0" w:space="0" w:color="auto"/>
                      </w:divBdr>
                    </w:div>
                  </w:divsChild>
                </w:div>
                <w:div w:id="1759861666">
                  <w:marLeft w:val="0"/>
                  <w:marRight w:val="0"/>
                  <w:marTop w:val="0"/>
                  <w:marBottom w:val="0"/>
                  <w:divBdr>
                    <w:top w:val="none" w:sz="0" w:space="0" w:color="auto"/>
                    <w:left w:val="none" w:sz="0" w:space="0" w:color="auto"/>
                    <w:bottom w:val="none" w:sz="0" w:space="0" w:color="auto"/>
                    <w:right w:val="none" w:sz="0" w:space="0" w:color="auto"/>
                  </w:divBdr>
                  <w:divsChild>
                    <w:div w:id="524754081">
                      <w:marLeft w:val="0"/>
                      <w:marRight w:val="0"/>
                      <w:marTop w:val="0"/>
                      <w:marBottom w:val="0"/>
                      <w:divBdr>
                        <w:top w:val="none" w:sz="0" w:space="0" w:color="auto"/>
                        <w:left w:val="none" w:sz="0" w:space="0" w:color="auto"/>
                        <w:bottom w:val="none" w:sz="0" w:space="0" w:color="auto"/>
                        <w:right w:val="none" w:sz="0" w:space="0" w:color="auto"/>
                      </w:divBdr>
                    </w:div>
                  </w:divsChild>
                </w:div>
                <w:div w:id="1801150512">
                  <w:marLeft w:val="0"/>
                  <w:marRight w:val="0"/>
                  <w:marTop w:val="0"/>
                  <w:marBottom w:val="0"/>
                  <w:divBdr>
                    <w:top w:val="none" w:sz="0" w:space="0" w:color="auto"/>
                    <w:left w:val="none" w:sz="0" w:space="0" w:color="auto"/>
                    <w:bottom w:val="none" w:sz="0" w:space="0" w:color="auto"/>
                    <w:right w:val="none" w:sz="0" w:space="0" w:color="auto"/>
                  </w:divBdr>
                  <w:divsChild>
                    <w:div w:id="157306528">
                      <w:marLeft w:val="0"/>
                      <w:marRight w:val="0"/>
                      <w:marTop w:val="0"/>
                      <w:marBottom w:val="0"/>
                      <w:divBdr>
                        <w:top w:val="none" w:sz="0" w:space="0" w:color="auto"/>
                        <w:left w:val="none" w:sz="0" w:space="0" w:color="auto"/>
                        <w:bottom w:val="none" w:sz="0" w:space="0" w:color="auto"/>
                        <w:right w:val="none" w:sz="0" w:space="0" w:color="auto"/>
                      </w:divBdr>
                    </w:div>
                  </w:divsChild>
                </w:div>
                <w:div w:id="1807355745">
                  <w:marLeft w:val="0"/>
                  <w:marRight w:val="0"/>
                  <w:marTop w:val="0"/>
                  <w:marBottom w:val="0"/>
                  <w:divBdr>
                    <w:top w:val="none" w:sz="0" w:space="0" w:color="auto"/>
                    <w:left w:val="none" w:sz="0" w:space="0" w:color="auto"/>
                    <w:bottom w:val="none" w:sz="0" w:space="0" w:color="auto"/>
                    <w:right w:val="none" w:sz="0" w:space="0" w:color="auto"/>
                  </w:divBdr>
                  <w:divsChild>
                    <w:div w:id="1453404446">
                      <w:marLeft w:val="0"/>
                      <w:marRight w:val="0"/>
                      <w:marTop w:val="0"/>
                      <w:marBottom w:val="0"/>
                      <w:divBdr>
                        <w:top w:val="none" w:sz="0" w:space="0" w:color="auto"/>
                        <w:left w:val="none" w:sz="0" w:space="0" w:color="auto"/>
                        <w:bottom w:val="none" w:sz="0" w:space="0" w:color="auto"/>
                        <w:right w:val="none" w:sz="0" w:space="0" w:color="auto"/>
                      </w:divBdr>
                    </w:div>
                  </w:divsChild>
                </w:div>
                <w:div w:id="1830487756">
                  <w:marLeft w:val="0"/>
                  <w:marRight w:val="0"/>
                  <w:marTop w:val="0"/>
                  <w:marBottom w:val="0"/>
                  <w:divBdr>
                    <w:top w:val="none" w:sz="0" w:space="0" w:color="auto"/>
                    <w:left w:val="none" w:sz="0" w:space="0" w:color="auto"/>
                    <w:bottom w:val="none" w:sz="0" w:space="0" w:color="auto"/>
                    <w:right w:val="none" w:sz="0" w:space="0" w:color="auto"/>
                  </w:divBdr>
                  <w:divsChild>
                    <w:div w:id="1264655144">
                      <w:marLeft w:val="0"/>
                      <w:marRight w:val="0"/>
                      <w:marTop w:val="0"/>
                      <w:marBottom w:val="0"/>
                      <w:divBdr>
                        <w:top w:val="none" w:sz="0" w:space="0" w:color="auto"/>
                        <w:left w:val="none" w:sz="0" w:space="0" w:color="auto"/>
                        <w:bottom w:val="none" w:sz="0" w:space="0" w:color="auto"/>
                        <w:right w:val="none" w:sz="0" w:space="0" w:color="auto"/>
                      </w:divBdr>
                    </w:div>
                  </w:divsChild>
                </w:div>
                <w:div w:id="1890150000">
                  <w:marLeft w:val="0"/>
                  <w:marRight w:val="0"/>
                  <w:marTop w:val="0"/>
                  <w:marBottom w:val="0"/>
                  <w:divBdr>
                    <w:top w:val="none" w:sz="0" w:space="0" w:color="auto"/>
                    <w:left w:val="none" w:sz="0" w:space="0" w:color="auto"/>
                    <w:bottom w:val="none" w:sz="0" w:space="0" w:color="auto"/>
                    <w:right w:val="none" w:sz="0" w:space="0" w:color="auto"/>
                  </w:divBdr>
                  <w:divsChild>
                    <w:div w:id="2116439158">
                      <w:marLeft w:val="0"/>
                      <w:marRight w:val="0"/>
                      <w:marTop w:val="0"/>
                      <w:marBottom w:val="0"/>
                      <w:divBdr>
                        <w:top w:val="none" w:sz="0" w:space="0" w:color="auto"/>
                        <w:left w:val="none" w:sz="0" w:space="0" w:color="auto"/>
                        <w:bottom w:val="none" w:sz="0" w:space="0" w:color="auto"/>
                        <w:right w:val="none" w:sz="0" w:space="0" w:color="auto"/>
                      </w:divBdr>
                    </w:div>
                  </w:divsChild>
                </w:div>
                <w:div w:id="1917393729">
                  <w:marLeft w:val="0"/>
                  <w:marRight w:val="0"/>
                  <w:marTop w:val="0"/>
                  <w:marBottom w:val="0"/>
                  <w:divBdr>
                    <w:top w:val="none" w:sz="0" w:space="0" w:color="auto"/>
                    <w:left w:val="none" w:sz="0" w:space="0" w:color="auto"/>
                    <w:bottom w:val="none" w:sz="0" w:space="0" w:color="auto"/>
                    <w:right w:val="none" w:sz="0" w:space="0" w:color="auto"/>
                  </w:divBdr>
                  <w:divsChild>
                    <w:div w:id="1995791593">
                      <w:marLeft w:val="0"/>
                      <w:marRight w:val="0"/>
                      <w:marTop w:val="0"/>
                      <w:marBottom w:val="0"/>
                      <w:divBdr>
                        <w:top w:val="none" w:sz="0" w:space="0" w:color="auto"/>
                        <w:left w:val="none" w:sz="0" w:space="0" w:color="auto"/>
                        <w:bottom w:val="none" w:sz="0" w:space="0" w:color="auto"/>
                        <w:right w:val="none" w:sz="0" w:space="0" w:color="auto"/>
                      </w:divBdr>
                    </w:div>
                  </w:divsChild>
                </w:div>
                <w:div w:id="1937442863">
                  <w:marLeft w:val="0"/>
                  <w:marRight w:val="0"/>
                  <w:marTop w:val="0"/>
                  <w:marBottom w:val="0"/>
                  <w:divBdr>
                    <w:top w:val="none" w:sz="0" w:space="0" w:color="auto"/>
                    <w:left w:val="none" w:sz="0" w:space="0" w:color="auto"/>
                    <w:bottom w:val="none" w:sz="0" w:space="0" w:color="auto"/>
                    <w:right w:val="none" w:sz="0" w:space="0" w:color="auto"/>
                  </w:divBdr>
                  <w:divsChild>
                    <w:div w:id="1421221242">
                      <w:marLeft w:val="0"/>
                      <w:marRight w:val="0"/>
                      <w:marTop w:val="0"/>
                      <w:marBottom w:val="0"/>
                      <w:divBdr>
                        <w:top w:val="none" w:sz="0" w:space="0" w:color="auto"/>
                        <w:left w:val="none" w:sz="0" w:space="0" w:color="auto"/>
                        <w:bottom w:val="none" w:sz="0" w:space="0" w:color="auto"/>
                        <w:right w:val="none" w:sz="0" w:space="0" w:color="auto"/>
                      </w:divBdr>
                    </w:div>
                  </w:divsChild>
                </w:div>
                <w:div w:id="2019261515">
                  <w:marLeft w:val="0"/>
                  <w:marRight w:val="0"/>
                  <w:marTop w:val="0"/>
                  <w:marBottom w:val="0"/>
                  <w:divBdr>
                    <w:top w:val="none" w:sz="0" w:space="0" w:color="auto"/>
                    <w:left w:val="none" w:sz="0" w:space="0" w:color="auto"/>
                    <w:bottom w:val="none" w:sz="0" w:space="0" w:color="auto"/>
                    <w:right w:val="none" w:sz="0" w:space="0" w:color="auto"/>
                  </w:divBdr>
                  <w:divsChild>
                    <w:div w:id="21981638">
                      <w:marLeft w:val="0"/>
                      <w:marRight w:val="0"/>
                      <w:marTop w:val="0"/>
                      <w:marBottom w:val="0"/>
                      <w:divBdr>
                        <w:top w:val="none" w:sz="0" w:space="0" w:color="auto"/>
                        <w:left w:val="none" w:sz="0" w:space="0" w:color="auto"/>
                        <w:bottom w:val="none" w:sz="0" w:space="0" w:color="auto"/>
                        <w:right w:val="none" w:sz="0" w:space="0" w:color="auto"/>
                      </w:divBdr>
                    </w:div>
                  </w:divsChild>
                </w:div>
                <w:div w:id="2021813881">
                  <w:marLeft w:val="0"/>
                  <w:marRight w:val="0"/>
                  <w:marTop w:val="0"/>
                  <w:marBottom w:val="0"/>
                  <w:divBdr>
                    <w:top w:val="none" w:sz="0" w:space="0" w:color="auto"/>
                    <w:left w:val="none" w:sz="0" w:space="0" w:color="auto"/>
                    <w:bottom w:val="none" w:sz="0" w:space="0" w:color="auto"/>
                    <w:right w:val="none" w:sz="0" w:space="0" w:color="auto"/>
                  </w:divBdr>
                  <w:divsChild>
                    <w:div w:id="1092431945">
                      <w:marLeft w:val="0"/>
                      <w:marRight w:val="0"/>
                      <w:marTop w:val="0"/>
                      <w:marBottom w:val="0"/>
                      <w:divBdr>
                        <w:top w:val="none" w:sz="0" w:space="0" w:color="auto"/>
                        <w:left w:val="none" w:sz="0" w:space="0" w:color="auto"/>
                        <w:bottom w:val="none" w:sz="0" w:space="0" w:color="auto"/>
                        <w:right w:val="none" w:sz="0" w:space="0" w:color="auto"/>
                      </w:divBdr>
                    </w:div>
                  </w:divsChild>
                </w:div>
                <w:div w:id="2022006261">
                  <w:marLeft w:val="0"/>
                  <w:marRight w:val="0"/>
                  <w:marTop w:val="0"/>
                  <w:marBottom w:val="0"/>
                  <w:divBdr>
                    <w:top w:val="none" w:sz="0" w:space="0" w:color="auto"/>
                    <w:left w:val="none" w:sz="0" w:space="0" w:color="auto"/>
                    <w:bottom w:val="none" w:sz="0" w:space="0" w:color="auto"/>
                    <w:right w:val="none" w:sz="0" w:space="0" w:color="auto"/>
                  </w:divBdr>
                  <w:divsChild>
                    <w:div w:id="9576854">
                      <w:marLeft w:val="0"/>
                      <w:marRight w:val="0"/>
                      <w:marTop w:val="0"/>
                      <w:marBottom w:val="0"/>
                      <w:divBdr>
                        <w:top w:val="none" w:sz="0" w:space="0" w:color="auto"/>
                        <w:left w:val="none" w:sz="0" w:space="0" w:color="auto"/>
                        <w:bottom w:val="none" w:sz="0" w:space="0" w:color="auto"/>
                        <w:right w:val="none" w:sz="0" w:space="0" w:color="auto"/>
                      </w:divBdr>
                    </w:div>
                  </w:divsChild>
                </w:div>
                <w:div w:id="2041861123">
                  <w:marLeft w:val="0"/>
                  <w:marRight w:val="0"/>
                  <w:marTop w:val="0"/>
                  <w:marBottom w:val="0"/>
                  <w:divBdr>
                    <w:top w:val="none" w:sz="0" w:space="0" w:color="auto"/>
                    <w:left w:val="none" w:sz="0" w:space="0" w:color="auto"/>
                    <w:bottom w:val="none" w:sz="0" w:space="0" w:color="auto"/>
                    <w:right w:val="none" w:sz="0" w:space="0" w:color="auto"/>
                  </w:divBdr>
                  <w:divsChild>
                    <w:div w:id="531723385">
                      <w:marLeft w:val="0"/>
                      <w:marRight w:val="0"/>
                      <w:marTop w:val="0"/>
                      <w:marBottom w:val="0"/>
                      <w:divBdr>
                        <w:top w:val="none" w:sz="0" w:space="0" w:color="auto"/>
                        <w:left w:val="none" w:sz="0" w:space="0" w:color="auto"/>
                        <w:bottom w:val="none" w:sz="0" w:space="0" w:color="auto"/>
                        <w:right w:val="none" w:sz="0" w:space="0" w:color="auto"/>
                      </w:divBdr>
                    </w:div>
                  </w:divsChild>
                </w:div>
                <w:div w:id="2087070768">
                  <w:marLeft w:val="0"/>
                  <w:marRight w:val="0"/>
                  <w:marTop w:val="0"/>
                  <w:marBottom w:val="0"/>
                  <w:divBdr>
                    <w:top w:val="none" w:sz="0" w:space="0" w:color="auto"/>
                    <w:left w:val="none" w:sz="0" w:space="0" w:color="auto"/>
                    <w:bottom w:val="none" w:sz="0" w:space="0" w:color="auto"/>
                    <w:right w:val="none" w:sz="0" w:space="0" w:color="auto"/>
                  </w:divBdr>
                  <w:divsChild>
                    <w:div w:id="1510172048">
                      <w:marLeft w:val="0"/>
                      <w:marRight w:val="0"/>
                      <w:marTop w:val="0"/>
                      <w:marBottom w:val="0"/>
                      <w:divBdr>
                        <w:top w:val="none" w:sz="0" w:space="0" w:color="auto"/>
                        <w:left w:val="none" w:sz="0" w:space="0" w:color="auto"/>
                        <w:bottom w:val="none" w:sz="0" w:space="0" w:color="auto"/>
                        <w:right w:val="none" w:sz="0" w:space="0" w:color="auto"/>
                      </w:divBdr>
                    </w:div>
                  </w:divsChild>
                </w:div>
                <w:div w:id="2105954106">
                  <w:marLeft w:val="0"/>
                  <w:marRight w:val="0"/>
                  <w:marTop w:val="0"/>
                  <w:marBottom w:val="0"/>
                  <w:divBdr>
                    <w:top w:val="none" w:sz="0" w:space="0" w:color="auto"/>
                    <w:left w:val="none" w:sz="0" w:space="0" w:color="auto"/>
                    <w:bottom w:val="none" w:sz="0" w:space="0" w:color="auto"/>
                    <w:right w:val="none" w:sz="0" w:space="0" w:color="auto"/>
                  </w:divBdr>
                  <w:divsChild>
                    <w:div w:id="135792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319600">
          <w:marLeft w:val="0"/>
          <w:marRight w:val="0"/>
          <w:marTop w:val="0"/>
          <w:marBottom w:val="0"/>
          <w:divBdr>
            <w:top w:val="none" w:sz="0" w:space="0" w:color="auto"/>
            <w:left w:val="none" w:sz="0" w:space="0" w:color="auto"/>
            <w:bottom w:val="none" w:sz="0" w:space="0" w:color="auto"/>
            <w:right w:val="none" w:sz="0" w:space="0" w:color="auto"/>
          </w:divBdr>
          <w:divsChild>
            <w:div w:id="958997168">
              <w:marLeft w:val="-75"/>
              <w:marRight w:val="0"/>
              <w:marTop w:val="30"/>
              <w:marBottom w:val="30"/>
              <w:divBdr>
                <w:top w:val="none" w:sz="0" w:space="0" w:color="auto"/>
                <w:left w:val="none" w:sz="0" w:space="0" w:color="auto"/>
                <w:bottom w:val="none" w:sz="0" w:space="0" w:color="auto"/>
                <w:right w:val="none" w:sz="0" w:space="0" w:color="auto"/>
              </w:divBdr>
              <w:divsChild>
                <w:div w:id="41833549">
                  <w:marLeft w:val="0"/>
                  <w:marRight w:val="0"/>
                  <w:marTop w:val="0"/>
                  <w:marBottom w:val="0"/>
                  <w:divBdr>
                    <w:top w:val="none" w:sz="0" w:space="0" w:color="auto"/>
                    <w:left w:val="none" w:sz="0" w:space="0" w:color="auto"/>
                    <w:bottom w:val="none" w:sz="0" w:space="0" w:color="auto"/>
                    <w:right w:val="none" w:sz="0" w:space="0" w:color="auto"/>
                  </w:divBdr>
                  <w:divsChild>
                    <w:div w:id="2005929588">
                      <w:marLeft w:val="0"/>
                      <w:marRight w:val="0"/>
                      <w:marTop w:val="0"/>
                      <w:marBottom w:val="0"/>
                      <w:divBdr>
                        <w:top w:val="none" w:sz="0" w:space="0" w:color="auto"/>
                        <w:left w:val="none" w:sz="0" w:space="0" w:color="auto"/>
                        <w:bottom w:val="none" w:sz="0" w:space="0" w:color="auto"/>
                        <w:right w:val="none" w:sz="0" w:space="0" w:color="auto"/>
                      </w:divBdr>
                    </w:div>
                  </w:divsChild>
                </w:div>
                <w:div w:id="85275672">
                  <w:marLeft w:val="0"/>
                  <w:marRight w:val="0"/>
                  <w:marTop w:val="0"/>
                  <w:marBottom w:val="0"/>
                  <w:divBdr>
                    <w:top w:val="none" w:sz="0" w:space="0" w:color="auto"/>
                    <w:left w:val="none" w:sz="0" w:space="0" w:color="auto"/>
                    <w:bottom w:val="none" w:sz="0" w:space="0" w:color="auto"/>
                    <w:right w:val="none" w:sz="0" w:space="0" w:color="auto"/>
                  </w:divBdr>
                  <w:divsChild>
                    <w:div w:id="1272855997">
                      <w:marLeft w:val="0"/>
                      <w:marRight w:val="0"/>
                      <w:marTop w:val="0"/>
                      <w:marBottom w:val="0"/>
                      <w:divBdr>
                        <w:top w:val="none" w:sz="0" w:space="0" w:color="auto"/>
                        <w:left w:val="none" w:sz="0" w:space="0" w:color="auto"/>
                        <w:bottom w:val="none" w:sz="0" w:space="0" w:color="auto"/>
                        <w:right w:val="none" w:sz="0" w:space="0" w:color="auto"/>
                      </w:divBdr>
                    </w:div>
                  </w:divsChild>
                </w:div>
                <w:div w:id="93064407">
                  <w:marLeft w:val="0"/>
                  <w:marRight w:val="0"/>
                  <w:marTop w:val="0"/>
                  <w:marBottom w:val="0"/>
                  <w:divBdr>
                    <w:top w:val="none" w:sz="0" w:space="0" w:color="auto"/>
                    <w:left w:val="none" w:sz="0" w:space="0" w:color="auto"/>
                    <w:bottom w:val="none" w:sz="0" w:space="0" w:color="auto"/>
                    <w:right w:val="none" w:sz="0" w:space="0" w:color="auto"/>
                  </w:divBdr>
                  <w:divsChild>
                    <w:div w:id="1961453549">
                      <w:marLeft w:val="0"/>
                      <w:marRight w:val="0"/>
                      <w:marTop w:val="0"/>
                      <w:marBottom w:val="0"/>
                      <w:divBdr>
                        <w:top w:val="none" w:sz="0" w:space="0" w:color="auto"/>
                        <w:left w:val="none" w:sz="0" w:space="0" w:color="auto"/>
                        <w:bottom w:val="none" w:sz="0" w:space="0" w:color="auto"/>
                        <w:right w:val="none" w:sz="0" w:space="0" w:color="auto"/>
                      </w:divBdr>
                    </w:div>
                  </w:divsChild>
                </w:div>
                <w:div w:id="98910008">
                  <w:marLeft w:val="0"/>
                  <w:marRight w:val="0"/>
                  <w:marTop w:val="0"/>
                  <w:marBottom w:val="0"/>
                  <w:divBdr>
                    <w:top w:val="none" w:sz="0" w:space="0" w:color="auto"/>
                    <w:left w:val="none" w:sz="0" w:space="0" w:color="auto"/>
                    <w:bottom w:val="none" w:sz="0" w:space="0" w:color="auto"/>
                    <w:right w:val="none" w:sz="0" w:space="0" w:color="auto"/>
                  </w:divBdr>
                  <w:divsChild>
                    <w:div w:id="1950237180">
                      <w:marLeft w:val="0"/>
                      <w:marRight w:val="0"/>
                      <w:marTop w:val="0"/>
                      <w:marBottom w:val="0"/>
                      <w:divBdr>
                        <w:top w:val="none" w:sz="0" w:space="0" w:color="auto"/>
                        <w:left w:val="none" w:sz="0" w:space="0" w:color="auto"/>
                        <w:bottom w:val="none" w:sz="0" w:space="0" w:color="auto"/>
                        <w:right w:val="none" w:sz="0" w:space="0" w:color="auto"/>
                      </w:divBdr>
                    </w:div>
                  </w:divsChild>
                </w:div>
                <w:div w:id="147946600">
                  <w:marLeft w:val="0"/>
                  <w:marRight w:val="0"/>
                  <w:marTop w:val="0"/>
                  <w:marBottom w:val="0"/>
                  <w:divBdr>
                    <w:top w:val="none" w:sz="0" w:space="0" w:color="auto"/>
                    <w:left w:val="none" w:sz="0" w:space="0" w:color="auto"/>
                    <w:bottom w:val="none" w:sz="0" w:space="0" w:color="auto"/>
                    <w:right w:val="none" w:sz="0" w:space="0" w:color="auto"/>
                  </w:divBdr>
                  <w:divsChild>
                    <w:div w:id="1832986593">
                      <w:marLeft w:val="0"/>
                      <w:marRight w:val="0"/>
                      <w:marTop w:val="0"/>
                      <w:marBottom w:val="0"/>
                      <w:divBdr>
                        <w:top w:val="none" w:sz="0" w:space="0" w:color="auto"/>
                        <w:left w:val="none" w:sz="0" w:space="0" w:color="auto"/>
                        <w:bottom w:val="none" w:sz="0" w:space="0" w:color="auto"/>
                        <w:right w:val="none" w:sz="0" w:space="0" w:color="auto"/>
                      </w:divBdr>
                    </w:div>
                  </w:divsChild>
                </w:div>
                <w:div w:id="155386413">
                  <w:marLeft w:val="0"/>
                  <w:marRight w:val="0"/>
                  <w:marTop w:val="0"/>
                  <w:marBottom w:val="0"/>
                  <w:divBdr>
                    <w:top w:val="none" w:sz="0" w:space="0" w:color="auto"/>
                    <w:left w:val="none" w:sz="0" w:space="0" w:color="auto"/>
                    <w:bottom w:val="none" w:sz="0" w:space="0" w:color="auto"/>
                    <w:right w:val="none" w:sz="0" w:space="0" w:color="auto"/>
                  </w:divBdr>
                  <w:divsChild>
                    <w:div w:id="38631936">
                      <w:marLeft w:val="0"/>
                      <w:marRight w:val="0"/>
                      <w:marTop w:val="0"/>
                      <w:marBottom w:val="0"/>
                      <w:divBdr>
                        <w:top w:val="none" w:sz="0" w:space="0" w:color="auto"/>
                        <w:left w:val="none" w:sz="0" w:space="0" w:color="auto"/>
                        <w:bottom w:val="none" w:sz="0" w:space="0" w:color="auto"/>
                        <w:right w:val="none" w:sz="0" w:space="0" w:color="auto"/>
                      </w:divBdr>
                    </w:div>
                  </w:divsChild>
                </w:div>
                <w:div w:id="168569469">
                  <w:marLeft w:val="0"/>
                  <w:marRight w:val="0"/>
                  <w:marTop w:val="0"/>
                  <w:marBottom w:val="0"/>
                  <w:divBdr>
                    <w:top w:val="none" w:sz="0" w:space="0" w:color="auto"/>
                    <w:left w:val="none" w:sz="0" w:space="0" w:color="auto"/>
                    <w:bottom w:val="none" w:sz="0" w:space="0" w:color="auto"/>
                    <w:right w:val="none" w:sz="0" w:space="0" w:color="auto"/>
                  </w:divBdr>
                  <w:divsChild>
                    <w:div w:id="1602833557">
                      <w:marLeft w:val="0"/>
                      <w:marRight w:val="0"/>
                      <w:marTop w:val="0"/>
                      <w:marBottom w:val="0"/>
                      <w:divBdr>
                        <w:top w:val="none" w:sz="0" w:space="0" w:color="auto"/>
                        <w:left w:val="none" w:sz="0" w:space="0" w:color="auto"/>
                        <w:bottom w:val="none" w:sz="0" w:space="0" w:color="auto"/>
                        <w:right w:val="none" w:sz="0" w:space="0" w:color="auto"/>
                      </w:divBdr>
                    </w:div>
                  </w:divsChild>
                </w:div>
                <w:div w:id="169222486">
                  <w:marLeft w:val="0"/>
                  <w:marRight w:val="0"/>
                  <w:marTop w:val="0"/>
                  <w:marBottom w:val="0"/>
                  <w:divBdr>
                    <w:top w:val="none" w:sz="0" w:space="0" w:color="auto"/>
                    <w:left w:val="none" w:sz="0" w:space="0" w:color="auto"/>
                    <w:bottom w:val="none" w:sz="0" w:space="0" w:color="auto"/>
                    <w:right w:val="none" w:sz="0" w:space="0" w:color="auto"/>
                  </w:divBdr>
                  <w:divsChild>
                    <w:div w:id="486744630">
                      <w:marLeft w:val="0"/>
                      <w:marRight w:val="0"/>
                      <w:marTop w:val="0"/>
                      <w:marBottom w:val="0"/>
                      <w:divBdr>
                        <w:top w:val="none" w:sz="0" w:space="0" w:color="auto"/>
                        <w:left w:val="none" w:sz="0" w:space="0" w:color="auto"/>
                        <w:bottom w:val="none" w:sz="0" w:space="0" w:color="auto"/>
                        <w:right w:val="none" w:sz="0" w:space="0" w:color="auto"/>
                      </w:divBdr>
                    </w:div>
                  </w:divsChild>
                </w:div>
                <w:div w:id="175582407">
                  <w:marLeft w:val="0"/>
                  <w:marRight w:val="0"/>
                  <w:marTop w:val="0"/>
                  <w:marBottom w:val="0"/>
                  <w:divBdr>
                    <w:top w:val="none" w:sz="0" w:space="0" w:color="auto"/>
                    <w:left w:val="none" w:sz="0" w:space="0" w:color="auto"/>
                    <w:bottom w:val="none" w:sz="0" w:space="0" w:color="auto"/>
                    <w:right w:val="none" w:sz="0" w:space="0" w:color="auto"/>
                  </w:divBdr>
                  <w:divsChild>
                    <w:div w:id="1043946109">
                      <w:marLeft w:val="0"/>
                      <w:marRight w:val="0"/>
                      <w:marTop w:val="0"/>
                      <w:marBottom w:val="0"/>
                      <w:divBdr>
                        <w:top w:val="none" w:sz="0" w:space="0" w:color="auto"/>
                        <w:left w:val="none" w:sz="0" w:space="0" w:color="auto"/>
                        <w:bottom w:val="none" w:sz="0" w:space="0" w:color="auto"/>
                        <w:right w:val="none" w:sz="0" w:space="0" w:color="auto"/>
                      </w:divBdr>
                    </w:div>
                  </w:divsChild>
                </w:div>
                <w:div w:id="186408717">
                  <w:marLeft w:val="0"/>
                  <w:marRight w:val="0"/>
                  <w:marTop w:val="0"/>
                  <w:marBottom w:val="0"/>
                  <w:divBdr>
                    <w:top w:val="none" w:sz="0" w:space="0" w:color="auto"/>
                    <w:left w:val="none" w:sz="0" w:space="0" w:color="auto"/>
                    <w:bottom w:val="none" w:sz="0" w:space="0" w:color="auto"/>
                    <w:right w:val="none" w:sz="0" w:space="0" w:color="auto"/>
                  </w:divBdr>
                  <w:divsChild>
                    <w:div w:id="1623608826">
                      <w:marLeft w:val="0"/>
                      <w:marRight w:val="0"/>
                      <w:marTop w:val="0"/>
                      <w:marBottom w:val="0"/>
                      <w:divBdr>
                        <w:top w:val="none" w:sz="0" w:space="0" w:color="auto"/>
                        <w:left w:val="none" w:sz="0" w:space="0" w:color="auto"/>
                        <w:bottom w:val="none" w:sz="0" w:space="0" w:color="auto"/>
                        <w:right w:val="none" w:sz="0" w:space="0" w:color="auto"/>
                      </w:divBdr>
                    </w:div>
                  </w:divsChild>
                </w:div>
                <w:div w:id="190995406">
                  <w:marLeft w:val="0"/>
                  <w:marRight w:val="0"/>
                  <w:marTop w:val="0"/>
                  <w:marBottom w:val="0"/>
                  <w:divBdr>
                    <w:top w:val="none" w:sz="0" w:space="0" w:color="auto"/>
                    <w:left w:val="none" w:sz="0" w:space="0" w:color="auto"/>
                    <w:bottom w:val="none" w:sz="0" w:space="0" w:color="auto"/>
                    <w:right w:val="none" w:sz="0" w:space="0" w:color="auto"/>
                  </w:divBdr>
                  <w:divsChild>
                    <w:div w:id="48964234">
                      <w:marLeft w:val="0"/>
                      <w:marRight w:val="0"/>
                      <w:marTop w:val="0"/>
                      <w:marBottom w:val="0"/>
                      <w:divBdr>
                        <w:top w:val="none" w:sz="0" w:space="0" w:color="auto"/>
                        <w:left w:val="none" w:sz="0" w:space="0" w:color="auto"/>
                        <w:bottom w:val="none" w:sz="0" w:space="0" w:color="auto"/>
                        <w:right w:val="none" w:sz="0" w:space="0" w:color="auto"/>
                      </w:divBdr>
                    </w:div>
                  </w:divsChild>
                </w:div>
                <w:div w:id="201137933">
                  <w:marLeft w:val="0"/>
                  <w:marRight w:val="0"/>
                  <w:marTop w:val="0"/>
                  <w:marBottom w:val="0"/>
                  <w:divBdr>
                    <w:top w:val="none" w:sz="0" w:space="0" w:color="auto"/>
                    <w:left w:val="none" w:sz="0" w:space="0" w:color="auto"/>
                    <w:bottom w:val="none" w:sz="0" w:space="0" w:color="auto"/>
                    <w:right w:val="none" w:sz="0" w:space="0" w:color="auto"/>
                  </w:divBdr>
                  <w:divsChild>
                    <w:div w:id="1271084236">
                      <w:marLeft w:val="0"/>
                      <w:marRight w:val="0"/>
                      <w:marTop w:val="0"/>
                      <w:marBottom w:val="0"/>
                      <w:divBdr>
                        <w:top w:val="none" w:sz="0" w:space="0" w:color="auto"/>
                        <w:left w:val="none" w:sz="0" w:space="0" w:color="auto"/>
                        <w:bottom w:val="none" w:sz="0" w:space="0" w:color="auto"/>
                        <w:right w:val="none" w:sz="0" w:space="0" w:color="auto"/>
                      </w:divBdr>
                    </w:div>
                  </w:divsChild>
                </w:div>
                <w:div w:id="235214269">
                  <w:marLeft w:val="0"/>
                  <w:marRight w:val="0"/>
                  <w:marTop w:val="0"/>
                  <w:marBottom w:val="0"/>
                  <w:divBdr>
                    <w:top w:val="none" w:sz="0" w:space="0" w:color="auto"/>
                    <w:left w:val="none" w:sz="0" w:space="0" w:color="auto"/>
                    <w:bottom w:val="none" w:sz="0" w:space="0" w:color="auto"/>
                    <w:right w:val="none" w:sz="0" w:space="0" w:color="auto"/>
                  </w:divBdr>
                  <w:divsChild>
                    <w:div w:id="826172176">
                      <w:marLeft w:val="0"/>
                      <w:marRight w:val="0"/>
                      <w:marTop w:val="0"/>
                      <w:marBottom w:val="0"/>
                      <w:divBdr>
                        <w:top w:val="none" w:sz="0" w:space="0" w:color="auto"/>
                        <w:left w:val="none" w:sz="0" w:space="0" w:color="auto"/>
                        <w:bottom w:val="none" w:sz="0" w:space="0" w:color="auto"/>
                        <w:right w:val="none" w:sz="0" w:space="0" w:color="auto"/>
                      </w:divBdr>
                    </w:div>
                  </w:divsChild>
                </w:div>
                <w:div w:id="259722390">
                  <w:marLeft w:val="0"/>
                  <w:marRight w:val="0"/>
                  <w:marTop w:val="0"/>
                  <w:marBottom w:val="0"/>
                  <w:divBdr>
                    <w:top w:val="none" w:sz="0" w:space="0" w:color="auto"/>
                    <w:left w:val="none" w:sz="0" w:space="0" w:color="auto"/>
                    <w:bottom w:val="none" w:sz="0" w:space="0" w:color="auto"/>
                    <w:right w:val="none" w:sz="0" w:space="0" w:color="auto"/>
                  </w:divBdr>
                  <w:divsChild>
                    <w:div w:id="274291859">
                      <w:marLeft w:val="0"/>
                      <w:marRight w:val="0"/>
                      <w:marTop w:val="0"/>
                      <w:marBottom w:val="0"/>
                      <w:divBdr>
                        <w:top w:val="none" w:sz="0" w:space="0" w:color="auto"/>
                        <w:left w:val="none" w:sz="0" w:space="0" w:color="auto"/>
                        <w:bottom w:val="none" w:sz="0" w:space="0" w:color="auto"/>
                        <w:right w:val="none" w:sz="0" w:space="0" w:color="auto"/>
                      </w:divBdr>
                    </w:div>
                  </w:divsChild>
                </w:div>
                <w:div w:id="263072015">
                  <w:marLeft w:val="0"/>
                  <w:marRight w:val="0"/>
                  <w:marTop w:val="0"/>
                  <w:marBottom w:val="0"/>
                  <w:divBdr>
                    <w:top w:val="none" w:sz="0" w:space="0" w:color="auto"/>
                    <w:left w:val="none" w:sz="0" w:space="0" w:color="auto"/>
                    <w:bottom w:val="none" w:sz="0" w:space="0" w:color="auto"/>
                    <w:right w:val="none" w:sz="0" w:space="0" w:color="auto"/>
                  </w:divBdr>
                  <w:divsChild>
                    <w:div w:id="113256688">
                      <w:marLeft w:val="0"/>
                      <w:marRight w:val="0"/>
                      <w:marTop w:val="0"/>
                      <w:marBottom w:val="0"/>
                      <w:divBdr>
                        <w:top w:val="none" w:sz="0" w:space="0" w:color="auto"/>
                        <w:left w:val="none" w:sz="0" w:space="0" w:color="auto"/>
                        <w:bottom w:val="none" w:sz="0" w:space="0" w:color="auto"/>
                        <w:right w:val="none" w:sz="0" w:space="0" w:color="auto"/>
                      </w:divBdr>
                    </w:div>
                  </w:divsChild>
                </w:div>
                <w:div w:id="283778044">
                  <w:marLeft w:val="0"/>
                  <w:marRight w:val="0"/>
                  <w:marTop w:val="0"/>
                  <w:marBottom w:val="0"/>
                  <w:divBdr>
                    <w:top w:val="none" w:sz="0" w:space="0" w:color="auto"/>
                    <w:left w:val="none" w:sz="0" w:space="0" w:color="auto"/>
                    <w:bottom w:val="none" w:sz="0" w:space="0" w:color="auto"/>
                    <w:right w:val="none" w:sz="0" w:space="0" w:color="auto"/>
                  </w:divBdr>
                  <w:divsChild>
                    <w:div w:id="1924289859">
                      <w:marLeft w:val="0"/>
                      <w:marRight w:val="0"/>
                      <w:marTop w:val="0"/>
                      <w:marBottom w:val="0"/>
                      <w:divBdr>
                        <w:top w:val="none" w:sz="0" w:space="0" w:color="auto"/>
                        <w:left w:val="none" w:sz="0" w:space="0" w:color="auto"/>
                        <w:bottom w:val="none" w:sz="0" w:space="0" w:color="auto"/>
                        <w:right w:val="none" w:sz="0" w:space="0" w:color="auto"/>
                      </w:divBdr>
                    </w:div>
                  </w:divsChild>
                </w:div>
                <w:div w:id="288437903">
                  <w:marLeft w:val="0"/>
                  <w:marRight w:val="0"/>
                  <w:marTop w:val="0"/>
                  <w:marBottom w:val="0"/>
                  <w:divBdr>
                    <w:top w:val="none" w:sz="0" w:space="0" w:color="auto"/>
                    <w:left w:val="none" w:sz="0" w:space="0" w:color="auto"/>
                    <w:bottom w:val="none" w:sz="0" w:space="0" w:color="auto"/>
                    <w:right w:val="none" w:sz="0" w:space="0" w:color="auto"/>
                  </w:divBdr>
                  <w:divsChild>
                    <w:div w:id="301428194">
                      <w:marLeft w:val="0"/>
                      <w:marRight w:val="0"/>
                      <w:marTop w:val="0"/>
                      <w:marBottom w:val="0"/>
                      <w:divBdr>
                        <w:top w:val="none" w:sz="0" w:space="0" w:color="auto"/>
                        <w:left w:val="none" w:sz="0" w:space="0" w:color="auto"/>
                        <w:bottom w:val="none" w:sz="0" w:space="0" w:color="auto"/>
                        <w:right w:val="none" w:sz="0" w:space="0" w:color="auto"/>
                      </w:divBdr>
                    </w:div>
                  </w:divsChild>
                </w:div>
                <w:div w:id="289752294">
                  <w:marLeft w:val="0"/>
                  <w:marRight w:val="0"/>
                  <w:marTop w:val="0"/>
                  <w:marBottom w:val="0"/>
                  <w:divBdr>
                    <w:top w:val="none" w:sz="0" w:space="0" w:color="auto"/>
                    <w:left w:val="none" w:sz="0" w:space="0" w:color="auto"/>
                    <w:bottom w:val="none" w:sz="0" w:space="0" w:color="auto"/>
                    <w:right w:val="none" w:sz="0" w:space="0" w:color="auto"/>
                  </w:divBdr>
                  <w:divsChild>
                    <w:div w:id="1065223579">
                      <w:marLeft w:val="0"/>
                      <w:marRight w:val="0"/>
                      <w:marTop w:val="0"/>
                      <w:marBottom w:val="0"/>
                      <w:divBdr>
                        <w:top w:val="none" w:sz="0" w:space="0" w:color="auto"/>
                        <w:left w:val="none" w:sz="0" w:space="0" w:color="auto"/>
                        <w:bottom w:val="none" w:sz="0" w:space="0" w:color="auto"/>
                        <w:right w:val="none" w:sz="0" w:space="0" w:color="auto"/>
                      </w:divBdr>
                    </w:div>
                  </w:divsChild>
                </w:div>
                <w:div w:id="315107459">
                  <w:marLeft w:val="0"/>
                  <w:marRight w:val="0"/>
                  <w:marTop w:val="0"/>
                  <w:marBottom w:val="0"/>
                  <w:divBdr>
                    <w:top w:val="none" w:sz="0" w:space="0" w:color="auto"/>
                    <w:left w:val="none" w:sz="0" w:space="0" w:color="auto"/>
                    <w:bottom w:val="none" w:sz="0" w:space="0" w:color="auto"/>
                    <w:right w:val="none" w:sz="0" w:space="0" w:color="auto"/>
                  </w:divBdr>
                  <w:divsChild>
                    <w:div w:id="459998629">
                      <w:marLeft w:val="0"/>
                      <w:marRight w:val="0"/>
                      <w:marTop w:val="0"/>
                      <w:marBottom w:val="0"/>
                      <w:divBdr>
                        <w:top w:val="none" w:sz="0" w:space="0" w:color="auto"/>
                        <w:left w:val="none" w:sz="0" w:space="0" w:color="auto"/>
                        <w:bottom w:val="none" w:sz="0" w:space="0" w:color="auto"/>
                        <w:right w:val="none" w:sz="0" w:space="0" w:color="auto"/>
                      </w:divBdr>
                    </w:div>
                  </w:divsChild>
                </w:div>
                <w:div w:id="322972097">
                  <w:marLeft w:val="0"/>
                  <w:marRight w:val="0"/>
                  <w:marTop w:val="0"/>
                  <w:marBottom w:val="0"/>
                  <w:divBdr>
                    <w:top w:val="none" w:sz="0" w:space="0" w:color="auto"/>
                    <w:left w:val="none" w:sz="0" w:space="0" w:color="auto"/>
                    <w:bottom w:val="none" w:sz="0" w:space="0" w:color="auto"/>
                    <w:right w:val="none" w:sz="0" w:space="0" w:color="auto"/>
                  </w:divBdr>
                  <w:divsChild>
                    <w:div w:id="876503761">
                      <w:marLeft w:val="0"/>
                      <w:marRight w:val="0"/>
                      <w:marTop w:val="0"/>
                      <w:marBottom w:val="0"/>
                      <w:divBdr>
                        <w:top w:val="none" w:sz="0" w:space="0" w:color="auto"/>
                        <w:left w:val="none" w:sz="0" w:space="0" w:color="auto"/>
                        <w:bottom w:val="none" w:sz="0" w:space="0" w:color="auto"/>
                        <w:right w:val="none" w:sz="0" w:space="0" w:color="auto"/>
                      </w:divBdr>
                    </w:div>
                  </w:divsChild>
                </w:div>
                <w:div w:id="330261374">
                  <w:marLeft w:val="0"/>
                  <w:marRight w:val="0"/>
                  <w:marTop w:val="0"/>
                  <w:marBottom w:val="0"/>
                  <w:divBdr>
                    <w:top w:val="none" w:sz="0" w:space="0" w:color="auto"/>
                    <w:left w:val="none" w:sz="0" w:space="0" w:color="auto"/>
                    <w:bottom w:val="none" w:sz="0" w:space="0" w:color="auto"/>
                    <w:right w:val="none" w:sz="0" w:space="0" w:color="auto"/>
                  </w:divBdr>
                  <w:divsChild>
                    <w:div w:id="1369842341">
                      <w:marLeft w:val="0"/>
                      <w:marRight w:val="0"/>
                      <w:marTop w:val="0"/>
                      <w:marBottom w:val="0"/>
                      <w:divBdr>
                        <w:top w:val="none" w:sz="0" w:space="0" w:color="auto"/>
                        <w:left w:val="none" w:sz="0" w:space="0" w:color="auto"/>
                        <w:bottom w:val="none" w:sz="0" w:space="0" w:color="auto"/>
                        <w:right w:val="none" w:sz="0" w:space="0" w:color="auto"/>
                      </w:divBdr>
                    </w:div>
                  </w:divsChild>
                </w:div>
                <w:div w:id="367726858">
                  <w:marLeft w:val="0"/>
                  <w:marRight w:val="0"/>
                  <w:marTop w:val="0"/>
                  <w:marBottom w:val="0"/>
                  <w:divBdr>
                    <w:top w:val="none" w:sz="0" w:space="0" w:color="auto"/>
                    <w:left w:val="none" w:sz="0" w:space="0" w:color="auto"/>
                    <w:bottom w:val="none" w:sz="0" w:space="0" w:color="auto"/>
                    <w:right w:val="none" w:sz="0" w:space="0" w:color="auto"/>
                  </w:divBdr>
                  <w:divsChild>
                    <w:div w:id="606697457">
                      <w:marLeft w:val="0"/>
                      <w:marRight w:val="0"/>
                      <w:marTop w:val="0"/>
                      <w:marBottom w:val="0"/>
                      <w:divBdr>
                        <w:top w:val="none" w:sz="0" w:space="0" w:color="auto"/>
                        <w:left w:val="none" w:sz="0" w:space="0" w:color="auto"/>
                        <w:bottom w:val="none" w:sz="0" w:space="0" w:color="auto"/>
                        <w:right w:val="none" w:sz="0" w:space="0" w:color="auto"/>
                      </w:divBdr>
                    </w:div>
                  </w:divsChild>
                </w:div>
                <w:div w:id="376052550">
                  <w:marLeft w:val="0"/>
                  <w:marRight w:val="0"/>
                  <w:marTop w:val="0"/>
                  <w:marBottom w:val="0"/>
                  <w:divBdr>
                    <w:top w:val="none" w:sz="0" w:space="0" w:color="auto"/>
                    <w:left w:val="none" w:sz="0" w:space="0" w:color="auto"/>
                    <w:bottom w:val="none" w:sz="0" w:space="0" w:color="auto"/>
                    <w:right w:val="none" w:sz="0" w:space="0" w:color="auto"/>
                  </w:divBdr>
                  <w:divsChild>
                    <w:div w:id="1465581752">
                      <w:marLeft w:val="0"/>
                      <w:marRight w:val="0"/>
                      <w:marTop w:val="0"/>
                      <w:marBottom w:val="0"/>
                      <w:divBdr>
                        <w:top w:val="none" w:sz="0" w:space="0" w:color="auto"/>
                        <w:left w:val="none" w:sz="0" w:space="0" w:color="auto"/>
                        <w:bottom w:val="none" w:sz="0" w:space="0" w:color="auto"/>
                        <w:right w:val="none" w:sz="0" w:space="0" w:color="auto"/>
                      </w:divBdr>
                    </w:div>
                  </w:divsChild>
                </w:div>
                <w:div w:id="380400982">
                  <w:marLeft w:val="0"/>
                  <w:marRight w:val="0"/>
                  <w:marTop w:val="0"/>
                  <w:marBottom w:val="0"/>
                  <w:divBdr>
                    <w:top w:val="none" w:sz="0" w:space="0" w:color="auto"/>
                    <w:left w:val="none" w:sz="0" w:space="0" w:color="auto"/>
                    <w:bottom w:val="none" w:sz="0" w:space="0" w:color="auto"/>
                    <w:right w:val="none" w:sz="0" w:space="0" w:color="auto"/>
                  </w:divBdr>
                  <w:divsChild>
                    <w:div w:id="2076270316">
                      <w:marLeft w:val="0"/>
                      <w:marRight w:val="0"/>
                      <w:marTop w:val="0"/>
                      <w:marBottom w:val="0"/>
                      <w:divBdr>
                        <w:top w:val="none" w:sz="0" w:space="0" w:color="auto"/>
                        <w:left w:val="none" w:sz="0" w:space="0" w:color="auto"/>
                        <w:bottom w:val="none" w:sz="0" w:space="0" w:color="auto"/>
                        <w:right w:val="none" w:sz="0" w:space="0" w:color="auto"/>
                      </w:divBdr>
                    </w:div>
                  </w:divsChild>
                </w:div>
                <w:div w:id="417948135">
                  <w:marLeft w:val="0"/>
                  <w:marRight w:val="0"/>
                  <w:marTop w:val="0"/>
                  <w:marBottom w:val="0"/>
                  <w:divBdr>
                    <w:top w:val="none" w:sz="0" w:space="0" w:color="auto"/>
                    <w:left w:val="none" w:sz="0" w:space="0" w:color="auto"/>
                    <w:bottom w:val="none" w:sz="0" w:space="0" w:color="auto"/>
                    <w:right w:val="none" w:sz="0" w:space="0" w:color="auto"/>
                  </w:divBdr>
                  <w:divsChild>
                    <w:div w:id="753237925">
                      <w:marLeft w:val="0"/>
                      <w:marRight w:val="0"/>
                      <w:marTop w:val="0"/>
                      <w:marBottom w:val="0"/>
                      <w:divBdr>
                        <w:top w:val="none" w:sz="0" w:space="0" w:color="auto"/>
                        <w:left w:val="none" w:sz="0" w:space="0" w:color="auto"/>
                        <w:bottom w:val="none" w:sz="0" w:space="0" w:color="auto"/>
                        <w:right w:val="none" w:sz="0" w:space="0" w:color="auto"/>
                      </w:divBdr>
                    </w:div>
                  </w:divsChild>
                </w:div>
                <w:div w:id="434718235">
                  <w:marLeft w:val="0"/>
                  <w:marRight w:val="0"/>
                  <w:marTop w:val="0"/>
                  <w:marBottom w:val="0"/>
                  <w:divBdr>
                    <w:top w:val="none" w:sz="0" w:space="0" w:color="auto"/>
                    <w:left w:val="none" w:sz="0" w:space="0" w:color="auto"/>
                    <w:bottom w:val="none" w:sz="0" w:space="0" w:color="auto"/>
                    <w:right w:val="none" w:sz="0" w:space="0" w:color="auto"/>
                  </w:divBdr>
                  <w:divsChild>
                    <w:div w:id="1519270380">
                      <w:marLeft w:val="0"/>
                      <w:marRight w:val="0"/>
                      <w:marTop w:val="0"/>
                      <w:marBottom w:val="0"/>
                      <w:divBdr>
                        <w:top w:val="none" w:sz="0" w:space="0" w:color="auto"/>
                        <w:left w:val="none" w:sz="0" w:space="0" w:color="auto"/>
                        <w:bottom w:val="none" w:sz="0" w:space="0" w:color="auto"/>
                        <w:right w:val="none" w:sz="0" w:space="0" w:color="auto"/>
                      </w:divBdr>
                    </w:div>
                  </w:divsChild>
                </w:div>
                <w:div w:id="466164325">
                  <w:marLeft w:val="0"/>
                  <w:marRight w:val="0"/>
                  <w:marTop w:val="0"/>
                  <w:marBottom w:val="0"/>
                  <w:divBdr>
                    <w:top w:val="none" w:sz="0" w:space="0" w:color="auto"/>
                    <w:left w:val="none" w:sz="0" w:space="0" w:color="auto"/>
                    <w:bottom w:val="none" w:sz="0" w:space="0" w:color="auto"/>
                    <w:right w:val="none" w:sz="0" w:space="0" w:color="auto"/>
                  </w:divBdr>
                  <w:divsChild>
                    <w:div w:id="1429153135">
                      <w:marLeft w:val="0"/>
                      <w:marRight w:val="0"/>
                      <w:marTop w:val="0"/>
                      <w:marBottom w:val="0"/>
                      <w:divBdr>
                        <w:top w:val="none" w:sz="0" w:space="0" w:color="auto"/>
                        <w:left w:val="none" w:sz="0" w:space="0" w:color="auto"/>
                        <w:bottom w:val="none" w:sz="0" w:space="0" w:color="auto"/>
                        <w:right w:val="none" w:sz="0" w:space="0" w:color="auto"/>
                      </w:divBdr>
                    </w:div>
                  </w:divsChild>
                </w:div>
                <w:div w:id="475757402">
                  <w:marLeft w:val="0"/>
                  <w:marRight w:val="0"/>
                  <w:marTop w:val="0"/>
                  <w:marBottom w:val="0"/>
                  <w:divBdr>
                    <w:top w:val="none" w:sz="0" w:space="0" w:color="auto"/>
                    <w:left w:val="none" w:sz="0" w:space="0" w:color="auto"/>
                    <w:bottom w:val="none" w:sz="0" w:space="0" w:color="auto"/>
                    <w:right w:val="none" w:sz="0" w:space="0" w:color="auto"/>
                  </w:divBdr>
                  <w:divsChild>
                    <w:div w:id="2006584915">
                      <w:marLeft w:val="0"/>
                      <w:marRight w:val="0"/>
                      <w:marTop w:val="0"/>
                      <w:marBottom w:val="0"/>
                      <w:divBdr>
                        <w:top w:val="none" w:sz="0" w:space="0" w:color="auto"/>
                        <w:left w:val="none" w:sz="0" w:space="0" w:color="auto"/>
                        <w:bottom w:val="none" w:sz="0" w:space="0" w:color="auto"/>
                        <w:right w:val="none" w:sz="0" w:space="0" w:color="auto"/>
                      </w:divBdr>
                    </w:div>
                  </w:divsChild>
                </w:div>
                <w:div w:id="488252820">
                  <w:marLeft w:val="0"/>
                  <w:marRight w:val="0"/>
                  <w:marTop w:val="0"/>
                  <w:marBottom w:val="0"/>
                  <w:divBdr>
                    <w:top w:val="none" w:sz="0" w:space="0" w:color="auto"/>
                    <w:left w:val="none" w:sz="0" w:space="0" w:color="auto"/>
                    <w:bottom w:val="none" w:sz="0" w:space="0" w:color="auto"/>
                    <w:right w:val="none" w:sz="0" w:space="0" w:color="auto"/>
                  </w:divBdr>
                  <w:divsChild>
                    <w:div w:id="354353907">
                      <w:marLeft w:val="0"/>
                      <w:marRight w:val="0"/>
                      <w:marTop w:val="0"/>
                      <w:marBottom w:val="0"/>
                      <w:divBdr>
                        <w:top w:val="none" w:sz="0" w:space="0" w:color="auto"/>
                        <w:left w:val="none" w:sz="0" w:space="0" w:color="auto"/>
                        <w:bottom w:val="none" w:sz="0" w:space="0" w:color="auto"/>
                        <w:right w:val="none" w:sz="0" w:space="0" w:color="auto"/>
                      </w:divBdr>
                    </w:div>
                  </w:divsChild>
                </w:div>
                <w:div w:id="502743572">
                  <w:marLeft w:val="0"/>
                  <w:marRight w:val="0"/>
                  <w:marTop w:val="0"/>
                  <w:marBottom w:val="0"/>
                  <w:divBdr>
                    <w:top w:val="none" w:sz="0" w:space="0" w:color="auto"/>
                    <w:left w:val="none" w:sz="0" w:space="0" w:color="auto"/>
                    <w:bottom w:val="none" w:sz="0" w:space="0" w:color="auto"/>
                    <w:right w:val="none" w:sz="0" w:space="0" w:color="auto"/>
                  </w:divBdr>
                  <w:divsChild>
                    <w:div w:id="395472104">
                      <w:marLeft w:val="0"/>
                      <w:marRight w:val="0"/>
                      <w:marTop w:val="0"/>
                      <w:marBottom w:val="0"/>
                      <w:divBdr>
                        <w:top w:val="none" w:sz="0" w:space="0" w:color="auto"/>
                        <w:left w:val="none" w:sz="0" w:space="0" w:color="auto"/>
                        <w:bottom w:val="none" w:sz="0" w:space="0" w:color="auto"/>
                        <w:right w:val="none" w:sz="0" w:space="0" w:color="auto"/>
                      </w:divBdr>
                    </w:div>
                  </w:divsChild>
                </w:div>
                <w:div w:id="514883470">
                  <w:marLeft w:val="0"/>
                  <w:marRight w:val="0"/>
                  <w:marTop w:val="0"/>
                  <w:marBottom w:val="0"/>
                  <w:divBdr>
                    <w:top w:val="none" w:sz="0" w:space="0" w:color="auto"/>
                    <w:left w:val="none" w:sz="0" w:space="0" w:color="auto"/>
                    <w:bottom w:val="none" w:sz="0" w:space="0" w:color="auto"/>
                    <w:right w:val="none" w:sz="0" w:space="0" w:color="auto"/>
                  </w:divBdr>
                  <w:divsChild>
                    <w:div w:id="307979432">
                      <w:marLeft w:val="0"/>
                      <w:marRight w:val="0"/>
                      <w:marTop w:val="0"/>
                      <w:marBottom w:val="0"/>
                      <w:divBdr>
                        <w:top w:val="none" w:sz="0" w:space="0" w:color="auto"/>
                        <w:left w:val="none" w:sz="0" w:space="0" w:color="auto"/>
                        <w:bottom w:val="none" w:sz="0" w:space="0" w:color="auto"/>
                        <w:right w:val="none" w:sz="0" w:space="0" w:color="auto"/>
                      </w:divBdr>
                    </w:div>
                  </w:divsChild>
                </w:div>
                <w:div w:id="528377426">
                  <w:marLeft w:val="0"/>
                  <w:marRight w:val="0"/>
                  <w:marTop w:val="0"/>
                  <w:marBottom w:val="0"/>
                  <w:divBdr>
                    <w:top w:val="none" w:sz="0" w:space="0" w:color="auto"/>
                    <w:left w:val="none" w:sz="0" w:space="0" w:color="auto"/>
                    <w:bottom w:val="none" w:sz="0" w:space="0" w:color="auto"/>
                    <w:right w:val="none" w:sz="0" w:space="0" w:color="auto"/>
                  </w:divBdr>
                  <w:divsChild>
                    <w:div w:id="656764896">
                      <w:marLeft w:val="0"/>
                      <w:marRight w:val="0"/>
                      <w:marTop w:val="0"/>
                      <w:marBottom w:val="0"/>
                      <w:divBdr>
                        <w:top w:val="none" w:sz="0" w:space="0" w:color="auto"/>
                        <w:left w:val="none" w:sz="0" w:space="0" w:color="auto"/>
                        <w:bottom w:val="none" w:sz="0" w:space="0" w:color="auto"/>
                        <w:right w:val="none" w:sz="0" w:space="0" w:color="auto"/>
                      </w:divBdr>
                    </w:div>
                  </w:divsChild>
                </w:div>
                <w:div w:id="556667652">
                  <w:marLeft w:val="0"/>
                  <w:marRight w:val="0"/>
                  <w:marTop w:val="0"/>
                  <w:marBottom w:val="0"/>
                  <w:divBdr>
                    <w:top w:val="none" w:sz="0" w:space="0" w:color="auto"/>
                    <w:left w:val="none" w:sz="0" w:space="0" w:color="auto"/>
                    <w:bottom w:val="none" w:sz="0" w:space="0" w:color="auto"/>
                    <w:right w:val="none" w:sz="0" w:space="0" w:color="auto"/>
                  </w:divBdr>
                  <w:divsChild>
                    <w:div w:id="68969186">
                      <w:marLeft w:val="0"/>
                      <w:marRight w:val="0"/>
                      <w:marTop w:val="0"/>
                      <w:marBottom w:val="0"/>
                      <w:divBdr>
                        <w:top w:val="none" w:sz="0" w:space="0" w:color="auto"/>
                        <w:left w:val="none" w:sz="0" w:space="0" w:color="auto"/>
                        <w:bottom w:val="none" w:sz="0" w:space="0" w:color="auto"/>
                        <w:right w:val="none" w:sz="0" w:space="0" w:color="auto"/>
                      </w:divBdr>
                    </w:div>
                  </w:divsChild>
                </w:div>
                <w:div w:id="564029200">
                  <w:marLeft w:val="0"/>
                  <w:marRight w:val="0"/>
                  <w:marTop w:val="0"/>
                  <w:marBottom w:val="0"/>
                  <w:divBdr>
                    <w:top w:val="none" w:sz="0" w:space="0" w:color="auto"/>
                    <w:left w:val="none" w:sz="0" w:space="0" w:color="auto"/>
                    <w:bottom w:val="none" w:sz="0" w:space="0" w:color="auto"/>
                    <w:right w:val="none" w:sz="0" w:space="0" w:color="auto"/>
                  </w:divBdr>
                  <w:divsChild>
                    <w:div w:id="1557938241">
                      <w:marLeft w:val="0"/>
                      <w:marRight w:val="0"/>
                      <w:marTop w:val="0"/>
                      <w:marBottom w:val="0"/>
                      <w:divBdr>
                        <w:top w:val="none" w:sz="0" w:space="0" w:color="auto"/>
                        <w:left w:val="none" w:sz="0" w:space="0" w:color="auto"/>
                        <w:bottom w:val="none" w:sz="0" w:space="0" w:color="auto"/>
                        <w:right w:val="none" w:sz="0" w:space="0" w:color="auto"/>
                      </w:divBdr>
                    </w:div>
                  </w:divsChild>
                </w:div>
                <w:div w:id="609046240">
                  <w:marLeft w:val="0"/>
                  <w:marRight w:val="0"/>
                  <w:marTop w:val="0"/>
                  <w:marBottom w:val="0"/>
                  <w:divBdr>
                    <w:top w:val="none" w:sz="0" w:space="0" w:color="auto"/>
                    <w:left w:val="none" w:sz="0" w:space="0" w:color="auto"/>
                    <w:bottom w:val="none" w:sz="0" w:space="0" w:color="auto"/>
                    <w:right w:val="none" w:sz="0" w:space="0" w:color="auto"/>
                  </w:divBdr>
                  <w:divsChild>
                    <w:div w:id="1885213361">
                      <w:marLeft w:val="0"/>
                      <w:marRight w:val="0"/>
                      <w:marTop w:val="0"/>
                      <w:marBottom w:val="0"/>
                      <w:divBdr>
                        <w:top w:val="none" w:sz="0" w:space="0" w:color="auto"/>
                        <w:left w:val="none" w:sz="0" w:space="0" w:color="auto"/>
                        <w:bottom w:val="none" w:sz="0" w:space="0" w:color="auto"/>
                        <w:right w:val="none" w:sz="0" w:space="0" w:color="auto"/>
                      </w:divBdr>
                    </w:div>
                  </w:divsChild>
                </w:div>
                <w:div w:id="613446661">
                  <w:marLeft w:val="0"/>
                  <w:marRight w:val="0"/>
                  <w:marTop w:val="0"/>
                  <w:marBottom w:val="0"/>
                  <w:divBdr>
                    <w:top w:val="none" w:sz="0" w:space="0" w:color="auto"/>
                    <w:left w:val="none" w:sz="0" w:space="0" w:color="auto"/>
                    <w:bottom w:val="none" w:sz="0" w:space="0" w:color="auto"/>
                    <w:right w:val="none" w:sz="0" w:space="0" w:color="auto"/>
                  </w:divBdr>
                  <w:divsChild>
                    <w:div w:id="325519331">
                      <w:marLeft w:val="0"/>
                      <w:marRight w:val="0"/>
                      <w:marTop w:val="0"/>
                      <w:marBottom w:val="0"/>
                      <w:divBdr>
                        <w:top w:val="none" w:sz="0" w:space="0" w:color="auto"/>
                        <w:left w:val="none" w:sz="0" w:space="0" w:color="auto"/>
                        <w:bottom w:val="none" w:sz="0" w:space="0" w:color="auto"/>
                        <w:right w:val="none" w:sz="0" w:space="0" w:color="auto"/>
                      </w:divBdr>
                    </w:div>
                  </w:divsChild>
                </w:div>
                <w:div w:id="613832136">
                  <w:marLeft w:val="0"/>
                  <w:marRight w:val="0"/>
                  <w:marTop w:val="0"/>
                  <w:marBottom w:val="0"/>
                  <w:divBdr>
                    <w:top w:val="none" w:sz="0" w:space="0" w:color="auto"/>
                    <w:left w:val="none" w:sz="0" w:space="0" w:color="auto"/>
                    <w:bottom w:val="none" w:sz="0" w:space="0" w:color="auto"/>
                    <w:right w:val="none" w:sz="0" w:space="0" w:color="auto"/>
                  </w:divBdr>
                  <w:divsChild>
                    <w:div w:id="1978341555">
                      <w:marLeft w:val="0"/>
                      <w:marRight w:val="0"/>
                      <w:marTop w:val="0"/>
                      <w:marBottom w:val="0"/>
                      <w:divBdr>
                        <w:top w:val="none" w:sz="0" w:space="0" w:color="auto"/>
                        <w:left w:val="none" w:sz="0" w:space="0" w:color="auto"/>
                        <w:bottom w:val="none" w:sz="0" w:space="0" w:color="auto"/>
                        <w:right w:val="none" w:sz="0" w:space="0" w:color="auto"/>
                      </w:divBdr>
                    </w:div>
                  </w:divsChild>
                </w:div>
                <w:div w:id="621693853">
                  <w:marLeft w:val="0"/>
                  <w:marRight w:val="0"/>
                  <w:marTop w:val="0"/>
                  <w:marBottom w:val="0"/>
                  <w:divBdr>
                    <w:top w:val="none" w:sz="0" w:space="0" w:color="auto"/>
                    <w:left w:val="none" w:sz="0" w:space="0" w:color="auto"/>
                    <w:bottom w:val="none" w:sz="0" w:space="0" w:color="auto"/>
                    <w:right w:val="none" w:sz="0" w:space="0" w:color="auto"/>
                  </w:divBdr>
                  <w:divsChild>
                    <w:div w:id="1721703487">
                      <w:marLeft w:val="0"/>
                      <w:marRight w:val="0"/>
                      <w:marTop w:val="0"/>
                      <w:marBottom w:val="0"/>
                      <w:divBdr>
                        <w:top w:val="none" w:sz="0" w:space="0" w:color="auto"/>
                        <w:left w:val="none" w:sz="0" w:space="0" w:color="auto"/>
                        <w:bottom w:val="none" w:sz="0" w:space="0" w:color="auto"/>
                        <w:right w:val="none" w:sz="0" w:space="0" w:color="auto"/>
                      </w:divBdr>
                    </w:div>
                  </w:divsChild>
                </w:div>
                <w:div w:id="629896999">
                  <w:marLeft w:val="0"/>
                  <w:marRight w:val="0"/>
                  <w:marTop w:val="0"/>
                  <w:marBottom w:val="0"/>
                  <w:divBdr>
                    <w:top w:val="none" w:sz="0" w:space="0" w:color="auto"/>
                    <w:left w:val="none" w:sz="0" w:space="0" w:color="auto"/>
                    <w:bottom w:val="none" w:sz="0" w:space="0" w:color="auto"/>
                    <w:right w:val="none" w:sz="0" w:space="0" w:color="auto"/>
                  </w:divBdr>
                  <w:divsChild>
                    <w:div w:id="2077122578">
                      <w:marLeft w:val="0"/>
                      <w:marRight w:val="0"/>
                      <w:marTop w:val="0"/>
                      <w:marBottom w:val="0"/>
                      <w:divBdr>
                        <w:top w:val="none" w:sz="0" w:space="0" w:color="auto"/>
                        <w:left w:val="none" w:sz="0" w:space="0" w:color="auto"/>
                        <w:bottom w:val="none" w:sz="0" w:space="0" w:color="auto"/>
                        <w:right w:val="none" w:sz="0" w:space="0" w:color="auto"/>
                      </w:divBdr>
                    </w:div>
                  </w:divsChild>
                </w:div>
                <w:div w:id="671836768">
                  <w:marLeft w:val="0"/>
                  <w:marRight w:val="0"/>
                  <w:marTop w:val="0"/>
                  <w:marBottom w:val="0"/>
                  <w:divBdr>
                    <w:top w:val="none" w:sz="0" w:space="0" w:color="auto"/>
                    <w:left w:val="none" w:sz="0" w:space="0" w:color="auto"/>
                    <w:bottom w:val="none" w:sz="0" w:space="0" w:color="auto"/>
                    <w:right w:val="none" w:sz="0" w:space="0" w:color="auto"/>
                  </w:divBdr>
                  <w:divsChild>
                    <w:div w:id="1944069567">
                      <w:marLeft w:val="0"/>
                      <w:marRight w:val="0"/>
                      <w:marTop w:val="0"/>
                      <w:marBottom w:val="0"/>
                      <w:divBdr>
                        <w:top w:val="none" w:sz="0" w:space="0" w:color="auto"/>
                        <w:left w:val="none" w:sz="0" w:space="0" w:color="auto"/>
                        <w:bottom w:val="none" w:sz="0" w:space="0" w:color="auto"/>
                        <w:right w:val="none" w:sz="0" w:space="0" w:color="auto"/>
                      </w:divBdr>
                    </w:div>
                  </w:divsChild>
                </w:div>
                <w:div w:id="694231898">
                  <w:marLeft w:val="0"/>
                  <w:marRight w:val="0"/>
                  <w:marTop w:val="0"/>
                  <w:marBottom w:val="0"/>
                  <w:divBdr>
                    <w:top w:val="none" w:sz="0" w:space="0" w:color="auto"/>
                    <w:left w:val="none" w:sz="0" w:space="0" w:color="auto"/>
                    <w:bottom w:val="none" w:sz="0" w:space="0" w:color="auto"/>
                    <w:right w:val="none" w:sz="0" w:space="0" w:color="auto"/>
                  </w:divBdr>
                  <w:divsChild>
                    <w:div w:id="1274097768">
                      <w:marLeft w:val="0"/>
                      <w:marRight w:val="0"/>
                      <w:marTop w:val="0"/>
                      <w:marBottom w:val="0"/>
                      <w:divBdr>
                        <w:top w:val="none" w:sz="0" w:space="0" w:color="auto"/>
                        <w:left w:val="none" w:sz="0" w:space="0" w:color="auto"/>
                        <w:bottom w:val="none" w:sz="0" w:space="0" w:color="auto"/>
                        <w:right w:val="none" w:sz="0" w:space="0" w:color="auto"/>
                      </w:divBdr>
                    </w:div>
                  </w:divsChild>
                </w:div>
                <w:div w:id="706182135">
                  <w:marLeft w:val="0"/>
                  <w:marRight w:val="0"/>
                  <w:marTop w:val="0"/>
                  <w:marBottom w:val="0"/>
                  <w:divBdr>
                    <w:top w:val="none" w:sz="0" w:space="0" w:color="auto"/>
                    <w:left w:val="none" w:sz="0" w:space="0" w:color="auto"/>
                    <w:bottom w:val="none" w:sz="0" w:space="0" w:color="auto"/>
                    <w:right w:val="none" w:sz="0" w:space="0" w:color="auto"/>
                  </w:divBdr>
                  <w:divsChild>
                    <w:div w:id="552277862">
                      <w:marLeft w:val="0"/>
                      <w:marRight w:val="0"/>
                      <w:marTop w:val="0"/>
                      <w:marBottom w:val="0"/>
                      <w:divBdr>
                        <w:top w:val="none" w:sz="0" w:space="0" w:color="auto"/>
                        <w:left w:val="none" w:sz="0" w:space="0" w:color="auto"/>
                        <w:bottom w:val="none" w:sz="0" w:space="0" w:color="auto"/>
                        <w:right w:val="none" w:sz="0" w:space="0" w:color="auto"/>
                      </w:divBdr>
                    </w:div>
                  </w:divsChild>
                </w:div>
                <w:div w:id="777023878">
                  <w:marLeft w:val="0"/>
                  <w:marRight w:val="0"/>
                  <w:marTop w:val="0"/>
                  <w:marBottom w:val="0"/>
                  <w:divBdr>
                    <w:top w:val="none" w:sz="0" w:space="0" w:color="auto"/>
                    <w:left w:val="none" w:sz="0" w:space="0" w:color="auto"/>
                    <w:bottom w:val="none" w:sz="0" w:space="0" w:color="auto"/>
                    <w:right w:val="none" w:sz="0" w:space="0" w:color="auto"/>
                  </w:divBdr>
                  <w:divsChild>
                    <w:div w:id="573589620">
                      <w:marLeft w:val="0"/>
                      <w:marRight w:val="0"/>
                      <w:marTop w:val="0"/>
                      <w:marBottom w:val="0"/>
                      <w:divBdr>
                        <w:top w:val="none" w:sz="0" w:space="0" w:color="auto"/>
                        <w:left w:val="none" w:sz="0" w:space="0" w:color="auto"/>
                        <w:bottom w:val="none" w:sz="0" w:space="0" w:color="auto"/>
                        <w:right w:val="none" w:sz="0" w:space="0" w:color="auto"/>
                      </w:divBdr>
                    </w:div>
                  </w:divsChild>
                </w:div>
                <w:div w:id="785546543">
                  <w:marLeft w:val="0"/>
                  <w:marRight w:val="0"/>
                  <w:marTop w:val="0"/>
                  <w:marBottom w:val="0"/>
                  <w:divBdr>
                    <w:top w:val="none" w:sz="0" w:space="0" w:color="auto"/>
                    <w:left w:val="none" w:sz="0" w:space="0" w:color="auto"/>
                    <w:bottom w:val="none" w:sz="0" w:space="0" w:color="auto"/>
                    <w:right w:val="none" w:sz="0" w:space="0" w:color="auto"/>
                  </w:divBdr>
                  <w:divsChild>
                    <w:div w:id="1930699419">
                      <w:marLeft w:val="0"/>
                      <w:marRight w:val="0"/>
                      <w:marTop w:val="0"/>
                      <w:marBottom w:val="0"/>
                      <w:divBdr>
                        <w:top w:val="none" w:sz="0" w:space="0" w:color="auto"/>
                        <w:left w:val="none" w:sz="0" w:space="0" w:color="auto"/>
                        <w:bottom w:val="none" w:sz="0" w:space="0" w:color="auto"/>
                        <w:right w:val="none" w:sz="0" w:space="0" w:color="auto"/>
                      </w:divBdr>
                    </w:div>
                  </w:divsChild>
                </w:div>
                <w:div w:id="804858067">
                  <w:marLeft w:val="0"/>
                  <w:marRight w:val="0"/>
                  <w:marTop w:val="0"/>
                  <w:marBottom w:val="0"/>
                  <w:divBdr>
                    <w:top w:val="none" w:sz="0" w:space="0" w:color="auto"/>
                    <w:left w:val="none" w:sz="0" w:space="0" w:color="auto"/>
                    <w:bottom w:val="none" w:sz="0" w:space="0" w:color="auto"/>
                    <w:right w:val="none" w:sz="0" w:space="0" w:color="auto"/>
                  </w:divBdr>
                  <w:divsChild>
                    <w:div w:id="1185755381">
                      <w:marLeft w:val="0"/>
                      <w:marRight w:val="0"/>
                      <w:marTop w:val="0"/>
                      <w:marBottom w:val="0"/>
                      <w:divBdr>
                        <w:top w:val="none" w:sz="0" w:space="0" w:color="auto"/>
                        <w:left w:val="none" w:sz="0" w:space="0" w:color="auto"/>
                        <w:bottom w:val="none" w:sz="0" w:space="0" w:color="auto"/>
                        <w:right w:val="none" w:sz="0" w:space="0" w:color="auto"/>
                      </w:divBdr>
                    </w:div>
                  </w:divsChild>
                </w:div>
                <w:div w:id="814881261">
                  <w:marLeft w:val="0"/>
                  <w:marRight w:val="0"/>
                  <w:marTop w:val="0"/>
                  <w:marBottom w:val="0"/>
                  <w:divBdr>
                    <w:top w:val="none" w:sz="0" w:space="0" w:color="auto"/>
                    <w:left w:val="none" w:sz="0" w:space="0" w:color="auto"/>
                    <w:bottom w:val="none" w:sz="0" w:space="0" w:color="auto"/>
                    <w:right w:val="none" w:sz="0" w:space="0" w:color="auto"/>
                  </w:divBdr>
                  <w:divsChild>
                    <w:div w:id="322663286">
                      <w:marLeft w:val="0"/>
                      <w:marRight w:val="0"/>
                      <w:marTop w:val="0"/>
                      <w:marBottom w:val="0"/>
                      <w:divBdr>
                        <w:top w:val="none" w:sz="0" w:space="0" w:color="auto"/>
                        <w:left w:val="none" w:sz="0" w:space="0" w:color="auto"/>
                        <w:bottom w:val="none" w:sz="0" w:space="0" w:color="auto"/>
                        <w:right w:val="none" w:sz="0" w:space="0" w:color="auto"/>
                      </w:divBdr>
                    </w:div>
                  </w:divsChild>
                </w:div>
                <w:div w:id="815102537">
                  <w:marLeft w:val="0"/>
                  <w:marRight w:val="0"/>
                  <w:marTop w:val="0"/>
                  <w:marBottom w:val="0"/>
                  <w:divBdr>
                    <w:top w:val="none" w:sz="0" w:space="0" w:color="auto"/>
                    <w:left w:val="none" w:sz="0" w:space="0" w:color="auto"/>
                    <w:bottom w:val="none" w:sz="0" w:space="0" w:color="auto"/>
                    <w:right w:val="none" w:sz="0" w:space="0" w:color="auto"/>
                  </w:divBdr>
                  <w:divsChild>
                    <w:div w:id="1857425560">
                      <w:marLeft w:val="0"/>
                      <w:marRight w:val="0"/>
                      <w:marTop w:val="0"/>
                      <w:marBottom w:val="0"/>
                      <w:divBdr>
                        <w:top w:val="none" w:sz="0" w:space="0" w:color="auto"/>
                        <w:left w:val="none" w:sz="0" w:space="0" w:color="auto"/>
                        <w:bottom w:val="none" w:sz="0" w:space="0" w:color="auto"/>
                        <w:right w:val="none" w:sz="0" w:space="0" w:color="auto"/>
                      </w:divBdr>
                    </w:div>
                  </w:divsChild>
                </w:div>
                <w:div w:id="876741326">
                  <w:marLeft w:val="0"/>
                  <w:marRight w:val="0"/>
                  <w:marTop w:val="0"/>
                  <w:marBottom w:val="0"/>
                  <w:divBdr>
                    <w:top w:val="none" w:sz="0" w:space="0" w:color="auto"/>
                    <w:left w:val="none" w:sz="0" w:space="0" w:color="auto"/>
                    <w:bottom w:val="none" w:sz="0" w:space="0" w:color="auto"/>
                    <w:right w:val="none" w:sz="0" w:space="0" w:color="auto"/>
                  </w:divBdr>
                  <w:divsChild>
                    <w:div w:id="1628318701">
                      <w:marLeft w:val="0"/>
                      <w:marRight w:val="0"/>
                      <w:marTop w:val="0"/>
                      <w:marBottom w:val="0"/>
                      <w:divBdr>
                        <w:top w:val="none" w:sz="0" w:space="0" w:color="auto"/>
                        <w:left w:val="none" w:sz="0" w:space="0" w:color="auto"/>
                        <w:bottom w:val="none" w:sz="0" w:space="0" w:color="auto"/>
                        <w:right w:val="none" w:sz="0" w:space="0" w:color="auto"/>
                      </w:divBdr>
                    </w:div>
                  </w:divsChild>
                </w:div>
                <w:div w:id="910042295">
                  <w:marLeft w:val="0"/>
                  <w:marRight w:val="0"/>
                  <w:marTop w:val="0"/>
                  <w:marBottom w:val="0"/>
                  <w:divBdr>
                    <w:top w:val="none" w:sz="0" w:space="0" w:color="auto"/>
                    <w:left w:val="none" w:sz="0" w:space="0" w:color="auto"/>
                    <w:bottom w:val="none" w:sz="0" w:space="0" w:color="auto"/>
                    <w:right w:val="none" w:sz="0" w:space="0" w:color="auto"/>
                  </w:divBdr>
                  <w:divsChild>
                    <w:div w:id="294719607">
                      <w:marLeft w:val="0"/>
                      <w:marRight w:val="0"/>
                      <w:marTop w:val="0"/>
                      <w:marBottom w:val="0"/>
                      <w:divBdr>
                        <w:top w:val="none" w:sz="0" w:space="0" w:color="auto"/>
                        <w:left w:val="none" w:sz="0" w:space="0" w:color="auto"/>
                        <w:bottom w:val="none" w:sz="0" w:space="0" w:color="auto"/>
                        <w:right w:val="none" w:sz="0" w:space="0" w:color="auto"/>
                      </w:divBdr>
                    </w:div>
                  </w:divsChild>
                </w:div>
                <w:div w:id="982463634">
                  <w:marLeft w:val="0"/>
                  <w:marRight w:val="0"/>
                  <w:marTop w:val="0"/>
                  <w:marBottom w:val="0"/>
                  <w:divBdr>
                    <w:top w:val="none" w:sz="0" w:space="0" w:color="auto"/>
                    <w:left w:val="none" w:sz="0" w:space="0" w:color="auto"/>
                    <w:bottom w:val="none" w:sz="0" w:space="0" w:color="auto"/>
                    <w:right w:val="none" w:sz="0" w:space="0" w:color="auto"/>
                  </w:divBdr>
                  <w:divsChild>
                    <w:div w:id="1844002795">
                      <w:marLeft w:val="0"/>
                      <w:marRight w:val="0"/>
                      <w:marTop w:val="0"/>
                      <w:marBottom w:val="0"/>
                      <w:divBdr>
                        <w:top w:val="none" w:sz="0" w:space="0" w:color="auto"/>
                        <w:left w:val="none" w:sz="0" w:space="0" w:color="auto"/>
                        <w:bottom w:val="none" w:sz="0" w:space="0" w:color="auto"/>
                        <w:right w:val="none" w:sz="0" w:space="0" w:color="auto"/>
                      </w:divBdr>
                    </w:div>
                  </w:divsChild>
                </w:div>
                <w:div w:id="984357766">
                  <w:marLeft w:val="0"/>
                  <w:marRight w:val="0"/>
                  <w:marTop w:val="0"/>
                  <w:marBottom w:val="0"/>
                  <w:divBdr>
                    <w:top w:val="none" w:sz="0" w:space="0" w:color="auto"/>
                    <w:left w:val="none" w:sz="0" w:space="0" w:color="auto"/>
                    <w:bottom w:val="none" w:sz="0" w:space="0" w:color="auto"/>
                    <w:right w:val="none" w:sz="0" w:space="0" w:color="auto"/>
                  </w:divBdr>
                  <w:divsChild>
                    <w:div w:id="1870410717">
                      <w:marLeft w:val="0"/>
                      <w:marRight w:val="0"/>
                      <w:marTop w:val="0"/>
                      <w:marBottom w:val="0"/>
                      <w:divBdr>
                        <w:top w:val="none" w:sz="0" w:space="0" w:color="auto"/>
                        <w:left w:val="none" w:sz="0" w:space="0" w:color="auto"/>
                        <w:bottom w:val="none" w:sz="0" w:space="0" w:color="auto"/>
                        <w:right w:val="none" w:sz="0" w:space="0" w:color="auto"/>
                      </w:divBdr>
                    </w:div>
                  </w:divsChild>
                </w:div>
                <w:div w:id="991830584">
                  <w:marLeft w:val="0"/>
                  <w:marRight w:val="0"/>
                  <w:marTop w:val="0"/>
                  <w:marBottom w:val="0"/>
                  <w:divBdr>
                    <w:top w:val="none" w:sz="0" w:space="0" w:color="auto"/>
                    <w:left w:val="none" w:sz="0" w:space="0" w:color="auto"/>
                    <w:bottom w:val="none" w:sz="0" w:space="0" w:color="auto"/>
                    <w:right w:val="none" w:sz="0" w:space="0" w:color="auto"/>
                  </w:divBdr>
                  <w:divsChild>
                    <w:div w:id="1082292724">
                      <w:marLeft w:val="0"/>
                      <w:marRight w:val="0"/>
                      <w:marTop w:val="0"/>
                      <w:marBottom w:val="0"/>
                      <w:divBdr>
                        <w:top w:val="none" w:sz="0" w:space="0" w:color="auto"/>
                        <w:left w:val="none" w:sz="0" w:space="0" w:color="auto"/>
                        <w:bottom w:val="none" w:sz="0" w:space="0" w:color="auto"/>
                        <w:right w:val="none" w:sz="0" w:space="0" w:color="auto"/>
                      </w:divBdr>
                    </w:div>
                  </w:divsChild>
                </w:div>
                <w:div w:id="991955749">
                  <w:marLeft w:val="0"/>
                  <w:marRight w:val="0"/>
                  <w:marTop w:val="0"/>
                  <w:marBottom w:val="0"/>
                  <w:divBdr>
                    <w:top w:val="none" w:sz="0" w:space="0" w:color="auto"/>
                    <w:left w:val="none" w:sz="0" w:space="0" w:color="auto"/>
                    <w:bottom w:val="none" w:sz="0" w:space="0" w:color="auto"/>
                    <w:right w:val="none" w:sz="0" w:space="0" w:color="auto"/>
                  </w:divBdr>
                  <w:divsChild>
                    <w:div w:id="245195020">
                      <w:marLeft w:val="0"/>
                      <w:marRight w:val="0"/>
                      <w:marTop w:val="0"/>
                      <w:marBottom w:val="0"/>
                      <w:divBdr>
                        <w:top w:val="none" w:sz="0" w:space="0" w:color="auto"/>
                        <w:left w:val="none" w:sz="0" w:space="0" w:color="auto"/>
                        <w:bottom w:val="none" w:sz="0" w:space="0" w:color="auto"/>
                        <w:right w:val="none" w:sz="0" w:space="0" w:color="auto"/>
                      </w:divBdr>
                    </w:div>
                  </w:divsChild>
                </w:div>
                <w:div w:id="1016930762">
                  <w:marLeft w:val="0"/>
                  <w:marRight w:val="0"/>
                  <w:marTop w:val="0"/>
                  <w:marBottom w:val="0"/>
                  <w:divBdr>
                    <w:top w:val="none" w:sz="0" w:space="0" w:color="auto"/>
                    <w:left w:val="none" w:sz="0" w:space="0" w:color="auto"/>
                    <w:bottom w:val="none" w:sz="0" w:space="0" w:color="auto"/>
                    <w:right w:val="none" w:sz="0" w:space="0" w:color="auto"/>
                  </w:divBdr>
                  <w:divsChild>
                    <w:div w:id="112988022">
                      <w:marLeft w:val="0"/>
                      <w:marRight w:val="0"/>
                      <w:marTop w:val="0"/>
                      <w:marBottom w:val="0"/>
                      <w:divBdr>
                        <w:top w:val="none" w:sz="0" w:space="0" w:color="auto"/>
                        <w:left w:val="none" w:sz="0" w:space="0" w:color="auto"/>
                        <w:bottom w:val="none" w:sz="0" w:space="0" w:color="auto"/>
                        <w:right w:val="none" w:sz="0" w:space="0" w:color="auto"/>
                      </w:divBdr>
                    </w:div>
                  </w:divsChild>
                </w:div>
                <w:div w:id="1037579789">
                  <w:marLeft w:val="0"/>
                  <w:marRight w:val="0"/>
                  <w:marTop w:val="0"/>
                  <w:marBottom w:val="0"/>
                  <w:divBdr>
                    <w:top w:val="none" w:sz="0" w:space="0" w:color="auto"/>
                    <w:left w:val="none" w:sz="0" w:space="0" w:color="auto"/>
                    <w:bottom w:val="none" w:sz="0" w:space="0" w:color="auto"/>
                    <w:right w:val="none" w:sz="0" w:space="0" w:color="auto"/>
                  </w:divBdr>
                  <w:divsChild>
                    <w:div w:id="1326055659">
                      <w:marLeft w:val="0"/>
                      <w:marRight w:val="0"/>
                      <w:marTop w:val="0"/>
                      <w:marBottom w:val="0"/>
                      <w:divBdr>
                        <w:top w:val="none" w:sz="0" w:space="0" w:color="auto"/>
                        <w:left w:val="none" w:sz="0" w:space="0" w:color="auto"/>
                        <w:bottom w:val="none" w:sz="0" w:space="0" w:color="auto"/>
                        <w:right w:val="none" w:sz="0" w:space="0" w:color="auto"/>
                      </w:divBdr>
                    </w:div>
                  </w:divsChild>
                </w:div>
                <w:div w:id="1051541675">
                  <w:marLeft w:val="0"/>
                  <w:marRight w:val="0"/>
                  <w:marTop w:val="0"/>
                  <w:marBottom w:val="0"/>
                  <w:divBdr>
                    <w:top w:val="none" w:sz="0" w:space="0" w:color="auto"/>
                    <w:left w:val="none" w:sz="0" w:space="0" w:color="auto"/>
                    <w:bottom w:val="none" w:sz="0" w:space="0" w:color="auto"/>
                    <w:right w:val="none" w:sz="0" w:space="0" w:color="auto"/>
                  </w:divBdr>
                  <w:divsChild>
                    <w:div w:id="492374835">
                      <w:marLeft w:val="0"/>
                      <w:marRight w:val="0"/>
                      <w:marTop w:val="0"/>
                      <w:marBottom w:val="0"/>
                      <w:divBdr>
                        <w:top w:val="none" w:sz="0" w:space="0" w:color="auto"/>
                        <w:left w:val="none" w:sz="0" w:space="0" w:color="auto"/>
                        <w:bottom w:val="none" w:sz="0" w:space="0" w:color="auto"/>
                        <w:right w:val="none" w:sz="0" w:space="0" w:color="auto"/>
                      </w:divBdr>
                    </w:div>
                  </w:divsChild>
                </w:div>
                <w:div w:id="1052660306">
                  <w:marLeft w:val="0"/>
                  <w:marRight w:val="0"/>
                  <w:marTop w:val="0"/>
                  <w:marBottom w:val="0"/>
                  <w:divBdr>
                    <w:top w:val="none" w:sz="0" w:space="0" w:color="auto"/>
                    <w:left w:val="none" w:sz="0" w:space="0" w:color="auto"/>
                    <w:bottom w:val="none" w:sz="0" w:space="0" w:color="auto"/>
                    <w:right w:val="none" w:sz="0" w:space="0" w:color="auto"/>
                  </w:divBdr>
                  <w:divsChild>
                    <w:div w:id="670791483">
                      <w:marLeft w:val="0"/>
                      <w:marRight w:val="0"/>
                      <w:marTop w:val="0"/>
                      <w:marBottom w:val="0"/>
                      <w:divBdr>
                        <w:top w:val="none" w:sz="0" w:space="0" w:color="auto"/>
                        <w:left w:val="none" w:sz="0" w:space="0" w:color="auto"/>
                        <w:bottom w:val="none" w:sz="0" w:space="0" w:color="auto"/>
                        <w:right w:val="none" w:sz="0" w:space="0" w:color="auto"/>
                      </w:divBdr>
                    </w:div>
                  </w:divsChild>
                </w:div>
                <w:div w:id="1115712466">
                  <w:marLeft w:val="0"/>
                  <w:marRight w:val="0"/>
                  <w:marTop w:val="0"/>
                  <w:marBottom w:val="0"/>
                  <w:divBdr>
                    <w:top w:val="none" w:sz="0" w:space="0" w:color="auto"/>
                    <w:left w:val="none" w:sz="0" w:space="0" w:color="auto"/>
                    <w:bottom w:val="none" w:sz="0" w:space="0" w:color="auto"/>
                    <w:right w:val="none" w:sz="0" w:space="0" w:color="auto"/>
                  </w:divBdr>
                  <w:divsChild>
                    <w:div w:id="577596061">
                      <w:marLeft w:val="0"/>
                      <w:marRight w:val="0"/>
                      <w:marTop w:val="0"/>
                      <w:marBottom w:val="0"/>
                      <w:divBdr>
                        <w:top w:val="none" w:sz="0" w:space="0" w:color="auto"/>
                        <w:left w:val="none" w:sz="0" w:space="0" w:color="auto"/>
                        <w:bottom w:val="none" w:sz="0" w:space="0" w:color="auto"/>
                        <w:right w:val="none" w:sz="0" w:space="0" w:color="auto"/>
                      </w:divBdr>
                    </w:div>
                  </w:divsChild>
                </w:div>
                <w:div w:id="1171070710">
                  <w:marLeft w:val="0"/>
                  <w:marRight w:val="0"/>
                  <w:marTop w:val="0"/>
                  <w:marBottom w:val="0"/>
                  <w:divBdr>
                    <w:top w:val="none" w:sz="0" w:space="0" w:color="auto"/>
                    <w:left w:val="none" w:sz="0" w:space="0" w:color="auto"/>
                    <w:bottom w:val="none" w:sz="0" w:space="0" w:color="auto"/>
                    <w:right w:val="none" w:sz="0" w:space="0" w:color="auto"/>
                  </w:divBdr>
                  <w:divsChild>
                    <w:div w:id="953485047">
                      <w:marLeft w:val="0"/>
                      <w:marRight w:val="0"/>
                      <w:marTop w:val="0"/>
                      <w:marBottom w:val="0"/>
                      <w:divBdr>
                        <w:top w:val="none" w:sz="0" w:space="0" w:color="auto"/>
                        <w:left w:val="none" w:sz="0" w:space="0" w:color="auto"/>
                        <w:bottom w:val="none" w:sz="0" w:space="0" w:color="auto"/>
                        <w:right w:val="none" w:sz="0" w:space="0" w:color="auto"/>
                      </w:divBdr>
                    </w:div>
                  </w:divsChild>
                </w:div>
                <w:div w:id="1177882865">
                  <w:marLeft w:val="0"/>
                  <w:marRight w:val="0"/>
                  <w:marTop w:val="0"/>
                  <w:marBottom w:val="0"/>
                  <w:divBdr>
                    <w:top w:val="none" w:sz="0" w:space="0" w:color="auto"/>
                    <w:left w:val="none" w:sz="0" w:space="0" w:color="auto"/>
                    <w:bottom w:val="none" w:sz="0" w:space="0" w:color="auto"/>
                    <w:right w:val="none" w:sz="0" w:space="0" w:color="auto"/>
                  </w:divBdr>
                  <w:divsChild>
                    <w:div w:id="1469590886">
                      <w:marLeft w:val="0"/>
                      <w:marRight w:val="0"/>
                      <w:marTop w:val="0"/>
                      <w:marBottom w:val="0"/>
                      <w:divBdr>
                        <w:top w:val="none" w:sz="0" w:space="0" w:color="auto"/>
                        <w:left w:val="none" w:sz="0" w:space="0" w:color="auto"/>
                        <w:bottom w:val="none" w:sz="0" w:space="0" w:color="auto"/>
                        <w:right w:val="none" w:sz="0" w:space="0" w:color="auto"/>
                      </w:divBdr>
                    </w:div>
                  </w:divsChild>
                </w:div>
                <w:div w:id="1180319336">
                  <w:marLeft w:val="0"/>
                  <w:marRight w:val="0"/>
                  <w:marTop w:val="0"/>
                  <w:marBottom w:val="0"/>
                  <w:divBdr>
                    <w:top w:val="none" w:sz="0" w:space="0" w:color="auto"/>
                    <w:left w:val="none" w:sz="0" w:space="0" w:color="auto"/>
                    <w:bottom w:val="none" w:sz="0" w:space="0" w:color="auto"/>
                    <w:right w:val="none" w:sz="0" w:space="0" w:color="auto"/>
                  </w:divBdr>
                  <w:divsChild>
                    <w:div w:id="6834690">
                      <w:marLeft w:val="0"/>
                      <w:marRight w:val="0"/>
                      <w:marTop w:val="0"/>
                      <w:marBottom w:val="0"/>
                      <w:divBdr>
                        <w:top w:val="none" w:sz="0" w:space="0" w:color="auto"/>
                        <w:left w:val="none" w:sz="0" w:space="0" w:color="auto"/>
                        <w:bottom w:val="none" w:sz="0" w:space="0" w:color="auto"/>
                        <w:right w:val="none" w:sz="0" w:space="0" w:color="auto"/>
                      </w:divBdr>
                    </w:div>
                  </w:divsChild>
                </w:div>
                <w:div w:id="1203977526">
                  <w:marLeft w:val="0"/>
                  <w:marRight w:val="0"/>
                  <w:marTop w:val="0"/>
                  <w:marBottom w:val="0"/>
                  <w:divBdr>
                    <w:top w:val="none" w:sz="0" w:space="0" w:color="auto"/>
                    <w:left w:val="none" w:sz="0" w:space="0" w:color="auto"/>
                    <w:bottom w:val="none" w:sz="0" w:space="0" w:color="auto"/>
                    <w:right w:val="none" w:sz="0" w:space="0" w:color="auto"/>
                  </w:divBdr>
                  <w:divsChild>
                    <w:div w:id="1912425749">
                      <w:marLeft w:val="0"/>
                      <w:marRight w:val="0"/>
                      <w:marTop w:val="0"/>
                      <w:marBottom w:val="0"/>
                      <w:divBdr>
                        <w:top w:val="none" w:sz="0" w:space="0" w:color="auto"/>
                        <w:left w:val="none" w:sz="0" w:space="0" w:color="auto"/>
                        <w:bottom w:val="none" w:sz="0" w:space="0" w:color="auto"/>
                        <w:right w:val="none" w:sz="0" w:space="0" w:color="auto"/>
                      </w:divBdr>
                    </w:div>
                  </w:divsChild>
                </w:div>
                <w:div w:id="1209489424">
                  <w:marLeft w:val="0"/>
                  <w:marRight w:val="0"/>
                  <w:marTop w:val="0"/>
                  <w:marBottom w:val="0"/>
                  <w:divBdr>
                    <w:top w:val="none" w:sz="0" w:space="0" w:color="auto"/>
                    <w:left w:val="none" w:sz="0" w:space="0" w:color="auto"/>
                    <w:bottom w:val="none" w:sz="0" w:space="0" w:color="auto"/>
                    <w:right w:val="none" w:sz="0" w:space="0" w:color="auto"/>
                  </w:divBdr>
                  <w:divsChild>
                    <w:div w:id="1395932126">
                      <w:marLeft w:val="0"/>
                      <w:marRight w:val="0"/>
                      <w:marTop w:val="0"/>
                      <w:marBottom w:val="0"/>
                      <w:divBdr>
                        <w:top w:val="none" w:sz="0" w:space="0" w:color="auto"/>
                        <w:left w:val="none" w:sz="0" w:space="0" w:color="auto"/>
                        <w:bottom w:val="none" w:sz="0" w:space="0" w:color="auto"/>
                        <w:right w:val="none" w:sz="0" w:space="0" w:color="auto"/>
                      </w:divBdr>
                    </w:div>
                  </w:divsChild>
                </w:div>
                <w:div w:id="1229221938">
                  <w:marLeft w:val="0"/>
                  <w:marRight w:val="0"/>
                  <w:marTop w:val="0"/>
                  <w:marBottom w:val="0"/>
                  <w:divBdr>
                    <w:top w:val="none" w:sz="0" w:space="0" w:color="auto"/>
                    <w:left w:val="none" w:sz="0" w:space="0" w:color="auto"/>
                    <w:bottom w:val="none" w:sz="0" w:space="0" w:color="auto"/>
                    <w:right w:val="none" w:sz="0" w:space="0" w:color="auto"/>
                  </w:divBdr>
                  <w:divsChild>
                    <w:div w:id="451436512">
                      <w:marLeft w:val="0"/>
                      <w:marRight w:val="0"/>
                      <w:marTop w:val="0"/>
                      <w:marBottom w:val="0"/>
                      <w:divBdr>
                        <w:top w:val="none" w:sz="0" w:space="0" w:color="auto"/>
                        <w:left w:val="none" w:sz="0" w:space="0" w:color="auto"/>
                        <w:bottom w:val="none" w:sz="0" w:space="0" w:color="auto"/>
                        <w:right w:val="none" w:sz="0" w:space="0" w:color="auto"/>
                      </w:divBdr>
                    </w:div>
                  </w:divsChild>
                </w:div>
                <w:div w:id="1235237655">
                  <w:marLeft w:val="0"/>
                  <w:marRight w:val="0"/>
                  <w:marTop w:val="0"/>
                  <w:marBottom w:val="0"/>
                  <w:divBdr>
                    <w:top w:val="none" w:sz="0" w:space="0" w:color="auto"/>
                    <w:left w:val="none" w:sz="0" w:space="0" w:color="auto"/>
                    <w:bottom w:val="none" w:sz="0" w:space="0" w:color="auto"/>
                    <w:right w:val="none" w:sz="0" w:space="0" w:color="auto"/>
                  </w:divBdr>
                  <w:divsChild>
                    <w:div w:id="1469515408">
                      <w:marLeft w:val="0"/>
                      <w:marRight w:val="0"/>
                      <w:marTop w:val="0"/>
                      <w:marBottom w:val="0"/>
                      <w:divBdr>
                        <w:top w:val="none" w:sz="0" w:space="0" w:color="auto"/>
                        <w:left w:val="none" w:sz="0" w:space="0" w:color="auto"/>
                        <w:bottom w:val="none" w:sz="0" w:space="0" w:color="auto"/>
                        <w:right w:val="none" w:sz="0" w:space="0" w:color="auto"/>
                      </w:divBdr>
                    </w:div>
                  </w:divsChild>
                </w:div>
                <w:div w:id="1254050795">
                  <w:marLeft w:val="0"/>
                  <w:marRight w:val="0"/>
                  <w:marTop w:val="0"/>
                  <w:marBottom w:val="0"/>
                  <w:divBdr>
                    <w:top w:val="none" w:sz="0" w:space="0" w:color="auto"/>
                    <w:left w:val="none" w:sz="0" w:space="0" w:color="auto"/>
                    <w:bottom w:val="none" w:sz="0" w:space="0" w:color="auto"/>
                    <w:right w:val="none" w:sz="0" w:space="0" w:color="auto"/>
                  </w:divBdr>
                  <w:divsChild>
                    <w:div w:id="723480315">
                      <w:marLeft w:val="0"/>
                      <w:marRight w:val="0"/>
                      <w:marTop w:val="0"/>
                      <w:marBottom w:val="0"/>
                      <w:divBdr>
                        <w:top w:val="none" w:sz="0" w:space="0" w:color="auto"/>
                        <w:left w:val="none" w:sz="0" w:space="0" w:color="auto"/>
                        <w:bottom w:val="none" w:sz="0" w:space="0" w:color="auto"/>
                        <w:right w:val="none" w:sz="0" w:space="0" w:color="auto"/>
                      </w:divBdr>
                    </w:div>
                  </w:divsChild>
                </w:div>
                <w:div w:id="1257127817">
                  <w:marLeft w:val="0"/>
                  <w:marRight w:val="0"/>
                  <w:marTop w:val="0"/>
                  <w:marBottom w:val="0"/>
                  <w:divBdr>
                    <w:top w:val="none" w:sz="0" w:space="0" w:color="auto"/>
                    <w:left w:val="none" w:sz="0" w:space="0" w:color="auto"/>
                    <w:bottom w:val="none" w:sz="0" w:space="0" w:color="auto"/>
                    <w:right w:val="none" w:sz="0" w:space="0" w:color="auto"/>
                  </w:divBdr>
                  <w:divsChild>
                    <w:div w:id="1900558735">
                      <w:marLeft w:val="0"/>
                      <w:marRight w:val="0"/>
                      <w:marTop w:val="0"/>
                      <w:marBottom w:val="0"/>
                      <w:divBdr>
                        <w:top w:val="none" w:sz="0" w:space="0" w:color="auto"/>
                        <w:left w:val="none" w:sz="0" w:space="0" w:color="auto"/>
                        <w:bottom w:val="none" w:sz="0" w:space="0" w:color="auto"/>
                        <w:right w:val="none" w:sz="0" w:space="0" w:color="auto"/>
                      </w:divBdr>
                    </w:div>
                  </w:divsChild>
                </w:div>
                <w:div w:id="1258755222">
                  <w:marLeft w:val="0"/>
                  <w:marRight w:val="0"/>
                  <w:marTop w:val="0"/>
                  <w:marBottom w:val="0"/>
                  <w:divBdr>
                    <w:top w:val="none" w:sz="0" w:space="0" w:color="auto"/>
                    <w:left w:val="none" w:sz="0" w:space="0" w:color="auto"/>
                    <w:bottom w:val="none" w:sz="0" w:space="0" w:color="auto"/>
                    <w:right w:val="none" w:sz="0" w:space="0" w:color="auto"/>
                  </w:divBdr>
                  <w:divsChild>
                    <w:div w:id="1804618766">
                      <w:marLeft w:val="0"/>
                      <w:marRight w:val="0"/>
                      <w:marTop w:val="0"/>
                      <w:marBottom w:val="0"/>
                      <w:divBdr>
                        <w:top w:val="none" w:sz="0" w:space="0" w:color="auto"/>
                        <w:left w:val="none" w:sz="0" w:space="0" w:color="auto"/>
                        <w:bottom w:val="none" w:sz="0" w:space="0" w:color="auto"/>
                        <w:right w:val="none" w:sz="0" w:space="0" w:color="auto"/>
                      </w:divBdr>
                    </w:div>
                  </w:divsChild>
                </w:div>
                <w:div w:id="1279721554">
                  <w:marLeft w:val="0"/>
                  <w:marRight w:val="0"/>
                  <w:marTop w:val="0"/>
                  <w:marBottom w:val="0"/>
                  <w:divBdr>
                    <w:top w:val="none" w:sz="0" w:space="0" w:color="auto"/>
                    <w:left w:val="none" w:sz="0" w:space="0" w:color="auto"/>
                    <w:bottom w:val="none" w:sz="0" w:space="0" w:color="auto"/>
                    <w:right w:val="none" w:sz="0" w:space="0" w:color="auto"/>
                  </w:divBdr>
                  <w:divsChild>
                    <w:div w:id="822235961">
                      <w:marLeft w:val="0"/>
                      <w:marRight w:val="0"/>
                      <w:marTop w:val="0"/>
                      <w:marBottom w:val="0"/>
                      <w:divBdr>
                        <w:top w:val="none" w:sz="0" w:space="0" w:color="auto"/>
                        <w:left w:val="none" w:sz="0" w:space="0" w:color="auto"/>
                        <w:bottom w:val="none" w:sz="0" w:space="0" w:color="auto"/>
                        <w:right w:val="none" w:sz="0" w:space="0" w:color="auto"/>
                      </w:divBdr>
                    </w:div>
                  </w:divsChild>
                </w:div>
                <w:div w:id="1295065286">
                  <w:marLeft w:val="0"/>
                  <w:marRight w:val="0"/>
                  <w:marTop w:val="0"/>
                  <w:marBottom w:val="0"/>
                  <w:divBdr>
                    <w:top w:val="none" w:sz="0" w:space="0" w:color="auto"/>
                    <w:left w:val="none" w:sz="0" w:space="0" w:color="auto"/>
                    <w:bottom w:val="none" w:sz="0" w:space="0" w:color="auto"/>
                    <w:right w:val="none" w:sz="0" w:space="0" w:color="auto"/>
                  </w:divBdr>
                  <w:divsChild>
                    <w:div w:id="430317212">
                      <w:marLeft w:val="0"/>
                      <w:marRight w:val="0"/>
                      <w:marTop w:val="0"/>
                      <w:marBottom w:val="0"/>
                      <w:divBdr>
                        <w:top w:val="none" w:sz="0" w:space="0" w:color="auto"/>
                        <w:left w:val="none" w:sz="0" w:space="0" w:color="auto"/>
                        <w:bottom w:val="none" w:sz="0" w:space="0" w:color="auto"/>
                        <w:right w:val="none" w:sz="0" w:space="0" w:color="auto"/>
                      </w:divBdr>
                    </w:div>
                  </w:divsChild>
                </w:div>
                <w:div w:id="1296059923">
                  <w:marLeft w:val="0"/>
                  <w:marRight w:val="0"/>
                  <w:marTop w:val="0"/>
                  <w:marBottom w:val="0"/>
                  <w:divBdr>
                    <w:top w:val="none" w:sz="0" w:space="0" w:color="auto"/>
                    <w:left w:val="none" w:sz="0" w:space="0" w:color="auto"/>
                    <w:bottom w:val="none" w:sz="0" w:space="0" w:color="auto"/>
                    <w:right w:val="none" w:sz="0" w:space="0" w:color="auto"/>
                  </w:divBdr>
                  <w:divsChild>
                    <w:div w:id="336231998">
                      <w:marLeft w:val="0"/>
                      <w:marRight w:val="0"/>
                      <w:marTop w:val="0"/>
                      <w:marBottom w:val="0"/>
                      <w:divBdr>
                        <w:top w:val="none" w:sz="0" w:space="0" w:color="auto"/>
                        <w:left w:val="none" w:sz="0" w:space="0" w:color="auto"/>
                        <w:bottom w:val="none" w:sz="0" w:space="0" w:color="auto"/>
                        <w:right w:val="none" w:sz="0" w:space="0" w:color="auto"/>
                      </w:divBdr>
                    </w:div>
                  </w:divsChild>
                </w:div>
                <w:div w:id="1301887341">
                  <w:marLeft w:val="0"/>
                  <w:marRight w:val="0"/>
                  <w:marTop w:val="0"/>
                  <w:marBottom w:val="0"/>
                  <w:divBdr>
                    <w:top w:val="none" w:sz="0" w:space="0" w:color="auto"/>
                    <w:left w:val="none" w:sz="0" w:space="0" w:color="auto"/>
                    <w:bottom w:val="none" w:sz="0" w:space="0" w:color="auto"/>
                    <w:right w:val="none" w:sz="0" w:space="0" w:color="auto"/>
                  </w:divBdr>
                  <w:divsChild>
                    <w:div w:id="3754214">
                      <w:marLeft w:val="0"/>
                      <w:marRight w:val="0"/>
                      <w:marTop w:val="0"/>
                      <w:marBottom w:val="0"/>
                      <w:divBdr>
                        <w:top w:val="none" w:sz="0" w:space="0" w:color="auto"/>
                        <w:left w:val="none" w:sz="0" w:space="0" w:color="auto"/>
                        <w:bottom w:val="none" w:sz="0" w:space="0" w:color="auto"/>
                        <w:right w:val="none" w:sz="0" w:space="0" w:color="auto"/>
                      </w:divBdr>
                    </w:div>
                  </w:divsChild>
                </w:div>
                <w:div w:id="1306154846">
                  <w:marLeft w:val="0"/>
                  <w:marRight w:val="0"/>
                  <w:marTop w:val="0"/>
                  <w:marBottom w:val="0"/>
                  <w:divBdr>
                    <w:top w:val="none" w:sz="0" w:space="0" w:color="auto"/>
                    <w:left w:val="none" w:sz="0" w:space="0" w:color="auto"/>
                    <w:bottom w:val="none" w:sz="0" w:space="0" w:color="auto"/>
                    <w:right w:val="none" w:sz="0" w:space="0" w:color="auto"/>
                  </w:divBdr>
                  <w:divsChild>
                    <w:div w:id="1906380149">
                      <w:marLeft w:val="0"/>
                      <w:marRight w:val="0"/>
                      <w:marTop w:val="0"/>
                      <w:marBottom w:val="0"/>
                      <w:divBdr>
                        <w:top w:val="none" w:sz="0" w:space="0" w:color="auto"/>
                        <w:left w:val="none" w:sz="0" w:space="0" w:color="auto"/>
                        <w:bottom w:val="none" w:sz="0" w:space="0" w:color="auto"/>
                        <w:right w:val="none" w:sz="0" w:space="0" w:color="auto"/>
                      </w:divBdr>
                    </w:div>
                  </w:divsChild>
                </w:div>
                <w:div w:id="1307198087">
                  <w:marLeft w:val="0"/>
                  <w:marRight w:val="0"/>
                  <w:marTop w:val="0"/>
                  <w:marBottom w:val="0"/>
                  <w:divBdr>
                    <w:top w:val="none" w:sz="0" w:space="0" w:color="auto"/>
                    <w:left w:val="none" w:sz="0" w:space="0" w:color="auto"/>
                    <w:bottom w:val="none" w:sz="0" w:space="0" w:color="auto"/>
                    <w:right w:val="none" w:sz="0" w:space="0" w:color="auto"/>
                  </w:divBdr>
                  <w:divsChild>
                    <w:div w:id="260335005">
                      <w:marLeft w:val="0"/>
                      <w:marRight w:val="0"/>
                      <w:marTop w:val="0"/>
                      <w:marBottom w:val="0"/>
                      <w:divBdr>
                        <w:top w:val="none" w:sz="0" w:space="0" w:color="auto"/>
                        <w:left w:val="none" w:sz="0" w:space="0" w:color="auto"/>
                        <w:bottom w:val="none" w:sz="0" w:space="0" w:color="auto"/>
                        <w:right w:val="none" w:sz="0" w:space="0" w:color="auto"/>
                      </w:divBdr>
                    </w:div>
                  </w:divsChild>
                </w:div>
                <w:div w:id="1321545841">
                  <w:marLeft w:val="0"/>
                  <w:marRight w:val="0"/>
                  <w:marTop w:val="0"/>
                  <w:marBottom w:val="0"/>
                  <w:divBdr>
                    <w:top w:val="none" w:sz="0" w:space="0" w:color="auto"/>
                    <w:left w:val="none" w:sz="0" w:space="0" w:color="auto"/>
                    <w:bottom w:val="none" w:sz="0" w:space="0" w:color="auto"/>
                    <w:right w:val="none" w:sz="0" w:space="0" w:color="auto"/>
                  </w:divBdr>
                  <w:divsChild>
                    <w:div w:id="1080636051">
                      <w:marLeft w:val="0"/>
                      <w:marRight w:val="0"/>
                      <w:marTop w:val="0"/>
                      <w:marBottom w:val="0"/>
                      <w:divBdr>
                        <w:top w:val="none" w:sz="0" w:space="0" w:color="auto"/>
                        <w:left w:val="none" w:sz="0" w:space="0" w:color="auto"/>
                        <w:bottom w:val="none" w:sz="0" w:space="0" w:color="auto"/>
                        <w:right w:val="none" w:sz="0" w:space="0" w:color="auto"/>
                      </w:divBdr>
                    </w:div>
                  </w:divsChild>
                </w:div>
                <w:div w:id="1342707907">
                  <w:marLeft w:val="0"/>
                  <w:marRight w:val="0"/>
                  <w:marTop w:val="0"/>
                  <w:marBottom w:val="0"/>
                  <w:divBdr>
                    <w:top w:val="none" w:sz="0" w:space="0" w:color="auto"/>
                    <w:left w:val="none" w:sz="0" w:space="0" w:color="auto"/>
                    <w:bottom w:val="none" w:sz="0" w:space="0" w:color="auto"/>
                    <w:right w:val="none" w:sz="0" w:space="0" w:color="auto"/>
                  </w:divBdr>
                  <w:divsChild>
                    <w:div w:id="194932045">
                      <w:marLeft w:val="0"/>
                      <w:marRight w:val="0"/>
                      <w:marTop w:val="0"/>
                      <w:marBottom w:val="0"/>
                      <w:divBdr>
                        <w:top w:val="none" w:sz="0" w:space="0" w:color="auto"/>
                        <w:left w:val="none" w:sz="0" w:space="0" w:color="auto"/>
                        <w:bottom w:val="none" w:sz="0" w:space="0" w:color="auto"/>
                        <w:right w:val="none" w:sz="0" w:space="0" w:color="auto"/>
                      </w:divBdr>
                    </w:div>
                  </w:divsChild>
                </w:div>
                <w:div w:id="1369792540">
                  <w:marLeft w:val="0"/>
                  <w:marRight w:val="0"/>
                  <w:marTop w:val="0"/>
                  <w:marBottom w:val="0"/>
                  <w:divBdr>
                    <w:top w:val="none" w:sz="0" w:space="0" w:color="auto"/>
                    <w:left w:val="none" w:sz="0" w:space="0" w:color="auto"/>
                    <w:bottom w:val="none" w:sz="0" w:space="0" w:color="auto"/>
                    <w:right w:val="none" w:sz="0" w:space="0" w:color="auto"/>
                  </w:divBdr>
                  <w:divsChild>
                    <w:div w:id="60493016">
                      <w:marLeft w:val="0"/>
                      <w:marRight w:val="0"/>
                      <w:marTop w:val="0"/>
                      <w:marBottom w:val="0"/>
                      <w:divBdr>
                        <w:top w:val="none" w:sz="0" w:space="0" w:color="auto"/>
                        <w:left w:val="none" w:sz="0" w:space="0" w:color="auto"/>
                        <w:bottom w:val="none" w:sz="0" w:space="0" w:color="auto"/>
                        <w:right w:val="none" w:sz="0" w:space="0" w:color="auto"/>
                      </w:divBdr>
                    </w:div>
                  </w:divsChild>
                </w:div>
                <w:div w:id="1386292349">
                  <w:marLeft w:val="0"/>
                  <w:marRight w:val="0"/>
                  <w:marTop w:val="0"/>
                  <w:marBottom w:val="0"/>
                  <w:divBdr>
                    <w:top w:val="none" w:sz="0" w:space="0" w:color="auto"/>
                    <w:left w:val="none" w:sz="0" w:space="0" w:color="auto"/>
                    <w:bottom w:val="none" w:sz="0" w:space="0" w:color="auto"/>
                    <w:right w:val="none" w:sz="0" w:space="0" w:color="auto"/>
                  </w:divBdr>
                  <w:divsChild>
                    <w:div w:id="101917757">
                      <w:marLeft w:val="0"/>
                      <w:marRight w:val="0"/>
                      <w:marTop w:val="0"/>
                      <w:marBottom w:val="0"/>
                      <w:divBdr>
                        <w:top w:val="none" w:sz="0" w:space="0" w:color="auto"/>
                        <w:left w:val="none" w:sz="0" w:space="0" w:color="auto"/>
                        <w:bottom w:val="none" w:sz="0" w:space="0" w:color="auto"/>
                        <w:right w:val="none" w:sz="0" w:space="0" w:color="auto"/>
                      </w:divBdr>
                    </w:div>
                  </w:divsChild>
                </w:div>
                <w:div w:id="1410349029">
                  <w:marLeft w:val="0"/>
                  <w:marRight w:val="0"/>
                  <w:marTop w:val="0"/>
                  <w:marBottom w:val="0"/>
                  <w:divBdr>
                    <w:top w:val="none" w:sz="0" w:space="0" w:color="auto"/>
                    <w:left w:val="none" w:sz="0" w:space="0" w:color="auto"/>
                    <w:bottom w:val="none" w:sz="0" w:space="0" w:color="auto"/>
                    <w:right w:val="none" w:sz="0" w:space="0" w:color="auto"/>
                  </w:divBdr>
                  <w:divsChild>
                    <w:div w:id="529605847">
                      <w:marLeft w:val="0"/>
                      <w:marRight w:val="0"/>
                      <w:marTop w:val="0"/>
                      <w:marBottom w:val="0"/>
                      <w:divBdr>
                        <w:top w:val="none" w:sz="0" w:space="0" w:color="auto"/>
                        <w:left w:val="none" w:sz="0" w:space="0" w:color="auto"/>
                        <w:bottom w:val="none" w:sz="0" w:space="0" w:color="auto"/>
                        <w:right w:val="none" w:sz="0" w:space="0" w:color="auto"/>
                      </w:divBdr>
                    </w:div>
                  </w:divsChild>
                </w:div>
                <w:div w:id="1410469918">
                  <w:marLeft w:val="0"/>
                  <w:marRight w:val="0"/>
                  <w:marTop w:val="0"/>
                  <w:marBottom w:val="0"/>
                  <w:divBdr>
                    <w:top w:val="none" w:sz="0" w:space="0" w:color="auto"/>
                    <w:left w:val="none" w:sz="0" w:space="0" w:color="auto"/>
                    <w:bottom w:val="none" w:sz="0" w:space="0" w:color="auto"/>
                    <w:right w:val="none" w:sz="0" w:space="0" w:color="auto"/>
                  </w:divBdr>
                  <w:divsChild>
                    <w:div w:id="1310944216">
                      <w:marLeft w:val="0"/>
                      <w:marRight w:val="0"/>
                      <w:marTop w:val="0"/>
                      <w:marBottom w:val="0"/>
                      <w:divBdr>
                        <w:top w:val="none" w:sz="0" w:space="0" w:color="auto"/>
                        <w:left w:val="none" w:sz="0" w:space="0" w:color="auto"/>
                        <w:bottom w:val="none" w:sz="0" w:space="0" w:color="auto"/>
                        <w:right w:val="none" w:sz="0" w:space="0" w:color="auto"/>
                      </w:divBdr>
                    </w:div>
                  </w:divsChild>
                </w:div>
                <w:div w:id="1411196931">
                  <w:marLeft w:val="0"/>
                  <w:marRight w:val="0"/>
                  <w:marTop w:val="0"/>
                  <w:marBottom w:val="0"/>
                  <w:divBdr>
                    <w:top w:val="none" w:sz="0" w:space="0" w:color="auto"/>
                    <w:left w:val="none" w:sz="0" w:space="0" w:color="auto"/>
                    <w:bottom w:val="none" w:sz="0" w:space="0" w:color="auto"/>
                    <w:right w:val="none" w:sz="0" w:space="0" w:color="auto"/>
                  </w:divBdr>
                  <w:divsChild>
                    <w:div w:id="1887066080">
                      <w:marLeft w:val="0"/>
                      <w:marRight w:val="0"/>
                      <w:marTop w:val="0"/>
                      <w:marBottom w:val="0"/>
                      <w:divBdr>
                        <w:top w:val="none" w:sz="0" w:space="0" w:color="auto"/>
                        <w:left w:val="none" w:sz="0" w:space="0" w:color="auto"/>
                        <w:bottom w:val="none" w:sz="0" w:space="0" w:color="auto"/>
                        <w:right w:val="none" w:sz="0" w:space="0" w:color="auto"/>
                      </w:divBdr>
                    </w:div>
                  </w:divsChild>
                </w:div>
                <w:div w:id="1419214707">
                  <w:marLeft w:val="0"/>
                  <w:marRight w:val="0"/>
                  <w:marTop w:val="0"/>
                  <w:marBottom w:val="0"/>
                  <w:divBdr>
                    <w:top w:val="none" w:sz="0" w:space="0" w:color="auto"/>
                    <w:left w:val="none" w:sz="0" w:space="0" w:color="auto"/>
                    <w:bottom w:val="none" w:sz="0" w:space="0" w:color="auto"/>
                    <w:right w:val="none" w:sz="0" w:space="0" w:color="auto"/>
                  </w:divBdr>
                  <w:divsChild>
                    <w:div w:id="175003389">
                      <w:marLeft w:val="0"/>
                      <w:marRight w:val="0"/>
                      <w:marTop w:val="0"/>
                      <w:marBottom w:val="0"/>
                      <w:divBdr>
                        <w:top w:val="none" w:sz="0" w:space="0" w:color="auto"/>
                        <w:left w:val="none" w:sz="0" w:space="0" w:color="auto"/>
                        <w:bottom w:val="none" w:sz="0" w:space="0" w:color="auto"/>
                        <w:right w:val="none" w:sz="0" w:space="0" w:color="auto"/>
                      </w:divBdr>
                    </w:div>
                  </w:divsChild>
                </w:div>
                <w:div w:id="1428114579">
                  <w:marLeft w:val="0"/>
                  <w:marRight w:val="0"/>
                  <w:marTop w:val="0"/>
                  <w:marBottom w:val="0"/>
                  <w:divBdr>
                    <w:top w:val="none" w:sz="0" w:space="0" w:color="auto"/>
                    <w:left w:val="none" w:sz="0" w:space="0" w:color="auto"/>
                    <w:bottom w:val="none" w:sz="0" w:space="0" w:color="auto"/>
                    <w:right w:val="none" w:sz="0" w:space="0" w:color="auto"/>
                  </w:divBdr>
                  <w:divsChild>
                    <w:div w:id="1378234624">
                      <w:marLeft w:val="0"/>
                      <w:marRight w:val="0"/>
                      <w:marTop w:val="0"/>
                      <w:marBottom w:val="0"/>
                      <w:divBdr>
                        <w:top w:val="none" w:sz="0" w:space="0" w:color="auto"/>
                        <w:left w:val="none" w:sz="0" w:space="0" w:color="auto"/>
                        <w:bottom w:val="none" w:sz="0" w:space="0" w:color="auto"/>
                        <w:right w:val="none" w:sz="0" w:space="0" w:color="auto"/>
                      </w:divBdr>
                    </w:div>
                  </w:divsChild>
                </w:div>
                <w:div w:id="1429543441">
                  <w:marLeft w:val="0"/>
                  <w:marRight w:val="0"/>
                  <w:marTop w:val="0"/>
                  <w:marBottom w:val="0"/>
                  <w:divBdr>
                    <w:top w:val="none" w:sz="0" w:space="0" w:color="auto"/>
                    <w:left w:val="none" w:sz="0" w:space="0" w:color="auto"/>
                    <w:bottom w:val="none" w:sz="0" w:space="0" w:color="auto"/>
                    <w:right w:val="none" w:sz="0" w:space="0" w:color="auto"/>
                  </w:divBdr>
                  <w:divsChild>
                    <w:div w:id="1577059030">
                      <w:marLeft w:val="0"/>
                      <w:marRight w:val="0"/>
                      <w:marTop w:val="0"/>
                      <w:marBottom w:val="0"/>
                      <w:divBdr>
                        <w:top w:val="none" w:sz="0" w:space="0" w:color="auto"/>
                        <w:left w:val="none" w:sz="0" w:space="0" w:color="auto"/>
                        <w:bottom w:val="none" w:sz="0" w:space="0" w:color="auto"/>
                        <w:right w:val="none" w:sz="0" w:space="0" w:color="auto"/>
                      </w:divBdr>
                    </w:div>
                  </w:divsChild>
                </w:div>
                <w:div w:id="1431971449">
                  <w:marLeft w:val="0"/>
                  <w:marRight w:val="0"/>
                  <w:marTop w:val="0"/>
                  <w:marBottom w:val="0"/>
                  <w:divBdr>
                    <w:top w:val="none" w:sz="0" w:space="0" w:color="auto"/>
                    <w:left w:val="none" w:sz="0" w:space="0" w:color="auto"/>
                    <w:bottom w:val="none" w:sz="0" w:space="0" w:color="auto"/>
                    <w:right w:val="none" w:sz="0" w:space="0" w:color="auto"/>
                  </w:divBdr>
                  <w:divsChild>
                    <w:div w:id="1981491288">
                      <w:marLeft w:val="0"/>
                      <w:marRight w:val="0"/>
                      <w:marTop w:val="0"/>
                      <w:marBottom w:val="0"/>
                      <w:divBdr>
                        <w:top w:val="none" w:sz="0" w:space="0" w:color="auto"/>
                        <w:left w:val="none" w:sz="0" w:space="0" w:color="auto"/>
                        <w:bottom w:val="none" w:sz="0" w:space="0" w:color="auto"/>
                        <w:right w:val="none" w:sz="0" w:space="0" w:color="auto"/>
                      </w:divBdr>
                    </w:div>
                  </w:divsChild>
                </w:div>
                <w:div w:id="1443572401">
                  <w:marLeft w:val="0"/>
                  <w:marRight w:val="0"/>
                  <w:marTop w:val="0"/>
                  <w:marBottom w:val="0"/>
                  <w:divBdr>
                    <w:top w:val="none" w:sz="0" w:space="0" w:color="auto"/>
                    <w:left w:val="none" w:sz="0" w:space="0" w:color="auto"/>
                    <w:bottom w:val="none" w:sz="0" w:space="0" w:color="auto"/>
                    <w:right w:val="none" w:sz="0" w:space="0" w:color="auto"/>
                  </w:divBdr>
                  <w:divsChild>
                    <w:div w:id="121659721">
                      <w:marLeft w:val="0"/>
                      <w:marRight w:val="0"/>
                      <w:marTop w:val="0"/>
                      <w:marBottom w:val="0"/>
                      <w:divBdr>
                        <w:top w:val="none" w:sz="0" w:space="0" w:color="auto"/>
                        <w:left w:val="none" w:sz="0" w:space="0" w:color="auto"/>
                        <w:bottom w:val="none" w:sz="0" w:space="0" w:color="auto"/>
                        <w:right w:val="none" w:sz="0" w:space="0" w:color="auto"/>
                      </w:divBdr>
                    </w:div>
                  </w:divsChild>
                </w:div>
                <w:div w:id="1454665892">
                  <w:marLeft w:val="0"/>
                  <w:marRight w:val="0"/>
                  <w:marTop w:val="0"/>
                  <w:marBottom w:val="0"/>
                  <w:divBdr>
                    <w:top w:val="none" w:sz="0" w:space="0" w:color="auto"/>
                    <w:left w:val="none" w:sz="0" w:space="0" w:color="auto"/>
                    <w:bottom w:val="none" w:sz="0" w:space="0" w:color="auto"/>
                    <w:right w:val="none" w:sz="0" w:space="0" w:color="auto"/>
                  </w:divBdr>
                  <w:divsChild>
                    <w:div w:id="1720666890">
                      <w:marLeft w:val="0"/>
                      <w:marRight w:val="0"/>
                      <w:marTop w:val="0"/>
                      <w:marBottom w:val="0"/>
                      <w:divBdr>
                        <w:top w:val="none" w:sz="0" w:space="0" w:color="auto"/>
                        <w:left w:val="none" w:sz="0" w:space="0" w:color="auto"/>
                        <w:bottom w:val="none" w:sz="0" w:space="0" w:color="auto"/>
                        <w:right w:val="none" w:sz="0" w:space="0" w:color="auto"/>
                      </w:divBdr>
                    </w:div>
                  </w:divsChild>
                </w:div>
                <w:div w:id="1463570512">
                  <w:marLeft w:val="0"/>
                  <w:marRight w:val="0"/>
                  <w:marTop w:val="0"/>
                  <w:marBottom w:val="0"/>
                  <w:divBdr>
                    <w:top w:val="none" w:sz="0" w:space="0" w:color="auto"/>
                    <w:left w:val="none" w:sz="0" w:space="0" w:color="auto"/>
                    <w:bottom w:val="none" w:sz="0" w:space="0" w:color="auto"/>
                    <w:right w:val="none" w:sz="0" w:space="0" w:color="auto"/>
                  </w:divBdr>
                  <w:divsChild>
                    <w:div w:id="895356888">
                      <w:marLeft w:val="0"/>
                      <w:marRight w:val="0"/>
                      <w:marTop w:val="0"/>
                      <w:marBottom w:val="0"/>
                      <w:divBdr>
                        <w:top w:val="none" w:sz="0" w:space="0" w:color="auto"/>
                        <w:left w:val="none" w:sz="0" w:space="0" w:color="auto"/>
                        <w:bottom w:val="none" w:sz="0" w:space="0" w:color="auto"/>
                        <w:right w:val="none" w:sz="0" w:space="0" w:color="auto"/>
                      </w:divBdr>
                    </w:div>
                  </w:divsChild>
                </w:div>
                <w:div w:id="1479807307">
                  <w:marLeft w:val="0"/>
                  <w:marRight w:val="0"/>
                  <w:marTop w:val="0"/>
                  <w:marBottom w:val="0"/>
                  <w:divBdr>
                    <w:top w:val="none" w:sz="0" w:space="0" w:color="auto"/>
                    <w:left w:val="none" w:sz="0" w:space="0" w:color="auto"/>
                    <w:bottom w:val="none" w:sz="0" w:space="0" w:color="auto"/>
                    <w:right w:val="none" w:sz="0" w:space="0" w:color="auto"/>
                  </w:divBdr>
                  <w:divsChild>
                    <w:div w:id="1438983533">
                      <w:marLeft w:val="0"/>
                      <w:marRight w:val="0"/>
                      <w:marTop w:val="0"/>
                      <w:marBottom w:val="0"/>
                      <w:divBdr>
                        <w:top w:val="none" w:sz="0" w:space="0" w:color="auto"/>
                        <w:left w:val="none" w:sz="0" w:space="0" w:color="auto"/>
                        <w:bottom w:val="none" w:sz="0" w:space="0" w:color="auto"/>
                        <w:right w:val="none" w:sz="0" w:space="0" w:color="auto"/>
                      </w:divBdr>
                    </w:div>
                  </w:divsChild>
                </w:div>
                <w:div w:id="1512143951">
                  <w:marLeft w:val="0"/>
                  <w:marRight w:val="0"/>
                  <w:marTop w:val="0"/>
                  <w:marBottom w:val="0"/>
                  <w:divBdr>
                    <w:top w:val="none" w:sz="0" w:space="0" w:color="auto"/>
                    <w:left w:val="none" w:sz="0" w:space="0" w:color="auto"/>
                    <w:bottom w:val="none" w:sz="0" w:space="0" w:color="auto"/>
                    <w:right w:val="none" w:sz="0" w:space="0" w:color="auto"/>
                  </w:divBdr>
                  <w:divsChild>
                    <w:div w:id="956376996">
                      <w:marLeft w:val="0"/>
                      <w:marRight w:val="0"/>
                      <w:marTop w:val="0"/>
                      <w:marBottom w:val="0"/>
                      <w:divBdr>
                        <w:top w:val="none" w:sz="0" w:space="0" w:color="auto"/>
                        <w:left w:val="none" w:sz="0" w:space="0" w:color="auto"/>
                        <w:bottom w:val="none" w:sz="0" w:space="0" w:color="auto"/>
                        <w:right w:val="none" w:sz="0" w:space="0" w:color="auto"/>
                      </w:divBdr>
                    </w:div>
                  </w:divsChild>
                </w:div>
                <w:div w:id="1520972267">
                  <w:marLeft w:val="0"/>
                  <w:marRight w:val="0"/>
                  <w:marTop w:val="0"/>
                  <w:marBottom w:val="0"/>
                  <w:divBdr>
                    <w:top w:val="none" w:sz="0" w:space="0" w:color="auto"/>
                    <w:left w:val="none" w:sz="0" w:space="0" w:color="auto"/>
                    <w:bottom w:val="none" w:sz="0" w:space="0" w:color="auto"/>
                    <w:right w:val="none" w:sz="0" w:space="0" w:color="auto"/>
                  </w:divBdr>
                  <w:divsChild>
                    <w:div w:id="1427267016">
                      <w:marLeft w:val="0"/>
                      <w:marRight w:val="0"/>
                      <w:marTop w:val="0"/>
                      <w:marBottom w:val="0"/>
                      <w:divBdr>
                        <w:top w:val="none" w:sz="0" w:space="0" w:color="auto"/>
                        <w:left w:val="none" w:sz="0" w:space="0" w:color="auto"/>
                        <w:bottom w:val="none" w:sz="0" w:space="0" w:color="auto"/>
                        <w:right w:val="none" w:sz="0" w:space="0" w:color="auto"/>
                      </w:divBdr>
                    </w:div>
                  </w:divsChild>
                </w:div>
                <w:div w:id="1526863653">
                  <w:marLeft w:val="0"/>
                  <w:marRight w:val="0"/>
                  <w:marTop w:val="0"/>
                  <w:marBottom w:val="0"/>
                  <w:divBdr>
                    <w:top w:val="none" w:sz="0" w:space="0" w:color="auto"/>
                    <w:left w:val="none" w:sz="0" w:space="0" w:color="auto"/>
                    <w:bottom w:val="none" w:sz="0" w:space="0" w:color="auto"/>
                    <w:right w:val="none" w:sz="0" w:space="0" w:color="auto"/>
                  </w:divBdr>
                  <w:divsChild>
                    <w:div w:id="1986276257">
                      <w:marLeft w:val="0"/>
                      <w:marRight w:val="0"/>
                      <w:marTop w:val="0"/>
                      <w:marBottom w:val="0"/>
                      <w:divBdr>
                        <w:top w:val="none" w:sz="0" w:space="0" w:color="auto"/>
                        <w:left w:val="none" w:sz="0" w:space="0" w:color="auto"/>
                        <w:bottom w:val="none" w:sz="0" w:space="0" w:color="auto"/>
                        <w:right w:val="none" w:sz="0" w:space="0" w:color="auto"/>
                      </w:divBdr>
                    </w:div>
                  </w:divsChild>
                </w:div>
                <w:div w:id="1537235479">
                  <w:marLeft w:val="0"/>
                  <w:marRight w:val="0"/>
                  <w:marTop w:val="0"/>
                  <w:marBottom w:val="0"/>
                  <w:divBdr>
                    <w:top w:val="none" w:sz="0" w:space="0" w:color="auto"/>
                    <w:left w:val="none" w:sz="0" w:space="0" w:color="auto"/>
                    <w:bottom w:val="none" w:sz="0" w:space="0" w:color="auto"/>
                    <w:right w:val="none" w:sz="0" w:space="0" w:color="auto"/>
                  </w:divBdr>
                  <w:divsChild>
                    <w:div w:id="774248735">
                      <w:marLeft w:val="0"/>
                      <w:marRight w:val="0"/>
                      <w:marTop w:val="0"/>
                      <w:marBottom w:val="0"/>
                      <w:divBdr>
                        <w:top w:val="none" w:sz="0" w:space="0" w:color="auto"/>
                        <w:left w:val="none" w:sz="0" w:space="0" w:color="auto"/>
                        <w:bottom w:val="none" w:sz="0" w:space="0" w:color="auto"/>
                        <w:right w:val="none" w:sz="0" w:space="0" w:color="auto"/>
                      </w:divBdr>
                    </w:div>
                  </w:divsChild>
                </w:div>
                <w:div w:id="1540125313">
                  <w:marLeft w:val="0"/>
                  <w:marRight w:val="0"/>
                  <w:marTop w:val="0"/>
                  <w:marBottom w:val="0"/>
                  <w:divBdr>
                    <w:top w:val="none" w:sz="0" w:space="0" w:color="auto"/>
                    <w:left w:val="none" w:sz="0" w:space="0" w:color="auto"/>
                    <w:bottom w:val="none" w:sz="0" w:space="0" w:color="auto"/>
                    <w:right w:val="none" w:sz="0" w:space="0" w:color="auto"/>
                  </w:divBdr>
                  <w:divsChild>
                    <w:div w:id="628128332">
                      <w:marLeft w:val="0"/>
                      <w:marRight w:val="0"/>
                      <w:marTop w:val="0"/>
                      <w:marBottom w:val="0"/>
                      <w:divBdr>
                        <w:top w:val="none" w:sz="0" w:space="0" w:color="auto"/>
                        <w:left w:val="none" w:sz="0" w:space="0" w:color="auto"/>
                        <w:bottom w:val="none" w:sz="0" w:space="0" w:color="auto"/>
                        <w:right w:val="none" w:sz="0" w:space="0" w:color="auto"/>
                      </w:divBdr>
                    </w:div>
                  </w:divsChild>
                </w:div>
                <w:div w:id="1555392716">
                  <w:marLeft w:val="0"/>
                  <w:marRight w:val="0"/>
                  <w:marTop w:val="0"/>
                  <w:marBottom w:val="0"/>
                  <w:divBdr>
                    <w:top w:val="none" w:sz="0" w:space="0" w:color="auto"/>
                    <w:left w:val="none" w:sz="0" w:space="0" w:color="auto"/>
                    <w:bottom w:val="none" w:sz="0" w:space="0" w:color="auto"/>
                    <w:right w:val="none" w:sz="0" w:space="0" w:color="auto"/>
                  </w:divBdr>
                  <w:divsChild>
                    <w:div w:id="726999755">
                      <w:marLeft w:val="0"/>
                      <w:marRight w:val="0"/>
                      <w:marTop w:val="0"/>
                      <w:marBottom w:val="0"/>
                      <w:divBdr>
                        <w:top w:val="none" w:sz="0" w:space="0" w:color="auto"/>
                        <w:left w:val="none" w:sz="0" w:space="0" w:color="auto"/>
                        <w:bottom w:val="none" w:sz="0" w:space="0" w:color="auto"/>
                        <w:right w:val="none" w:sz="0" w:space="0" w:color="auto"/>
                      </w:divBdr>
                    </w:div>
                  </w:divsChild>
                </w:div>
                <w:div w:id="1557014135">
                  <w:marLeft w:val="0"/>
                  <w:marRight w:val="0"/>
                  <w:marTop w:val="0"/>
                  <w:marBottom w:val="0"/>
                  <w:divBdr>
                    <w:top w:val="none" w:sz="0" w:space="0" w:color="auto"/>
                    <w:left w:val="none" w:sz="0" w:space="0" w:color="auto"/>
                    <w:bottom w:val="none" w:sz="0" w:space="0" w:color="auto"/>
                    <w:right w:val="none" w:sz="0" w:space="0" w:color="auto"/>
                  </w:divBdr>
                  <w:divsChild>
                    <w:div w:id="1906068968">
                      <w:marLeft w:val="0"/>
                      <w:marRight w:val="0"/>
                      <w:marTop w:val="0"/>
                      <w:marBottom w:val="0"/>
                      <w:divBdr>
                        <w:top w:val="none" w:sz="0" w:space="0" w:color="auto"/>
                        <w:left w:val="none" w:sz="0" w:space="0" w:color="auto"/>
                        <w:bottom w:val="none" w:sz="0" w:space="0" w:color="auto"/>
                        <w:right w:val="none" w:sz="0" w:space="0" w:color="auto"/>
                      </w:divBdr>
                    </w:div>
                  </w:divsChild>
                </w:div>
                <w:div w:id="1575701302">
                  <w:marLeft w:val="0"/>
                  <w:marRight w:val="0"/>
                  <w:marTop w:val="0"/>
                  <w:marBottom w:val="0"/>
                  <w:divBdr>
                    <w:top w:val="none" w:sz="0" w:space="0" w:color="auto"/>
                    <w:left w:val="none" w:sz="0" w:space="0" w:color="auto"/>
                    <w:bottom w:val="none" w:sz="0" w:space="0" w:color="auto"/>
                    <w:right w:val="none" w:sz="0" w:space="0" w:color="auto"/>
                  </w:divBdr>
                  <w:divsChild>
                    <w:div w:id="362021927">
                      <w:marLeft w:val="0"/>
                      <w:marRight w:val="0"/>
                      <w:marTop w:val="0"/>
                      <w:marBottom w:val="0"/>
                      <w:divBdr>
                        <w:top w:val="none" w:sz="0" w:space="0" w:color="auto"/>
                        <w:left w:val="none" w:sz="0" w:space="0" w:color="auto"/>
                        <w:bottom w:val="none" w:sz="0" w:space="0" w:color="auto"/>
                        <w:right w:val="none" w:sz="0" w:space="0" w:color="auto"/>
                      </w:divBdr>
                    </w:div>
                  </w:divsChild>
                </w:div>
                <w:div w:id="1577714300">
                  <w:marLeft w:val="0"/>
                  <w:marRight w:val="0"/>
                  <w:marTop w:val="0"/>
                  <w:marBottom w:val="0"/>
                  <w:divBdr>
                    <w:top w:val="none" w:sz="0" w:space="0" w:color="auto"/>
                    <w:left w:val="none" w:sz="0" w:space="0" w:color="auto"/>
                    <w:bottom w:val="none" w:sz="0" w:space="0" w:color="auto"/>
                    <w:right w:val="none" w:sz="0" w:space="0" w:color="auto"/>
                  </w:divBdr>
                  <w:divsChild>
                    <w:div w:id="467288535">
                      <w:marLeft w:val="0"/>
                      <w:marRight w:val="0"/>
                      <w:marTop w:val="0"/>
                      <w:marBottom w:val="0"/>
                      <w:divBdr>
                        <w:top w:val="none" w:sz="0" w:space="0" w:color="auto"/>
                        <w:left w:val="none" w:sz="0" w:space="0" w:color="auto"/>
                        <w:bottom w:val="none" w:sz="0" w:space="0" w:color="auto"/>
                        <w:right w:val="none" w:sz="0" w:space="0" w:color="auto"/>
                      </w:divBdr>
                    </w:div>
                  </w:divsChild>
                </w:div>
                <w:div w:id="1583757520">
                  <w:marLeft w:val="0"/>
                  <w:marRight w:val="0"/>
                  <w:marTop w:val="0"/>
                  <w:marBottom w:val="0"/>
                  <w:divBdr>
                    <w:top w:val="none" w:sz="0" w:space="0" w:color="auto"/>
                    <w:left w:val="none" w:sz="0" w:space="0" w:color="auto"/>
                    <w:bottom w:val="none" w:sz="0" w:space="0" w:color="auto"/>
                    <w:right w:val="none" w:sz="0" w:space="0" w:color="auto"/>
                  </w:divBdr>
                  <w:divsChild>
                    <w:div w:id="1808889139">
                      <w:marLeft w:val="0"/>
                      <w:marRight w:val="0"/>
                      <w:marTop w:val="0"/>
                      <w:marBottom w:val="0"/>
                      <w:divBdr>
                        <w:top w:val="none" w:sz="0" w:space="0" w:color="auto"/>
                        <w:left w:val="none" w:sz="0" w:space="0" w:color="auto"/>
                        <w:bottom w:val="none" w:sz="0" w:space="0" w:color="auto"/>
                        <w:right w:val="none" w:sz="0" w:space="0" w:color="auto"/>
                      </w:divBdr>
                    </w:div>
                  </w:divsChild>
                </w:div>
                <w:div w:id="1632403120">
                  <w:marLeft w:val="0"/>
                  <w:marRight w:val="0"/>
                  <w:marTop w:val="0"/>
                  <w:marBottom w:val="0"/>
                  <w:divBdr>
                    <w:top w:val="none" w:sz="0" w:space="0" w:color="auto"/>
                    <w:left w:val="none" w:sz="0" w:space="0" w:color="auto"/>
                    <w:bottom w:val="none" w:sz="0" w:space="0" w:color="auto"/>
                    <w:right w:val="none" w:sz="0" w:space="0" w:color="auto"/>
                  </w:divBdr>
                  <w:divsChild>
                    <w:div w:id="460618389">
                      <w:marLeft w:val="0"/>
                      <w:marRight w:val="0"/>
                      <w:marTop w:val="0"/>
                      <w:marBottom w:val="0"/>
                      <w:divBdr>
                        <w:top w:val="none" w:sz="0" w:space="0" w:color="auto"/>
                        <w:left w:val="none" w:sz="0" w:space="0" w:color="auto"/>
                        <w:bottom w:val="none" w:sz="0" w:space="0" w:color="auto"/>
                        <w:right w:val="none" w:sz="0" w:space="0" w:color="auto"/>
                      </w:divBdr>
                    </w:div>
                  </w:divsChild>
                </w:div>
                <w:div w:id="1647664952">
                  <w:marLeft w:val="0"/>
                  <w:marRight w:val="0"/>
                  <w:marTop w:val="0"/>
                  <w:marBottom w:val="0"/>
                  <w:divBdr>
                    <w:top w:val="none" w:sz="0" w:space="0" w:color="auto"/>
                    <w:left w:val="none" w:sz="0" w:space="0" w:color="auto"/>
                    <w:bottom w:val="none" w:sz="0" w:space="0" w:color="auto"/>
                    <w:right w:val="none" w:sz="0" w:space="0" w:color="auto"/>
                  </w:divBdr>
                  <w:divsChild>
                    <w:div w:id="1853687377">
                      <w:marLeft w:val="0"/>
                      <w:marRight w:val="0"/>
                      <w:marTop w:val="0"/>
                      <w:marBottom w:val="0"/>
                      <w:divBdr>
                        <w:top w:val="none" w:sz="0" w:space="0" w:color="auto"/>
                        <w:left w:val="none" w:sz="0" w:space="0" w:color="auto"/>
                        <w:bottom w:val="none" w:sz="0" w:space="0" w:color="auto"/>
                        <w:right w:val="none" w:sz="0" w:space="0" w:color="auto"/>
                      </w:divBdr>
                    </w:div>
                  </w:divsChild>
                </w:div>
                <w:div w:id="1652753444">
                  <w:marLeft w:val="0"/>
                  <w:marRight w:val="0"/>
                  <w:marTop w:val="0"/>
                  <w:marBottom w:val="0"/>
                  <w:divBdr>
                    <w:top w:val="none" w:sz="0" w:space="0" w:color="auto"/>
                    <w:left w:val="none" w:sz="0" w:space="0" w:color="auto"/>
                    <w:bottom w:val="none" w:sz="0" w:space="0" w:color="auto"/>
                    <w:right w:val="none" w:sz="0" w:space="0" w:color="auto"/>
                  </w:divBdr>
                  <w:divsChild>
                    <w:div w:id="413088705">
                      <w:marLeft w:val="0"/>
                      <w:marRight w:val="0"/>
                      <w:marTop w:val="0"/>
                      <w:marBottom w:val="0"/>
                      <w:divBdr>
                        <w:top w:val="none" w:sz="0" w:space="0" w:color="auto"/>
                        <w:left w:val="none" w:sz="0" w:space="0" w:color="auto"/>
                        <w:bottom w:val="none" w:sz="0" w:space="0" w:color="auto"/>
                        <w:right w:val="none" w:sz="0" w:space="0" w:color="auto"/>
                      </w:divBdr>
                    </w:div>
                  </w:divsChild>
                </w:div>
                <w:div w:id="1658532117">
                  <w:marLeft w:val="0"/>
                  <w:marRight w:val="0"/>
                  <w:marTop w:val="0"/>
                  <w:marBottom w:val="0"/>
                  <w:divBdr>
                    <w:top w:val="none" w:sz="0" w:space="0" w:color="auto"/>
                    <w:left w:val="none" w:sz="0" w:space="0" w:color="auto"/>
                    <w:bottom w:val="none" w:sz="0" w:space="0" w:color="auto"/>
                    <w:right w:val="none" w:sz="0" w:space="0" w:color="auto"/>
                  </w:divBdr>
                  <w:divsChild>
                    <w:div w:id="969702441">
                      <w:marLeft w:val="0"/>
                      <w:marRight w:val="0"/>
                      <w:marTop w:val="0"/>
                      <w:marBottom w:val="0"/>
                      <w:divBdr>
                        <w:top w:val="none" w:sz="0" w:space="0" w:color="auto"/>
                        <w:left w:val="none" w:sz="0" w:space="0" w:color="auto"/>
                        <w:bottom w:val="none" w:sz="0" w:space="0" w:color="auto"/>
                        <w:right w:val="none" w:sz="0" w:space="0" w:color="auto"/>
                      </w:divBdr>
                    </w:div>
                  </w:divsChild>
                </w:div>
                <w:div w:id="1685668146">
                  <w:marLeft w:val="0"/>
                  <w:marRight w:val="0"/>
                  <w:marTop w:val="0"/>
                  <w:marBottom w:val="0"/>
                  <w:divBdr>
                    <w:top w:val="none" w:sz="0" w:space="0" w:color="auto"/>
                    <w:left w:val="none" w:sz="0" w:space="0" w:color="auto"/>
                    <w:bottom w:val="none" w:sz="0" w:space="0" w:color="auto"/>
                    <w:right w:val="none" w:sz="0" w:space="0" w:color="auto"/>
                  </w:divBdr>
                  <w:divsChild>
                    <w:div w:id="1173229825">
                      <w:marLeft w:val="0"/>
                      <w:marRight w:val="0"/>
                      <w:marTop w:val="0"/>
                      <w:marBottom w:val="0"/>
                      <w:divBdr>
                        <w:top w:val="none" w:sz="0" w:space="0" w:color="auto"/>
                        <w:left w:val="none" w:sz="0" w:space="0" w:color="auto"/>
                        <w:bottom w:val="none" w:sz="0" w:space="0" w:color="auto"/>
                        <w:right w:val="none" w:sz="0" w:space="0" w:color="auto"/>
                      </w:divBdr>
                    </w:div>
                  </w:divsChild>
                </w:div>
                <w:div w:id="1688481225">
                  <w:marLeft w:val="0"/>
                  <w:marRight w:val="0"/>
                  <w:marTop w:val="0"/>
                  <w:marBottom w:val="0"/>
                  <w:divBdr>
                    <w:top w:val="none" w:sz="0" w:space="0" w:color="auto"/>
                    <w:left w:val="none" w:sz="0" w:space="0" w:color="auto"/>
                    <w:bottom w:val="none" w:sz="0" w:space="0" w:color="auto"/>
                    <w:right w:val="none" w:sz="0" w:space="0" w:color="auto"/>
                  </w:divBdr>
                  <w:divsChild>
                    <w:div w:id="521940611">
                      <w:marLeft w:val="0"/>
                      <w:marRight w:val="0"/>
                      <w:marTop w:val="0"/>
                      <w:marBottom w:val="0"/>
                      <w:divBdr>
                        <w:top w:val="none" w:sz="0" w:space="0" w:color="auto"/>
                        <w:left w:val="none" w:sz="0" w:space="0" w:color="auto"/>
                        <w:bottom w:val="none" w:sz="0" w:space="0" w:color="auto"/>
                        <w:right w:val="none" w:sz="0" w:space="0" w:color="auto"/>
                      </w:divBdr>
                    </w:div>
                  </w:divsChild>
                </w:div>
                <w:div w:id="1690060562">
                  <w:marLeft w:val="0"/>
                  <w:marRight w:val="0"/>
                  <w:marTop w:val="0"/>
                  <w:marBottom w:val="0"/>
                  <w:divBdr>
                    <w:top w:val="none" w:sz="0" w:space="0" w:color="auto"/>
                    <w:left w:val="none" w:sz="0" w:space="0" w:color="auto"/>
                    <w:bottom w:val="none" w:sz="0" w:space="0" w:color="auto"/>
                    <w:right w:val="none" w:sz="0" w:space="0" w:color="auto"/>
                  </w:divBdr>
                  <w:divsChild>
                    <w:div w:id="1584802324">
                      <w:marLeft w:val="0"/>
                      <w:marRight w:val="0"/>
                      <w:marTop w:val="0"/>
                      <w:marBottom w:val="0"/>
                      <w:divBdr>
                        <w:top w:val="none" w:sz="0" w:space="0" w:color="auto"/>
                        <w:left w:val="none" w:sz="0" w:space="0" w:color="auto"/>
                        <w:bottom w:val="none" w:sz="0" w:space="0" w:color="auto"/>
                        <w:right w:val="none" w:sz="0" w:space="0" w:color="auto"/>
                      </w:divBdr>
                    </w:div>
                  </w:divsChild>
                </w:div>
                <w:div w:id="1693267332">
                  <w:marLeft w:val="0"/>
                  <w:marRight w:val="0"/>
                  <w:marTop w:val="0"/>
                  <w:marBottom w:val="0"/>
                  <w:divBdr>
                    <w:top w:val="none" w:sz="0" w:space="0" w:color="auto"/>
                    <w:left w:val="none" w:sz="0" w:space="0" w:color="auto"/>
                    <w:bottom w:val="none" w:sz="0" w:space="0" w:color="auto"/>
                    <w:right w:val="none" w:sz="0" w:space="0" w:color="auto"/>
                  </w:divBdr>
                  <w:divsChild>
                    <w:div w:id="1972591912">
                      <w:marLeft w:val="0"/>
                      <w:marRight w:val="0"/>
                      <w:marTop w:val="0"/>
                      <w:marBottom w:val="0"/>
                      <w:divBdr>
                        <w:top w:val="none" w:sz="0" w:space="0" w:color="auto"/>
                        <w:left w:val="none" w:sz="0" w:space="0" w:color="auto"/>
                        <w:bottom w:val="none" w:sz="0" w:space="0" w:color="auto"/>
                        <w:right w:val="none" w:sz="0" w:space="0" w:color="auto"/>
                      </w:divBdr>
                    </w:div>
                  </w:divsChild>
                </w:div>
                <w:div w:id="1693337812">
                  <w:marLeft w:val="0"/>
                  <w:marRight w:val="0"/>
                  <w:marTop w:val="0"/>
                  <w:marBottom w:val="0"/>
                  <w:divBdr>
                    <w:top w:val="none" w:sz="0" w:space="0" w:color="auto"/>
                    <w:left w:val="none" w:sz="0" w:space="0" w:color="auto"/>
                    <w:bottom w:val="none" w:sz="0" w:space="0" w:color="auto"/>
                    <w:right w:val="none" w:sz="0" w:space="0" w:color="auto"/>
                  </w:divBdr>
                  <w:divsChild>
                    <w:div w:id="1551258142">
                      <w:marLeft w:val="0"/>
                      <w:marRight w:val="0"/>
                      <w:marTop w:val="0"/>
                      <w:marBottom w:val="0"/>
                      <w:divBdr>
                        <w:top w:val="none" w:sz="0" w:space="0" w:color="auto"/>
                        <w:left w:val="none" w:sz="0" w:space="0" w:color="auto"/>
                        <w:bottom w:val="none" w:sz="0" w:space="0" w:color="auto"/>
                        <w:right w:val="none" w:sz="0" w:space="0" w:color="auto"/>
                      </w:divBdr>
                    </w:div>
                  </w:divsChild>
                </w:div>
                <w:div w:id="1711110063">
                  <w:marLeft w:val="0"/>
                  <w:marRight w:val="0"/>
                  <w:marTop w:val="0"/>
                  <w:marBottom w:val="0"/>
                  <w:divBdr>
                    <w:top w:val="none" w:sz="0" w:space="0" w:color="auto"/>
                    <w:left w:val="none" w:sz="0" w:space="0" w:color="auto"/>
                    <w:bottom w:val="none" w:sz="0" w:space="0" w:color="auto"/>
                    <w:right w:val="none" w:sz="0" w:space="0" w:color="auto"/>
                  </w:divBdr>
                  <w:divsChild>
                    <w:div w:id="93788528">
                      <w:marLeft w:val="0"/>
                      <w:marRight w:val="0"/>
                      <w:marTop w:val="0"/>
                      <w:marBottom w:val="0"/>
                      <w:divBdr>
                        <w:top w:val="none" w:sz="0" w:space="0" w:color="auto"/>
                        <w:left w:val="none" w:sz="0" w:space="0" w:color="auto"/>
                        <w:bottom w:val="none" w:sz="0" w:space="0" w:color="auto"/>
                        <w:right w:val="none" w:sz="0" w:space="0" w:color="auto"/>
                      </w:divBdr>
                    </w:div>
                  </w:divsChild>
                </w:div>
                <w:div w:id="1716546227">
                  <w:marLeft w:val="0"/>
                  <w:marRight w:val="0"/>
                  <w:marTop w:val="0"/>
                  <w:marBottom w:val="0"/>
                  <w:divBdr>
                    <w:top w:val="none" w:sz="0" w:space="0" w:color="auto"/>
                    <w:left w:val="none" w:sz="0" w:space="0" w:color="auto"/>
                    <w:bottom w:val="none" w:sz="0" w:space="0" w:color="auto"/>
                    <w:right w:val="none" w:sz="0" w:space="0" w:color="auto"/>
                  </w:divBdr>
                  <w:divsChild>
                    <w:div w:id="318726714">
                      <w:marLeft w:val="0"/>
                      <w:marRight w:val="0"/>
                      <w:marTop w:val="0"/>
                      <w:marBottom w:val="0"/>
                      <w:divBdr>
                        <w:top w:val="none" w:sz="0" w:space="0" w:color="auto"/>
                        <w:left w:val="none" w:sz="0" w:space="0" w:color="auto"/>
                        <w:bottom w:val="none" w:sz="0" w:space="0" w:color="auto"/>
                        <w:right w:val="none" w:sz="0" w:space="0" w:color="auto"/>
                      </w:divBdr>
                    </w:div>
                  </w:divsChild>
                </w:div>
                <w:div w:id="1717050778">
                  <w:marLeft w:val="0"/>
                  <w:marRight w:val="0"/>
                  <w:marTop w:val="0"/>
                  <w:marBottom w:val="0"/>
                  <w:divBdr>
                    <w:top w:val="none" w:sz="0" w:space="0" w:color="auto"/>
                    <w:left w:val="none" w:sz="0" w:space="0" w:color="auto"/>
                    <w:bottom w:val="none" w:sz="0" w:space="0" w:color="auto"/>
                    <w:right w:val="none" w:sz="0" w:space="0" w:color="auto"/>
                  </w:divBdr>
                  <w:divsChild>
                    <w:div w:id="1433823362">
                      <w:marLeft w:val="0"/>
                      <w:marRight w:val="0"/>
                      <w:marTop w:val="0"/>
                      <w:marBottom w:val="0"/>
                      <w:divBdr>
                        <w:top w:val="none" w:sz="0" w:space="0" w:color="auto"/>
                        <w:left w:val="none" w:sz="0" w:space="0" w:color="auto"/>
                        <w:bottom w:val="none" w:sz="0" w:space="0" w:color="auto"/>
                        <w:right w:val="none" w:sz="0" w:space="0" w:color="auto"/>
                      </w:divBdr>
                    </w:div>
                  </w:divsChild>
                </w:div>
                <w:div w:id="1720857159">
                  <w:marLeft w:val="0"/>
                  <w:marRight w:val="0"/>
                  <w:marTop w:val="0"/>
                  <w:marBottom w:val="0"/>
                  <w:divBdr>
                    <w:top w:val="none" w:sz="0" w:space="0" w:color="auto"/>
                    <w:left w:val="none" w:sz="0" w:space="0" w:color="auto"/>
                    <w:bottom w:val="none" w:sz="0" w:space="0" w:color="auto"/>
                    <w:right w:val="none" w:sz="0" w:space="0" w:color="auto"/>
                  </w:divBdr>
                  <w:divsChild>
                    <w:div w:id="1582904363">
                      <w:marLeft w:val="0"/>
                      <w:marRight w:val="0"/>
                      <w:marTop w:val="0"/>
                      <w:marBottom w:val="0"/>
                      <w:divBdr>
                        <w:top w:val="none" w:sz="0" w:space="0" w:color="auto"/>
                        <w:left w:val="none" w:sz="0" w:space="0" w:color="auto"/>
                        <w:bottom w:val="none" w:sz="0" w:space="0" w:color="auto"/>
                        <w:right w:val="none" w:sz="0" w:space="0" w:color="auto"/>
                      </w:divBdr>
                    </w:div>
                  </w:divsChild>
                </w:div>
                <w:div w:id="1726299263">
                  <w:marLeft w:val="0"/>
                  <w:marRight w:val="0"/>
                  <w:marTop w:val="0"/>
                  <w:marBottom w:val="0"/>
                  <w:divBdr>
                    <w:top w:val="none" w:sz="0" w:space="0" w:color="auto"/>
                    <w:left w:val="none" w:sz="0" w:space="0" w:color="auto"/>
                    <w:bottom w:val="none" w:sz="0" w:space="0" w:color="auto"/>
                    <w:right w:val="none" w:sz="0" w:space="0" w:color="auto"/>
                  </w:divBdr>
                  <w:divsChild>
                    <w:div w:id="90779921">
                      <w:marLeft w:val="0"/>
                      <w:marRight w:val="0"/>
                      <w:marTop w:val="0"/>
                      <w:marBottom w:val="0"/>
                      <w:divBdr>
                        <w:top w:val="none" w:sz="0" w:space="0" w:color="auto"/>
                        <w:left w:val="none" w:sz="0" w:space="0" w:color="auto"/>
                        <w:bottom w:val="none" w:sz="0" w:space="0" w:color="auto"/>
                        <w:right w:val="none" w:sz="0" w:space="0" w:color="auto"/>
                      </w:divBdr>
                    </w:div>
                  </w:divsChild>
                </w:div>
                <w:div w:id="1738236885">
                  <w:marLeft w:val="0"/>
                  <w:marRight w:val="0"/>
                  <w:marTop w:val="0"/>
                  <w:marBottom w:val="0"/>
                  <w:divBdr>
                    <w:top w:val="none" w:sz="0" w:space="0" w:color="auto"/>
                    <w:left w:val="none" w:sz="0" w:space="0" w:color="auto"/>
                    <w:bottom w:val="none" w:sz="0" w:space="0" w:color="auto"/>
                    <w:right w:val="none" w:sz="0" w:space="0" w:color="auto"/>
                  </w:divBdr>
                  <w:divsChild>
                    <w:div w:id="1527059633">
                      <w:marLeft w:val="0"/>
                      <w:marRight w:val="0"/>
                      <w:marTop w:val="0"/>
                      <w:marBottom w:val="0"/>
                      <w:divBdr>
                        <w:top w:val="none" w:sz="0" w:space="0" w:color="auto"/>
                        <w:left w:val="none" w:sz="0" w:space="0" w:color="auto"/>
                        <w:bottom w:val="none" w:sz="0" w:space="0" w:color="auto"/>
                        <w:right w:val="none" w:sz="0" w:space="0" w:color="auto"/>
                      </w:divBdr>
                    </w:div>
                  </w:divsChild>
                </w:div>
                <w:div w:id="1762145230">
                  <w:marLeft w:val="0"/>
                  <w:marRight w:val="0"/>
                  <w:marTop w:val="0"/>
                  <w:marBottom w:val="0"/>
                  <w:divBdr>
                    <w:top w:val="none" w:sz="0" w:space="0" w:color="auto"/>
                    <w:left w:val="none" w:sz="0" w:space="0" w:color="auto"/>
                    <w:bottom w:val="none" w:sz="0" w:space="0" w:color="auto"/>
                    <w:right w:val="none" w:sz="0" w:space="0" w:color="auto"/>
                  </w:divBdr>
                  <w:divsChild>
                    <w:div w:id="1185946765">
                      <w:marLeft w:val="0"/>
                      <w:marRight w:val="0"/>
                      <w:marTop w:val="0"/>
                      <w:marBottom w:val="0"/>
                      <w:divBdr>
                        <w:top w:val="none" w:sz="0" w:space="0" w:color="auto"/>
                        <w:left w:val="none" w:sz="0" w:space="0" w:color="auto"/>
                        <w:bottom w:val="none" w:sz="0" w:space="0" w:color="auto"/>
                        <w:right w:val="none" w:sz="0" w:space="0" w:color="auto"/>
                      </w:divBdr>
                    </w:div>
                  </w:divsChild>
                </w:div>
                <w:div w:id="1764648736">
                  <w:marLeft w:val="0"/>
                  <w:marRight w:val="0"/>
                  <w:marTop w:val="0"/>
                  <w:marBottom w:val="0"/>
                  <w:divBdr>
                    <w:top w:val="none" w:sz="0" w:space="0" w:color="auto"/>
                    <w:left w:val="none" w:sz="0" w:space="0" w:color="auto"/>
                    <w:bottom w:val="none" w:sz="0" w:space="0" w:color="auto"/>
                    <w:right w:val="none" w:sz="0" w:space="0" w:color="auto"/>
                  </w:divBdr>
                  <w:divsChild>
                    <w:div w:id="1966809984">
                      <w:marLeft w:val="0"/>
                      <w:marRight w:val="0"/>
                      <w:marTop w:val="0"/>
                      <w:marBottom w:val="0"/>
                      <w:divBdr>
                        <w:top w:val="none" w:sz="0" w:space="0" w:color="auto"/>
                        <w:left w:val="none" w:sz="0" w:space="0" w:color="auto"/>
                        <w:bottom w:val="none" w:sz="0" w:space="0" w:color="auto"/>
                        <w:right w:val="none" w:sz="0" w:space="0" w:color="auto"/>
                      </w:divBdr>
                    </w:div>
                  </w:divsChild>
                </w:div>
                <w:div w:id="1770197189">
                  <w:marLeft w:val="0"/>
                  <w:marRight w:val="0"/>
                  <w:marTop w:val="0"/>
                  <w:marBottom w:val="0"/>
                  <w:divBdr>
                    <w:top w:val="none" w:sz="0" w:space="0" w:color="auto"/>
                    <w:left w:val="none" w:sz="0" w:space="0" w:color="auto"/>
                    <w:bottom w:val="none" w:sz="0" w:space="0" w:color="auto"/>
                    <w:right w:val="none" w:sz="0" w:space="0" w:color="auto"/>
                  </w:divBdr>
                  <w:divsChild>
                    <w:div w:id="1677344678">
                      <w:marLeft w:val="0"/>
                      <w:marRight w:val="0"/>
                      <w:marTop w:val="0"/>
                      <w:marBottom w:val="0"/>
                      <w:divBdr>
                        <w:top w:val="none" w:sz="0" w:space="0" w:color="auto"/>
                        <w:left w:val="none" w:sz="0" w:space="0" w:color="auto"/>
                        <w:bottom w:val="none" w:sz="0" w:space="0" w:color="auto"/>
                        <w:right w:val="none" w:sz="0" w:space="0" w:color="auto"/>
                      </w:divBdr>
                    </w:div>
                  </w:divsChild>
                </w:div>
                <w:div w:id="1774209839">
                  <w:marLeft w:val="0"/>
                  <w:marRight w:val="0"/>
                  <w:marTop w:val="0"/>
                  <w:marBottom w:val="0"/>
                  <w:divBdr>
                    <w:top w:val="none" w:sz="0" w:space="0" w:color="auto"/>
                    <w:left w:val="none" w:sz="0" w:space="0" w:color="auto"/>
                    <w:bottom w:val="none" w:sz="0" w:space="0" w:color="auto"/>
                    <w:right w:val="none" w:sz="0" w:space="0" w:color="auto"/>
                  </w:divBdr>
                  <w:divsChild>
                    <w:div w:id="767387391">
                      <w:marLeft w:val="0"/>
                      <w:marRight w:val="0"/>
                      <w:marTop w:val="0"/>
                      <w:marBottom w:val="0"/>
                      <w:divBdr>
                        <w:top w:val="none" w:sz="0" w:space="0" w:color="auto"/>
                        <w:left w:val="none" w:sz="0" w:space="0" w:color="auto"/>
                        <w:bottom w:val="none" w:sz="0" w:space="0" w:color="auto"/>
                        <w:right w:val="none" w:sz="0" w:space="0" w:color="auto"/>
                      </w:divBdr>
                    </w:div>
                  </w:divsChild>
                </w:div>
                <w:div w:id="1807972463">
                  <w:marLeft w:val="0"/>
                  <w:marRight w:val="0"/>
                  <w:marTop w:val="0"/>
                  <w:marBottom w:val="0"/>
                  <w:divBdr>
                    <w:top w:val="none" w:sz="0" w:space="0" w:color="auto"/>
                    <w:left w:val="none" w:sz="0" w:space="0" w:color="auto"/>
                    <w:bottom w:val="none" w:sz="0" w:space="0" w:color="auto"/>
                    <w:right w:val="none" w:sz="0" w:space="0" w:color="auto"/>
                  </w:divBdr>
                  <w:divsChild>
                    <w:div w:id="1665860044">
                      <w:marLeft w:val="0"/>
                      <w:marRight w:val="0"/>
                      <w:marTop w:val="0"/>
                      <w:marBottom w:val="0"/>
                      <w:divBdr>
                        <w:top w:val="none" w:sz="0" w:space="0" w:color="auto"/>
                        <w:left w:val="none" w:sz="0" w:space="0" w:color="auto"/>
                        <w:bottom w:val="none" w:sz="0" w:space="0" w:color="auto"/>
                        <w:right w:val="none" w:sz="0" w:space="0" w:color="auto"/>
                      </w:divBdr>
                    </w:div>
                  </w:divsChild>
                </w:div>
                <w:div w:id="1814758647">
                  <w:marLeft w:val="0"/>
                  <w:marRight w:val="0"/>
                  <w:marTop w:val="0"/>
                  <w:marBottom w:val="0"/>
                  <w:divBdr>
                    <w:top w:val="none" w:sz="0" w:space="0" w:color="auto"/>
                    <w:left w:val="none" w:sz="0" w:space="0" w:color="auto"/>
                    <w:bottom w:val="none" w:sz="0" w:space="0" w:color="auto"/>
                    <w:right w:val="none" w:sz="0" w:space="0" w:color="auto"/>
                  </w:divBdr>
                  <w:divsChild>
                    <w:div w:id="1066878493">
                      <w:marLeft w:val="0"/>
                      <w:marRight w:val="0"/>
                      <w:marTop w:val="0"/>
                      <w:marBottom w:val="0"/>
                      <w:divBdr>
                        <w:top w:val="none" w:sz="0" w:space="0" w:color="auto"/>
                        <w:left w:val="none" w:sz="0" w:space="0" w:color="auto"/>
                        <w:bottom w:val="none" w:sz="0" w:space="0" w:color="auto"/>
                        <w:right w:val="none" w:sz="0" w:space="0" w:color="auto"/>
                      </w:divBdr>
                    </w:div>
                  </w:divsChild>
                </w:div>
                <w:div w:id="1835409205">
                  <w:marLeft w:val="0"/>
                  <w:marRight w:val="0"/>
                  <w:marTop w:val="0"/>
                  <w:marBottom w:val="0"/>
                  <w:divBdr>
                    <w:top w:val="none" w:sz="0" w:space="0" w:color="auto"/>
                    <w:left w:val="none" w:sz="0" w:space="0" w:color="auto"/>
                    <w:bottom w:val="none" w:sz="0" w:space="0" w:color="auto"/>
                    <w:right w:val="none" w:sz="0" w:space="0" w:color="auto"/>
                  </w:divBdr>
                  <w:divsChild>
                    <w:div w:id="1901400081">
                      <w:marLeft w:val="0"/>
                      <w:marRight w:val="0"/>
                      <w:marTop w:val="0"/>
                      <w:marBottom w:val="0"/>
                      <w:divBdr>
                        <w:top w:val="none" w:sz="0" w:space="0" w:color="auto"/>
                        <w:left w:val="none" w:sz="0" w:space="0" w:color="auto"/>
                        <w:bottom w:val="none" w:sz="0" w:space="0" w:color="auto"/>
                        <w:right w:val="none" w:sz="0" w:space="0" w:color="auto"/>
                      </w:divBdr>
                    </w:div>
                  </w:divsChild>
                </w:div>
                <w:div w:id="1840193152">
                  <w:marLeft w:val="0"/>
                  <w:marRight w:val="0"/>
                  <w:marTop w:val="0"/>
                  <w:marBottom w:val="0"/>
                  <w:divBdr>
                    <w:top w:val="none" w:sz="0" w:space="0" w:color="auto"/>
                    <w:left w:val="none" w:sz="0" w:space="0" w:color="auto"/>
                    <w:bottom w:val="none" w:sz="0" w:space="0" w:color="auto"/>
                    <w:right w:val="none" w:sz="0" w:space="0" w:color="auto"/>
                  </w:divBdr>
                  <w:divsChild>
                    <w:div w:id="89593787">
                      <w:marLeft w:val="0"/>
                      <w:marRight w:val="0"/>
                      <w:marTop w:val="0"/>
                      <w:marBottom w:val="0"/>
                      <w:divBdr>
                        <w:top w:val="none" w:sz="0" w:space="0" w:color="auto"/>
                        <w:left w:val="none" w:sz="0" w:space="0" w:color="auto"/>
                        <w:bottom w:val="none" w:sz="0" w:space="0" w:color="auto"/>
                        <w:right w:val="none" w:sz="0" w:space="0" w:color="auto"/>
                      </w:divBdr>
                    </w:div>
                  </w:divsChild>
                </w:div>
                <w:div w:id="1845166498">
                  <w:marLeft w:val="0"/>
                  <w:marRight w:val="0"/>
                  <w:marTop w:val="0"/>
                  <w:marBottom w:val="0"/>
                  <w:divBdr>
                    <w:top w:val="none" w:sz="0" w:space="0" w:color="auto"/>
                    <w:left w:val="none" w:sz="0" w:space="0" w:color="auto"/>
                    <w:bottom w:val="none" w:sz="0" w:space="0" w:color="auto"/>
                    <w:right w:val="none" w:sz="0" w:space="0" w:color="auto"/>
                  </w:divBdr>
                  <w:divsChild>
                    <w:div w:id="920721683">
                      <w:marLeft w:val="0"/>
                      <w:marRight w:val="0"/>
                      <w:marTop w:val="0"/>
                      <w:marBottom w:val="0"/>
                      <w:divBdr>
                        <w:top w:val="none" w:sz="0" w:space="0" w:color="auto"/>
                        <w:left w:val="none" w:sz="0" w:space="0" w:color="auto"/>
                        <w:bottom w:val="none" w:sz="0" w:space="0" w:color="auto"/>
                        <w:right w:val="none" w:sz="0" w:space="0" w:color="auto"/>
                      </w:divBdr>
                    </w:div>
                  </w:divsChild>
                </w:div>
                <w:div w:id="1852256208">
                  <w:marLeft w:val="0"/>
                  <w:marRight w:val="0"/>
                  <w:marTop w:val="0"/>
                  <w:marBottom w:val="0"/>
                  <w:divBdr>
                    <w:top w:val="none" w:sz="0" w:space="0" w:color="auto"/>
                    <w:left w:val="none" w:sz="0" w:space="0" w:color="auto"/>
                    <w:bottom w:val="none" w:sz="0" w:space="0" w:color="auto"/>
                    <w:right w:val="none" w:sz="0" w:space="0" w:color="auto"/>
                  </w:divBdr>
                  <w:divsChild>
                    <w:div w:id="93210271">
                      <w:marLeft w:val="0"/>
                      <w:marRight w:val="0"/>
                      <w:marTop w:val="0"/>
                      <w:marBottom w:val="0"/>
                      <w:divBdr>
                        <w:top w:val="none" w:sz="0" w:space="0" w:color="auto"/>
                        <w:left w:val="none" w:sz="0" w:space="0" w:color="auto"/>
                        <w:bottom w:val="none" w:sz="0" w:space="0" w:color="auto"/>
                        <w:right w:val="none" w:sz="0" w:space="0" w:color="auto"/>
                      </w:divBdr>
                    </w:div>
                  </w:divsChild>
                </w:div>
                <w:div w:id="1855223113">
                  <w:marLeft w:val="0"/>
                  <w:marRight w:val="0"/>
                  <w:marTop w:val="0"/>
                  <w:marBottom w:val="0"/>
                  <w:divBdr>
                    <w:top w:val="none" w:sz="0" w:space="0" w:color="auto"/>
                    <w:left w:val="none" w:sz="0" w:space="0" w:color="auto"/>
                    <w:bottom w:val="none" w:sz="0" w:space="0" w:color="auto"/>
                    <w:right w:val="none" w:sz="0" w:space="0" w:color="auto"/>
                  </w:divBdr>
                  <w:divsChild>
                    <w:div w:id="141242861">
                      <w:marLeft w:val="0"/>
                      <w:marRight w:val="0"/>
                      <w:marTop w:val="0"/>
                      <w:marBottom w:val="0"/>
                      <w:divBdr>
                        <w:top w:val="none" w:sz="0" w:space="0" w:color="auto"/>
                        <w:left w:val="none" w:sz="0" w:space="0" w:color="auto"/>
                        <w:bottom w:val="none" w:sz="0" w:space="0" w:color="auto"/>
                        <w:right w:val="none" w:sz="0" w:space="0" w:color="auto"/>
                      </w:divBdr>
                    </w:div>
                  </w:divsChild>
                </w:div>
                <w:div w:id="1876891633">
                  <w:marLeft w:val="0"/>
                  <w:marRight w:val="0"/>
                  <w:marTop w:val="0"/>
                  <w:marBottom w:val="0"/>
                  <w:divBdr>
                    <w:top w:val="none" w:sz="0" w:space="0" w:color="auto"/>
                    <w:left w:val="none" w:sz="0" w:space="0" w:color="auto"/>
                    <w:bottom w:val="none" w:sz="0" w:space="0" w:color="auto"/>
                    <w:right w:val="none" w:sz="0" w:space="0" w:color="auto"/>
                  </w:divBdr>
                  <w:divsChild>
                    <w:div w:id="411122692">
                      <w:marLeft w:val="0"/>
                      <w:marRight w:val="0"/>
                      <w:marTop w:val="0"/>
                      <w:marBottom w:val="0"/>
                      <w:divBdr>
                        <w:top w:val="none" w:sz="0" w:space="0" w:color="auto"/>
                        <w:left w:val="none" w:sz="0" w:space="0" w:color="auto"/>
                        <w:bottom w:val="none" w:sz="0" w:space="0" w:color="auto"/>
                        <w:right w:val="none" w:sz="0" w:space="0" w:color="auto"/>
                      </w:divBdr>
                    </w:div>
                  </w:divsChild>
                </w:div>
                <w:div w:id="1910993304">
                  <w:marLeft w:val="0"/>
                  <w:marRight w:val="0"/>
                  <w:marTop w:val="0"/>
                  <w:marBottom w:val="0"/>
                  <w:divBdr>
                    <w:top w:val="none" w:sz="0" w:space="0" w:color="auto"/>
                    <w:left w:val="none" w:sz="0" w:space="0" w:color="auto"/>
                    <w:bottom w:val="none" w:sz="0" w:space="0" w:color="auto"/>
                    <w:right w:val="none" w:sz="0" w:space="0" w:color="auto"/>
                  </w:divBdr>
                  <w:divsChild>
                    <w:div w:id="2098095271">
                      <w:marLeft w:val="0"/>
                      <w:marRight w:val="0"/>
                      <w:marTop w:val="0"/>
                      <w:marBottom w:val="0"/>
                      <w:divBdr>
                        <w:top w:val="none" w:sz="0" w:space="0" w:color="auto"/>
                        <w:left w:val="none" w:sz="0" w:space="0" w:color="auto"/>
                        <w:bottom w:val="none" w:sz="0" w:space="0" w:color="auto"/>
                        <w:right w:val="none" w:sz="0" w:space="0" w:color="auto"/>
                      </w:divBdr>
                    </w:div>
                  </w:divsChild>
                </w:div>
                <w:div w:id="1912689697">
                  <w:marLeft w:val="0"/>
                  <w:marRight w:val="0"/>
                  <w:marTop w:val="0"/>
                  <w:marBottom w:val="0"/>
                  <w:divBdr>
                    <w:top w:val="none" w:sz="0" w:space="0" w:color="auto"/>
                    <w:left w:val="none" w:sz="0" w:space="0" w:color="auto"/>
                    <w:bottom w:val="none" w:sz="0" w:space="0" w:color="auto"/>
                    <w:right w:val="none" w:sz="0" w:space="0" w:color="auto"/>
                  </w:divBdr>
                  <w:divsChild>
                    <w:div w:id="1296989302">
                      <w:marLeft w:val="0"/>
                      <w:marRight w:val="0"/>
                      <w:marTop w:val="0"/>
                      <w:marBottom w:val="0"/>
                      <w:divBdr>
                        <w:top w:val="none" w:sz="0" w:space="0" w:color="auto"/>
                        <w:left w:val="none" w:sz="0" w:space="0" w:color="auto"/>
                        <w:bottom w:val="none" w:sz="0" w:space="0" w:color="auto"/>
                        <w:right w:val="none" w:sz="0" w:space="0" w:color="auto"/>
                      </w:divBdr>
                    </w:div>
                  </w:divsChild>
                </w:div>
                <w:div w:id="1915046497">
                  <w:marLeft w:val="0"/>
                  <w:marRight w:val="0"/>
                  <w:marTop w:val="0"/>
                  <w:marBottom w:val="0"/>
                  <w:divBdr>
                    <w:top w:val="none" w:sz="0" w:space="0" w:color="auto"/>
                    <w:left w:val="none" w:sz="0" w:space="0" w:color="auto"/>
                    <w:bottom w:val="none" w:sz="0" w:space="0" w:color="auto"/>
                    <w:right w:val="none" w:sz="0" w:space="0" w:color="auto"/>
                  </w:divBdr>
                  <w:divsChild>
                    <w:div w:id="1570188761">
                      <w:marLeft w:val="0"/>
                      <w:marRight w:val="0"/>
                      <w:marTop w:val="0"/>
                      <w:marBottom w:val="0"/>
                      <w:divBdr>
                        <w:top w:val="none" w:sz="0" w:space="0" w:color="auto"/>
                        <w:left w:val="none" w:sz="0" w:space="0" w:color="auto"/>
                        <w:bottom w:val="none" w:sz="0" w:space="0" w:color="auto"/>
                        <w:right w:val="none" w:sz="0" w:space="0" w:color="auto"/>
                      </w:divBdr>
                    </w:div>
                  </w:divsChild>
                </w:div>
                <w:div w:id="1927036790">
                  <w:marLeft w:val="0"/>
                  <w:marRight w:val="0"/>
                  <w:marTop w:val="0"/>
                  <w:marBottom w:val="0"/>
                  <w:divBdr>
                    <w:top w:val="none" w:sz="0" w:space="0" w:color="auto"/>
                    <w:left w:val="none" w:sz="0" w:space="0" w:color="auto"/>
                    <w:bottom w:val="none" w:sz="0" w:space="0" w:color="auto"/>
                    <w:right w:val="none" w:sz="0" w:space="0" w:color="auto"/>
                  </w:divBdr>
                  <w:divsChild>
                    <w:div w:id="595794492">
                      <w:marLeft w:val="0"/>
                      <w:marRight w:val="0"/>
                      <w:marTop w:val="0"/>
                      <w:marBottom w:val="0"/>
                      <w:divBdr>
                        <w:top w:val="none" w:sz="0" w:space="0" w:color="auto"/>
                        <w:left w:val="none" w:sz="0" w:space="0" w:color="auto"/>
                        <w:bottom w:val="none" w:sz="0" w:space="0" w:color="auto"/>
                        <w:right w:val="none" w:sz="0" w:space="0" w:color="auto"/>
                      </w:divBdr>
                    </w:div>
                  </w:divsChild>
                </w:div>
                <w:div w:id="1935437398">
                  <w:marLeft w:val="0"/>
                  <w:marRight w:val="0"/>
                  <w:marTop w:val="0"/>
                  <w:marBottom w:val="0"/>
                  <w:divBdr>
                    <w:top w:val="none" w:sz="0" w:space="0" w:color="auto"/>
                    <w:left w:val="none" w:sz="0" w:space="0" w:color="auto"/>
                    <w:bottom w:val="none" w:sz="0" w:space="0" w:color="auto"/>
                    <w:right w:val="none" w:sz="0" w:space="0" w:color="auto"/>
                  </w:divBdr>
                  <w:divsChild>
                    <w:div w:id="753475232">
                      <w:marLeft w:val="0"/>
                      <w:marRight w:val="0"/>
                      <w:marTop w:val="0"/>
                      <w:marBottom w:val="0"/>
                      <w:divBdr>
                        <w:top w:val="none" w:sz="0" w:space="0" w:color="auto"/>
                        <w:left w:val="none" w:sz="0" w:space="0" w:color="auto"/>
                        <w:bottom w:val="none" w:sz="0" w:space="0" w:color="auto"/>
                        <w:right w:val="none" w:sz="0" w:space="0" w:color="auto"/>
                      </w:divBdr>
                    </w:div>
                  </w:divsChild>
                </w:div>
                <w:div w:id="1959020019">
                  <w:marLeft w:val="0"/>
                  <w:marRight w:val="0"/>
                  <w:marTop w:val="0"/>
                  <w:marBottom w:val="0"/>
                  <w:divBdr>
                    <w:top w:val="none" w:sz="0" w:space="0" w:color="auto"/>
                    <w:left w:val="none" w:sz="0" w:space="0" w:color="auto"/>
                    <w:bottom w:val="none" w:sz="0" w:space="0" w:color="auto"/>
                    <w:right w:val="none" w:sz="0" w:space="0" w:color="auto"/>
                  </w:divBdr>
                  <w:divsChild>
                    <w:div w:id="361438173">
                      <w:marLeft w:val="0"/>
                      <w:marRight w:val="0"/>
                      <w:marTop w:val="0"/>
                      <w:marBottom w:val="0"/>
                      <w:divBdr>
                        <w:top w:val="none" w:sz="0" w:space="0" w:color="auto"/>
                        <w:left w:val="none" w:sz="0" w:space="0" w:color="auto"/>
                        <w:bottom w:val="none" w:sz="0" w:space="0" w:color="auto"/>
                        <w:right w:val="none" w:sz="0" w:space="0" w:color="auto"/>
                      </w:divBdr>
                    </w:div>
                  </w:divsChild>
                </w:div>
                <w:div w:id="1962806936">
                  <w:marLeft w:val="0"/>
                  <w:marRight w:val="0"/>
                  <w:marTop w:val="0"/>
                  <w:marBottom w:val="0"/>
                  <w:divBdr>
                    <w:top w:val="none" w:sz="0" w:space="0" w:color="auto"/>
                    <w:left w:val="none" w:sz="0" w:space="0" w:color="auto"/>
                    <w:bottom w:val="none" w:sz="0" w:space="0" w:color="auto"/>
                    <w:right w:val="none" w:sz="0" w:space="0" w:color="auto"/>
                  </w:divBdr>
                  <w:divsChild>
                    <w:div w:id="1466507960">
                      <w:marLeft w:val="0"/>
                      <w:marRight w:val="0"/>
                      <w:marTop w:val="0"/>
                      <w:marBottom w:val="0"/>
                      <w:divBdr>
                        <w:top w:val="none" w:sz="0" w:space="0" w:color="auto"/>
                        <w:left w:val="none" w:sz="0" w:space="0" w:color="auto"/>
                        <w:bottom w:val="none" w:sz="0" w:space="0" w:color="auto"/>
                        <w:right w:val="none" w:sz="0" w:space="0" w:color="auto"/>
                      </w:divBdr>
                    </w:div>
                  </w:divsChild>
                </w:div>
                <w:div w:id="1977299140">
                  <w:marLeft w:val="0"/>
                  <w:marRight w:val="0"/>
                  <w:marTop w:val="0"/>
                  <w:marBottom w:val="0"/>
                  <w:divBdr>
                    <w:top w:val="none" w:sz="0" w:space="0" w:color="auto"/>
                    <w:left w:val="none" w:sz="0" w:space="0" w:color="auto"/>
                    <w:bottom w:val="none" w:sz="0" w:space="0" w:color="auto"/>
                    <w:right w:val="none" w:sz="0" w:space="0" w:color="auto"/>
                  </w:divBdr>
                  <w:divsChild>
                    <w:div w:id="1986742357">
                      <w:marLeft w:val="0"/>
                      <w:marRight w:val="0"/>
                      <w:marTop w:val="0"/>
                      <w:marBottom w:val="0"/>
                      <w:divBdr>
                        <w:top w:val="none" w:sz="0" w:space="0" w:color="auto"/>
                        <w:left w:val="none" w:sz="0" w:space="0" w:color="auto"/>
                        <w:bottom w:val="none" w:sz="0" w:space="0" w:color="auto"/>
                        <w:right w:val="none" w:sz="0" w:space="0" w:color="auto"/>
                      </w:divBdr>
                    </w:div>
                  </w:divsChild>
                </w:div>
                <w:div w:id="1993286942">
                  <w:marLeft w:val="0"/>
                  <w:marRight w:val="0"/>
                  <w:marTop w:val="0"/>
                  <w:marBottom w:val="0"/>
                  <w:divBdr>
                    <w:top w:val="none" w:sz="0" w:space="0" w:color="auto"/>
                    <w:left w:val="none" w:sz="0" w:space="0" w:color="auto"/>
                    <w:bottom w:val="none" w:sz="0" w:space="0" w:color="auto"/>
                    <w:right w:val="none" w:sz="0" w:space="0" w:color="auto"/>
                  </w:divBdr>
                  <w:divsChild>
                    <w:div w:id="458307157">
                      <w:marLeft w:val="0"/>
                      <w:marRight w:val="0"/>
                      <w:marTop w:val="0"/>
                      <w:marBottom w:val="0"/>
                      <w:divBdr>
                        <w:top w:val="none" w:sz="0" w:space="0" w:color="auto"/>
                        <w:left w:val="none" w:sz="0" w:space="0" w:color="auto"/>
                        <w:bottom w:val="none" w:sz="0" w:space="0" w:color="auto"/>
                        <w:right w:val="none" w:sz="0" w:space="0" w:color="auto"/>
                      </w:divBdr>
                    </w:div>
                  </w:divsChild>
                </w:div>
                <w:div w:id="2004702642">
                  <w:marLeft w:val="0"/>
                  <w:marRight w:val="0"/>
                  <w:marTop w:val="0"/>
                  <w:marBottom w:val="0"/>
                  <w:divBdr>
                    <w:top w:val="none" w:sz="0" w:space="0" w:color="auto"/>
                    <w:left w:val="none" w:sz="0" w:space="0" w:color="auto"/>
                    <w:bottom w:val="none" w:sz="0" w:space="0" w:color="auto"/>
                    <w:right w:val="none" w:sz="0" w:space="0" w:color="auto"/>
                  </w:divBdr>
                  <w:divsChild>
                    <w:div w:id="303193611">
                      <w:marLeft w:val="0"/>
                      <w:marRight w:val="0"/>
                      <w:marTop w:val="0"/>
                      <w:marBottom w:val="0"/>
                      <w:divBdr>
                        <w:top w:val="none" w:sz="0" w:space="0" w:color="auto"/>
                        <w:left w:val="none" w:sz="0" w:space="0" w:color="auto"/>
                        <w:bottom w:val="none" w:sz="0" w:space="0" w:color="auto"/>
                        <w:right w:val="none" w:sz="0" w:space="0" w:color="auto"/>
                      </w:divBdr>
                    </w:div>
                  </w:divsChild>
                </w:div>
                <w:div w:id="2010207278">
                  <w:marLeft w:val="0"/>
                  <w:marRight w:val="0"/>
                  <w:marTop w:val="0"/>
                  <w:marBottom w:val="0"/>
                  <w:divBdr>
                    <w:top w:val="none" w:sz="0" w:space="0" w:color="auto"/>
                    <w:left w:val="none" w:sz="0" w:space="0" w:color="auto"/>
                    <w:bottom w:val="none" w:sz="0" w:space="0" w:color="auto"/>
                    <w:right w:val="none" w:sz="0" w:space="0" w:color="auto"/>
                  </w:divBdr>
                  <w:divsChild>
                    <w:div w:id="1688680895">
                      <w:marLeft w:val="0"/>
                      <w:marRight w:val="0"/>
                      <w:marTop w:val="0"/>
                      <w:marBottom w:val="0"/>
                      <w:divBdr>
                        <w:top w:val="none" w:sz="0" w:space="0" w:color="auto"/>
                        <w:left w:val="none" w:sz="0" w:space="0" w:color="auto"/>
                        <w:bottom w:val="none" w:sz="0" w:space="0" w:color="auto"/>
                        <w:right w:val="none" w:sz="0" w:space="0" w:color="auto"/>
                      </w:divBdr>
                    </w:div>
                  </w:divsChild>
                </w:div>
                <w:div w:id="2040232993">
                  <w:marLeft w:val="0"/>
                  <w:marRight w:val="0"/>
                  <w:marTop w:val="0"/>
                  <w:marBottom w:val="0"/>
                  <w:divBdr>
                    <w:top w:val="none" w:sz="0" w:space="0" w:color="auto"/>
                    <w:left w:val="none" w:sz="0" w:space="0" w:color="auto"/>
                    <w:bottom w:val="none" w:sz="0" w:space="0" w:color="auto"/>
                    <w:right w:val="none" w:sz="0" w:space="0" w:color="auto"/>
                  </w:divBdr>
                  <w:divsChild>
                    <w:div w:id="1008094517">
                      <w:marLeft w:val="0"/>
                      <w:marRight w:val="0"/>
                      <w:marTop w:val="0"/>
                      <w:marBottom w:val="0"/>
                      <w:divBdr>
                        <w:top w:val="none" w:sz="0" w:space="0" w:color="auto"/>
                        <w:left w:val="none" w:sz="0" w:space="0" w:color="auto"/>
                        <w:bottom w:val="none" w:sz="0" w:space="0" w:color="auto"/>
                        <w:right w:val="none" w:sz="0" w:space="0" w:color="auto"/>
                      </w:divBdr>
                    </w:div>
                  </w:divsChild>
                </w:div>
                <w:div w:id="2065566762">
                  <w:marLeft w:val="0"/>
                  <w:marRight w:val="0"/>
                  <w:marTop w:val="0"/>
                  <w:marBottom w:val="0"/>
                  <w:divBdr>
                    <w:top w:val="none" w:sz="0" w:space="0" w:color="auto"/>
                    <w:left w:val="none" w:sz="0" w:space="0" w:color="auto"/>
                    <w:bottom w:val="none" w:sz="0" w:space="0" w:color="auto"/>
                    <w:right w:val="none" w:sz="0" w:space="0" w:color="auto"/>
                  </w:divBdr>
                  <w:divsChild>
                    <w:div w:id="1987590725">
                      <w:marLeft w:val="0"/>
                      <w:marRight w:val="0"/>
                      <w:marTop w:val="0"/>
                      <w:marBottom w:val="0"/>
                      <w:divBdr>
                        <w:top w:val="none" w:sz="0" w:space="0" w:color="auto"/>
                        <w:left w:val="none" w:sz="0" w:space="0" w:color="auto"/>
                        <w:bottom w:val="none" w:sz="0" w:space="0" w:color="auto"/>
                        <w:right w:val="none" w:sz="0" w:space="0" w:color="auto"/>
                      </w:divBdr>
                    </w:div>
                  </w:divsChild>
                </w:div>
                <w:div w:id="2065908797">
                  <w:marLeft w:val="0"/>
                  <w:marRight w:val="0"/>
                  <w:marTop w:val="0"/>
                  <w:marBottom w:val="0"/>
                  <w:divBdr>
                    <w:top w:val="none" w:sz="0" w:space="0" w:color="auto"/>
                    <w:left w:val="none" w:sz="0" w:space="0" w:color="auto"/>
                    <w:bottom w:val="none" w:sz="0" w:space="0" w:color="auto"/>
                    <w:right w:val="none" w:sz="0" w:space="0" w:color="auto"/>
                  </w:divBdr>
                  <w:divsChild>
                    <w:div w:id="1030305936">
                      <w:marLeft w:val="0"/>
                      <w:marRight w:val="0"/>
                      <w:marTop w:val="0"/>
                      <w:marBottom w:val="0"/>
                      <w:divBdr>
                        <w:top w:val="none" w:sz="0" w:space="0" w:color="auto"/>
                        <w:left w:val="none" w:sz="0" w:space="0" w:color="auto"/>
                        <w:bottom w:val="none" w:sz="0" w:space="0" w:color="auto"/>
                        <w:right w:val="none" w:sz="0" w:space="0" w:color="auto"/>
                      </w:divBdr>
                    </w:div>
                  </w:divsChild>
                </w:div>
                <w:div w:id="2099448591">
                  <w:marLeft w:val="0"/>
                  <w:marRight w:val="0"/>
                  <w:marTop w:val="0"/>
                  <w:marBottom w:val="0"/>
                  <w:divBdr>
                    <w:top w:val="none" w:sz="0" w:space="0" w:color="auto"/>
                    <w:left w:val="none" w:sz="0" w:space="0" w:color="auto"/>
                    <w:bottom w:val="none" w:sz="0" w:space="0" w:color="auto"/>
                    <w:right w:val="none" w:sz="0" w:space="0" w:color="auto"/>
                  </w:divBdr>
                  <w:divsChild>
                    <w:div w:id="527183989">
                      <w:marLeft w:val="0"/>
                      <w:marRight w:val="0"/>
                      <w:marTop w:val="0"/>
                      <w:marBottom w:val="0"/>
                      <w:divBdr>
                        <w:top w:val="none" w:sz="0" w:space="0" w:color="auto"/>
                        <w:left w:val="none" w:sz="0" w:space="0" w:color="auto"/>
                        <w:bottom w:val="none" w:sz="0" w:space="0" w:color="auto"/>
                        <w:right w:val="none" w:sz="0" w:space="0" w:color="auto"/>
                      </w:divBdr>
                    </w:div>
                  </w:divsChild>
                </w:div>
                <w:div w:id="2107116976">
                  <w:marLeft w:val="0"/>
                  <w:marRight w:val="0"/>
                  <w:marTop w:val="0"/>
                  <w:marBottom w:val="0"/>
                  <w:divBdr>
                    <w:top w:val="none" w:sz="0" w:space="0" w:color="auto"/>
                    <w:left w:val="none" w:sz="0" w:space="0" w:color="auto"/>
                    <w:bottom w:val="none" w:sz="0" w:space="0" w:color="auto"/>
                    <w:right w:val="none" w:sz="0" w:space="0" w:color="auto"/>
                  </w:divBdr>
                  <w:divsChild>
                    <w:div w:id="650410292">
                      <w:marLeft w:val="0"/>
                      <w:marRight w:val="0"/>
                      <w:marTop w:val="0"/>
                      <w:marBottom w:val="0"/>
                      <w:divBdr>
                        <w:top w:val="none" w:sz="0" w:space="0" w:color="auto"/>
                        <w:left w:val="none" w:sz="0" w:space="0" w:color="auto"/>
                        <w:bottom w:val="none" w:sz="0" w:space="0" w:color="auto"/>
                        <w:right w:val="none" w:sz="0" w:space="0" w:color="auto"/>
                      </w:divBdr>
                    </w:div>
                  </w:divsChild>
                </w:div>
                <w:div w:id="2111004432">
                  <w:marLeft w:val="0"/>
                  <w:marRight w:val="0"/>
                  <w:marTop w:val="0"/>
                  <w:marBottom w:val="0"/>
                  <w:divBdr>
                    <w:top w:val="none" w:sz="0" w:space="0" w:color="auto"/>
                    <w:left w:val="none" w:sz="0" w:space="0" w:color="auto"/>
                    <w:bottom w:val="none" w:sz="0" w:space="0" w:color="auto"/>
                    <w:right w:val="none" w:sz="0" w:space="0" w:color="auto"/>
                  </w:divBdr>
                  <w:divsChild>
                    <w:div w:id="634606047">
                      <w:marLeft w:val="0"/>
                      <w:marRight w:val="0"/>
                      <w:marTop w:val="0"/>
                      <w:marBottom w:val="0"/>
                      <w:divBdr>
                        <w:top w:val="none" w:sz="0" w:space="0" w:color="auto"/>
                        <w:left w:val="none" w:sz="0" w:space="0" w:color="auto"/>
                        <w:bottom w:val="none" w:sz="0" w:space="0" w:color="auto"/>
                        <w:right w:val="none" w:sz="0" w:space="0" w:color="auto"/>
                      </w:divBdr>
                    </w:div>
                  </w:divsChild>
                </w:div>
                <w:div w:id="2112777939">
                  <w:marLeft w:val="0"/>
                  <w:marRight w:val="0"/>
                  <w:marTop w:val="0"/>
                  <w:marBottom w:val="0"/>
                  <w:divBdr>
                    <w:top w:val="none" w:sz="0" w:space="0" w:color="auto"/>
                    <w:left w:val="none" w:sz="0" w:space="0" w:color="auto"/>
                    <w:bottom w:val="none" w:sz="0" w:space="0" w:color="auto"/>
                    <w:right w:val="none" w:sz="0" w:space="0" w:color="auto"/>
                  </w:divBdr>
                  <w:divsChild>
                    <w:div w:id="1499955022">
                      <w:marLeft w:val="0"/>
                      <w:marRight w:val="0"/>
                      <w:marTop w:val="0"/>
                      <w:marBottom w:val="0"/>
                      <w:divBdr>
                        <w:top w:val="none" w:sz="0" w:space="0" w:color="auto"/>
                        <w:left w:val="none" w:sz="0" w:space="0" w:color="auto"/>
                        <w:bottom w:val="none" w:sz="0" w:space="0" w:color="auto"/>
                        <w:right w:val="none" w:sz="0" w:space="0" w:color="auto"/>
                      </w:divBdr>
                    </w:div>
                  </w:divsChild>
                </w:div>
                <w:div w:id="2127921076">
                  <w:marLeft w:val="0"/>
                  <w:marRight w:val="0"/>
                  <w:marTop w:val="0"/>
                  <w:marBottom w:val="0"/>
                  <w:divBdr>
                    <w:top w:val="none" w:sz="0" w:space="0" w:color="auto"/>
                    <w:left w:val="none" w:sz="0" w:space="0" w:color="auto"/>
                    <w:bottom w:val="none" w:sz="0" w:space="0" w:color="auto"/>
                    <w:right w:val="none" w:sz="0" w:space="0" w:color="auto"/>
                  </w:divBdr>
                  <w:divsChild>
                    <w:div w:id="14381447">
                      <w:marLeft w:val="0"/>
                      <w:marRight w:val="0"/>
                      <w:marTop w:val="0"/>
                      <w:marBottom w:val="0"/>
                      <w:divBdr>
                        <w:top w:val="none" w:sz="0" w:space="0" w:color="auto"/>
                        <w:left w:val="none" w:sz="0" w:space="0" w:color="auto"/>
                        <w:bottom w:val="none" w:sz="0" w:space="0" w:color="auto"/>
                        <w:right w:val="none" w:sz="0" w:space="0" w:color="auto"/>
                      </w:divBdr>
                    </w:div>
                  </w:divsChild>
                </w:div>
                <w:div w:id="2129935690">
                  <w:marLeft w:val="0"/>
                  <w:marRight w:val="0"/>
                  <w:marTop w:val="0"/>
                  <w:marBottom w:val="0"/>
                  <w:divBdr>
                    <w:top w:val="none" w:sz="0" w:space="0" w:color="auto"/>
                    <w:left w:val="none" w:sz="0" w:space="0" w:color="auto"/>
                    <w:bottom w:val="none" w:sz="0" w:space="0" w:color="auto"/>
                    <w:right w:val="none" w:sz="0" w:space="0" w:color="auto"/>
                  </w:divBdr>
                  <w:divsChild>
                    <w:div w:id="1448087306">
                      <w:marLeft w:val="0"/>
                      <w:marRight w:val="0"/>
                      <w:marTop w:val="0"/>
                      <w:marBottom w:val="0"/>
                      <w:divBdr>
                        <w:top w:val="none" w:sz="0" w:space="0" w:color="auto"/>
                        <w:left w:val="none" w:sz="0" w:space="0" w:color="auto"/>
                        <w:bottom w:val="none" w:sz="0" w:space="0" w:color="auto"/>
                        <w:right w:val="none" w:sz="0" w:space="0" w:color="auto"/>
                      </w:divBdr>
                    </w:div>
                  </w:divsChild>
                </w:div>
                <w:div w:id="2134592323">
                  <w:marLeft w:val="0"/>
                  <w:marRight w:val="0"/>
                  <w:marTop w:val="0"/>
                  <w:marBottom w:val="0"/>
                  <w:divBdr>
                    <w:top w:val="none" w:sz="0" w:space="0" w:color="auto"/>
                    <w:left w:val="none" w:sz="0" w:space="0" w:color="auto"/>
                    <w:bottom w:val="none" w:sz="0" w:space="0" w:color="auto"/>
                    <w:right w:val="none" w:sz="0" w:space="0" w:color="auto"/>
                  </w:divBdr>
                  <w:divsChild>
                    <w:div w:id="88961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162031">
          <w:marLeft w:val="0"/>
          <w:marRight w:val="0"/>
          <w:marTop w:val="0"/>
          <w:marBottom w:val="0"/>
          <w:divBdr>
            <w:top w:val="none" w:sz="0" w:space="0" w:color="auto"/>
            <w:left w:val="none" w:sz="0" w:space="0" w:color="auto"/>
            <w:bottom w:val="none" w:sz="0" w:space="0" w:color="auto"/>
            <w:right w:val="none" w:sz="0" w:space="0" w:color="auto"/>
          </w:divBdr>
        </w:div>
        <w:div w:id="1801260710">
          <w:marLeft w:val="0"/>
          <w:marRight w:val="0"/>
          <w:marTop w:val="0"/>
          <w:marBottom w:val="0"/>
          <w:divBdr>
            <w:top w:val="none" w:sz="0" w:space="0" w:color="auto"/>
            <w:left w:val="none" w:sz="0" w:space="0" w:color="auto"/>
            <w:bottom w:val="none" w:sz="0" w:space="0" w:color="auto"/>
            <w:right w:val="none" w:sz="0" w:space="0" w:color="auto"/>
          </w:divBdr>
        </w:div>
        <w:div w:id="1839804102">
          <w:marLeft w:val="0"/>
          <w:marRight w:val="0"/>
          <w:marTop w:val="0"/>
          <w:marBottom w:val="0"/>
          <w:divBdr>
            <w:top w:val="none" w:sz="0" w:space="0" w:color="auto"/>
            <w:left w:val="none" w:sz="0" w:space="0" w:color="auto"/>
            <w:bottom w:val="none" w:sz="0" w:space="0" w:color="auto"/>
            <w:right w:val="none" w:sz="0" w:space="0" w:color="auto"/>
          </w:divBdr>
        </w:div>
        <w:div w:id="1920871853">
          <w:marLeft w:val="0"/>
          <w:marRight w:val="0"/>
          <w:marTop w:val="0"/>
          <w:marBottom w:val="0"/>
          <w:divBdr>
            <w:top w:val="none" w:sz="0" w:space="0" w:color="auto"/>
            <w:left w:val="none" w:sz="0" w:space="0" w:color="auto"/>
            <w:bottom w:val="none" w:sz="0" w:space="0" w:color="auto"/>
            <w:right w:val="none" w:sz="0" w:space="0" w:color="auto"/>
          </w:divBdr>
        </w:div>
        <w:div w:id="2147238424">
          <w:marLeft w:val="0"/>
          <w:marRight w:val="0"/>
          <w:marTop w:val="0"/>
          <w:marBottom w:val="0"/>
          <w:divBdr>
            <w:top w:val="none" w:sz="0" w:space="0" w:color="auto"/>
            <w:left w:val="none" w:sz="0" w:space="0" w:color="auto"/>
            <w:bottom w:val="none" w:sz="0" w:space="0" w:color="auto"/>
            <w:right w:val="none" w:sz="0" w:space="0" w:color="auto"/>
          </w:divBdr>
        </w:div>
      </w:divsChild>
    </w:div>
    <w:div w:id="373430973">
      <w:bodyDiv w:val="1"/>
      <w:marLeft w:val="0"/>
      <w:marRight w:val="0"/>
      <w:marTop w:val="0"/>
      <w:marBottom w:val="0"/>
      <w:divBdr>
        <w:top w:val="none" w:sz="0" w:space="0" w:color="auto"/>
        <w:left w:val="none" w:sz="0" w:space="0" w:color="auto"/>
        <w:bottom w:val="none" w:sz="0" w:space="0" w:color="auto"/>
        <w:right w:val="none" w:sz="0" w:space="0" w:color="auto"/>
      </w:divBdr>
    </w:div>
    <w:div w:id="373700790">
      <w:bodyDiv w:val="1"/>
      <w:marLeft w:val="0"/>
      <w:marRight w:val="0"/>
      <w:marTop w:val="0"/>
      <w:marBottom w:val="0"/>
      <w:divBdr>
        <w:top w:val="none" w:sz="0" w:space="0" w:color="auto"/>
        <w:left w:val="none" w:sz="0" w:space="0" w:color="auto"/>
        <w:bottom w:val="none" w:sz="0" w:space="0" w:color="auto"/>
        <w:right w:val="none" w:sz="0" w:space="0" w:color="auto"/>
      </w:divBdr>
    </w:div>
    <w:div w:id="377705995">
      <w:bodyDiv w:val="1"/>
      <w:marLeft w:val="0"/>
      <w:marRight w:val="0"/>
      <w:marTop w:val="0"/>
      <w:marBottom w:val="0"/>
      <w:divBdr>
        <w:top w:val="none" w:sz="0" w:space="0" w:color="auto"/>
        <w:left w:val="none" w:sz="0" w:space="0" w:color="auto"/>
        <w:bottom w:val="none" w:sz="0" w:space="0" w:color="auto"/>
        <w:right w:val="none" w:sz="0" w:space="0" w:color="auto"/>
      </w:divBdr>
    </w:div>
    <w:div w:id="380788692">
      <w:bodyDiv w:val="1"/>
      <w:marLeft w:val="0"/>
      <w:marRight w:val="0"/>
      <w:marTop w:val="0"/>
      <w:marBottom w:val="0"/>
      <w:divBdr>
        <w:top w:val="none" w:sz="0" w:space="0" w:color="auto"/>
        <w:left w:val="none" w:sz="0" w:space="0" w:color="auto"/>
        <w:bottom w:val="none" w:sz="0" w:space="0" w:color="auto"/>
        <w:right w:val="none" w:sz="0" w:space="0" w:color="auto"/>
      </w:divBdr>
    </w:div>
    <w:div w:id="409936003">
      <w:bodyDiv w:val="1"/>
      <w:marLeft w:val="0"/>
      <w:marRight w:val="0"/>
      <w:marTop w:val="0"/>
      <w:marBottom w:val="0"/>
      <w:divBdr>
        <w:top w:val="none" w:sz="0" w:space="0" w:color="auto"/>
        <w:left w:val="none" w:sz="0" w:space="0" w:color="auto"/>
        <w:bottom w:val="none" w:sz="0" w:space="0" w:color="auto"/>
        <w:right w:val="none" w:sz="0" w:space="0" w:color="auto"/>
      </w:divBdr>
      <w:divsChild>
        <w:div w:id="218707756">
          <w:marLeft w:val="0"/>
          <w:marRight w:val="0"/>
          <w:marTop w:val="0"/>
          <w:marBottom w:val="0"/>
          <w:divBdr>
            <w:top w:val="none" w:sz="0" w:space="0" w:color="auto"/>
            <w:left w:val="none" w:sz="0" w:space="0" w:color="auto"/>
            <w:bottom w:val="none" w:sz="0" w:space="0" w:color="auto"/>
            <w:right w:val="none" w:sz="0" w:space="0" w:color="auto"/>
          </w:divBdr>
        </w:div>
      </w:divsChild>
    </w:div>
    <w:div w:id="415250268">
      <w:bodyDiv w:val="1"/>
      <w:marLeft w:val="0"/>
      <w:marRight w:val="0"/>
      <w:marTop w:val="0"/>
      <w:marBottom w:val="0"/>
      <w:divBdr>
        <w:top w:val="none" w:sz="0" w:space="0" w:color="auto"/>
        <w:left w:val="none" w:sz="0" w:space="0" w:color="auto"/>
        <w:bottom w:val="none" w:sz="0" w:space="0" w:color="auto"/>
        <w:right w:val="none" w:sz="0" w:space="0" w:color="auto"/>
      </w:divBdr>
    </w:div>
    <w:div w:id="427192857">
      <w:bodyDiv w:val="1"/>
      <w:marLeft w:val="0"/>
      <w:marRight w:val="0"/>
      <w:marTop w:val="0"/>
      <w:marBottom w:val="0"/>
      <w:divBdr>
        <w:top w:val="none" w:sz="0" w:space="0" w:color="auto"/>
        <w:left w:val="none" w:sz="0" w:space="0" w:color="auto"/>
        <w:bottom w:val="none" w:sz="0" w:space="0" w:color="auto"/>
        <w:right w:val="none" w:sz="0" w:space="0" w:color="auto"/>
      </w:divBdr>
      <w:divsChild>
        <w:div w:id="1109469835">
          <w:marLeft w:val="0"/>
          <w:marRight w:val="0"/>
          <w:marTop w:val="0"/>
          <w:marBottom w:val="0"/>
          <w:divBdr>
            <w:top w:val="none" w:sz="0" w:space="0" w:color="auto"/>
            <w:left w:val="none" w:sz="0" w:space="0" w:color="auto"/>
            <w:bottom w:val="none" w:sz="0" w:space="0" w:color="auto"/>
            <w:right w:val="none" w:sz="0" w:space="0" w:color="auto"/>
          </w:divBdr>
        </w:div>
      </w:divsChild>
    </w:div>
    <w:div w:id="429661198">
      <w:bodyDiv w:val="1"/>
      <w:marLeft w:val="0"/>
      <w:marRight w:val="0"/>
      <w:marTop w:val="0"/>
      <w:marBottom w:val="0"/>
      <w:divBdr>
        <w:top w:val="none" w:sz="0" w:space="0" w:color="auto"/>
        <w:left w:val="none" w:sz="0" w:space="0" w:color="auto"/>
        <w:bottom w:val="none" w:sz="0" w:space="0" w:color="auto"/>
        <w:right w:val="none" w:sz="0" w:space="0" w:color="auto"/>
      </w:divBdr>
      <w:divsChild>
        <w:div w:id="1787312439">
          <w:marLeft w:val="0"/>
          <w:marRight w:val="0"/>
          <w:marTop w:val="0"/>
          <w:marBottom w:val="0"/>
          <w:divBdr>
            <w:top w:val="none" w:sz="0" w:space="0" w:color="auto"/>
            <w:left w:val="none" w:sz="0" w:space="0" w:color="auto"/>
            <w:bottom w:val="none" w:sz="0" w:space="0" w:color="auto"/>
            <w:right w:val="none" w:sz="0" w:space="0" w:color="auto"/>
          </w:divBdr>
        </w:div>
      </w:divsChild>
    </w:div>
    <w:div w:id="450974035">
      <w:bodyDiv w:val="1"/>
      <w:marLeft w:val="0"/>
      <w:marRight w:val="0"/>
      <w:marTop w:val="0"/>
      <w:marBottom w:val="0"/>
      <w:divBdr>
        <w:top w:val="none" w:sz="0" w:space="0" w:color="auto"/>
        <w:left w:val="none" w:sz="0" w:space="0" w:color="auto"/>
        <w:bottom w:val="none" w:sz="0" w:space="0" w:color="auto"/>
        <w:right w:val="none" w:sz="0" w:space="0" w:color="auto"/>
      </w:divBdr>
    </w:div>
    <w:div w:id="464350748">
      <w:bodyDiv w:val="1"/>
      <w:marLeft w:val="0"/>
      <w:marRight w:val="0"/>
      <w:marTop w:val="0"/>
      <w:marBottom w:val="0"/>
      <w:divBdr>
        <w:top w:val="none" w:sz="0" w:space="0" w:color="auto"/>
        <w:left w:val="none" w:sz="0" w:space="0" w:color="auto"/>
        <w:bottom w:val="none" w:sz="0" w:space="0" w:color="auto"/>
        <w:right w:val="none" w:sz="0" w:space="0" w:color="auto"/>
      </w:divBdr>
    </w:div>
    <w:div w:id="469901768">
      <w:marLeft w:val="0"/>
      <w:marRight w:val="0"/>
      <w:marTop w:val="0"/>
      <w:marBottom w:val="0"/>
      <w:divBdr>
        <w:top w:val="none" w:sz="0" w:space="0" w:color="auto"/>
        <w:left w:val="none" w:sz="0" w:space="0" w:color="auto"/>
        <w:bottom w:val="none" w:sz="0" w:space="0" w:color="auto"/>
        <w:right w:val="none" w:sz="0" w:space="0" w:color="auto"/>
      </w:divBdr>
    </w:div>
    <w:div w:id="480804827">
      <w:bodyDiv w:val="1"/>
      <w:marLeft w:val="0"/>
      <w:marRight w:val="0"/>
      <w:marTop w:val="0"/>
      <w:marBottom w:val="0"/>
      <w:divBdr>
        <w:top w:val="none" w:sz="0" w:space="0" w:color="auto"/>
        <w:left w:val="none" w:sz="0" w:space="0" w:color="auto"/>
        <w:bottom w:val="none" w:sz="0" w:space="0" w:color="auto"/>
        <w:right w:val="none" w:sz="0" w:space="0" w:color="auto"/>
      </w:divBdr>
    </w:div>
    <w:div w:id="487327679">
      <w:bodyDiv w:val="1"/>
      <w:marLeft w:val="0"/>
      <w:marRight w:val="0"/>
      <w:marTop w:val="0"/>
      <w:marBottom w:val="0"/>
      <w:divBdr>
        <w:top w:val="none" w:sz="0" w:space="0" w:color="auto"/>
        <w:left w:val="none" w:sz="0" w:space="0" w:color="auto"/>
        <w:bottom w:val="none" w:sz="0" w:space="0" w:color="auto"/>
        <w:right w:val="none" w:sz="0" w:space="0" w:color="auto"/>
      </w:divBdr>
    </w:div>
    <w:div w:id="514422095">
      <w:bodyDiv w:val="1"/>
      <w:marLeft w:val="0"/>
      <w:marRight w:val="0"/>
      <w:marTop w:val="0"/>
      <w:marBottom w:val="0"/>
      <w:divBdr>
        <w:top w:val="none" w:sz="0" w:space="0" w:color="auto"/>
        <w:left w:val="none" w:sz="0" w:space="0" w:color="auto"/>
        <w:bottom w:val="none" w:sz="0" w:space="0" w:color="auto"/>
        <w:right w:val="none" w:sz="0" w:space="0" w:color="auto"/>
      </w:divBdr>
    </w:div>
    <w:div w:id="532421191">
      <w:bodyDiv w:val="1"/>
      <w:marLeft w:val="0"/>
      <w:marRight w:val="0"/>
      <w:marTop w:val="0"/>
      <w:marBottom w:val="0"/>
      <w:divBdr>
        <w:top w:val="none" w:sz="0" w:space="0" w:color="auto"/>
        <w:left w:val="none" w:sz="0" w:space="0" w:color="auto"/>
        <w:bottom w:val="none" w:sz="0" w:space="0" w:color="auto"/>
        <w:right w:val="none" w:sz="0" w:space="0" w:color="auto"/>
      </w:divBdr>
      <w:divsChild>
        <w:div w:id="693464466">
          <w:marLeft w:val="0"/>
          <w:marRight w:val="0"/>
          <w:marTop w:val="0"/>
          <w:marBottom w:val="0"/>
          <w:divBdr>
            <w:top w:val="none" w:sz="0" w:space="0" w:color="auto"/>
            <w:left w:val="none" w:sz="0" w:space="0" w:color="auto"/>
            <w:bottom w:val="none" w:sz="0" w:space="0" w:color="auto"/>
            <w:right w:val="none" w:sz="0" w:space="0" w:color="auto"/>
          </w:divBdr>
        </w:div>
      </w:divsChild>
    </w:div>
    <w:div w:id="536351169">
      <w:bodyDiv w:val="1"/>
      <w:marLeft w:val="0"/>
      <w:marRight w:val="0"/>
      <w:marTop w:val="0"/>
      <w:marBottom w:val="0"/>
      <w:divBdr>
        <w:top w:val="none" w:sz="0" w:space="0" w:color="auto"/>
        <w:left w:val="none" w:sz="0" w:space="0" w:color="auto"/>
        <w:bottom w:val="none" w:sz="0" w:space="0" w:color="auto"/>
        <w:right w:val="none" w:sz="0" w:space="0" w:color="auto"/>
      </w:divBdr>
      <w:divsChild>
        <w:div w:id="174806757">
          <w:marLeft w:val="0"/>
          <w:marRight w:val="0"/>
          <w:marTop w:val="0"/>
          <w:marBottom w:val="0"/>
          <w:divBdr>
            <w:top w:val="none" w:sz="0" w:space="0" w:color="auto"/>
            <w:left w:val="none" w:sz="0" w:space="0" w:color="auto"/>
            <w:bottom w:val="none" w:sz="0" w:space="0" w:color="auto"/>
            <w:right w:val="none" w:sz="0" w:space="0" w:color="auto"/>
          </w:divBdr>
        </w:div>
      </w:divsChild>
    </w:div>
    <w:div w:id="541526286">
      <w:bodyDiv w:val="1"/>
      <w:marLeft w:val="0"/>
      <w:marRight w:val="0"/>
      <w:marTop w:val="0"/>
      <w:marBottom w:val="0"/>
      <w:divBdr>
        <w:top w:val="none" w:sz="0" w:space="0" w:color="auto"/>
        <w:left w:val="none" w:sz="0" w:space="0" w:color="auto"/>
        <w:bottom w:val="none" w:sz="0" w:space="0" w:color="auto"/>
        <w:right w:val="none" w:sz="0" w:space="0" w:color="auto"/>
      </w:divBdr>
    </w:div>
    <w:div w:id="548103625">
      <w:bodyDiv w:val="1"/>
      <w:marLeft w:val="0"/>
      <w:marRight w:val="0"/>
      <w:marTop w:val="0"/>
      <w:marBottom w:val="0"/>
      <w:divBdr>
        <w:top w:val="none" w:sz="0" w:space="0" w:color="auto"/>
        <w:left w:val="none" w:sz="0" w:space="0" w:color="auto"/>
        <w:bottom w:val="none" w:sz="0" w:space="0" w:color="auto"/>
        <w:right w:val="none" w:sz="0" w:space="0" w:color="auto"/>
      </w:divBdr>
    </w:div>
    <w:div w:id="628129785">
      <w:bodyDiv w:val="1"/>
      <w:marLeft w:val="0"/>
      <w:marRight w:val="0"/>
      <w:marTop w:val="0"/>
      <w:marBottom w:val="0"/>
      <w:divBdr>
        <w:top w:val="none" w:sz="0" w:space="0" w:color="auto"/>
        <w:left w:val="none" w:sz="0" w:space="0" w:color="auto"/>
        <w:bottom w:val="none" w:sz="0" w:space="0" w:color="auto"/>
        <w:right w:val="none" w:sz="0" w:space="0" w:color="auto"/>
      </w:divBdr>
      <w:divsChild>
        <w:div w:id="1398045">
          <w:marLeft w:val="0"/>
          <w:marRight w:val="0"/>
          <w:marTop w:val="0"/>
          <w:marBottom w:val="0"/>
          <w:divBdr>
            <w:top w:val="none" w:sz="0" w:space="0" w:color="auto"/>
            <w:left w:val="none" w:sz="0" w:space="0" w:color="auto"/>
            <w:bottom w:val="none" w:sz="0" w:space="0" w:color="auto"/>
            <w:right w:val="none" w:sz="0" w:space="0" w:color="auto"/>
          </w:divBdr>
          <w:divsChild>
            <w:div w:id="1993872389">
              <w:marLeft w:val="0"/>
              <w:marRight w:val="0"/>
              <w:marTop w:val="0"/>
              <w:marBottom w:val="0"/>
              <w:divBdr>
                <w:top w:val="none" w:sz="0" w:space="0" w:color="auto"/>
                <w:left w:val="none" w:sz="0" w:space="0" w:color="auto"/>
                <w:bottom w:val="none" w:sz="0" w:space="0" w:color="auto"/>
                <w:right w:val="none" w:sz="0" w:space="0" w:color="auto"/>
              </w:divBdr>
            </w:div>
          </w:divsChild>
        </w:div>
        <w:div w:id="20321239">
          <w:marLeft w:val="0"/>
          <w:marRight w:val="0"/>
          <w:marTop w:val="0"/>
          <w:marBottom w:val="0"/>
          <w:divBdr>
            <w:top w:val="none" w:sz="0" w:space="0" w:color="auto"/>
            <w:left w:val="none" w:sz="0" w:space="0" w:color="auto"/>
            <w:bottom w:val="none" w:sz="0" w:space="0" w:color="auto"/>
            <w:right w:val="none" w:sz="0" w:space="0" w:color="auto"/>
          </w:divBdr>
          <w:divsChild>
            <w:div w:id="84959175">
              <w:marLeft w:val="0"/>
              <w:marRight w:val="0"/>
              <w:marTop w:val="0"/>
              <w:marBottom w:val="0"/>
              <w:divBdr>
                <w:top w:val="none" w:sz="0" w:space="0" w:color="auto"/>
                <w:left w:val="none" w:sz="0" w:space="0" w:color="auto"/>
                <w:bottom w:val="none" w:sz="0" w:space="0" w:color="auto"/>
                <w:right w:val="none" w:sz="0" w:space="0" w:color="auto"/>
              </w:divBdr>
            </w:div>
          </w:divsChild>
        </w:div>
        <w:div w:id="123040799">
          <w:marLeft w:val="0"/>
          <w:marRight w:val="0"/>
          <w:marTop w:val="0"/>
          <w:marBottom w:val="0"/>
          <w:divBdr>
            <w:top w:val="none" w:sz="0" w:space="0" w:color="auto"/>
            <w:left w:val="none" w:sz="0" w:space="0" w:color="auto"/>
            <w:bottom w:val="none" w:sz="0" w:space="0" w:color="auto"/>
            <w:right w:val="none" w:sz="0" w:space="0" w:color="auto"/>
          </w:divBdr>
          <w:divsChild>
            <w:div w:id="1816023159">
              <w:marLeft w:val="0"/>
              <w:marRight w:val="0"/>
              <w:marTop w:val="0"/>
              <w:marBottom w:val="0"/>
              <w:divBdr>
                <w:top w:val="none" w:sz="0" w:space="0" w:color="auto"/>
                <w:left w:val="none" w:sz="0" w:space="0" w:color="auto"/>
                <w:bottom w:val="none" w:sz="0" w:space="0" w:color="auto"/>
                <w:right w:val="none" w:sz="0" w:space="0" w:color="auto"/>
              </w:divBdr>
            </w:div>
          </w:divsChild>
        </w:div>
        <w:div w:id="136653905">
          <w:marLeft w:val="0"/>
          <w:marRight w:val="0"/>
          <w:marTop w:val="0"/>
          <w:marBottom w:val="0"/>
          <w:divBdr>
            <w:top w:val="none" w:sz="0" w:space="0" w:color="auto"/>
            <w:left w:val="none" w:sz="0" w:space="0" w:color="auto"/>
            <w:bottom w:val="none" w:sz="0" w:space="0" w:color="auto"/>
            <w:right w:val="none" w:sz="0" w:space="0" w:color="auto"/>
          </w:divBdr>
          <w:divsChild>
            <w:div w:id="2016376847">
              <w:marLeft w:val="0"/>
              <w:marRight w:val="0"/>
              <w:marTop w:val="0"/>
              <w:marBottom w:val="0"/>
              <w:divBdr>
                <w:top w:val="none" w:sz="0" w:space="0" w:color="auto"/>
                <w:left w:val="none" w:sz="0" w:space="0" w:color="auto"/>
                <w:bottom w:val="none" w:sz="0" w:space="0" w:color="auto"/>
                <w:right w:val="none" w:sz="0" w:space="0" w:color="auto"/>
              </w:divBdr>
            </w:div>
          </w:divsChild>
        </w:div>
        <w:div w:id="208076934">
          <w:marLeft w:val="0"/>
          <w:marRight w:val="0"/>
          <w:marTop w:val="0"/>
          <w:marBottom w:val="0"/>
          <w:divBdr>
            <w:top w:val="none" w:sz="0" w:space="0" w:color="auto"/>
            <w:left w:val="none" w:sz="0" w:space="0" w:color="auto"/>
            <w:bottom w:val="none" w:sz="0" w:space="0" w:color="auto"/>
            <w:right w:val="none" w:sz="0" w:space="0" w:color="auto"/>
          </w:divBdr>
          <w:divsChild>
            <w:div w:id="620499793">
              <w:marLeft w:val="0"/>
              <w:marRight w:val="0"/>
              <w:marTop w:val="0"/>
              <w:marBottom w:val="0"/>
              <w:divBdr>
                <w:top w:val="none" w:sz="0" w:space="0" w:color="auto"/>
                <w:left w:val="none" w:sz="0" w:space="0" w:color="auto"/>
                <w:bottom w:val="none" w:sz="0" w:space="0" w:color="auto"/>
                <w:right w:val="none" w:sz="0" w:space="0" w:color="auto"/>
              </w:divBdr>
            </w:div>
          </w:divsChild>
        </w:div>
        <w:div w:id="291061506">
          <w:marLeft w:val="0"/>
          <w:marRight w:val="0"/>
          <w:marTop w:val="0"/>
          <w:marBottom w:val="0"/>
          <w:divBdr>
            <w:top w:val="none" w:sz="0" w:space="0" w:color="auto"/>
            <w:left w:val="none" w:sz="0" w:space="0" w:color="auto"/>
            <w:bottom w:val="none" w:sz="0" w:space="0" w:color="auto"/>
            <w:right w:val="none" w:sz="0" w:space="0" w:color="auto"/>
          </w:divBdr>
          <w:divsChild>
            <w:div w:id="1205482500">
              <w:marLeft w:val="0"/>
              <w:marRight w:val="0"/>
              <w:marTop w:val="0"/>
              <w:marBottom w:val="0"/>
              <w:divBdr>
                <w:top w:val="none" w:sz="0" w:space="0" w:color="auto"/>
                <w:left w:val="none" w:sz="0" w:space="0" w:color="auto"/>
                <w:bottom w:val="none" w:sz="0" w:space="0" w:color="auto"/>
                <w:right w:val="none" w:sz="0" w:space="0" w:color="auto"/>
              </w:divBdr>
            </w:div>
          </w:divsChild>
        </w:div>
        <w:div w:id="336154504">
          <w:marLeft w:val="0"/>
          <w:marRight w:val="0"/>
          <w:marTop w:val="0"/>
          <w:marBottom w:val="0"/>
          <w:divBdr>
            <w:top w:val="none" w:sz="0" w:space="0" w:color="auto"/>
            <w:left w:val="none" w:sz="0" w:space="0" w:color="auto"/>
            <w:bottom w:val="none" w:sz="0" w:space="0" w:color="auto"/>
            <w:right w:val="none" w:sz="0" w:space="0" w:color="auto"/>
          </w:divBdr>
          <w:divsChild>
            <w:div w:id="1524978444">
              <w:marLeft w:val="0"/>
              <w:marRight w:val="0"/>
              <w:marTop w:val="0"/>
              <w:marBottom w:val="0"/>
              <w:divBdr>
                <w:top w:val="none" w:sz="0" w:space="0" w:color="auto"/>
                <w:left w:val="none" w:sz="0" w:space="0" w:color="auto"/>
                <w:bottom w:val="none" w:sz="0" w:space="0" w:color="auto"/>
                <w:right w:val="none" w:sz="0" w:space="0" w:color="auto"/>
              </w:divBdr>
            </w:div>
          </w:divsChild>
        </w:div>
        <w:div w:id="351494890">
          <w:marLeft w:val="0"/>
          <w:marRight w:val="0"/>
          <w:marTop w:val="0"/>
          <w:marBottom w:val="0"/>
          <w:divBdr>
            <w:top w:val="none" w:sz="0" w:space="0" w:color="auto"/>
            <w:left w:val="none" w:sz="0" w:space="0" w:color="auto"/>
            <w:bottom w:val="none" w:sz="0" w:space="0" w:color="auto"/>
            <w:right w:val="none" w:sz="0" w:space="0" w:color="auto"/>
          </w:divBdr>
          <w:divsChild>
            <w:div w:id="1536965236">
              <w:marLeft w:val="0"/>
              <w:marRight w:val="0"/>
              <w:marTop w:val="0"/>
              <w:marBottom w:val="0"/>
              <w:divBdr>
                <w:top w:val="none" w:sz="0" w:space="0" w:color="auto"/>
                <w:left w:val="none" w:sz="0" w:space="0" w:color="auto"/>
                <w:bottom w:val="none" w:sz="0" w:space="0" w:color="auto"/>
                <w:right w:val="none" w:sz="0" w:space="0" w:color="auto"/>
              </w:divBdr>
            </w:div>
          </w:divsChild>
        </w:div>
        <w:div w:id="377047888">
          <w:marLeft w:val="0"/>
          <w:marRight w:val="0"/>
          <w:marTop w:val="0"/>
          <w:marBottom w:val="0"/>
          <w:divBdr>
            <w:top w:val="none" w:sz="0" w:space="0" w:color="auto"/>
            <w:left w:val="none" w:sz="0" w:space="0" w:color="auto"/>
            <w:bottom w:val="none" w:sz="0" w:space="0" w:color="auto"/>
            <w:right w:val="none" w:sz="0" w:space="0" w:color="auto"/>
          </w:divBdr>
          <w:divsChild>
            <w:div w:id="702365607">
              <w:marLeft w:val="0"/>
              <w:marRight w:val="0"/>
              <w:marTop w:val="0"/>
              <w:marBottom w:val="0"/>
              <w:divBdr>
                <w:top w:val="none" w:sz="0" w:space="0" w:color="auto"/>
                <w:left w:val="none" w:sz="0" w:space="0" w:color="auto"/>
                <w:bottom w:val="none" w:sz="0" w:space="0" w:color="auto"/>
                <w:right w:val="none" w:sz="0" w:space="0" w:color="auto"/>
              </w:divBdr>
            </w:div>
          </w:divsChild>
        </w:div>
        <w:div w:id="407075570">
          <w:marLeft w:val="0"/>
          <w:marRight w:val="0"/>
          <w:marTop w:val="0"/>
          <w:marBottom w:val="0"/>
          <w:divBdr>
            <w:top w:val="none" w:sz="0" w:space="0" w:color="auto"/>
            <w:left w:val="none" w:sz="0" w:space="0" w:color="auto"/>
            <w:bottom w:val="none" w:sz="0" w:space="0" w:color="auto"/>
            <w:right w:val="none" w:sz="0" w:space="0" w:color="auto"/>
          </w:divBdr>
          <w:divsChild>
            <w:div w:id="623274929">
              <w:marLeft w:val="0"/>
              <w:marRight w:val="0"/>
              <w:marTop w:val="0"/>
              <w:marBottom w:val="0"/>
              <w:divBdr>
                <w:top w:val="none" w:sz="0" w:space="0" w:color="auto"/>
                <w:left w:val="none" w:sz="0" w:space="0" w:color="auto"/>
                <w:bottom w:val="none" w:sz="0" w:space="0" w:color="auto"/>
                <w:right w:val="none" w:sz="0" w:space="0" w:color="auto"/>
              </w:divBdr>
            </w:div>
          </w:divsChild>
        </w:div>
        <w:div w:id="617684884">
          <w:marLeft w:val="0"/>
          <w:marRight w:val="0"/>
          <w:marTop w:val="0"/>
          <w:marBottom w:val="0"/>
          <w:divBdr>
            <w:top w:val="none" w:sz="0" w:space="0" w:color="auto"/>
            <w:left w:val="none" w:sz="0" w:space="0" w:color="auto"/>
            <w:bottom w:val="none" w:sz="0" w:space="0" w:color="auto"/>
            <w:right w:val="none" w:sz="0" w:space="0" w:color="auto"/>
          </w:divBdr>
          <w:divsChild>
            <w:div w:id="1449003700">
              <w:marLeft w:val="0"/>
              <w:marRight w:val="0"/>
              <w:marTop w:val="0"/>
              <w:marBottom w:val="0"/>
              <w:divBdr>
                <w:top w:val="none" w:sz="0" w:space="0" w:color="auto"/>
                <w:left w:val="none" w:sz="0" w:space="0" w:color="auto"/>
                <w:bottom w:val="none" w:sz="0" w:space="0" w:color="auto"/>
                <w:right w:val="none" w:sz="0" w:space="0" w:color="auto"/>
              </w:divBdr>
            </w:div>
          </w:divsChild>
        </w:div>
        <w:div w:id="733240259">
          <w:marLeft w:val="0"/>
          <w:marRight w:val="0"/>
          <w:marTop w:val="0"/>
          <w:marBottom w:val="0"/>
          <w:divBdr>
            <w:top w:val="none" w:sz="0" w:space="0" w:color="auto"/>
            <w:left w:val="none" w:sz="0" w:space="0" w:color="auto"/>
            <w:bottom w:val="none" w:sz="0" w:space="0" w:color="auto"/>
            <w:right w:val="none" w:sz="0" w:space="0" w:color="auto"/>
          </w:divBdr>
          <w:divsChild>
            <w:div w:id="312104243">
              <w:marLeft w:val="0"/>
              <w:marRight w:val="0"/>
              <w:marTop w:val="0"/>
              <w:marBottom w:val="0"/>
              <w:divBdr>
                <w:top w:val="none" w:sz="0" w:space="0" w:color="auto"/>
                <w:left w:val="none" w:sz="0" w:space="0" w:color="auto"/>
                <w:bottom w:val="none" w:sz="0" w:space="0" w:color="auto"/>
                <w:right w:val="none" w:sz="0" w:space="0" w:color="auto"/>
              </w:divBdr>
            </w:div>
          </w:divsChild>
        </w:div>
        <w:div w:id="753937959">
          <w:marLeft w:val="0"/>
          <w:marRight w:val="0"/>
          <w:marTop w:val="0"/>
          <w:marBottom w:val="0"/>
          <w:divBdr>
            <w:top w:val="none" w:sz="0" w:space="0" w:color="auto"/>
            <w:left w:val="none" w:sz="0" w:space="0" w:color="auto"/>
            <w:bottom w:val="none" w:sz="0" w:space="0" w:color="auto"/>
            <w:right w:val="none" w:sz="0" w:space="0" w:color="auto"/>
          </w:divBdr>
          <w:divsChild>
            <w:div w:id="954092350">
              <w:marLeft w:val="0"/>
              <w:marRight w:val="0"/>
              <w:marTop w:val="0"/>
              <w:marBottom w:val="0"/>
              <w:divBdr>
                <w:top w:val="none" w:sz="0" w:space="0" w:color="auto"/>
                <w:left w:val="none" w:sz="0" w:space="0" w:color="auto"/>
                <w:bottom w:val="none" w:sz="0" w:space="0" w:color="auto"/>
                <w:right w:val="none" w:sz="0" w:space="0" w:color="auto"/>
              </w:divBdr>
            </w:div>
            <w:div w:id="1010524268">
              <w:marLeft w:val="0"/>
              <w:marRight w:val="0"/>
              <w:marTop w:val="0"/>
              <w:marBottom w:val="0"/>
              <w:divBdr>
                <w:top w:val="none" w:sz="0" w:space="0" w:color="auto"/>
                <w:left w:val="none" w:sz="0" w:space="0" w:color="auto"/>
                <w:bottom w:val="none" w:sz="0" w:space="0" w:color="auto"/>
                <w:right w:val="none" w:sz="0" w:space="0" w:color="auto"/>
              </w:divBdr>
            </w:div>
          </w:divsChild>
        </w:div>
        <w:div w:id="806894520">
          <w:marLeft w:val="0"/>
          <w:marRight w:val="0"/>
          <w:marTop w:val="0"/>
          <w:marBottom w:val="0"/>
          <w:divBdr>
            <w:top w:val="none" w:sz="0" w:space="0" w:color="auto"/>
            <w:left w:val="none" w:sz="0" w:space="0" w:color="auto"/>
            <w:bottom w:val="none" w:sz="0" w:space="0" w:color="auto"/>
            <w:right w:val="none" w:sz="0" w:space="0" w:color="auto"/>
          </w:divBdr>
          <w:divsChild>
            <w:div w:id="696085039">
              <w:marLeft w:val="0"/>
              <w:marRight w:val="0"/>
              <w:marTop w:val="0"/>
              <w:marBottom w:val="0"/>
              <w:divBdr>
                <w:top w:val="none" w:sz="0" w:space="0" w:color="auto"/>
                <w:left w:val="none" w:sz="0" w:space="0" w:color="auto"/>
                <w:bottom w:val="none" w:sz="0" w:space="0" w:color="auto"/>
                <w:right w:val="none" w:sz="0" w:space="0" w:color="auto"/>
              </w:divBdr>
            </w:div>
          </w:divsChild>
        </w:div>
        <w:div w:id="901906537">
          <w:marLeft w:val="0"/>
          <w:marRight w:val="0"/>
          <w:marTop w:val="0"/>
          <w:marBottom w:val="0"/>
          <w:divBdr>
            <w:top w:val="none" w:sz="0" w:space="0" w:color="auto"/>
            <w:left w:val="none" w:sz="0" w:space="0" w:color="auto"/>
            <w:bottom w:val="none" w:sz="0" w:space="0" w:color="auto"/>
            <w:right w:val="none" w:sz="0" w:space="0" w:color="auto"/>
          </w:divBdr>
          <w:divsChild>
            <w:div w:id="1603804020">
              <w:marLeft w:val="0"/>
              <w:marRight w:val="0"/>
              <w:marTop w:val="0"/>
              <w:marBottom w:val="0"/>
              <w:divBdr>
                <w:top w:val="none" w:sz="0" w:space="0" w:color="auto"/>
                <w:left w:val="none" w:sz="0" w:space="0" w:color="auto"/>
                <w:bottom w:val="none" w:sz="0" w:space="0" w:color="auto"/>
                <w:right w:val="none" w:sz="0" w:space="0" w:color="auto"/>
              </w:divBdr>
            </w:div>
          </w:divsChild>
        </w:div>
        <w:div w:id="960305865">
          <w:marLeft w:val="0"/>
          <w:marRight w:val="0"/>
          <w:marTop w:val="0"/>
          <w:marBottom w:val="0"/>
          <w:divBdr>
            <w:top w:val="none" w:sz="0" w:space="0" w:color="auto"/>
            <w:left w:val="none" w:sz="0" w:space="0" w:color="auto"/>
            <w:bottom w:val="none" w:sz="0" w:space="0" w:color="auto"/>
            <w:right w:val="none" w:sz="0" w:space="0" w:color="auto"/>
          </w:divBdr>
          <w:divsChild>
            <w:div w:id="2104108163">
              <w:marLeft w:val="0"/>
              <w:marRight w:val="0"/>
              <w:marTop w:val="0"/>
              <w:marBottom w:val="0"/>
              <w:divBdr>
                <w:top w:val="none" w:sz="0" w:space="0" w:color="auto"/>
                <w:left w:val="none" w:sz="0" w:space="0" w:color="auto"/>
                <w:bottom w:val="none" w:sz="0" w:space="0" w:color="auto"/>
                <w:right w:val="none" w:sz="0" w:space="0" w:color="auto"/>
              </w:divBdr>
            </w:div>
          </w:divsChild>
        </w:div>
        <w:div w:id="1027635741">
          <w:marLeft w:val="0"/>
          <w:marRight w:val="0"/>
          <w:marTop w:val="0"/>
          <w:marBottom w:val="0"/>
          <w:divBdr>
            <w:top w:val="none" w:sz="0" w:space="0" w:color="auto"/>
            <w:left w:val="none" w:sz="0" w:space="0" w:color="auto"/>
            <w:bottom w:val="none" w:sz="0" w:space="0" w:color="auto"/>
            <w:right w:val="none" w:sz="0" w:space="0" w:color="auto"/>
          </w:divBdr>
          <w:divsChild>
            <w:div w:id="817720519">
              <w:marLeft w:val="0"/>
              <w:marRight w:val="0"/>
              <w:marTop w:val="0"/>
              <w:marBottom w:val="0"/>
              <w:divBdr>
                <w:top w:val="none" w:sz="0" w:space="0" w:color="auto"/>
                <w:left w:val="none" w:sz="0" w:space="0" w:color="auto"/>
                <w:bottom w:val="none" w:sz="0" w:space="0" w:color="auto"/>
                <w:right w:val="none" w:sz="0" w:space="0" w:color="auto"/>
              </w:divBdr>
            </w:div>
          </w:divsChild>
        </w:div>
        <w:div w:id="1058044004">
          <w:marLeft w:val="0"/>
          <w:marRight w:val="0"/>
          <w:marTop w:val="0"/>
          <w:marBottom w:val="0"/>
          <w:divBdr>
            <w:top w:val="none" w:sz="0" w:space="0" w:color="auto"/>
            <w:left w:val="none" w:sz="0" w:space="0" w:color="auto"/>
            <w:bottom w:val="none" w:sz="0" w:space="0" w:color="auto"/>
            <w:right w:val="none" w:sz="0" w:space="0" w:color="auto"/>
          </w:divBdr>
          <w:divsChild>
            <w:div w:id="1748989772">
              <w:marLeft w:val="0"/>
              <w:marRight w:val="0"/>
              <w:marTop w:val="0"/>
              <w:marBottom w:val="0"/>
              <w:divBdr>
                <w:top w:val="none" w:sz="0" w:space="0" w:color="auto"/>
                <w:left w:val="none" w:sz="0" w:space="0" w:color="auto"/>
                <w:bottom w:val="none" w:sz="0" w:space="0" w:color="auto"/>
                <w:right w:val="none" w:sz="0" w:space="0" w:color="auto"/>
              </w:divBdr>
            </w:div>
          </w:divsChild>
        </w:div>
        <w:div w:id="1073890672">
          <w:marLeft w:val="0"/>
          <w:marRight w:val="0"/>
          <w:marTop w:val="0"/>
          <w:marBottom w:val="0"/>
          <w:divBdr>
            <w:top w:val="none" w:sz="0" w:space="0" w:color="auto"/>
            <w:left w:val="none" w:sz="0" w:space="0" w:color="auto"/>
            <w:bottom w:val="none" w:sz="0" w:space="0" w:color="auto"/>
            <w:right w:val="none" w:sz="0" w:space="0" w:color="auto"/>
          </w:divBdr>
          <w:divsChild>
            <w:div w:id="1414350171">
              <w:marLeft w:val="0"/>
              <w:marRight w:val="0"/>
              <w:marTop w:val="0"/>
              <w:marBottom w:val="0"/>
              <w:divBdr>
                <w:top w:val="none" w:sz="0" w:space="0" w:color="auto"/>
                <w:left w:val="none" w:sz="0" w:space="0" w:color="auto"/>
                <w:bottom w:val="none" w:sz="0" w:space="0" w:color="auto"/>
                <w:right w:val="none" w:sz="0" w:space="0" w:color="auto"/>
              </w:divBdr>
            </w:div>
          </w:divsChild>
        </w:div>
        <w:div w:id="1081756628">
          <w:marLeft w:val="0"/>
          <w:marRight w:val="0"/>
          <w:marTop w:val="0"/>
          <w:marBottom w:val="0"/>
          <w:divBdr>
            <w:top w:val="none" w:sz="0" w:space="0" w:color="auto"/>
            <w:left w:val="none" w:sz="0" w:space="0" w:color="auto"/>
            <w:bottom w:val="none" w:sz="0" w:space="0" w:color="auto"/>
            <w:right w:val="none" w:sz="0" w:space="0" w:color="auto"/>
          </w:divBdr>
          <w:divsChild>
            <w:div w:id="1519388050">
              <w:marLeft w:val="0"/>
              <w:marRight w:val="0"/>
              <w:marTop w:val="0"/>
              <w:marBottom w:val="0"/>
              <w:divBdr>
                <w:top w:val="none" w:sz="0" w:space="0" w:color="auto"/>
                <w:left w:val="none" w:sz="0" w:space="0" w:color="auto"/>
                <w:bottom w:val="none" w:sz="0" w:space="0" w:color="auto"/>
                <w:right w:val="none" w:sz="0" w:space="0" w:color="auto"/>
              </w:divBdr>
            </w:div>
          </w:divsChild>
        </w:div>
        <w:div w:id="1101224051">
          <w:marLeft w:val="0"/>
          <w:marRight w:val="0"/>
          <w:marTop w:val="0"/>
          <w:marBottom w:val="0"/>
          <w:divBdr>
            <w:top w:val="none" w:sz="0" w:space="0" w:color="auto"/>
            <w:left w:val="none" w:sz="0" w:space="0" w:color="auto"/>
            <w:bottom w:val="none" w:sz="0" w:space="0" w:color="auto"/>
            <w:right w:val="none" w:sz="0" w:space="0" w:color="auto"/>
          </w:divBdr>
          <w:divsChild>
            <w:div w:id="112557734">
              <w:marLeft w:val="0"/>
              <w:marRight w:val="0"/>
              <w:marTop w:val="0"/>
              <w:marBottom w:val="0"/>
              <w:divBdr>
                <w:top w:val="none" w:sz="0" w:space="0" w:color="auto"/>
                <w:left w:val="none" w:sz="0" w:space="0" w:color="auto"/>
                <w:bottom w:val="none" w:sz="0" w:space="0" w:color="auto"/>
                <w:right w:val="none" w:sz="0" w:space="0" w:color="auto"/>
              </w:divBdr>
            </w:div>
          </w:divsChild>
        </w:div>
        <w:div w:id="1187674115">
          <w:marLeft w:val="0"/>
          <w:marRight w:val="0"/>
          <w:marTop w:val="0"/>
          <w:marBottom w:val="0"/>
          <w:divBdr>
            <w:top w:val="none" w:sz="0" w:space="0" w:color="auto"/>
            <w:left w:val="none" w:sz="0" w:space="0" w:color="auto"/>
            <w:bottom w:val="none" w:sz="0" w:space="0" w:color="auto"/>
            <w:right w:val="none" w:sz="0" w:space="0" w:color="auto"/>
          </w:divBdr>
          <w:divsChild>
            <w:div w:id="1402868445">
              <w:marLeft w:val="0"/>
              <w:marRight w:val="0"/>
              <w:marTop w:val="0"/>
              <w:marBottom w:val="0"/>
              <w:divBdr>
                <w:top w:val="none" w:sz="0" w:space="0" w:color="auto"/>
                <w:left w:val="none" w:sz="0" w:space="0" w:color="auto"/>
                <w:bottom w:val="none" w:sz="0" w:space="0" w:color="auto"/>
                <w:right w:val="none" w:sz="0" w:space="0" w:color="auto"/>
              </w:divBdr>
            </w:div>
          </w:divsChild>
        </w:div>
        <w:div w:id="1204752325">
          <w:marLeft w:val="0"/>
          <w:marRight w:val="0"/>
          <w:marTop w:val="0"/>
          <w:marBottom w:val="0"/>
          <w:divBdr>
            <w:top w:val="none" w:sz="0" w:space="0" w:color="auto"/>
            <w:left w:val="none" w:sz="0" w:space="0" w:color="auto"/>
            <w:bottom w:val="none" w:sz="0" w:space="0" w:color="auto"/>
            <w:right w:val="none" w:sz="0" w:space="0" w:color="auto"/>
          </w:divBdr>
          <w:divsChild>
            <w:div w:id="530611941">
              <w:marLeft w:val="0"/>
              <w:marRight w:val="0"/>
              <w:marTop w:val="0"/>
              <w:marBottom w:val="0"/>
              <w:divBdr>
                <w:top w:val="none" w:sz="0" w:space="0" w:color="auto"/>
                <w:left w:val="none" w:sz="0" w:space="0" w:color="auto"/>
                <w:bottom w:val="none" w:sz="0" w:space="0" w:color="auto"/>
                <w:right w:val="none" w:sz="0" w:space="0" w:color="auto"/>
              </w:divBdr>
            </w:div>
          </w:divsChild>
        </w:div>
        <w:div w:id="1206258306">
          <w:marLeft w:val="0"/>
          <w:marRight w:val="0"/>
          <w:marTop w:val="0"/>
          <w:marBottom w:val="0"/>
          <w:divBdr>
            <w:top w:val="none" w:sz="0" w:space="0" w:color="auto"/>
            <w:left w:val="none" w:sz="0" w:space="0" w:color="auto"/>
            <w:bottom w:val="none" w:sz="0" w:space="0" w:color="auto"/>
            <w:right w:val="none" w:sz="0" w:space="0" w:color="auto"/>
          </w:divBdr>
          <w:divsChild>
            <w:div w:id="1316684989">
              <w:marLeft w:val="0"/>
              <w:marRight w:val="0"/>
              <w:marTop w:val="0"/>
              <w:marBottom w:val="0"/>
              <w:divBdr>
                <w:top w:val="none" w:sz="0" w:space="0" w:color="auto"/>
                <w:left w:val="none" w:sz="0" w:space="0" w:color="auto"/>
                <w:bottom w:val="none" w:sz="0" w:space="0" w:color="auto"/>
                <w:right w:val="none" w:sz="0" w:space="0" w:color="auto"/>
              </w:divBdr>
            </w:div>
          </w:divsChild>
        </w:div>
        <w:div w:id="1244559622">
          <w:marLeft w:val="0"/>
          <w:marRight w:val="0"/>
          <w:marTop w:val="0"/>
          <w:marBottom w:val="0"/>
          <w:divBdr>
            <w:top w:val="none" w:sz="0" w:space="0" w:color="auto"/>
            <w:left w:val="none" w:sz="0" w:space="0" w:color="auto"/>
            <w:bottom w:val="none" w:sz="0" w:space="0" w:color="auto"/>
            <w:right w:val="none" w:sz="0" w:space="0" w:color="auto"/>
          </w:divBdr>
          <w:divsChild>
            <w:div w:id="1121611399">
              <w:marLeft w:val="0"/>
              <w:marRight w:val="0"/>
              <w:marTop w:val="0"/>
              <w:marBottom w:val="0"/>
              <w:divBdr>
                <w:top w:val="none" w:sz="0" w:space="0" w:color="auto"/>
                <w:left w:val="none" w:sz="0" w:space="0" w:color="auto"/>
                <w:bottom w:val="none" w:sz="0" w:space="0" w:color="auto"/>
                <w:right w:val="none" w:sz="0" w:space="0" w:color="auto"/>
              </w:divBdr>
            </w:div>
          </w:divsChild>
        </w:div>
        <w:div w:id="1269047191">
          <w:marLeft w:val="0"/>
          <w:marRight w:val="0"/>
          <w:marTop w:val="0"/>
          <w:marBottom w:val="0"/>
          <w:divBdr>
            <w:top w:val="none" w:sz="0" w:space="0" w:color="auto"/>
            <w:left w:val="none" w:sz="0" w:space="0" w:color="auto"/>
            <w:bottom w:val="none" w:sz="0" w:space="0" w:color="auto"/>
            <w:right w:val="none" w:sz="0" w:space="0" w:color="auto"/>
          </w:divBdr>
          <w:divsChild>
            <w:div w:id="1443766520">
              <w:marLeft w:val="0"/>
              <w:marRight w:val="0"/>
              <w:marTop w:val="0"/>
              <w:marBottom w:val="0"/>
              <w:divBdr>
                <w:top w:val="none" w:sz="0" w:space="0" w:color="auto"/>
                <w:left w:val="none" w:sz="0" w:space="0" w:color="auto"/>
                <w:bottom w:val="none" w:sz="0" w:space="0" w:color="auto"/>
                <w:right w:val="none" w:sz="0" w:space="0" w:color="auto"/>
              </w:divBdr>
            </w:div>
          </w:divsChild>
        </w:div>
        <w:div w:id="1368407020">
          <w:marLeft w:val="0"/>
          <w:marRight w:val="0"/>
          <w:marTop w:val="0"/>
          <w:marBottom w:val="0"/>
          <w:divBdr>
            <w:top w:val="none" w:sz="0" w:space="0" w:color="auto"/>
            <w:left w:val="none" w:sz="0" w:space="0" w:color="auto"/>
            <w:bottom w:val="none" w:sz="0" w:space="0" w:color="auto"/>
            <w:right w:val="none" w:sz="0" w:space="0" w:color="auto"/>
          </w:divBdr>
          <w:divsChild>
            <w:div w:id="1001196884">
              <w:marLeft w:val="0"/>
              <w:marRight w:val="0"/>
              <w:marTop w:val="0"/>
              <w:marBottom w:val="0"/>
              <w:divBdr>
                <w:top w:val="none" w:sz="0" w:space="0" w:color="auto"/>
                <w:left w:val="none" w:sz="0" w:space="0" w:color="auto"/>
                <w:bottom w:val="none" w:sz="0" w:space="0" w:color="auto"/>
                <w:right w:val="none" w:sz="0" w:space="0" w:color="auto"/>
              </w:divBdr>
            </w:div>
          </w:divsChild>
        </w:div>
        <w:div w:id="1401750544">
          <w:marLeft w:val="0"/>
          <w:marRight w:val="0"/>
          <w:marTop w:val="0"/>
          <w:marBottom w:val="0"/>
          <w:divBdr>
            <w:top w:val="none" w:sz="0" w:space="0" w:color="auto"/>
            <w:left w:val="none" w:sz="0" w:space="0" w:color="auto"/>
            <w:bottom w:val="none" w:sz="0" w:space="0" w:color="auto"/>
            <w:right w:val="none" w:sz="0" w:space="0" w:color="auto"/>
          </w:divBdr>
          <w:divsChild>
            <w:div w:id="1427968634">
              <w:marLeft w:val="0"/>
              <w:marRight w:val="0"/>
              <w:marTop w:val="0"/>
              <w:marBottom w:val="0"/>
              <w:divBdr>
                <w:top w:val="none" w:sz="0" w:space="0" w:color="auto"/>
                <w:left w:val="none" w:sz="0" w:space="0" w:color="auto"/>
                <w:bottom w:val="none" w:sz="0" w:space="0" w:color="auto"/>
                <w:right w:val="none" w:sz="0" w:space="0" w:color="auto"/>
              </w:divBdr>
            </w:div>
          </w:divsChild>
        </w:div>
        <w:div w:id="1451777484">
          <w:marLeft w:val="0"/>
          <w:marRight w:val="0"/>
          <w:marTop w:val="0"/>
          <w:marBottom w:val="0"/>
          <w:divBdr>
            <w:top w:val="none" w:sz="0" w:space="0" w:color="auto"/>
            <w:left w:val="none" w:sz="0" w:space="0" w:color="auto"/>
            <w:bottom w:val="none" w:sz="0" w:space="0" w:color="auto"/>
            <w:right w:val="none" w:sz="0" w:space="0" w:color="auto"/>
          </w:divBdr>
          <w:divsChild>
            <w:div w:id="1630083750">
              <w:marLeft w:val="0"/>
              <w:marRight w:val="0"/>
              <w:marTop w:val="0"/>
              <w:marBottom w:val="0"/>
              <w:divBdr>
                <w:top w:val="none" w:sz="0" w:space="0" w:color="auto"/>
                <w:left w:val="none" w:sz="0" w:space="0" w:color="auto"/>
                <w:bottom w:val="none" w:sz="0" w:space="0" w:color="auto"/>
                <w:right w:val="none" w:sz="0" w:space="0" w:color="auto"/>
              </w:divBdr>
            </w:div>
          </w:divsChild>
        </w:div>
        <w:div w:id="1573154950">
          <w:marLeft w:val="0"/>
          <w:marRight w:val="0"/>
          <w:marTop w:val="0"/>
          <w:marBottom w:val="0"/>
          <w:divBdr>
            <w:top w:val="none" w:sz="0" w:space="0" w:color="auto"/>
            <w:left w:val="none" w:sz="0" w:space="0" w:color="auto"/>
            <w:bottom w:val="none" w:sz="0" w:space="0" w:color="auto"/>
            <w:right w:val="none" w:sz="0" w:space="0" w:color="auto"/>
          </w:divBdr>
          <w:divsChild>
            <w:div w:id="568349220">
              <w:marLeft w:val="0"/>
              <w:marRight w:val="0"/>
              <w:marTop w:val="0"/>
              <w:marBottom w:val="0"/>
              <w:divBdr>
                <w:top w:val="none" w:sz="0" w:space="0" w:color="auto"/>
                <w:left w:val="none" w:sz="0" w:space="0" w:color="auto"/>
                <w:bottom w:val="none" w:sz="0" w:space="0" w:color="auto"/>
                <w:right w:val="none" w:sz="0" w:space="0" w:color="auto"/>
              </w:divBdr>
            </w:div>
          </w:divsChild>
        </w:div>
        <w:div w:id="1685861143">
          <w:marLeft w:val="0"/>
          <w:marRight w:val="0"/>
          <w:marTop w:val="0"/>
          <w:marBottom w:val="0"/>
          <w:divBdr>
            <w:top w:val="none" w:sz="0" w:space="0" w:color="auto"/>
            <w:left w:val="none" w:sz="0" w:space="0" w:color="auto"/>
            <w:bottom w:val="none" w:sz="0" w:space="0" w:color="auto"/>
            <w:right w:val="none" w:sz="0" w:space="0" w:color="auto"/>
          </w:divBdr>
          <w:divsChild>
            <w:div w:id="1858930761">
              <w:marLeft w:val="0"/>
              <w:marRight w:val="0"/>
              <w:marTop w:val="0"/>
              <w:marBottom w:val="0"/>
              <w:divBdr>
                <w:top w:val="none" w:sz="0" w:space="0" w:color="auto"/>
                <w:left w:val="none" w:sz="0" w:space="0" w:color="auto"/>
                <w:bottom w:val="none" w:sz="0" w:space="0" w:color="auto"/>
                <w:right w:val="none" w:sz="0" w:space="0" w:color="auto"/>
              </w:divBdr>
            </w:div>
          </w:divsChild>
        </w:div>
        <w:div w:id="1707564668">
          <w:marLeft w:val="0"/>
          <w:marRight w:val="0"/>
          <w:marTop w:val="0"/>
          <w:marBottom w:val="0"/>
          <w:divBdr>
            <w:top w:val="none" w:sz="0" w:space="0" w:color="auto"/>
            <w:left w:val="none" w:sz="0" w:space="0" w:color="auto"/>
            <w:bottom w:val="none" w:sz="0" w:space="0" w:color="auto"/>
            <w:right w:val="none" w:sz="0" w:space="0" w:color="auto"/>
          </w:divBdr>
          <w:divsChild>
            <w:div w:id="713310295">
              <w:marLeft w:val="0"/>
              <w:marRight w:val="0"/>
              <w:marTop w:val="0"/>
              <w:marBottom w:val="0"/>
              <w:divBdr>
                <w:top w:val="none" w:sz="0" w:space="0" w:color="auto"/>
                <w:left w:val="none" w:sz="0" w:space="0" w:color="auto"/>
                <w:bottom w:val="none" w:sz="0" w:space="0" w:color="auto"/>
                <w:right w:val="none" w:sz="0" w:space="0" w:color="auto"/>
              </w:divBdr>
            </w:div>
          </w:divsChild>
        </w:div>
        <w:div w:id="1744376039">
          <w:marLeft w:val="0"/>
          <w:marRight w:val="0"/>
          <w:marTop w:val="0"/>
          <w:marBottom w:val="0"/>
          <w:divBdr>
            <w:top w:val="none" w:sz="0" w:space="0" w:color="auto"/>
            <w:left w:val="none" w:sz="0" w:space="0" w:color="auto"/>
            <w:bottom w:val="none" w:sz="0" w:space="0" w:color="auto"/>
            <w:right w:val="none" w:sz="0" w:space="0" w:color="auto"/>
          </w:divBdr>
          <w:divsChild>
            <w:div w:id="1685011263">
              <w:marLeft w:val="0"/>
              <w:marRight w:val="0"/>
              <w:marTop w:val="0"/>
              <w:marBottom w:val="0"/>
              <w:divBdr>
                <w:top w:val="none" w:sz="0" w:space="0" w:color="auto"/>
                <w:left w:val="none" w:sz="0" w:space="0" w:color="auto"/>
                <w:bottom w:val="none" w:sz="0" w:space="0" w:color="auto"/>
                <w:right w:val="none" w:sz="0" w:space="0" w:color="auto"/>
              </w:divBdr>
            </w:div>
          </w:divsChild>
        </w:div>
        <w:div w:id="1785418991">
          <w:marLeft w:val="0"/>
          <w:marRight w:val="0"/>
          <w:marTop w:val="0"/>
          <w:marBottom w:val="0"/>
          <w:divBdr>
            <w:top w:val="none" w:sz="0" w:space="0" w:color="auto"/>
            <w:left w:val="none" w:sz="0" w:space="0" w:color="auto"/>
            <w:bottom w:val="none" w:sz="0" w:space="0" w:color="auto"/>
            <w:right w:val="none" w:sz="0" w:space="0" w:color="auto"/>
          </w:divBdr>
          <w:divsChild>
            <w:div w:id="546333632">
              <w:marLeft w:val="0"/>
              <w:marRight w:val="0"/>
              <w:marTop w:val="0"/>
              <w:marBottom w:val="0"/>
              <w:divBdr>
                <w:top w:val="none" w:sz="0" w:space="0" w:color="auto"/>
                <w:left w:val="none" w:sz="0" w:space="0" w:color="auto"/>
                <w:bottom w:val="none" w:sz="0" w:space="0" w:color="auto"/>
                <w:right w:val="none" w:sz="0" w:space="0" w:color="auto"/>
              </w:divBdr>
            </w:div>
          </w:divsChild>
        </w:div>
        <w:div w:id="1811551225">
          <w:marLeft w:val="0"/>
          <w:marRight w:val="0"/>
          <w:marTop w:val="0"/>
          <w:marBottom w:val="0"/>
          <w:divBdr>
            <w:top w:val="none" w:sz="0" w:space="0" w:color="auto"/>
            <w:left w:val="none" w:sz="0" w:space="0" w:color="auto"/>
            <w:bottom w:val="none" w:sz="0" w:space="0" w:color="auto"/>
            <w:right w:val="none" w:sz="0" w:space="0" w:color="auto"/>
          </w:divBdr>
          <w:divsChild>
            <w:div w:id="522479286">
              <w:marLeft w:val="0"/>
              <w:marRight w:val="0"/>
              <w:marTop w:val="0"/>
              <w:marBottom w:val="0"/>
              <w:divBdr>
                <w:top w:val="none" w:sz="0" w:space="0" w:color="auto"/>
                <w:left w:val="none" w:sz="0" w:space="0" w:color="auto"/>
                <w:bottom w:val="none" w:sz="0" w:space="0" w:color="auto"/>
                <w:right w:val="none" w:sz="0" w:space="0" w:color="auto"/>
              </w:divBdr>
            </w:div>
          </w:divsChild>
        </w:div>
        <w:div w:id="2133596666">
          <w:marLeft w:val="0"/>
          <w:marRight w:val="0"/>
          <w:marTop w:val="0"/>
          <w:marBottom w:val="0"/>
          <w:divBdr>
            <w:top w:val="none" w:sz="0" w:space="0" w:color="auto"/>
            <w:left w:val="none" w:sz="0" w:space="0" w:color="auto"/>
            <w:bottom w:val="none" w:sz="0" w:space="0" w:color="auto"/>
            <w:right w:val="none" w:sz="0" w:space="0" w:color="auto"/>
          </w:divBdr>
          <w:divsChild>
            <w:div w:id="80284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979513">
      <w:bodyDiv w:val="1"/>
      <w:marLeft w:val="0"/>
      <w:marRight w:val="0"/>
      <w:marTop w:val="0"/>
      <w:marBottom w:val="0"/>
      <w:divBdr>
        <w:top w:val="none" w:sz="0" w:space="0" w:color="auto"/>
        <w:left w:val="none" w:sz="0" w:space="0" w:color="auto"/>
        <w:bottom w:val="none" w:sz="0" w:space="0" w:color="auto"/>
        <w:right w:val="none" w:sz="0" w:space="0" w:color="auto"/>
      </w:divBdr>
    </w:div>
    <w:div w:id="632685044">
      <w:bodyDiv w:val="1"/>
      <w:marLeft w:val="0"/>
      <w:marRight w:val="0"/>
      <w:marTop w:val="0"/>
      <w:marBottom w:val="0"/>
      <w:divBdr>
        <w:top w:val="none" w:sz="0" w:space="0" w:color="auto"/>
        <w:left w:val="none" w:sz="0" w:space="0" w:color="auto"/>
        <w:bottom w:val="none" w:sz="0" w:space="0" w:color="auto"/>
        <w:right w:val="none" w:sz="0" w:space="0" w:color="auto"/>
      </w:divBdr>
      <w:divsChild>
        <w:div w:id="453906252">
          <w:marLeft w:val="0"/>
          <w:marRight w:val="0"/>
          <w:marTop w:val="0"/>
          <w:marBottom w:val="0"/>
          <w:divBdr>
            <w:top w:val="none" w:sz="0" w:space="0" w:color="auto"/>
            <w:left w:val="none" w:sz="0" w:space="0" w:color="auto"/>
            <w:bottom w:val="none" w:sz="0" w:space="0" w:color="auto"/>
            <w:right w:val="none" w:sz="0" w:space="0" w:color="auto"/>
          </w:divBdr>
        </w:div>
        <w:div w:id="731543538">
          <w:marLeft w:val="0"/>
          <w:marRight w:val="0"/>
          <w:marTop w:val="0"/>
          <w:marBottom w:val="0"/>
          <w:divBdr>
            <w:top w:val="none" w:sz="0" w:space="0" w:color="auto"/>
            <w:left w:val="none" w:sz="0" w:space="0" w:color="auto"/>
            <w:bottom w:val="none" w:sz="0" w:space="0" w:color="auto"/>
            <w:right w:val="none" w:sz="0" w:space="0" w:color="auto"/>
          </w:divBdr>
          <w:divsChild>
            <w:div w:id="2118408132">
              <w:marLeft w:val="0"/>
              <w:marRight w:val="0"/>
              <w:marTop w:val="30"/>
              <w:marBottom w:val="30"/>
              <w:divBdr>
                <w:top w:val="none" w:sz="0" w:space="0" w:color="auto"/>
                <w:left w:val="none" w:sz="0" w:space="0" w:color="auto"/>
                <w:bottom w:val="none" w:sz="0" w:space="0" w:color="auto"/>
                <w:right w:val="none" w:sz="0" w:space="0" w:color="auto"/>
              </w:divBdr>
              <w:divsChild>
                <w:div w:id="7949697">
                  <w:marLeft w:val="0"/>
                  <w:marRight w:val="0"/>
                  <w:marTop w:val="0"/>
                  <w:marBottom w:val="0"/>
                  <w:divBdr>
                    <w:top w:val="none" w:sz="0" w:space="0" w:color="auto"/>
                    <w:left w:val="none" w:sz="0" w:space="0" w:color="auto"/>
                    <w:bottom w:val="none" w:sz="0" w:space="0" w:color="auto"/>
                    <w:right w:val="none" w:sz="0" w:space="0" w:color="auto"/>
                  </w:divBdr>
                  <w:divsChild>
                    <w:div w:id="1913664345">
                      <w:marLeft w:val="0"/>
                      <w:marRight w:val="0"/>
                      <w:marTop w:val="0"/>
                      <w:marBottom w:val="0"/>
                      <w:divBdr>
                        <w:top w:val="none" w:sz="0" w:space="0" w:color="auto"/>
                        <w:left w:val="none" w:sz="0" w:space="0" w:color="auto"/>
                        <w:bottom w:val="none" w:sz="0" w:space="0" w:color="auto"/>
                        <w:right w:val="none" w:sz="0" w:space="0" w:color="auto"/>
                      </w:divBdr>
                    </w:div>
                  </w:divsChild>
                </w:div>
                <w:div w:id="18435890">
                  <w:marLeft w:val="0"/>
                  <w:marRight w:val="0"/>
                  <w:marTop w:val="0"/>
                  <w:marBottom w:val="0"/>
                  <w:divBdr>
                    <w:top w:val="none" w:sz="0" w:space="0" w:color="auto"/>
                    <w:left w:val="none" w:sz="0" w:space="0" w:color="auto"/>
                    <w:bottom w:val="none" w:sz="0" w:space="0" w:color="auto"/>
                    <w:right w:val="none" w:sz="0" w:space="0" w:color="auto"/>
                  </w:divBdr>
                  <w:divsChild>
                    <w:div w:id="67848350">
                      <w:marLeft w:val="0"/>
                      <w:marRight w:val="0"/>
                      <w:marTop w:val="0"/>
                      <w:marBottom w:val="0"/>
                      <w:divBdr>
                        <w:top w:val="none" w:sz="0" w:space="0" w:color="auto"/>
                        <w:left w:val="none" w:sz="0" w:space="0" w:color="auto"/>
                        <w:bottom w:val="none" w:sz="0" w:space="0" w:color="auto"/>
                        <w:right w:val="none" w:sz="0" w:space="0" w:color="auto"/>
                      </w:divBdr>
                    </w:div>
                  </w:divsChild>
                </w:div>
                <w:div w:id="26831247">
                  <w:marLeft w:val="0"/>
                  <w:marRight w:val="0"/>
                  <w:marTop w:val="0"/>
                  <w:marBottom w:val="0"/>
                  <w:divBdr>
                    <w:top w:val="none" w:sz="0" w:space="0" w:color="auto"/>
                    <w:left w:val="none" w:sz="0" w:space="0" w:color="auto"/>
                    <w:bottom w:val="none" w:sz="0" w:space="0" w:color="auto"/>
                    <w:right w:val="none" w:sz="0" w:space="0" w:color="auto"/>
                  </w:divBdr>
                  <w:divsChild>
                    <w:div w:id="612395849">
                      <w:marLeft w:val="0"/>
                      <w:marRight w:val="0"/>
                      <w:marTop w:val="0"/>
                      <w:marBottom w:val="0"/>
                      <w:divBdr>
                        <w:top w:val="none" w:sz="0" w:space="0" w:color="auto"/>
                        <w:left w:val="none" w:sz="0" w:space="0" w:color="auto"/>
                        <w:bottom w:val="none" w:sz="0" w:space="0" w:color="auto"/>
                        <w:right w:val="none" w:sz="0" w:space="0" w:color="auto"/>
                      </w:divBdr>
                    </w:div>
                  </w:divsChild>
                </w:div>
                <w:div w:id="36466946">
                  <w:marLeft w:val="0"/>
                  <w:marRight w:val="0"/>
                  <w:marTop w:val="0"/>
                  <w:marBottom w:val="0"/>
                  <w:divBdr>
                    <w:top w:val="none" w:sz="0" w:space="0" w:color="auto"/>
                    <w:left w:val="none" w:sz="0" w:space="0" w:color="auto"/>
                    <w:bottom w:val="none" w:sz="0" w:space="0" w:color="auto"/>
                    <w:right w:val="none" w:sz="0" w:space="0" w:color="auto"/>
                  </w:divBdr>
                  <w:divsChild>
                    <w:div w:id="1709255416">
                      <w:marLeft w:val="0"/>
                      <w:marRight w:val="0"/>
                      <w:marTop w:val="0"/>
                      <w:marBottom w:val="0"/>
                      <w:divBdr>
                        <w:top w:val="none" w:sz="0" w:space="0" w:color="auto"/>
                        <w:left w:val="none" w:sz="0" w:space="0" w:color="auto"/>
                        <w:bottom w:val="none" w:sz="0" w:space="0" w:color="auto"/>
                        <w:right w:val="none" w:sz="0" w:space="0" w:color="auto"/>
                      </w:divBdr>
                    </w:div>
                  </w:divsChild>
                </w:div>
                <w:div w:id="38669214">
                  <w:marLeft w:val="0"/>
                  <w:marRight w:val="0"/>
                  <w:marTop w:val="0"/>
                  <w:marBottom w:val="0"/>
                  <w:divBdr>
                    <w:top w:val="none" w:sz="0" w:space="0" w:color="auto"/>
                    <w:left w:val="none" w:sz="0" w:space="0" w:color="auto"/>
                    <w:bottom w:val="none" w:sz="0" w:space="0" w:color="auto"/>
                    <w:right w:val="none" w:sz="0" w:space="0" w:color="auto"/>
                  </w:divBdr>
                  <w:divsChild>
                    <w:div w:id="350645949">
                      <w:marLeft w:val="0"/>
                      <w:marRight w:val="0"/>
                      <w:marTop w:val="0"/>
                      <w:marBottom w:val="0"/>
                      <w:divBdr>
                        <w:top w:val="none" w:sz="0" w:space="0" w:color="auto"/>
                        <w:left w:val="none" w:sz="0" w:space="0" w:color="auto"/>
                        <w:bottom w:val="none" w:sz="0" w:space="0" w:color="auto"/>
                        <w:right w:val="none" w:sz="0" w:space="0" w:color="auto"/>
                      </w:divBdr>
                    </w:div>
                  </w:divsChild>
                </w:div>
                <w:div w:id="232281651">
                  <w:marLeft w:val="0"/>
                  <w:marRight w:val="0"/>
                  <w:marTop w:val="0"/>
                  <w:marBottom w:val="0"/>
                  <w:divBdr>
                    <w:top w:val="none" w:sz="0" w:space="0" w:color="auto"/>
                    <w:left w:val="none" w:sz="0" w:space="0" w:color="auto"/>
                    <w:bottom w:val="none" w:sz="0" w:space="0" w:color="auto"/>
                    <w:right w:val="none" w:sz="0" w:space="0" w:color="auto"/>
                  </w:divBdr>
                  <w:divsChild>
                    <w:div w:id="1522931490">
                      <w:marLeft w:val="0"/>
                      <w:marRight w:val="0"/>
                      <w:marTop w:val="0"/>
                      <w:marBottom w:val="0"/>
                      <w:divBdr>
                        <w:top w:val="none" w:sz="0" w:space="0" w:color="auto"/>
                        <w:left w:val="none" w:sz="0" w:space="0" w:color="auto"/>
                        <w:bottom w:val="none" w:sz="0" w:space="0" w:color="auto"/>
                        <w:right w:val="none" w:sz="0" w:space="0" w:color="auto"/>
                      </w:divBdr>
                    </w:div>
                  </w:divsChild>
                </w:div>
                <w:div w:id="245119045">
                  <w:marLeft w:val="0"/>
                  <w:marRight w:val="0"/>
                  <w:marTop w:val="0"/>
                  <w:marBottom w:val="0"/>
                  <w:divBdr>
                    <w:top w:val="none" w:sz="0" w:space="0" w:color="auto"/>
                    <w:left w:val="none" w:sz="0" w:space="0" w:color="auto"/>
                    <w:bottom w:val="none" w:sz="0" w:space="0" w:color="auto"/>
                    <w:right w:val="none" w:sz="0" w:space="0" w:color="auto"/>
                  </w:divBdr>
                  <w:divsChild>
                    <w:div w:id="1254975285">
                      <w:marLeft w:val="0"/>
                      <w:marRight w:val="0"/>
                      <w:marTop w:val="0"/>
                      <w:marBottom w:val="0"/>
                      <w:divBdr>
                        <w:top w:val="none" w:sz="0" w:space="0" w:color="auto"/>
                        <w:left w:val="none" w:sz="0" w:space="0" w:color="auto"/>
                        <w:bottom w:val="none" w:sz="0" w:space="0" w:color="auto"/>
                        <w:right w:val="none" w:sz="0" w:space="0" w:color="auto"/>
                      </w:divBdr>
                    </w:div>
                  </w:divsChild>
                </w:div>
                <w:div w:id="263389917">
                  <w:marLeft w:val="0"/>
                  <w:marRight w:val="0"/>
                  <w:marTop w:val="0"/>
                  <w:marBottom w:val="0"/>
                  <w:divBdr>
                    <w:top w:val="none" w:sz="0" w:space="0" w:color="auto"/>
                    <w:left w:val="none" w:sz="0" w:space="0" w:color="auto"/>
                    <w:bottom w:val="none" w:sz="0" w:space="0" w:color="auto"/>
                    <w:right w:val="none" w:sz="0" w:space="0" w:color="auto"/>
                  </w:divBdr>
                  <w:divsChild>
                    <w:div w:id="1972323470">
                      <w:marLeft w:val="0"/>
                      <w:marRight w:val="0"/>
                      <w:marTop w:val="0"/>
                      <w:marBottom w:val="0"/>
                      <w:divBdr>
                        <w:top w:val="none" w:sz="0" w:space="0" w:color="auto"/>
                        <w:left w:val="none" w:sz="0" w:space="0" w:color="auto"/>
                        <w:bottom w:val="none" w:sz="0" w:space="0" w:color="auto"/>
                        <w:right w:val="none" w:sz="0" w:space="0" w:color="auto"/>
                      </w:divBdr>
                    </w:div>
                  </w:divsChild>
                </w:div>
                <w:div w:id="297494553">
                  <w:marLeft w:val="0"/>
                  <w:marRight w:val="0"/>
                  <w:marTop w:val="0"/>
                  <w:marBottom w:val="0"/>
                  <w:divBdr>
                    <w:top w:val="none" w:sz="0" w:space="0" w:color="auto"/>
                    <w:left w:val="none" w:sz="0" w:space="0" w:color="auto"/>
                    <w:bottom w:val="none" w:sz="0" w:space="0" w:color="auto"/>
                    <w:right w:val="none" w:sz="0" w:space="0" w:color="auto"/>
                  </w:divBdr>
                  <w:divsChild>
                    <w:div w:id="1601334353">
                      <w:marLeft w:val="0"/>
                      <w:marRight w:val="0"/>
                      <w:marTop w:val="0"/>
                      <w:marBottom w:val="0"/>
                      <w:divBdr>
                        <w:top w:val="none" w:sz="0" w:space="0" w:color="auto"/>
                        <w:left w:val="none" w:sz="0" w:space="0" w:color="auto"/>
                        <w:bottom w:val="none" w:sz="0" w:space="0" w:color="auto"/>
                        <w:right w:val="none" w:sz="0" w:space="0" w:color="auto"/>
                      </w:divBdr>
                    </w:div>
                  </w:divsChild>
                </w:div>
                <w:div w:id="329218936">
                  <w:marLeft w:val="0"/>
                  <w:marRight w:val="0"/>
                  <w:marTop w:val="0"/>
                  <w:marBottom w:val="0"/>
                  <w:divBdr>
                    <w:top w:val="none" w:sz="0" w:space="0" w:color="auto"/>
                    <w:left w:val="none" w:sz="0" w:space="0" w:color="auto"/>
                    <w:bottom w:val="none" w:sz="0" w:space="0" w:color="auto"/>
                    <w:right w:val="none" w:sz="0" w:space="0" w:color="auto"/>
                  </w:divBdr>
                  <w:divsChild>
                    <w:div w:id="2060131534">
                      <w:marLeft w:val="0"/>
                      <w:marRight w:val="0"/>
                      <w:marTop w:val="0"/>
                      <w:marBottom w:val="0"/>
                      <w:divBdr>
                        <w:top w:val="none" w:sz="0" w:space="0" w:color="auto"/>
                        <w:left w:val="none" w:sz="0" w:space="0" w:color="auto"/>
                        <w:bottom w:val="none" w:sz="0" w:space="0" w:color="auto"/>
                        <w:right w:val="none" w:sz="0" w:space="0" w:color="auto"/>
                      </w:divBdr>
                    </w:div>
                  </w:divsChild>
                </w:div>
                <w:div w:id="354431262">
                  <w:marLeft w:val="0"/>
                  <w:marRight w:val="0"/>
                  <w:marTop w:val="0"/>
                  <w:marBottom w:val="0"/>
                  <w:divBdr>
                    <w:top w:val="none" w:sz="0" w:space="0" w:color="auto"/>
                    <w:left w:val="none" w:sz="0" w:space="0" w:color="auto"/>
                    <w:bottom w:val="none" w:sz="0" w:space="0" w:color="auto"/>
                    <w:right w:val="none" w:sz="0" w:space="0" w:color="auto"/>
                  </w:divBdr>
                  <w:divsChild>
                    <w:div w:id="2136173473">
                      <w:marLeft w:val="0"/>
                      <w:marRight w:val="0"/>
                      <w:marTop w:val="0"/>
                      <w:marBottom w:val="0"/>
                      <w:divBdr>
                        <w:top w:val="none" w:sz="0" w:space="0" w:color="auto"/>
                        <w:left w:val="none" w:sz="0" w:space="0" w:color="auto"/>
                        <w:bottom w:val="none" w:sz="0" w:space="0" w:color="auto"/>
                        <w:right w:val="none" w:sz="0" w:space="0" w:color="auto"/>
                      </w:divBdr>
                    </w:div>
                  </w:divsChild>
                </w:div>
                <w:div w:id="373967144">
                  <w:marLeft w:val="0"/>
                  <w:marRight w:val="0"/>
                  <w:marTop w:val="0"/>
                  <w:marBottom w:val="0"/>
                  <w:divBdr>
                    <w:top w:val="none" w:sz="0" w:space="0" w:color="auto"/>
                    <w:left w:val="none" w:sz="0" w:space="0" w:color="auto"/>
                    <w:bottom w:val="none" w:sz="0" w:space="0" w:color="auto"/>
                    <w:right w:val="none" w:sz="0" w:space="0" w:color="auto"/>
                  </w:divBdr>
                  <w:divsChild>
                    <w:div w:id="870529806">
                      <w:marLeft w:val="0"/>
                      <w:marRight w:val="0"/>
                      <w:marTop w:val="0"/>
                      <w:marBottom w:val="0"/>
                      <w:divBdr>
                        <w:top w:val="none" w:sz="0" w:space="0" w:color="auto"/>
                        <w:left w:val="none" w:sz="0" w:space="0" w:color="auto"/>
                        <w:bottom w:val="none" w:sz="0" w:space="0" w:color="auto"/>
                        <w:right w:val="none" w:sz="0" w:space="0" w:color="auto"/>
                      </w:divBdr>
                    </w:div>
                  </w:divsChild>
                </w:div>
                <w:div w:id="456799338">
                  <w:marLeft w:val="0"/>
                  <w:marRight w:val="0"/>
                  <w:marTop w:val="0"/>
                  <w:marBottom w:val="0"/>
                  <w:divBdr>
                    <w:top w:val="none" w:sz="0" w:space="0" w:color="auto"/>
                    <w:left w:val="none" w:sz="0" w:space="0" w:color="auto"/>
                    <w:bottom w:val="none" w:sz="0" w:space="0" w:color="auto"/>
                    <w:right w:val="none" w:sz="0" w:space="0" w:color="auto"/>
                  </w:divBdr>
                  <w:divsChild>
                    <w:div w:id="480076567">
                      <w:marLeft w:val="0"/>
                      <w:marRight w:val="0"/>
                      <w:marTop w:val="0"/>
                      <w:marBottom w:val="0"/>
                      <w:divBdr>
                        <w:top w:val="none" w:sz="0" w:space="0" w:color="auto"/>
                        <w:left w:val="none" w:sz="0" w:space="0" w:color="auto"/>
                        <w:bottom w:val="none" w:sz="0" w:space="0" w:color="auto"/>
                        <w:right w:val="none" w:sz="0" w:space="0" w:color="auto"/>
                      </w:divBdr>
                    </w:div>
                  </w:divsChild>
                </w:div>
                <w:div w:id="620263887">
                  <w:marLeft w:val="0"/>
                  <w:marRight w:val="0"/>
                  <w:marTop w:val="0"/>
                  <w:marBottom w:val="0"/>
                  <w:divBdr>
                    <w:top w:val="none" w:sz="0" w:space="0" w:color="auto"/>
                    <w:left w:val="none" w:sz="0" w:space="0" w:color="auto"/>
                    <w:bottom w:val="none" w:sz="0" w:space="0" w:color="auto"/>
                    <w:right w:val="none" w:sz="0" w:space="0" w:color="auto"/>
                  </w:divBdr>
                  <w:divsChild>
                    <w:div w:id="2089112202">
                      <w:marLeft w:val="0"/>
                      <w:marRight w:val="0"/>
                      <w:marTop w:val="0"/>
                      <w:marBottom w:val="0"/>
                      <w:divBdr>
                        <w:top w:val="none" w:sz="0" w:space="0" w:color="auto"/>
                        <w:left w:val="none" w:sz="0" w:space="0" w:color="auto"/>
                        <w:bottom w:val="none" w:sz="0" w:space="0" w:color="auto"/>
                        <w:right w:val="none" w:sz="0" w:space="0" w:color="auto"/>
                      </w:divBdr>
                    </w:div>
                  </w:divsChild>
                </w:div>
                <w:div w:id="696659403">
                  <w:marLeft w:val="0"/>
                  <w:marRight w:val="0"/>
                  <w:marTop w:val="0"/>
                  <w:marBottom w:val="0"/>
                  <w:divBdr>
                    <w:top w:val="none" w:sz="0" w:space="0" w:color="auto"/>
                    <w:left w:val="none" w:sz="0" w:space="0" w:color="auto"/>
                    <w:bottom w:val="none" w:sz="0" w:space="0" w:color="auto"/>
                    <w:right w:val="none" w:sz="0" w:space="0" w:color="auto"/>
                  </w:divBdr>
                  <w:divsChild>
                    <w:div w:id="2120758250">
                      <w:marLeft w:val="0"/>
                      <w:marRight w:val="0"/>
                      <w:marTop w:val="0"/>
                      <w:marBottom w:val="0"/>
                      <w:divBdr>
                        <w:top w:val="none" w:sz="0" w:space="0" w:color="auto"/>
                        <w:left w:val="none" w:sz="0" w:space="0" w:color="auto"/>
                        <w:bottom w:val="none" w:sz="0" w:space="0" w:color="auto"/>
                        <w:right w:val="none" w:sz="0" w:space="0" w:color="auto"/>
                      </w:divBdr>
                    </w:div>
                  </w:divsChild>
                </w:div>
                <w:div w:id="954480344">
                  <w:marLeft w:val="0"/>
                  <w:marRight w:val="0"/>
                  <w:marTop w:val="0"/>
                  <w:marBottom w:val="0"/>
                  <w:divBdr>
                    <w:top w:val="none" w:sz="0" w:space="0" w:color="auto"/>
                    <w:left w:val="none" w:sz="0" w:space="0" w:color="auto"/>
                    <w:bottom w:val="none" w:sz="0" w:space="0" w:color="auto"/>
                    <w:right w:val="none" w:sz="0" w:space="0" w:color="auto"/>
                  </w:divBdr>
                  <w:divsChild>
                    <w:div w:id="1538737198">
                      <w:marLeft w:val="0"/>
                      <w:marRight w:val="0"/>
                      <w:marTop w:val="0"/>
                      <w:marBottom w:val="0"/>
                      <w:divBdr>
                        <w:top w:val="none" w:sz="0" w:space="0" w:color="auto"/>
                        <w:left w:val="none" w:sz="0" w:space="0" w:color="auto"/>
                        <w:bottom w:val="none" w:sz="0" w:space="0" w:color="auto"/>
                        <w:right w:val="none" w:sz="0" w:space="0" w:color="auto"/>
                      </w:divBdr>
                    </w:div>
                  </w:divsChild>
                </w:div>
                <w:div w:id="986318707">
                  <w:marLeft w:val="0"/>
                  <w:marRight w:val="0"/>
                  <w:marTop w:val="0"/>
                  <w:marBottom w:val="0"/>
                  <w:divBdr>
                    <w:top w:val="none" w:sz="0" w:space="0" w:color="auto"/>
                    <w:left w:val="none" w:sz="0" w:space="0" w:color="auto"/>
                    <w:bottom w:val="none" w:sz="0" w:space="0" w:color="auto"/>
                    <w:right w:val="none" w:sz="0" w:space="0" w:color="auto"/>
                  </w:divBdr>
                  <w:divsChild>
                    <w:div w:id="1805854741">
                      <w:marLeft w:val="0"/>
                      <w:marRight w:val="0"/>
                      <w:marTop w:val="0"/>
                      <w:marBottom w:val="0"/>
                      <w:divBdr>
                        <w:top w:val="none" w:sz="0" w:space="0" w:color="auto"/>
                        <w:left w:val="none" w:sz="0" w:space="0" w:color="auto"/>
                        <w:bottom w:val="none" w:sz="0" w:space="0" w:color="auto"/>
                        <w:right w:val="none" w:sz="0" w:space="0" w:color="auto"/>
                      </w:divBdr>
                    </w:div>
                  </w:divsChild>
                </w:div>
                <w:div w:id="1207257697">
                  <w:marLeft w:val="0"/>
                  <w:marRight w:val="0"/>
                  <w:marTop w:val="0"/>
                  <w:marBottom w:val="0"/>
                  <w:divBdr>
                    <w:top w:val="none" w:sz="0" w:space="0" w:color="auto"/>
                    <w:left w:val="none" w:sz="0" w:space="0" w:color="auto"/>
                    <w:bottom w:val="none" w:sz="0" w:space="0" w:color="auto"/>
                    <w:right w:val="none" w:sz="0" w:space="0" w:color="auto"/>
                  </w:divBdr>
                  <w:divsChild>
                    <w:div w:id="1421221278">
                      <w:marLeft w:val="0"/>
                      <w:marRight w:val="0"/>
                      <w:marTop w:val="0"/>
                      <w:marBottom w:val="0"/>
                      <w:divBdr>
                        <w:top w:val="none" w:sz="0" w:space="0" w:color="auto"/>
                        <w:left w:val="none" w:sz="0" w:space="0" w:color="auto"/>
                        <w:bottom w:val="none" w:sz="0" w:space="0" w:color="auto"/>
                        <w:right w:val="none" w:sz="0" w:space="0" w:color="auto"/>
                      </w:divBdr>
                    </w:div>
                  </w:divsChild>
                </w:div>
                <w:div w:id="1219901600">
                  <w:marLeft w:val="0"/>
                  <w:marRight w:val="0"/>
                  <w:marTop w:val="0"/>
                  <w:marBottom w:val="0"/>
                  <w:divBdr>
                    <w:top w:val="none" w:sz="0" w:space="0" w:color="auto"/>
                    <w:left w:val="none" w:sz="0" w:space="0" w:color="auto"/>
                    <w:bottom w:val="none" w:sz="0" w:space="0" w:color="auto"/>
                    <w:right w:val="none" w:sz="0" w:space="0" w:color="auto"/>
                  </w:divBdr>
                  <w:divsChild>
                    <w:div w:id="2083288885">
                      <w:marLeft w:val="0"/>
                      <w:marRight w:val="0"/>
                      <w:marTop w:val="0"/>
                      <w:marBottom w:val="0"/>
                      <w:divBdr>
                        <w:top w:val="none" w:sz="0" w:space="0" w:color="auto"/>
                        <w:left w:val="none" w:sz="0" w:space="0" w:color="auto"/>
                        <w:bottom w:val="none" w:sz="0" w:space="0" w:color="auto"/>
                        <w:right w:val="none" w:sz="0" w:space="0" w:color="auto"/>
                      </w:divBdr>
                    </w:div>
                  </w:divsChild>
                </w:div>
                <w:div w:id="1243681809">
                  <w:marLeft w:val="0"/>
                  <w:marRight w:val="0"/>
                  <w:marTop w:val="0"/>
                  <w:marBottom w:val="0"/>
                  <w:divBdr>
                    <w:top w:val="none" w:sz="0" w:space="0" w:color="auto"/>
                    <w:left w:val="none" w:sz="0" w:space="0" w:color="auto"/>
                    <w:bottom w:val="none" w:sz="0" w:space="0" w:color="auto"/>
                    <w:right w:val="none" w:sz="0" w:space="0" w:color="auto"/>
                  </w:divBdr>
                  <w:divsChild>
                    <w:div w:id="1762291845">
                      <w:marLeft w:val="0"/>
                      <w:marRight w:val="0"/>
                      <w:marTop w:val="0"/>
                      <w:marBottom w:val="0"/>
                      <w:divBdr>
                        <w:top w:val="none" w:sz="0" w:space="0" w:color="auto"/>
                        <w:left w:val="none" w:sz="0" w:space="0" w:color="auto"/>
                        <w:bottom w:val="none" w:sz="0" w:space="0" w:color="auto"/>
                        <w:right w:val="none" w:sz="0" w:space="0" w:color="auto"/>
                      </w:divBdr>
                    </w:div>
                  </w:divsChild>
                </w:div>
                <w:div w:id="1284456838">
                  <w:marLeft w:val="0"/>
                  <w:marRight w:val="0"/>
                  <w:marTop w:val="0"/>
                  <w:marBottom w:val="0"/>
                  <w:divBdr>
                    <w:top w:val="none" w:sz="0" w:space="0" w:color="auto"/>
                    <w:left w:val="none" w:sz="0" w:space="0" w:color="auto"/>
                    <w:bottom w:val="none" w:sz="0" w:space="0" w:color="auto"/>
                    <w:right w:val="none" w:sz="0" w:space="0" w:color="auto"/>
                  </w:divBdr>
                  <w:divsChild>
                    <w:div w:id="1369837327">
                      <w:marLeft w:val="0"/>
                      <w:marRight w:val="0"/>
                      <w:marTop w:val="0"/>
                      <w:marBottom w:val="0"/>
                      <w:divBdr>
                        <w:top w:val="none" w:sz="0" w:space="0" w:color="auto"/>
                        <w:left w:val="none" w:sz="0" w:space="0" w:color="auto"/>
                        <w:bottom w:val="none" w:sz="0" w:space="0" w:color="auto"/>
                        <w:right w:val="none" w:sz="0" w:space="0" w:color="auto"/>
                      </w:divBdr>
                    </w:div>
                  </w:divsChild>
                </w:div>
                <w:div w:id="1337146518">
                  <w:marLeft w:val="0"/>
                  <w:marRight w:val="0"/>
                  <w:marTop w:val="0"/>
                  <w:marBottom w:val="0"/>
                  <w:divBdr>
                    <w:top w:val="none" w:sz="0" w:space="0" w:color="auto"/>
                    <w:left w:val="none" w:sz="0" w:space="0" w:color="auto"/>
                    <w:bottom w:val="none" w:sz="0" w:space="0" w:color="auto"/>
                    <w:right w:val="none" w:sz="0" w:space="0" w:color="auto"/>
                  </w:divBdr>
                  <w:divsChild>
                    <w:div w:id="20130484">
                      <w:marLeft w:val="0"/>
                      <w:marRight w:val="0"/>
                      <w:marTop w:val="0"/>
                      <w:marBottom w:val="0"/>
                      <w:divBdr>
                        <w:top w:val="none" w:sz="0" w:space="0" w:color="auto"/>
                        <w:left w:val="none" w:sz="0" w:space="0" w:color="auto"/>
                        <w:bottom w:val="none" w:sz="0" w:space="0" w:color="auto"/>
                        <w:right w:val="none" w:sz="0" w:space="0" w:color="auto"/>
                      </w:divBdr>
                    </w:div>
                  </w:divsChild>
                </w:div>
                <w:div w:id="1400135609">
                  <w:marLeft w:val="0"/>
                  <w:marRight w:val="0"/>
                  <w:marTop w:val="0"/>
                  <w:marBottom w:val="0"/>
                  <w:divBdr>
                    <w:top w:val="none" w:sz="0" w:space="0" w:color="auto"/>
                    <w:left w:val="none" w:sz="0" w:space="0" w:color="auto"/>
                    <w:bottom w:val="none" w:sz="0" w:space="0" w:color="auto"/>
                    <w:right w:val="none" w:sz="0" w:space="0" w:color="auto"/>
                  </w:divBdr>
                  <w:divsChild>
                    <w:div w:id="1396317548">
                      <w:marLeft w:val="0"/>
                      <w:marRight w:val="0"/>
                      <w:marTop w:val="0"/>
                      <w:marBottom w:val="0"/>
                      <w:divBdr>
                        <w:top w:val="none" w:sz="0" w:space="0" w:color="auto"/>
                        <w:left w:val="none" w:sz="0" w:space="0" w:color="auto"/>
                        <w:bottom w:val="none" w:sz="0" w:space="0" w:color="auto"/>
                        <w:right w:val="none" w:sz="0" w:space="0" w:color="auto"/>
                      </w:divBdr>
                    </w:div>
                  </w:divsChild>
                </w:div>
                <w:div w:id="1401126650">
                  <w:marLeft w:val="0"/>
                  <w:marRight w:val="0"/>
                  <w:marTop w:val="0"/>
                  <w:marBottom w:val="0"/>
                  <w:divBdr>
                    <w:top w:val="none" w:sz="0" w:space="0" w:color="auto"/>
                    <w:left w:val="none" w:sz="0" w:space="0" w:color="auto"/>
                    <w:bottom w:val="none" w:sz="0" w:space="0" w:color="auto"/>
                    <w:right w:val="none" w:sz="0" w:space="0" w:color="auto"/>
                  </w:divBdr>
                  <w:divsChild>
                    <w:div w:id="288903503">
                      <w:marLeft w:val="0"/>
                      <w:marRight w:val="0"/>
                      <w:marTop w:val="0"/>
                      <w:marBottom w:val="0"/>
                      <w:divBdr>
                        <w:top w:val="none" w:sz="0" w:space="0" w:color="auto"/>
                        <w:left w:val="none" w:sz="0" w:space="0" w:color="auto"/>
                        <w:bottom w:val="none" w:sz="0" w:space="0" w:color="auto"/>
                        <w:right w:val="none" w:sz="0" w:space="0" w:color="auto"/>
                      </w:divBdr>
                    </w:div>
                  </w:divsChild>
                </w:div>
                <w:div w:id="1405950535">
                  <w:marLeft w:val="0"/>
                  <w:marRight w:val="0"/>
                  <w:marTop w:val="0"/>
                  <w:marBottom w:val="0"/>
                  <w:divBdr>
                    <w:top w:val="none" w:sz="0" w:space="0" w:color="auto"/>
                    <w:left w:val="none" w:sz="0" w:space="0" w:color="auto"/>
                    <w:bottom w:val="none" w:sz="0" w:space="0" w:color="auto"/>
                    <w:right w:val="none" w:sz="0" w:space="0" w:color="auto"/>
                  </w:divBdr>
                  <w:divsChild>
                    <w:div w:id="1908614536">
                      <w:marLeft w:val="0"/>
                      <w:marRight w:val="0"/>
                      <w:marTop w:val="0"/>
                      <w:marBottom w:val="0"/>
                      <w:divBdr>
                        <w:top w:val="none" w:sz="0" w:space="0" w:color="auto"/>
                        <w:left w:val="none" w:sz="0" w:space="0" w:color="auto"/>
                        <w:bottom w:val="none" w:sz="0" w:space="0" w:color="auto"/>
                        <w:right w:val="none" w:sz="0" w:space="0" w:color="auto"/>
                      </w:divBdr>
                    </w:div>
                  </w:divsChild>
                </w:div>
                <w:div w:id="1414544097">
                  <w:marLeft w:val="0"/>
                  <w:marRight w:val="0"/>
                  <w:marTop w:val="0"/>
                  <w:marBottom w:val="0"/>
                  <w:divBdr>
                    <w:top w:val="none" w:sz="0" w:space="0" w:color="auto"/>
                    <w:left w:val="none" w:sz="0" w:space="0" w:color="auto"/>
                    <w:bottom w:val="none" w:sz="0" w:space="0" w:color="auto"/>
                    <w:right w:val="none" w:sz="0" w:space="0" w:color="auto"/>
                  </w:divBdr>
                  <w:divsChild>
                    <w:div w:id="735783834">
                      <w:marLeft w:val="0"/>
                      <w:marRight w:val="0"/>
                      <w:marTop w:val="0"/>
                      <w:marBottom w:val="0"/>
                      <w:divBdr>
                        <w:top w:val="none" w:sz="0" w:space="0" w:color="auto"/>
                        <w:left w:val="none" w:sz="0" w:space="0" w:color="auto"/>
                        <w:bottom w:val="none" w:sz="0" w:space="0" w:color="auto"/>
                        <w:right w:val="none" w:sz="0" w:space="0" w:color="auto"/>
                      </w:divBdr>
                    </w:div>
                  </w:divsChild>
                </w:div>
                <w:div w:id="1512642531">
                  <w:marLeft w:val="0"/>
                  <w:marRight w:val="0"/>
                  <w:marTop w:val="0"/>
                  <w:marBottom w:val="0"/>
                  <w:divBdr>
                    <w:top w:val="none" w:sz="0" w:space="0" w:color="auto"/>
                    <w:left w:val="none" w:sz="0" w:space="0" w:color="auto"/>
                    <w:bottom w:val="none" w:sz="0" w:space="0" w:color="auto"/>
                    <w:right w:val="none" w:sz="0" w:space="0" w:color="auto"/>
                  </w:divBdr>
                  <w:divsChild>
                    <w:div w:id="1713112096">
                      <w:marLeft w:val="0"/>
                      <w:marRight w:val="0"/>
                      <w:marTop w:val="0"/>
                      <w:marBottom w:val="0"/>
                      <w:divBdr>
                        <w:top w:val="none" w:sz="0" w:space="0" w:color="auto"/>
                        <w:left w:val="none" w:sz="0" w:space="0" w:color="auto"/>
                        <w:bottom w:val="none" w:sz="0" w:space="0" w:color="auto"/>
                        <w:right w:val="none" w:sz="0" w:space="0" w:color="auto"/>
                      </w:divBdr>
                    </w:div>
                  </w:divsChild>
                </w:div>
                <w:div w:id="1624727457">
                  <w:marLeft w:val="0"/>
                  <w:marRight w:val="0"/>
                  <w:marTop w:val="0"/>
                  <w:marBottom w:val="0"/>
                  <w:divBdr>
                    <w:top w:val="none" w:sz="0" w:space="0" w:color="auto"/>
                    <w:left w:val="none" w:sz="0" w:space="0" w:color="auto"/>
                    <w:bottom w:val="none" w:sz="0" w:space="0" w:color="auto"/>
                    <w:right w:val="none" w:sz="0" w:space="0" w:color="auto"/>
                  </w:divBdr>
                  <w:divsChild>
                    <w:div w:id="1289891636">
                      <w:marLeft w:val="0"/>
                      <w:marRight w:val="0"/>
                      <w:marTop w:val="0"/>
                      <w:marBottom w:val="0"/>
                      <w:divBdr>
                        <w:top w:val="none" w:sz="0" w:space="0" w:color="auto"/>
                        <w:left w:val="none" w:sz="0" w:space="0" w:color="auto"/>
                        <w:bottom w:val="none" w:sz="0" w:space="0" w:color="auto"/>
                        <w:right w:val="none" w:sz="0" w:space="0" w:color="auto"/>
                      </w:divBdr>
                    </w:div>
                  </w:divsChild>
                </w:div>
                <w:div w:id="1651717208">
                  <w:marLeft w:val="0"/>
                  <w:marRight w:val="0"/>
                  <w:marTop w:val="0"/>
                  <w:marBottom w:val="0"/>
                  <w:divBdr>
                    <w:top w:val="none" w:sz="0" w:space="0" w:color="auto"/>
                    <w:left w:val="none" w:sz="0" w:space="0" w:color="auto"/>
                    <w:bottom w:val="none" w:sz="0" w:space="0" w:color="auto"/>
                    <w:right w:val="none" w:sz="0" w:space="0" w:color="auto"/>
                  </w:divBdr>
                  <w:divsChild>
                    <w:div w:id="1212107453">
                      <w:marLeft w:val="0"/>
                      <w:marRight w:val="0"/>
                      <w:marTop w:val="0"/>
                      <w:marBottom w:val="0"/>
                      <w:divBdr>
                        <w:top w:val="none" w:sz="0" w:space="0" w:color="auto"/>
                        <w:left w:val="none" w:sz="0" w:space="0" w:color="auto"/>
                        <w:bottom w:val="none" w:sz="0" w:space="0" w:color="auto"/>
                        <w:right w:val="none" w:sz="0" w:space="0" w:color="auto"/>
                      </w:divBdr>
                    </w:div>
                  </w:divsChild>
                </w:div>
                <w:div w:id="1745757276">
                  <w:marLeft w:val="0"/>
                  <w:marRight w:val="0"/>
                  <w:marTop w:val="0"/>
                  <w:marBottom w:val="0"/>
                  <w:divBdr>
                    <w:top w:val="none" w:sz="0" w:space="0" w:color="auto"/>
                    <w:left w:val="none" w:sz="0" w:space="0" w:color="auto"/>
                    <w:bottom w:val="none" w:sz="0" w:space="0" w:color="auto"/>
                    <w:right w:val="none" w:sz="0" w:space="0" w:color="auto"/>
                  </w:divBdr>
                  <w:divsChild>
                    <w:div w:id="1558512770">
                      <w:marLeft w:val="0"/>
                      <w:marRight w:val="0"/>
                      <w:marTop w:val="0"/>
                      <w:marBottom w:val="0"/>
                      <w:divBdr>
                        <w:top w:val="none" w:sz="0" w:space="0" w:color="auto"/>
                        <w:left w:val="none" w:sz="0" w:space="0" w:color="auto"/>
                        <w:bottom w:val="none" w:sz="0" w:space="0" w:color="auto"/>
                        <w:right w:val="none" w:sz="0" w:space="0" w:color="auto"/>
                      </w:divBdr>
                    </w:div>
                  </w:divsChild>
                </w:div>
                <w:div w:id="1783916720">
                  <w:marLeft w:val="0"/>
                  <w:marRight w:val="0"/>
                  <w:marTop w:val="0"/>
                  <w:marBottom w:val="0"/>
                  <w:divBdr>
                    <w:top w:val="none" w:sz="0" w:space="0" w:color="auto"/>
                    <w:left w:val="none" w:sz="0" w:space="0" w:color="auto"/>
                    <w:bottom w:val="none" w:sz="0" w:space="0" w:color="auto"/>
                    <w:right w:val="none" w:sz="0" w:space="0" w:color="auto"/>
                  </w:divBdr>
                  <w:divsChild>
                    <w:div w:id="978997423">
                      <w:marLeft w:val="0"/>
                      <w:marRight w:val="0"/>
                      <w:marTop w:val="0"/>
                      <w:marBottom w:val="0"/>
                      <w:divBdr>
                        <w:top w:val="none" w:sz="0" w:space="0" w:color="auto"/>
                        <w:left w:val="none" w:sz="0" w:space="0" w:color="auto"/>
                        <w:bottom w:val="none" w:sz="0" w:space="0" w:color="auto"/>
                        <w:right w:val="none" w:sz="0" w:space="0" w:color="auto"/>
                      </w:divBdr>
                    </w:div>
                  </w:divsChild>
                </w:div>
                <w:div w:id="1787500575">
                  <w:marLeft w:val="0"/>
                  <w:marRight w:val="0"/>
                  <w:marTop w:val="0"/>
                  <w:marBottom w:val="0"/>
                  <w:divBdr>
                    <w:top w:val="none" w:sz="0" w:space="0" w:color="auto"/>
                    <w:left w:val="none" w:sz="0" w:space="0" w:color="auto"/>
                    <w:bottom w:val="none" w:sz="0" w:space="0" w:color="auto"/>
                    <w:right w:val="none" w:sz="0" w:space="0" w:color="auto"/>
                  </w:divBdr>
                  <w:divsChild>
                    <w:div w:id="1355962617">
                      <w:marLeft w:val="0"/>
                      <w:marRight w:val="0"/>
                      <w:marTop w:val="0"/>
                      <w:marBottom w:val="0"/>
                      <w:divBdr>
                        <w:top w:val="none" w:sz="0" w:space="0" w:color="auto"/>
                        <w:left w:val="none" w:sz="0" w:space="0" w:color="auto"/>
                        <w:bottom w:val="none" w:sz="0" w:space="0" w:color="auto"/>
                        <w:right w:val="none" w:sz="0" w:space="0" w:color="auto"/>
                      </w:divBdr>
                    </w:div>
                  </w:divsChild>
                </w:div>
                <w:div w:id="1803385204">
                  <w:marLeft w:val="0"/>
                  <w:marRight w:val="0"/>
                  <w:marTop w:val="0"/>
                  <w:marBottom w:val="0"/>
                  <w:divBdr>
                    <w:top w:val="none" w:sz="0" w:space="0" w:color="auto"/>
                    <w:left w:val="none" w:sz="0" w:space="0" w:color="auto"/>
                    <w:bottom w:val="none" w:sz="0" w:space="0" w:color="auto"/>
                    <w:right w:val="none" w:sz="0" w:space="0" w:color="auto"/>
                  </w:divBdr>
                  <w:divsChild>
                    <w:div w:id="933247703">
                      <w:marLeft w:val="0"/>
                      <w:marRight w:val="0"/>
                      <w:marTop w:val="0"/>
                      <w:marBottom w:val="0"/>
                      <w:divBdr>
                        <w:top w:val="none" w:sz="0" w:space="0" w:color="auto"/>
                        <w:left w:val="none" w:sz="0" w:space="0" w:color="auto"/>
                        <w:bottom w:val="none" w:sz="0" w:space="0" w:color="auto"/>
                        <w:right w:val="none" w:sz="0" w:space="0" w:color="auto"/>
                      </w:divBdr>
                    </w:div>
                  </w:divsChild>
                </w:div>
                <w:div w:id="1899969310">
                  <w:marLeft w:val="0"/>
                  <w:marRight w:val="0"/>
                  <w:marTop w:val="0"/>
                  <w:marBottom w:val="0"/>
                  <w:divBdr>
                    <w:top w:val="none" w:sz="0" w:space="0" w:color="auto"/>
                    <w:left w:val="none" w:sz="0" w:space="0" w:color="auto"/>
                    <w:bottom w:val="none" w:sz="0" w:space="0" w:color="auto"/>
                    <w:right w:val="none" w:sz="0" w:space="0" w:color="auto"/>
                  </w:divBdr>
                  <w:divsChild>
                    <w:div w:id="1687364757">
                      <w:marLeft w:val="0"/>
                      <w:marRight w:val="0"/>
                      <w:marTop w:val="0"/>
                      <w:marBottom w:val="0"/>
                      <w:divBdr>
                        <w:top w:val="none" w:sz="0" w:space="0" w:color="auto"/>
                        <w:left w:val="none" w:sz="0" w:space="0" w:color="auto"/>
                        <w:bottom w:val="none" w:sz="0" w:space="0" w:color="auto"/>
                        <w:right w:val="none" w:sz="0" w:space="0" w:color="auto"/>
                      </w:divBdr>
                    </w:div>
                  </w:divsChild>
                </w:div>
                <w:div w:id="1993828855">
                  <w:marLeft w:val="0"/>
                  <w:marRight w:val="0"/>
                  <w:marTop w:val="0"/>
                  <w:marBottom w:val="0"/>
                  <w:divBdr>
                    <w:top w:val="none" w:sz="0" w:space="0" w:color="auto"/>
                    <w:left w:val="none" w:sz="0" w:space="0" w:color="auto"/>
                    <w:bottom w:val="none" w:sz="0" w:space="0" w:color="auto"/>
                    <w:right w:val="none" w:sz="0" w:space="0" w:color="auto"/>
                  </w:divBdr>
                  <w:divsChild>
                    <w:div w:id="1301694092">
                      <w:marLeft w:val="0"/>
                      <w:marRight w:val="0"/>
                      <w:marTop w:val="0"/>
                      <w:marBottom w:val="0"/>
                      <w:divBdr>
                        <w:top w:val="none" w:sz="0" w:space="0" w:color="auto"/>
                        <w:left w:val="none" w:sz="0" w:space="0" w:color="auto"/>
                        <w:bottom w:val="none" w:sz="0" w:space="0" w:color="auto"/>
                        <w:right w:val="none" w:sz="0" w:space="0" w:color="auto"/>
                      </w:divBdr>
                    </w:div>
                  </w:divsChild>
                </w:div>
                <w:div w:id="2009013386">
                  <w:marLeft w:val="0"/>
                  <w:marRight w:val="0"/>
                  <w:marTop w:val="0"/>
                  <w:marBottom w:val="0"/>
                  <w:divBdr>
                    <w:top w:val="none" w:sz="0" w:space="0" w:color="auto"/>
                    <w:left w:val="none" w:sz="0" w:space="0" w:color="auto"/>
                    <w:bottom w:val="none" w:sz="0" w:space="0" w:color="auto"/>
                    <w:right w:val="none" w:sz="0" w:space="0" w:color="auto"/>
                  </w:divBdr>
                  <w:divsChild>
                    <w:div w:id="1697121417">
                      <w:marLeft w:val="0"/>
                      <w:marRight w:val="0"/>
                      <w:marTop w:val="0"/>
                      <w:marBottom w:val="0"/>
                      <w:divBdr>
                        <w:top w:val="none" w:sz="0" w:space="0" w:color="auto"/>
                        <w:left w:val="none" w:sz="0" w:space="0" w:color="auto"/>
                        <w:bottom w:val="none" w:sz="0" w:space="0" w:color="auto"/>
                        <w:right w:val="none" w:sz="0" w:space="0" w:color="auto"/>
                      </w:divBdr>
                    </w:div>
                  </w:divsChild>
                </w:div>
                <w:div w:id="2034333576">
                  <w:marLeft w:val="0"/>
                  <w:marRight w:val="0"/>
                  <w:marTop w:val="0"/>
                  <w:marBottom w:val="0"/>
                  <w:divBdr>
                    <w:top w:val="none" w:sz="0" w:space="0" w:color="auto"/>
                    <w:left w:val="none" w:sz="0" w:space="0" w:color="auto"/>
                    <w:bottom w:val="none" w:sz="0" w:space="0" w:color="auto"/>
                    <w:right w:val="none" w:sz="0" w:space="0" w:color="auto"/>
                  </w:divBdr>
                  <w:divsChild>
                    <w:div w:id="33427807">
                      <w:marLeft w:val="0"/>
                      <w:marRight w:val="0"/>
                      <w:marTop w:val="0"/>
                      <w:marBottom w:val="0"/>
                      <w:divBdr>
                        <w:top w:val="none" w:sz="0" w:space="0" w:color="auto"/>
                        <w:left w:val="none" w:sz="0" w:space="0" w:color="auto"/>
                        <w:bottom w:val="none" w:sz="0" w:space="0" w:color="auto"/>
                        <w:right w:val="none" w:sz="0" w:space="0" w:color="auto"/>
                      </w:divBdr>
                    </w:div>
                  </w:divsChild>
                </w:div>
                <w:div w:id="2057926523">
                  <w:marLeft w:val="0"/>
                  <w:marRight w:val="0"/>
                  <w:marTop w:val="0"/>
                  <w:marBottom w:val="0"/>
                  <w:divBdr>
                    <w:top w:val="none" w:sz="0" w:space="0" w:color="auto"/>
                    <w:left w:val="none" w:sz="0" w:space="0" w:color="auto"/>
                    <w:bottom w:val="none" w:sz="0" w:space="0" w:color="auto"/>
                    <w:right w:val="none" w:sz="0" w:space="0" w:color="auto"/>
                  </w:divBdr>
                  <w:divsChild>
                    <w:div w:id="190953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647910">
          <w:marLeft w:val="0"/>
          <w:marRight w:val="0"/>
          <w:marTop w:val="0"/>
          <w:marBottom w:val="0"/>
          <w:divBdr>
            <w:top w:val="none" w:sz="0" w:space="0" w:color="auto"/>
            <w:left w:val="none" w:sz="0" w:space="0" w:color="auto"/>
            <w:bottom w:val="none" w:sz="0" w:space="0" w:color="auto"/>
            <w:right w:val="none" w:sz="0" w:space="0" w:color="auto"/>
          </w:divBdr>
        </w:div>
        <w:div w:id="792477366">
          <w:marLeft w:val="0"/>
          <w:marRight w:val="0"/>
          <w:marTop w:val="0"/>
          <w:marBottom w:val="0"/>
          <w:divBdr>
            <w:top w:val="none" w:sz="0" w:space="0" w:color="auto"/>
            <w:left w:val="none" w:sz="0" w:space="0" w:color="auto"/>
            <w:bottom w:val="none" w:sz="0" w:space="0" w:color="auto"/>
            <w:right w:val="none" w:sz="0" w:space="0" w:color="auto"/>
          </w:divBdr>
        </w:div>
        <w:div w:id="835264469">
          <w:marLeft w:val="0"/>
          <w:marRight w:val="0"/>
          <w:marTop w:val="0"/>
          <w:marBottom w:val="0"/>
          <w:divBdr>
            <w:top w:val="none" w:sz="0" w:space="0" w:color="auto"/>
            <w:left w:val="none" w:sz="0" w:space="0" w:color="auto"/>
            <w:bottom w:val="none" w:sz="0" w:space="0" w:color="auto"/>
            <w:right w:val="none" w:sz="0" w:space="0" w:color="auto"/>
          </w:divBdr>
        </w:div>
        <w:div w:id="871920198">
          <w:marLeft w:val="0"/>
          <w:marRight w:val="0"/>
          <w:marTop w:val="0"/>
          <w:marBottom w:val="0"/>
          <w:divBdr>
            <w:top w:val="none" w:sz="0" w:space="0" w:color="auto"/>
            <w:left w:val="none" w:sz="0" w:space="0" w:color="auto"/>
            <w:bottom w:val="none" w:sz="0" w:space="0" w:color="auto"/>
            <w:right w:val="none" w:sz="0" w:space="0" w:color="auto"/>
          </w:divBdr>
        </w:div>
        <w:div w:id="1382053774">
          <w:marLeft w:val="0"/>
          <w:marRight w:val="0"/>
          <w:marTop w:val="0"/>
          <w:marBottom w:val="0"/>
          <w:divBdr>
            <w:top w:val="none" w:sz="0" w:space="0" w:color="auto"/>
            <w:left w:val="none" w:sz="0" w:space="0" w:color="auto"/>
            <w:bottom w:val="none" w:sz="0" w:space="0" w:color="auto"/>
            <w:right w:val="none" w:sz="0" w:space="0" w:color="auto"/>
          </w:divBdr>
          <w:divsChild>
            <w:div w:id="2034531566">
              <w:marLeft w:val="0"/>
              <w:marRight w:val="0"/>
              <w:marTop w:val="30"/>
              <w:marBottom w:val="30"/>
              <w:divBdr>
                <w:top w:val="none" w:sz="0" w:space="0" w:color="auto"/>
                <w:left w:val="none" w:sz="0" w:space="0" w:color="auto"/>
                <w:bottom w:val="none" w:sz="0" w:space="0" w:color="auto"/>
                <w:right w:val="none" w:sz="0" w:space="0" w:color="auto"/>
              </w:divBdr>
              <w:divsChild>
                <w:div w:id="39593743">
                  <w:marLeft w:val="0"/>
                  <w:marRight w:val="0"/>
                  <w:marTop w:val="0"/>
                  <w:marBottom w:val="0"/>
                  <w:divBdr>
                    <w:top w:val="none" w:sz="0" w:space="0" w:color="auto"/>
                    <w:left w:val="none" w:sz="0" w:space="0" w:color="auto"/>
                    <w:bottom w:val="none" w:sz="0" w:space="0" w:color="auto"/>
                    <w:right w:val="none" w:sz="0" w:space="0" w:color="auto"/>
                  </w:divBdr>
                  <w:divsChild>
                    <w:div w:id="1754161242">
                      <w:marLeft w:val="0"/>
                      <w:marRight w:val="0"/>
                      <w:marTop w:val="0"/>
                      <w:marBottom w:val="0"/>
                      <w:divBdr>
                        <w:top w:val="none" w:sz="0" w:space="0" w:color="auto"/>
                        <w:left w:val="none" w:sz="0" w:space="0" w:color="auto"/>
                        <w:bottom w:val="none" w:sz="0" w:space="0" w:color="auto"/>
                        <w:right w:val="none" w:sz="0" w:space="0" w:color="auto"/>
                      </w:divBdr>
                    </w:div>
                  </w:divsChild>
                </w:div>
                <w:div w:id="48655386">
                  <w:marLeft w:val="0"/>
                  <w:marRight w:val="0"/>
                  <w:marTop w:val="0"/>
                  <w:marBottom w:val="0"/>
                  <w:divBdr>
                    <w:top w:val="none" w:sz="0" w:space="0" w:color="auto"/>
                    <w:left w:val="none" w:sz="0" w:space="0" w:color="auto"/>
                    <w:bottom w:val="none" w:sz="0" w:space="0" w:color="auto"/>
                    <w:right w:val="none" w:sz="0" w:space="0" w:color="auto"/>
                  </w:divBdr>
                  <w:divsChild>
                    <w:div w:id="936207314">
                      <w:marLeft w:val="0"/>
                      <w:marRight w:val="0"/>
                      <w:marTop w:val="0"/>
                      <w:marBottom w:val="0"/>
                      <w:divBdr>
                        <w:top w:val="none" w:sz="0" w:space="0" w:color="auto"/>
                        <w:left w:val="none" w:sz="0" w:space="0" w:color="auto"/>
                        <w:bottom w:val="none" w:sz="0" w:space="0" w:color="auto"/>
                        <w:right w:val="none" w:sz="0" w:space="0" w:color="auto"/>
                      </w:divBdr>
                    </w:div>
                  </w:divsChild>
                </w:div>
                <w:div w:id="54133093">
                  <w:marLeft w:val="0"/>
                  <w:marRight w:val="0"/>
                  <w:marTop w:val="0"/>
                  <w:marBottom w:val="0"/>
                  <w:divBdr>
                    <w:top w:val="none" w:sz="0" w:space="0" w:color="auto"/>
                    <w:left w:val="none" w:sz="0" w:space="0" w:color="auto"/>
                    <w:bottom w:val="none" w:sz="0" w:space="0" w:color="auto"/>
                    <w:right w:val="none" w:sz="0" w:space="0" w:color="auto"/>
                  </w:divBdr>
                  <w:divsChild>
                    <w:div w:id="1023672417">
                      <w:marLeft w:val="0"/>
                      <w:marRight w:val="0"/>
                      <w:marTop w:val="0"/>
                      <w:marBottom w:val="0"/>
                      <w:divBdr>
                        <w:top w:val="none" w:sz="0" w:space="0" w:color="auto"/>
                        <w:left w:val="none" w:sz="0" w:space="0" w:color="auto"/>
                        <w:bottom w:val="none" w:sz="0" w:space="0" w:color="auto"/>
                        <w:right w:val="none" w:sz="0" w:space="0" w:color="auto"/>
                      </w:divBdr>
                    </w:div>
                  </w:divsChild>
                </w:div>
                <w:div w:id="64885324">
                  <w:marLeft w:val="0"/>
                  <w:marRight w:val="0"/>
                  <w:marTop w:val="0"/>
                  <w:marBottom w:val="0"/>
                  <w:divBdr>
                    <w:top w:val="none" w:sz="0" w:space="0" w:color="auto"/>
                    <w:left w:val="none" w:sz="0" w:space="0" w:color="auto"/>
                    <w:bottom w:val="none" w:sz="0" w:space="0" w:color="auto"/>
                    <w:right w:val="none" w:sz="0" w:space="0" w:color="auto"/>
                  </w:divBdr>
                  <w:divsChild>
                    <w:div w:id="702442644">
                      <w:marLeft w:val="0"/>
                      <w:marRight w:val="0"/>
                      <w:marTop w:val="0"/>
                      <w:marBottom w:val="0"/>
                      <w:divBdr>
                        <w:top w:val="none" w:sz="0" w:space="0" w:color="auto"/>
                        <w:left w:val="none" w:sz="0" w:space="0" w:color="auto"/>
                        <w:bottom w:val="none" w:sz="0" w:space="0" w:color="auto"/>
                        <w:right w:val="none" w:sz="0" w:space="0" w:color="auto"/>
                      </w:divBdr>
                    </w:div>
                  </w:divsChild>
                </w:div>
                <w:div w:id="93090096">
                  <w:marLeft w:val="0"/>
                  <w:marRight w:val="0"/>
                  <w:marTop w:val="0"/>
                  <w:marBottom w:val="0"/>
                  <w:divBdr>
                    <w:top w:val="none" w:sz="0" w:space="0" w:color="auto"/>
                    <w:left w:val="none" w:sz="0" w:space="0" w:color="auto"/>
                    <w:bottom w:val="none" w:sz="0" w:space="0" w:color="auto"/>
                    <w:right w:val="none" w:sz="0" w:space="0" w:color="auto"/>
                  </w:divBdr>
                  <w:divsChild>
                    <w:div w:id="1964461131">
                      <w:marLeft w:val="0"/>
                      <w:marRight w:val="0"/>
                      <w:marTop w:val="0"/>
                      <w:marBottom w:val="0"/>
                      <w:divBdr>
                        <w:top w:val="none" w:sz="0" w:space="0" w:color="auto"/>
                        <w:left w:val="none" w:sz="0" w:space="0" w:color="auto"/>
                        <w:bottom w:val="none" w:sz="0" w:space="0" w:color="auto"/>
                        <w:right w:val="none" w:sz="0" w:space="0" w:color="auto"/>
                      </w:divBdr>
                    </w:div>
                  </w:divsChild>
                </w:div>
                <w:div w:id="117652108">
                  <w:marLeft w:val="0"/>
                  <w:marRight w:val="0"/>
                  <w:marTop w:val="0"/>
                  <w:marBottom w:val="0"/>
                  <w:divBdr>
                    <w:top w:val="none" w:sz="0" w:space="0" w:color="auto"/>
                    <w:left w:val="none" w:sz="0" w:space="0" w:color="auto"/>
                    <w:bottom w:val="none" w:sz="0" w:space="0" w:color="auto"/>
                    <w:right w:val="none" w:sz="0" w:space="0" w:color="auto"/>
                  </w:divBdr>
                  <w:divsChild>
                    <w:div w:id="704523230">
                      <w:marLeft w:val="0"/>
                      <w:marRight w:val="0"/>
                      <w:marTop w:val="0"/>
                      <w:marBottom w:val="0"/>
                      <w:divBdr>
                        <w:top w:val="none" w:sz="0" w:space="0" w:color="auto"/>
                        <w:left w:val="none" w:sz="0" w:space="0" w:color="auto"/>
                        <w:bottom w:val="none" w:sz="0" w:space="0" w:color="auto"/>
                        <w:right w:val="none" w:sz="0" w:space="0" w:color="auto"/>
                      </w:divBdr>
                    </w:div>
                  </w:divsChild>
                </w:div>
                <w:div w:id="174267185">
                  <w:marLeft w:val="0"/>
                  <w:marRight w:val="0"/>
                  <w:marTop w:val="0"/>
                  <w:marBottom w:val="0"/>
                  <w:divBdr>
                    <w:top w:val="none" w:sz="0" w:space="0" w:color="auto"/>
                    <w:left w:val="none" w:sz="0" w:space="0" w:color="auto"/>
                    <w:bottom w:val="none" w:sz="0" w:space="0" w:color="auto"/>
                    <w:right w:val="none" w:sz="0" w:space="0" w:color="auto"/>
                  </w:divBdr>
                  <w:divsChild>
                    <w:div w:id="1556698235">
                      <w:marLeft w:val="0"/>
                      <w:marRight w:val="0"/>
                      <w:marTop w:val="0"/>
                      <w:marBottom w:val="0"/>
                      <w:divBdr>
                        <w:top w:val="none" w:sz="0" w:space="0" w:color="auto"/>
                        <w:left w:val="none" w:sz="0" w:space="0" w:color="auto"/>
                        <w:bottom w:val="none" w:sz="0" w:space="0" w:color="auto"/>
                        <w:right w:val="none" w:sz="0" w:space="0" w:color="auto"/>
                      </w:divBdr>
                    </w:div>
                  </w:divsChild>
                </w:div>
                <w:div w:id="179658864">
                  <w:marLeft w:val="0"/>
                  <w:marRight w:val="0"/>
                  <w:marTop w:val="0"/>
                  <w:marBottom w:val="0"/>
                  <w:divBdr>
                    <w:top w:val="none" w:sz="0" w:space="0" w:color="auto"/>
                    <w:left w:val="none" w:sz="0" w:space="0" w:color="auto"/>
                    <w:bottom w:val="none" w:sz="0" w:space="0" w:color="auto"/>
                    <w:right w:val="none" w:sz="0" w:space="0" w:color="auto"/>
                  </w:divBdr>
                  <w:divsChild>
                    <w:div w:id="1176654560">
                      <w:marLeft w:val="0"/>
                      <w:marRight w:val="0"/>
                      <w:marTop w:val="0"/>
                      <w:marBottom w:val="0"/>
                      <w:divBdr>
                        <w:top w:val="none" w:sz="0" w:space="0" w:color="auto"/>
                        <w:left w:val="none" w:sz="0" w:space="0" w:color="auto"/>
                        <w:bottom w:val="none" w:sz="0" w:space="0" w:color="auto"/>
                        <w:right w:val="none" w:sz="0" w:space="0" w:color="auto"/>
                      </w:divBdr>
                    </w:div>
                  </w:divsChild>
                </w:div>
                <w:div w:id="241065188">
                  <w:marLeft w:val="0"/>
                  <w:marRight w:val="0"/>
                  <w:marTop w:val="0"/>
                  <w:marBottom w:val="0"/>
                  <w:divBdr>
                    <w:top w:val="none" w:sz="0" w:space="0" w:color="auto"/>
                    <w:left w:val="none" w:sz="0" w:space="0" w:color="auto"/>
                    <w:bottom w:val="none" w:sz="0" w:space="0" w:color="auto"/>
                    <w:right w:val="none" w:sz="0" w:space="0" w:color="auto"/>
                  </w:divBdr>
                  <w:divsChild>
                    <w:div w:id="1135678966">
                      <w:marLeft w:val="0"/>
                      <w:marRight w:val="0"/>
                      <w:marTop w:val="0"/>
                      <w:marBottom w:val="0"/>
                      <w:divBdr>
                        <w:top w:val="none" w:sz="0" w:space="0" w:color="auto"/>
                        <w:left w:val="none" w:sz="0" w:space="0" w:color="auto"/>
                        <w:bottom w:val="none" w:sz="0" w:space="0" w:color="auto"/>
                        <w:right w:val="none" w:sz="0" w:space="0" w:color="auto"/>
                      </w:divBdr>
                    </w:div>
                  </w:divsChild>
                </w:div>
                <w:div w:id="451939772">
                  <w:marLeft w:val="0"/>
                  <w:marRight w:val="0"/>
                  <w:marTop w:val="0"/>
                  <w:marBottom w:val="0"/>
                  <w:divBdr>
                    <w:top w:val="none" w:sz="0" w:space="0" w:color="auto"/>
                    <w:left w:val="none" w:sz="0" w:space="0" w:color="auto"/>
                    <w:bottom w:val="none" w:sz="0" w:space="0" w:color="auto"/>
                    <w:right w:val="none" w:sz="0" w:space="0" w:color="auto"/>
                  </w:divBdr>
                  <w:divsChild>
                    <w:div w:id="564797683">
                      <w:marLeft w:val="0"/>
                      <w:marRight w:val="0"/>
                      <w:marTop w:val="0"/>
                      <w:marBottom w:val="0"/>
                      <w:divBdr>
                        <w:top w:val="none" w:sz="0" w:space="0" w:color="auto"/>
                        <w:left w:val="none" w:sz="0" w:space="0" w:color="auto"/>
                        <w:bottom w:val="none" w:sz="0" w:space="0" w:color="auto"/>
                        <w:right w:val="none" w:sz="0" w:space="0" w:color="auto"/>
                      </w:divBdr>
                    </w:div>
                  </w:divsChild>
                </w:div>
                <w:div w:id="485632114">
                  <w:marLeft w:val="0"/>
                  <w:marRight w:val="0"/>
                  <w:marTop w:val="0"/>
                  <w:marBottom w:val="0"/>
                  <w:divBdr>
                    <w:top w:val="none" w:sz="0" w:space="0" w:color="auto"/>
                    <w:left w:val="none" w:sz="0" w:space="0" w:color="auto"/>
                    <w:bottom w:val="none" w:sz="0" w:space="0" w:color="auto"/>
                    <w:right w:val="none" w:sz="0" w:space="0" w:color="auto"/>
                  </w:divBdr>
                  <w:divsChild>
                    <w:div w:id="1022588543">
                      <w:marLeft w:val="0"/>
                      <w:marRight w:val="0"/>
                      <w:marTop w:val="0"/>
                      <w:marBottom w:val="0"/>
                      <w:divBdr>
                        <w:top w:val="none" w:sz="0" w:space="0" w:color="auto"/>
                        <w:left w:val="none" w:sz="0" w:space="0" w:color="auto"/>
                        <w:bottom w:val="none" w:sz="0" w:space="0" w:color="auto"/>
                        <w:right w:val="none" w:sz="0" w:space="0" w:color="auto"/>
                      </w:divBdr>
                    </w:div>
                  </w:divsChild>
                </w:div>
                <w:div w:id="511918260">
                  <w:marLeft w:val="0"/>
                  <w:marRight w:val="0"/>
                  <w:marTop w:val="0"/>
                  <w:marBottom w:val="0"/>
                  <w:divBdr>
                    <w:top w:val="none" w:sz="0" w:space="0" w:color="auto"/>
                    <w:left w:val="none" w:sz="0" w:space="0" w:color="auto"/>
                    <w:bottom w:val="none" w:sz="0" w:space="0" w:color="auto"/>
                    <w:right w:val="none" w:sz="0" w:space="0" w:color="auto"/>
                  </w:divBdr>
                  <w:divsChild>
                    <w:div w:id="1018697707">
                      <w:marLeft w:val="0"/>
                      <w:marRight w:val="0"/>
                      <w:marTop w:val="0"/>
                      <w:marBottom w:val="0"/>
                      <w:divBdr>
                        <w:top w:val="none" w:sz="0" w:space="0" w:color="auto"/>
                        <w:left w:val="none" w:sz="0" w:space="0" w:color="auto"/>
                        <w:bottom w:val="none" w:sz="0" w:space="0" w:color="auto"/>
                        <w:right w:val="none" w:sz="0" w:space="0" w:color="auto"/>
                      </w:divBdr>
                    </w:div>
                  </w:divsChild>
                </w:div>
                <w:div w:id="542444910">
                  <w:marLeft w:val="0"/>
                  <w:marRight w:val="0"/>
                  <w:marTop w:val="0"/>
                  <w:marBottom w:val="0"/>
                  <w:divBdr>
                    <w:top w:val="none" w:sz="0" w:space="0" w:color="auto"/>
                    <w:left w:val="none" w:sz="0" w:space="0" w:color="auto"/>
                    <w:bottom w:val="none" w:sz="0" w:space="0" w:color="auto"/>
                    <w:right w:val="none" w:sz="0" w:space="0" w:color="auto"/>
                  </w:divBdr>
                  <w:divsChild>
                    <w:div w:id="1224607722">
                      <w:marLeft w:val="0"/>
                      <w:marRight w:val="0"/>
                      <w:marTop w:val="0"/>
                      <w:marBottom w:val="0"/>
                      <w:divBdr>
                        <w:top w:val="none" w:sz="0" w:space="0" w:color="auto"/>
                        <w:left w:val="none" w:sz="0" w:space="0" w:color="auto"/>
                        <w:bottom w:val="none" w:sz="0" w:space="0" w:color="auto"/>
                        <w:right w:val="none" w:sz="0" w:space="0" w:color="auto"/>
                      </w:divBdr>
                    </w:div>
                  </w:divsChild>
                </w:div>
                <w:div w:id="553203846">
                  <w:marLeft w:val="0"/>
                  <w:marRight w:val="0"/>
                  <w:marTop w:val="0"/>
                  <w:marBottom w:val="0"/>
                  <w:divBdr>
                    <w:top w:val="none" w:sz="0" w:space="0" w:color="auto"/>
                    <w:left w:val="none" w:sz="0" w:space="0" w:color="auto"/>
                    <w:bottom w:val="none" w:sz="0" w:space="0" w:color="auto"/>
                    <w:right w:val="none" w:sz="0" w:space="0" w:color="auto"/>
                  </w:divBdr>
                  <w:divsChild>
                    <w:div w:id="632171954">
                      <w:marLeft w:val="0"/>
                      <w:marRight w:val="0"/>
                      <w:marTop w:val="0"/>
                      <w:marBottom w:val="0"/>
                      <w:divBdr>
                        <w:top w:val="none" w:sz="0" w:space="0" w:color="auto"/>
                        <w:left w:val="none" w:sz="0" w:space="0" w:color="auto"/>
                        <w:bottom w:val="none" w:sz="0" w:space="0" w:color="auto"/>
                        <w:right w:val="none" w:sz="0" w:space="0" w:color="auto"/>
                      </w:divBdr>
                    </w:div>
                  </w:divsChild>
                </w:div>
                <w:div w:id="611286057">
                  <w:marLeft w:val="0"/>
                  <w:marRight w:val="0"/>
                  <w:marTop w:val="0"/>
                  <w:marBottom w:val="0"/>
                  <w:divBdr>
                    <w:top w:val="none" w:sz="0" w:space="0" w:color="auto"/>
                    <w:left w:val="none" w:sz="0" w:space="0" w:color="auto"/>
                    <w:bottom w:val="none" w:sz="0" w:space="0" w:color="auto"/>
                    <w:right w:val="none" w:sz="0" w:space="0" w:color="auto"/>
                  </w:divBdr>
                  <w:divsChild>
                    <w:div w:id="967972303">
                      <w:marLeft w:val="0"/>
                      <w:marRight w:val="0"/>
                      <w:marTop w:val="0"/>
                      <w:marBottom w:val="0"/>
                      <w:divBdr>
                        <w:top w:val="none" w:sz="0" w:space="0" w:color="auto"/>
                        <w:left w:val="none" w:sz="0" w:space="0" w:color="auto"/>
                        <w:bottom w:val="none" w:sz="0" w:space="0" w:color="auto"/>
                        <w:right w:val="none" w:sz="0" w:space="0" w:color="auto"/>
                      </w:divBdr>
                    </w:div>
                  </w:divsChild>
                </w:div>
                <w:div w:id="633945957">
                  <w:marLeft w:val="0"/>
                  <w:marRight w:val="0"/>
                  <w:marTop w:val="0"/>
                  <w:marBottom w:val="0"/>
                  <w:divBdr>
                    <w:top w:val="none" w:sz="0" w:space="0" w:color="auto"/>
                    <w:left w:val="none" w:sz="0" w:space="0" w:color="auto"/>
                    <w:bottom w:val="none" w:sz="0" w:space="0" w:color="auto"/>
                    <w:right w:val="none" w:sz="0" w:space="0" w:color="auto"/>
                  </w:divBdr>
                  <w:divsChild>
                    <w:div w:id="564612189">
                      <w:marLeft w:val="0"/>
                      <w:marRight w:val="0"/>
                      <w:marTop w:val="0"/>
                      <w:marBottom w:val="0"/>
                      <w:divBdr>
                        <w:top w:val="none" w:sz="0" w:space="0" w:color="auto"/>
                        <w:left w:val="none" w:sz="0" w:space="0" w:color="auto"/>
                        <w:bottom w:val="none" w:sz="0" w:space="0" w:color="auto"/>
                        <w:right w:val="none" w:sz="0" w:space="0" w:color="auto"/>
                      </w:divBdr>
                    </w:div>
                  </w:divsChild>
                </w:div>
                <w:div w:id="689838155">
                  <w:marLeft w:val="0"/>
                  <w:marRight w:val="0"/>
                  <w:marTop w:val="0"/>
                  <w:marBottom w:val="0"/>
                  <w:divBdr>
                    <w:top w:val="none" w:sz="0" w:space="0" w:color="auto"/>
                    <w:left w:val="none" w:sz="0" w:space="0" w:color="auto"/>
                    <w:bottom w:val="none" w:sz="0" w:space="0" w:color="auto"/>
                    <w:right w:val="none" w:sz="0" w:space="0" w:color="auto"/>
                  </w:divBdr>
                  <w:divsChild>
                    <w:div w:id="923414319">
                      <w:marLeft w:val="0"/>
                      <w:marRight w:val="0"/>
                      <w:marTop w:val="0"/>
                      <w:marBottom w:val="0"/>
                      <w:divBdr>
                        <w:top w:val="none" w:sz="0" w:space="0" w:color="auto"/>
                        <w:left w:val="none" w:sz="0" w:space="0" w:color="auto"/>
                        <w:bottom w:val="none" w:sz="0" w:space="0" w:color="auto"/>
                        <w:right w:val="none" w:sz="0" w:space="0" w:color="auto"/>
                      </w:divBdr>
                    </w:div>
                  </w:divsChild>
                </w:div>
                <w:div w:id="742682310">
                  <w:marLeft w:val="0"/>
                  <w:marRight w:val="0"/>
                  <w:marTop w:val="0"/>
                  <w:marBottom w:val="0"/>
                  <w:divBdr>
                    <w:top w:val="none" w:sz="0" w:space="0" w:color="auto"/>
                    <w:left w:val="none" w:sz="0" w:space="0" w:color="auto"/>
                    <w:bottom w:val="none" w:sz="0" w:space="0" w:color="auto"/>
                    <w:right w:val="none" w:sz="0" w:space="0" w:color="auto"/>
                  </w:divBdr>
                  <w:divsChild>
                    <w:div w:id="79447306">
                      <w:marLeft w:val="0"/>
                      <w:marRight w:val="0"/>
                      <w:marTop w:val="0"/>
                      <w:marBottom w:val="0"/>
                      <w:divBdr>
                        <w:top w:val="none" w:sz="0" w:space="0" w:color="auto"/>
                        <w:left w:val="none" w:sz="0" w:space="0" w:color="auto"/>
                        <w:bottom w:val="none" w:sz="0" w:space="0" w:color="auto"/>
                        <w:right w:val="none" w:sz="0" w:space="0" w:color="auto"/>
                      </w:divBdr>
                    </w:div>
                  </w:divsChild>
                </w:div>
                <w:div w:id="859243562">
                  <w:marLeft w:val="0"/>
                  <w:marRight w:val="0"/>
                  <w:marTop w:val="0"/>
                  <w:marBottom w:val="0"/>
                  <w:divBdr>
                    <w:top w:val="none" w:sz="0" w:space="0" w:color="auto"/>
                    <w:left w:val="none" w:sz="0" w:space="0" w:color="auto"/>
                    <w:bottom w:val="none" w:sz="0" w:space="0" w:color="auto"/>
                    <w:right w:val="none" w:sz="0" w:space="0" w:color="auto"/>
                  </w:divBdr>
                  <w:divsChild>
                    <w:div w:id="653294535">
                      <w:marLeft w:val="0"/>
                      <w:marRight w:val="0"/>
                      <w:marTop w:val="0"/>
                      <w:marBottom w:val="0"/>
                      <w:divBdr>
                        <w:top w:val="none" w:sz="0" w:space="0" w:color="auto"/>
                        <w:left w:val="none" w:sz="0" w:space="0" w:color="auto"/>
                        <w:bottom w:val="none" w:sz="0" w:space="0" w:color="auto"/>
                        <w:right w:val="none" w:sz="0" w:space="0" w:color="auto"/>
                      </w:divBdr>
                    </w:div>
                  </w:divsChild>
                </w:div>
                <w:div w:id="932055728">
                  <w:marLeft w:val="0"/>
                  <w:marRight w:val="0"/>
                  <w:marTop w:val="0"/>
                  <w:marBottom w:val="0"/>
                  <w:divBdr>
                    <w:top w:val="none" w:sz="0" w:space="0" w:color="auto"/>
                    <w:left w:val="none" w:sz="0" w:space="0" w:color="auto"/>
                    <w:bottom w:val="none" w:sz="0" w:space="0" w:color="auto"/>
                    <w:right w:val="none" w:sz="0" w:space="0" w:color="auto"/>
                  </w:divBdr>
                  <w:divsChild>
                    <w:div w:id="770472153">
                      <w:marLeft w:val="0"/>
                      <w:marRight w:val="0"/>
                      <w:marTop w:val="0"/>
                      <w:marBottom w:val="0"/>
                      <w:divBdr>
                        <w:top w:val="none" w:sz="0" w:space="0" w:color="auto"/>
                        <w:left w:val="none" w:sz="0" w:space="0" w:color="auto"/>
                        <w:bottom w:val="none" w:sz="0" w:space="0" w:color="auto"/>
                        <w:right w:val="none" w:sz="0" w:space="0" w:color="auto"/>
                      </w:divBdr>
                    </w:div>
                  </w:divsChild>
                </w:div>
                <w:div w:id="996957593">
                  <w:marLeft w:val="0"/>
                  <w:marRight w:val="0"/>
                  <w:marTop w:val="0"/>
                  <w:marBottom w:val="0"/>
                  <w:divBdr>
                    <w:top w:val="none" w:sz="0" w:space="0" w:color="auto"/>
                    <w:left w:val="none" w:sz="0" w:space="0" w:color="auto"/>
                    <w:bottom w:val="none" w:sz="0" w:space="0" w:color="auto"/>
                    <w:right w:val="none" w:sz="0" w:space="0" w:color="auto"/>
                  </w:divBdr>
                  <w:divsChild>
                    <w:div w:id="290206892">
                      <w:marLeft w:val="0"/>
                      <w:marRight w:val="0"/>
                      <w:marTop w:val="0"/>
                      <w:marBottom w:val="0"/>
                      <w:divBdr>
                        <w:top w:val="none" w:sz="0" w:space="0" w:color="auto"/>
                        <w:left w:val="none" w:sz="0" w:space="0" w:color="auto"/>
                        <w:bottom w:val="none" w:sz="0" w:space="0" w:color="auto"/>
                        <w:right w:val="none" w:sz="0" w:space="0" w:color="auto"/>
                      </w:divBdr>
                    </w:div>
                  </w:divsChild>
                </w:div>
                <w:div w:id="1032463053">
                  <w:marLeft w:val="0"/>
                  <w:marRight w:val="0"/>
                  <w:marTop w:val="0"/>
                  <w:marBottom w:val="0"/>
                  <w:divBdr>
                    <w:top w:val="none" w:sz="0" w:space="0" w:color="auto"/>
                    <w:left w:val="none" w:sz="0" w:space="0" w:color="auto"/>
                    <w:bottom w:val="none" w:sz="0" w:space="0" w:color="auto"/>
                    <w:right w:val="none" w:sz="0" w:space="0" w:color="auto"/>
                  </w:divBdr>
                  <w:divsChild>
                    <w:div w:id="1341202142">
                      <w:marLeft w:val="0"/>
                      <w:marRight w:val="0"/>
                      <w:marTop w:val="0"/>
                      <w:marBottom w:val="0"/>
                      <w:divBdr>
                        <w:top w:val="none" w:sz="0" w:space="0" w:color="auto"/>
                        <w:left w:val="none" w:sz="0" w:space="0" w:color="auto"/>
                        <w:bottom w:val="none" w:sz="0" w:space="0" w:color="auto"/>
                        <w:right w:val="none" w:sz="0" w:space="0" w:color="auto"/>
                      </w:divBdr>
                    </w:div>
                  </w:divsChild>
                </w:div>
                <w:div w:id="1049383747">
                  <w:marLeft w:val="0"/>
                  <w:marRight w:val="0"/>
                  <w:marTop w:val="0"/>
                  <w:marBottom w:val="0"/>
                  <w:divBdr>
                    <w:top w:val="none" w:sz="0" w:space="0" w:color="auto"/>
                    <w:left w:val="none" w:sz="0" w:space="0" w:color="auto"/>
                    <w:bottom w:val="none" w:sz="0" w:space="0" w:color="auto"/>
                    <w:right w:val="none" w:sz="0" w:space="0" w:color="auto"/>
                  </w:divBdr>
                  <w:divsChild>
                    <w:div w:id="175274818">
                      <w:marLeft w:val="0"/>
                      <w:marRight w:val="0"/>
                      <w:marTop w:val="0"/>
                      <w:marBottom w:val="0"/>
                      <w:divBdr>
                        <w:top w:val="none" w:sz="0" w:space="0" w:color="auto"/>
                        <w:left w:val="none" w:sz="0" w:space="0" w:color="auto"/>
                        <w:bottom w:val="none" w:sz="0" w:space="0" w:color="auto"/>
                        <w:right w:val="none" w:sz="0" w:space="0" w:color="auto"/>
                      </w:divBdr>
                    </w:div>
                  </w:divsChild>
                </w:div>
                <w:div w:id="1081607147">
                  <w:marLeft w:val="0"/>
                  <w:marRight w:val="0"/>
                  <w:marTop w:val="0"/>
                  <w:marBottom w:val="0"/>
                  <w:divBdr>
                    <w:top w:val="none" w:sz="0" w:space="0" w:color="auto"/>
                    <w:left w:val="none" w:sz="0" w:space="0" w:color="auto"/>
                    <w:bottom w:val="none" w:sz="0" w:space="0" w:color="auto"/>
                    <w:right w:val="none" w:sz="0" w:space="0" w:color="auto"/>
                  </w:divBdr>
                  <w:divsChild>
                    <w:div w:id="1754349991">
                      <w:marLeft w:val="0"/>
                      <w:marRight w:val="0"/>
                      <w:marTop w:val="0"/>
                      <w:marBottom w:val="0"/>
                      <w:divBdr>
                        <w:top w:val="none" w:sz="0" w:space="0" w:color="auto"/>
                        <w:left w:val="none" w:sz="0" w:space="0" w:color="auto"/>
                        <w:bottom w:val="none" w:sz="0" w:space="0" w:color="auto"/>
                        <w:right w:val="none" w:sz="0" w:space="0" w:color="auto"/>
                      </w:divBdr>
                    </w:div>
                  </w:divsChild>
                </w:div>
                <w:div w:id="1139879666">
                  <w:marLeft w:val="0"/>
                  <w:marRight w:val="0"/>
                  <w:marTop w:val="0"/>
                  <w:marBottom w:val="0"/>
                  <w:divBdr>
                    <w:top w:val="none" w:sz="0" w:space="0" w:color="auto"/>
                    <w:left w:val="none" w:sz="0" w:space="0" w:color="auto"/>
                    <w:bottom w:val="none" w:sz="0" w:space="0" w:color="auto"/>
                    <w:right w:val="none" w:sz="0" w:space="0" w:color="auto"/>
                  </w:divBdr>
                  <w:divsChild>
                    <w:div w:id="1885020279">
                      <w:marLeft w:val="0"/>
                      <w:marRight w:val="0"/>
                      <w:marTop w:val="0"/>
                      <w:marBottom w:val="0"/>
                      <w:divBdr>
                        <w:top w:val="none" w:sz="0" w:space="0" w:color="auto"/>
                        <w:left w:val="none" w:sz="0" w:space="0" w:color="auto"/>
                        <w:bottom w:val="none" w:sz="0" w:space="0" w:color="auto"/>
                        <w:right w:val="none" w:sz="0" w:space="0" w:color="auto"/>
                      </w:divBdr>
                    </w:div>
                    <w:div w:id="2145267617">
                      <w:marLeft w:val="0"/>
                      <w:marRight w:val="0"/>
                      <w:marTop w:val="0"/>
                      <w:marBottom w:val="0"/>
                      <w:divBdr>
                        <w:top w:val="none" w:sz="0" w:space="0" w:color="auto"/>
                        <w:left w:val="none" w:sz="0" w:space="0" w:color="auto"/>
                        <w:bottom w:val="none" w:sz="0" w:space="0" w:color="auto"/>
                        <w:right w:val="none" w:sz="0" w:space="0" w:color="auto"/>
                      </w:divBdr>
                    </w:div>
                  </w:divsChild>
                </w:div>
                <w:div w:id="1169758948">
                  <w:marLeft w:val="0"/>
                  <w:marRight w:val="0"/>
                  <w:marTop w:val="0"/>
                  <w:marBottom w:val="0"/>
                  <w:divBdr>
                    <w:top w:val="none" w:sz="0" w:space="0" w:color="auto"/>
                    <w:left w:val="none" w:sz="0" w:space="0" w:color="auto"/>
                    <w:bottom w:val="none" w:sz="0" w:space="0" w:color="auto"/>
                    <w:right w:val="none" w:sz="0" w:space="0" w:color="auto"/>
                  </w:divBdr>
                  <w:divsChild>
                    <w:div w:id="1139493338">
                      <w:marLeft w:val="0"/>
                      <w:marRight w:val="0"/>
                      <w:marTop w:val="0"/>
                      <w:marBottom w:val="0"/>
                      <w:divBdr>
                        <w:top w:val="none" w:sz="0" w:space="0" w:color="auto"/>
                        <w:left w:val="none" w:sz="0" w:space="0" w:color="auto"/>
                        <w:bottom w:val="none" w:sz="0" w:space="0" w:color="auto"/>
                        <w:right w:val="none" w:sz="0" w:space="0" w:color="auto"/>
                      </w:divBdr>
                    </w:div>
                  </w:divsChild>
                </w:div>
                <w:div w:id="1199901188">
                  <w:marLeft w:val="0"/>
                  <w:marRight w:val="0"/>
                  <w:marTop w:val="0"/>
                  <w:marBottom w:val="0"/>
                  <w:divBdr>
                    <w:top w:val="none" w:sz="0" w:space="0" w:color="auto"/>
                    <w:left w:val="none" w:sz="0" w:space="0" w:color="auto"/>
                    <w:bottom w:val="none" w:sz="0" w:space="0" w:color="auto"/>
                    <w:right w:val="none" w:sz="0" w:space="0" w:color="auto"/>
                  </w:divBdr>
                  <w:divsChild>
                    <w:div w:id="241061091">
                      <w:marLeft w:val="0"/>
                      <w:marRight w:val="0"/>
                      <w:marTop w:val="0"/>
                      <w:marBottom w:val="0"/>
                      <w:divBdr>
                        <w:top w:val="none" w:sz="0" w:space="0" w:color="auto"/>
                        <w:left w:val="none" w:sz="0" w:space="0" w:color="auto"/>
                        <w:bottom w:val="none" w:sz="0" w:space="0" w:color="auto"/>
                        <w:right w:val="none" w:sz="0" w:space="0" w:color="auto"/>
                      </w:divBdr>
                    </w:div>
                  </w:divsChild>
                </w:div>
                <w:div w:id="1243029620">
                  <w:marLeft w:val="0"/>
                  <w:marRight w:val="0"/>
                  <w:marTop w:val="0"/>
                  <w:marBottom w:val="0"/>
                  <w:divBdr>
                    <w:top w:val="none" w:sz="0" w:space="0" w:color="auto"/>
                    <w:left w:val="none" w:sz="0" w:space="0" w:color="auto"/>
                    <w:bottom w:val="none" w:sz="0" w:space="0" w:color="auto"/>
                    <w:right w:val="none" w:sz="0" w:space="0" w:color="auto"/>
                  </w:divBdr>
                  <w:divsChild>
                    <w:div w:id="837887184">
                      <w:marLeft w:val="0"/>
                      <w:marRight w:val="0"/>
                      <w:marTop w:val="0"/>
                      <w:marBottom w:val="0"/>
                      <w:divBdr>
                        <w:top w:val="none" w:sz="0" w:space="0" w:color="auto"/>
                        <w:left w:val="none" w:sz="0" w:space="0" w:color="auto"/>
                        <w:bottom w:val="none" w:sz="0" w:space="0" w:color="auto"/>
                        <w:right w:val="none" w:sz="0" w:space="0" w:color="auto"/>
                      </w:divBdr>
                    </w:div>
                  </w:divsChild>
                </w:div>
                <w:div w:id="1248491913">
                  <w:marLeft w:val="0"/>
                  <w:marRight w:val="0"/>
                  <w:marTop w:val="0"/>
                  <w:marBottom w:val="0"/>
                  <w:divBdr>
                    <w:top w:val="none" w:sz="0" w:space="0" w:color="auto"/>
                    <w:left w:val="none" w:sz="0" w:space="0" w:color="auto"/>
                    <w:bottom w:val="none" w:sz="0" w:space="0" w:color="auto"/>
                    <w:right w:val="none" w:sz="0" w:space="0" w:color="auto"/>
                  </w:divBdr>
                  <w:divsChild>
                    <w:div w:id="1418283292">
                      <w:marLeft w:val="0"/>
                      <w:marRight w:val="0"/>
                      <w:marTop w:val="0"/>
                      <w:marBottom w:val="0"/>
                      <w:divBdr>
                        <w:top w:val="none" w:sz="0" w:space="0" w:color="auto"/>
                        <w:left w:val="none" w:sz="0" w:space="0" w:color="auto"/>
                        <w:bottom w:val="none" w:sz="0" w:space="0" w:color="auto"/>
                        <w:right w:val="none" w:sz="0" w:space="0" w:color="auto"/>
                      </w:divBdr>
                    </w:div>
                  </w:divsChild>
                </w:div>
                <w:div w:id="1289772950">
                  <w:marLeft w:val="0"/>
                  <w:marRight w:val="0"/>
                  <w:marTop w:val="0"/>
                  <w:marBottom w:val="0"/>
                  <w:divBdr>
                    <w:top w:val="none" w:sz="0" w:space="0" w:color="auto"/>
                    <w:left w:val="none" w:sz="0" w:space="0" w:color="auto"/>
                    <w:bottom w:val="none" w:sz="0" w:space="0" w:color="auto"/>
                    <w:right w:val="none" w:sz="0" w:space="0" w:color="auto"/>
                  </w:divBdr>
                  <w:divsChild>
                    <w:div w:id="2003468162">
                      <w:marLeft w:val="0"/>
                      <w:marRight w:val="0"/>
                      <w:marTop w:val="0"/>
                      <w:marBottom w:val="0"/>
                      <w:divBdr>
                        <w:top w:val="none" w:sz="0" w:space="0" w:color="auto"/>
                        <w:left w:val="none" w:sz="0" w:space="0" w:color="auto"/>
                        <w:bottom w:val="none" w:sz="0" w:space="0" w:color="auto"/>
                        <w:right w:val="none" w:sz="0" w:space="0" w:color="auto"/>
                      </w:divBdr>
                    </w:div>
                  </w:divsChild>
                </w:div>
                <w:div w:id="1292397564">
                  <w:marLeft w:val="0"/>
                  <w:marRight w:val="0"/>
                  <w:marTop w:val="0"/>
                  <w:marBottom w:val="0"/>
                  <w:divBdr>
                    <w:top w:val="none" w:sz="0" w:space="0" w:color="auto"/>
                    <w:left w:val="none" w:sz="0" w:space="0" w:color="auto"/>
                    <w:bottom w:val="none" w:sz="0" w:space="0" w:color="auto"/>
                    <w:right w:val="none" w:sz="0" w:space="0" w:color="auto"/>
                  </w:divBdr>
                  <w:divsChild>
                    <w:div w:id="1692533539">
                      <w:marLeft w:val="0"/>
                      <w:marRight w:val="0"/>
                      <w:marTop w:val="0"/>
                      <w:marBottom w:val="0"/>
                      <w:divBdr>
                        <w:top w:val="none" w:sz="0" w:space="0" w:color="auto"/>
                        <w:left w:val="none" w:sz="0" w:space="0" w:color="auto"/>
                        <w:bottom w:val="none" w:sz="0" w:space="0" w:color="auto"/>
                        <w:right w:val="none" w:sz="0" w:space="0" w:color="auto"/>
                      </w:divBdr>
                    </w:div>
                  </w:divsChild>
                </w:div>
                <w:div w:id="1405028780">
                  <w:marLeft w:val="0"/>
                  <w:marRight w:val="0"/>
                  <w:marTop w:val="0"/>
                  <w:marBottom w:val="0"/>
                  <w:divBdr>
                    <w:top w:val="none" w:sz="0" w:space="0" w:color="auto"/>
                    <w:left w:val="none" w:sz="0" w:space="0" w:color="auto"/>
                    <w:bottom w:val="none" w:sz="0" w:space="0" w:color="auto"/>
                    <w:right w:val="none" w:sz="0" w:space="0" w:color="auto"/>
                  </w:divBdr>
                  <w:divsChild>
                    <w:div w:id="1922909735">
                      <w:marLeft w:val="0"/>
                      <w:marRight w:val="0"/>
                      <w:marTop w:val="0"/>
                      <w:marBottom w:val="0"/>
                      <w:divBdr>
                        <w:top w:val="none" w:sz="0" w:space="0" w:color="auto"/>
                        <w:left w:val="none" w:sz="0" w:space="0" w:color="auto"/>
                        <w:bottom w:val="none" w:sz="0" w:space="0" w:color="auto"/>
                        <w:right w:val="none" w:sz="0" w:space="0" w:color="auto"/>
                      </w:divBdr>
                    </w:div>
                  </w:divsChild>
                </w:div>
                <w:div w:id="1406105690">
                  <w:marLeft w:val="0"/>
                  <w:marRight w:val="0"/>
                  <w:marTop w:val="0"/>
                  <w:marBottom w:val="0"/>
                  <w:divBdr>
                    <w:top w:val="none" w:sz="0" w:space="0" w:color="auto"/>
                    <w:left w:val="none" w:sz="0" w:space="0" w:color="auto"/>
                    <w:bottom w:val="none" w:sz="0" w:space="0" w:color="auto"/>
                    <w:right w:val="none" w:sz="0" w:space="0" w:color="auto"/>
                  </w:divBdr>
                  <w:divsChild>
                    <w:div w:id="1349940811">
                      <w:marLeft w:val="0"/>
                      <w:marRight w:val="0"/>
                      <w:marTop w:val="0"/>
                      <w:marBottom w:val="0"/>
                      <w:divBdr>
                        <w:top w:val="none" w:sz="0" w:space="0" w:color="auto"/>
                        <w:left w:val="none" w:sz="0" w:space="0" w:color="auto"/>
                        <w:bottom w:val="none" w:sz="0" w:space="0" w:color="auto"/>
                        <w:right w:val="none" w:sz="0" w:space="0" w:color="auto"/>
                      </w:divBdr>
                    </w:div>
                  </w:divsChild>
                </w:div>
                <w:div w:id="1512835912">
                  <w:marLeft w:val="0"/>
                  <w:marRight w:val="0"/>
                  <w:marTop w:val="0"/>
                  <w:marBottom w:val="0"/>
                  <w:divBdr>
                    <w:top w:val="none" w:sz="0" w:space="0" w:color="auto"/>
                    <w:left w:val="none" w:sz="0" w:space="0" w:color="auto"/>
                    <w:bottom w:val="none" w:sz="0" w:space="0" w:color="auto"/>
                    <w:right w:val="none" w:sz="0" w:space="0" w:color="auto"/>
                  </w:divBdr>
                  <w:divsChild>
                    <w:div w:id="574323830">
                      <w:marLeft w:val="0"/>
                      <w:marRight w:val="0"/>
                      <w:marTop w:val="0"/>
                      <w:marBottom w:val="0"/>
                      <w:divBdr>
                        <w:top w:val="none" w:sz="0" w:space="0" w:color="auto"/>
                        <w:left w:val="none" w:sz="0" w:space="0" w:color="auto"/>
                        <w:bottom w:val="none" w:sz="0" w:space="0" w:color="auto"/>
                        <w:right w:val="none" w:sz="0" w:space="0" w:color="auto"/>
                      </w:divBdr>
                    </w:div>
                  </w:divsChild>
                </w:div>
                <w:div w:id="1556433469">
                  <w:marLeft w:val="0"/>
                  <w:marRight w:val="0"/>
                  <w:marTop w:val="0"/>
                  <w:marBottom w:val="0"/>
                  <w:divBdr>
                    <w:top w:val="none" w:sz="0" w:space="0" w:color="auto"/>
                    <w:left w:val="none" w:sz="0" w:space="0" w:color="auto"/>
                    <w:bottom w:val="none" w:sz="0" w:space="0" w:color="auto"/>
                    <w:right w:val="none" w:sz="0" w:space="0" w:color="auto"/>
                  </w:divBdr>
                  <w:divsChild>
                    <w:div w:id="1830369076">
                      <w:marLeft w:val="0"/>
                      <w:marRight w:val="0"/>
                      <w:marTop w:val="0"/>
                      <w:marBottom w:val="0"/>
                      <w:divBdr>
                        <w:top w:val="none" w:sz="0" w:space="0" w:color="auto"/>
                        <w:left w:val="none" w:sz="0" w:space="0" w:color="auto"/>
                        <w:bottom w:val="none" w:sz="0" w:space="0" w:color="auto"/>
                        <w:right w:val="none" w:sz="0" w:space="0" w:color="auto"/>
                      </w:divBdr>
                    </w:div>
                  </w:divsChild>
                </w:div>
                <w:div w:id="1662853226">
                  <w:marLeft w:val="0"/>
                  <w:marRight w:val="0"/>
                  <w:marTop w:val="0"/>
                  <w:marBottom w:val="0"/>
                  <w:divBdr>
                    <w:top w:val="none" w:sz="0" w:space="0" w:color="auto"/>
                    <w:left w:val="none" w:sz="0" w:space="0" w:color="auto"/>
                    <w:bottom w:val="none" w:sz="0" w:space="0" w:color="auto"/>
                    <w:right w:val="none" w:sz="0" w:space="0" w:color="auto"/>
                  </w:divBdr>
                  <w:divsChild>
                    <w:div w:id="1268199670">
                      <w:marLeft w:val="0"/>
                      <w:marRight w:val="0"/>
                      <w:marTop w:val="0"/>
                      <w:marBottom w:val="0"/>
                      <w:divBdr>
                        <w:top w:val="none" w:sz="0" w:space="0" w:color="auto"/>
                        <w:left w:val="none" w:sz="0" w:space="0" w:color="auto"/>
                        <w:bottom w:val="none" w:sz="0" w:space="0" w:color="auto"/>
                        <w:right w:val="none" w:sz="0" w:space="0" w:color="auto"/>
                      </w:divBdr>
                    </w:div>
                  </w:divsChild>
                </w:div>
                <w:div w:id="1673291300">
                  <w:marLeft w:val="0"/>
                  <w:marRight w:val="0"/>
                  <w:marTop w:val="0"/>
                  <w:marBottom w:val="0"/>
                  <w:divBdr>
                    <w:top w:val="none" w:sz="0" w:space="0" w:color="auto"/>
                    <w:left w:val="none" w:sz="0" w:space="0" w:color="auto"/>
                    <w:bottom w:val="none" w:sz="0" w:space="0" w:color="auto"/>
                    <w:right w:val="none" w:sz="0" w:space="0" w:color="auto"/>
                  </w:divBdr>
                  <w:divsChild>
                    <w:div w:id="366372768">
                      <w:marLeft w:val="0"/>
                      <w:marRight w:val="0"/>
                      <w:marTop w:val="0"/>
                      <w:marBottom w:val="0"/>
                      <w:divBdr>
                        <w:top w:val="none" w:sz="0" w:space="0" w:color="auto"/>
                        <w:left w:val="none" w:sz="0" w:space="0" w:color="auto"/>
                        <w:bottom w:val="none" w:sz="0" w:space="0" w:color="auto"/>
                        <w:right w:val="none" w:sz="0" w:space="0" w:color="auto"/>
                      </w:divBdr>
                    </w:div>
                    <w:div w:id="517088157">
                      <w:marLeft w:val="0"/>
                      <w:marRight w:val="0"/>
                      <w:marTop w:val="0"/>
                      <w:marBottom w:val="0"/>
                      <w:divBdr>
                        <w:top w:val="none" w:sz="0" w:space="0" w:color="auto"/>
                        <w:left w:val="none" w:sz="0" w:space="0" w:color="auto"/>
                        <w:bottom w:val="none" w:sz="0" w:space="0" w:color="auto"/>
                        <w:right w:val="none" w:sz="0" w:space="0" w:color="auto"/>
                      </w:divBdr>
                    </w:div>
                  </w:divsChild>
                </w:div>
                <w:div w:id="1768385779">
                  <w:marLeft w:val="0"/>
                  <w:marRight w:val="0"/>
                  <w:marTop w:val="0"/>
                  <w:marBottom w:val="0"/>
                  <w:divBdr>
                    <w:top w:val="none" w:sz="0" w:space="0" w:color="auto"/>
                    <w:left w:val="none" w:sz="0" w:space="0" w:color="auto"/>
                    <w:bottom w:val="none" w:sz="0" w:space="0" w:color="auto"/>
                    <w:right w:val="none" w:sz="0" w:space="0" w:color="auto"/>
                  </w:divBdr>
                  <w:divsChild>
                    <w:div w:id="1302347509">
                      <w:marLeft w:val="0"/>
                      <w:marRight w:val="0"/>
                      <w:marTop w:val="0"/>
                      <w:marBottom w:val="0"/>
                      <w:divBdr>
                        <w:top w:val="none" w:sz="0" w:space="0" w:color="auto"/>
                        <w:left w:val="none" w:sz="0" w:space="0" w:color="auto"/>
                        <w:bottom w:val="none" w:sz="0" w:space="0" w:color="auto"/>
                        <w:right w:val="none" w:sz="0" w:space="0" w:color="auto"/>
                      </w:divBdr>
                    </w:div>
                  </w:divsChild>
                </w:div>
                <w:div w:id="1865173826">
                  <w:marLeft w:val="0"/>
                  <w:marRight w:val="0"/>
                  <w:marTop w:val="0"/>
                  <w:marBottom w:val="0"/>
                  <w:divBdr>
                    <w:top w:val="none" w:sz="0" w:space="0" w:color="auto"/>
                    <w:left w:val="none" w:sz="0" w:space="0" w:color="auto"/>
                    <w:bottom w:val="none" w:sz="0" w:space="0" w:color="auto"/>
                    <w:right w:val="none" w:sz="0" w:space="0" w:color="auto"/>
                  </w:divBdr>
                  <w:divsChild>
                    <w:div w:id="1306162017">
                      <w:marLeft w:val="0"/>
                      <w:marRight w:val="0"/>
                      <w:marTop w:val="0"/>
                      <w:marBottom w:val="0"/>
                      <w:divBdr>
                        <w:top w:val="none" w:sz="0" w:space="0" w:color="auto"/>
                        <w:left w:val="none" w:sz="0" w:space="0" w:color="auto"/>
                        <w:bottom w:val="none" w:sz="0" w:space="0" w:color="auto"/>
                        <w:right w:val="none" w:sz="0" w:space="0" w:color="auto"/>
                      </w:divBdr>
                    </w:div>
                  </w:divsChild>
                </w:div>
                <w:div w:id="1888445785">
                  <w:marLeft w:val="0"/>
                  <w:marRight w:val="0"/>
                  <w:marTop w:val="0"/>
                  <w:marBottom w:val="0"/>
                  <w:divBdr>
                    <w:top w:val="none" w:sz="0" w:space="0" w:color="auto"/>
                    <w:left w:val="none" w:sz="0" w:space="0" w:color="auto"/>
                    <w:bottom w:val="none" w:sz="0" w:space="0" w:color="auto"/>
                    <w:right w:val="none" w:sz="0" w:space="0" w:color="auto"/>
                  </w:divBdr>
                  <w:divsChild>
                    <w:div w:id="555553196">
                      <w:marLeft w:val="0"/>
                      <w:marRight w:val="0"/>
                      <w:marTop w:val="0"/>
                      <w:marBottom w:val="0"/>
                      <w:divBdr>
                        <w:top w:val="none" w:sz="0" w:space="0" w:color="auto"/>
                        <w:left w:val="none" w:sz="0" w:space="0" w:color="auto"/>
                        <w:bottom w:val="none" w:sz="0" w:space="0" w:color="auto"/>
                        <w:right w:val="none" w:sz="0" w:space="0" w:color="auto"/>
                      </w:divBdr>
                    </w:div>
                  </w:divsChild>
                </w:div>
                <w:div w:id="1889026555">
                  <w:marLeft w:val="0"/>
                  <w:marRight w:val="0"/>
                  <w:marTop w:val="0"/>
                  <w:marBottom w:val="0"/>
                  <w:divBdr>
                    <w:top w:val="none" w:sz="0" w:space="0" w:color="auto"/>
                    <w:left w:val="none" w:sz="0" w:space="0" w:color="auto"/>
                    <w:bottom w:val="none" w:sz="0" w:space="0" w:color="auto"/>
                    <w:right w:val="none" w:sz="0" w:space="0" w:color="auto"/>
                  </w:divBdr>
                  <w:divsChild>
                    <w:div w:id="1100953230">
                      <w:marLeft w:val="0"/>
                      <w:marRight w:val="0"/>
                      <w:marTop w:val="0"/>
                      <w:marBottom w:val="0"/>
                      <w:divBdr>
                        <w:top w:val="none" w:sz="0" w:space="0" w:color="auto"/>
                        <w:left w:val="none" w:sz="0" w:space="0" w:color="auto"/>
                        <w:bottom w:val="none" w:sz="0" w:space="0" w:color="auto"/>
                        <w:right w:val="none" w:sz="0" w:space="0" w:color="auto"/>
                      </w:divBdr>
                    </w:div>
                  </w:divsChild>
                </w:div>
                <w:div w:id="1910534961">
                  <w:marLeft w:val="0"/>
                  <w:marRight w:val="0"/>
                  <w:marTop w:val="0"/>
                  <w:marBottom w:val="0"/>
                  <w:divBdr>
                    <w:top w:val="none" w:sz="0" w:space="0" w:color="auto"/>
                    <w:left w:val="none" w:sz="0" w:space="0" w:color="auto"/>
                    <w:bottom w:val="none" w:sz="0" w:space="0" w:color="auto"/>
                    <w:right w:val="none" w:sz="0" w:space="0" w:color="auto"/>
                  </w:divBdr>
                  <w:divsChild>
                    <w:div w:id="103504278">
                      <w:marLeft w:val="0"/>
                      <w:marRight w:val="0"/>
                      <w:marTop w:val="0"/>
                      <w:marBottom w:val="0"/>
                      <w:divBdr>
                        <w:top w:val="none" w:sz="0" w:space="0" w:color="auto"/>
                        <w:left w:val="none" w:sz="0" w:space="0" w:color="auto"/>
                        <w:bottom w:val="none" w:sz="0" w:space="0" w:color="auto"/>
                        <w:right w:val="none" w:sz="0" w:space="0" w:color="auto"/>
                      </w:divBdr>
                    </w:div>
                  </w:divsChild>
                </w:div>
                <w:div w:id="1953856444">
                  <w:marLeft w:val="0"/>
                  <w:marRight w:val="0"/>
                  <w:marTop w:val="0"/>
                  <w:marBottom w:val="0"/>
                  <w:divBdr>
                    <w:top w:val="none" w:sz="0" w:space="0" w:color="auto"/>
                    <w:left w:val="none" w:sz="0" w:space="0" w:color="auto"/>
                    <w:bottom w:val="none" w:sz="0" w:space="0" w:color="auto"/>
                    <w:right w:val="none" w:sz="0" w:space="0" w:color="auto"/>
                  </w:divBdr>
                  <w:divsChild>
                    <w:div w:id="1100956523">
                      <w:marLeft w:val="0"/>
                      <w:marRight w:val="0"/>
                      <w:marTop w:val="0"/>
                      <w:marBottom w:val="0"/>
                      <w:divBdr>
                        <w:top w:val="none" w:sz="0" w:space="0" w:color="auto"/>
                        <w:left w:val="none" w:sz="0" w:space="0" w:color="auto"/>
                        <w:bottom w:val="none" w:sz="0" w:space="0" w:color="auto"/>
                        <w:right w:val="none" w:sz="0" w:space="0" w:color="auto"/>
                      </w:divBdr>
                    </w:div>
                  </w:divsChild>
                </w:div>
                <w:div w:id="2018656125">
                  <w:marLeft w:val="0"/>
                  <w:marRight w:val="0"/>
                  <w:marTop w:val="0"/>
                  <w:marBottom w:val="0"/>
                  <w:divBdr>
                    <w:top w:val="none" w:sz="0" w:space="0" w:color="auto"/>
                    <w:left w:val="none" w:sz="0" w:space="0" w:color="auto"/>
                    <w:bottom w:val="none" w:sz="0" w:space="0" w:color="auto"/>
                    <w:right w:val="none" w:sz="0" w:space="0" w:color="auto"/>
                  </w:divBdr>
                  <w:divsChild>
                    <w:div w:id="1030766006">
                      <w:marLeft w:val="0"/>
                      <w:marRight w:val="0"/>
                      <w:marTop w:val="0"/>
                      <w:marBottom w:val="0"/>
                      <w:divBdr>
                        <w:top w:val="none" w:sz="0" w:space="0" w:color="auto"/>
                        <w:left w:val="none" w:sz="0" w:space="0" w:color="auto"/>
                        <w:bottom w:val="none" w:sz="0" w:space="0" w:color="auto"/>
                        <w:right w:val="none" w:sz="0" w:space="0" w:color="auto"/>
                      </w:divBdr>
                    </w:div>
                  </w:divsChild>
                </w:div>
                <w:div w:id="2076930229">
                  <w:marLeft w:val="0"/>
                  <w:marRight w:val="0"/>
                  <w:marTop w:val="0"/>
                  <w:marBottom w:val="0"/>
                  <w:divBdr>
                    <w:top w:val="none" w:sz="0" w:space="0" w:color="auto"/>
                    <w:left w:val="none" w:sz="0" w:space="0" w:color="auto"/>
                    <w:bottom w:val="none" w:sz="0" w:space="0" w:color="auto"/>
                    <w:right w:val="none" w:sz="0" w:space="0" w:color="auto"/>
                  </w:divBdr>
                  <w:divsChild>
                    <w:div w:id="1487355281">
                      <w:marLeft w:val="0"/>
                      <w:marRight w:val="0"/>
                      <w:marTop w:val="0"/>
                      <w:marBottom w:val="0"/>
                      <w:divBdr>
                        <w:top w:val="none" w:sz="0" w:space="0" w:color="auto"/>
                        <w:left w:val="none" w:sz="0" w:space="0" w:color="auto"/>
                        <w:bottom w:val="none" w:sz="0" w:space="0" w:color="auto"/>
                        <w:right w:val="none" w:sz="0" w:space="0" w:color="auto"/>
                      </w:divBdr>
                    </w:div>
                  </w:divsChild>
                </w:div>
                <w:div w:id="2106150959">
                  <w:marLeft w:val="0"/>
                  <w:marRight w:val="0"/>
                  <w:marTop w:val="0"/>
                  <w:marBottom w:val="0"/>
                  <w:divBdr>
                    <w:top w:val="none" w:sz="0" w:space="0" w:color="auto"/>
                    <w:left w:val="none" w:sz="0" w:space="0" w:color="auto"/>
                    <w:bottom w:val="none" w:sz="0" w:space="0" w:color="auto"/>
                    <w:right w:val="none" w:sz="0" w:space="0" w:color="auto"/>
                  </w:divBdr>
                  <w:divsChild>
                    <w:div w:id="12614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539470">
          <w:marLeft w:val="0"/>
          <w:marRight w:val="0"/>
          <w:marTop w:val="0"/>
          <w:marBottom w:val="0"/>
          <w:divBdr>
            <w:top w:val="none" w:sz="0" w:space="0" w:color="auto"/>
            <w:left w:val="none" w:sz="0" w:space="0" w:color="auto"/>
            <w:bottom w:val="none" w:sz="0" w:space="0" w:color="auto"/>
            <w:right w:val="none" w:sz="0" w:space="0" w:color="auto"/>
          </w:divBdr>
        </w:div>
      </w:divsChild>
    </w:div>
    <w:div w:id="647365350">
      <w:bodyDiv w:val="1"/>
      <w:marLeft w:val="0"/>
      <w:marRight w:val="0"/>
      <w:marTop w:val="0"/>
      <w:marBottom w:val="0"/>
      <w:divBdr>
        <w:top w:val="none" w:sz="0" w:space="0" w:color="auto"/>
        <w:left w:val="none" w:sz="0" w:space="0" w:color="auto"/>
        <w:bottom w:val="none" w:sz="0" w:space="0" w:color="auto"/>
        <w:right w:val="none" w:sz="0" w:space="0" w:color="auto"/>
      </w:divBdr>
      <w:divsChild>
        <w:div w:id="175702216">
          <w:marLeft w:val="0"/>
          <w:marRight w:val="0"/>
          <w:marTop w:val="0"/>
          <w:marBottom w:val="0"/>
          <w:divBdr>
            <w:top w:val="none" w:sz="0" w:space="0" w:color="auto"/>
            <w:left w:val="none" w:sz="0" w:space="0" w:color="auto"/>
            <w:bottom w:val="none" w:sz="0" w:space="0" w:color="auto"/>
            <w:right w:val="none" w:sz="0" w:space="0" w:color="auto"/>
          </w:divBdr>
        </w:div>
        <w:div w:id="1010060716">
          <w:marLeft w:val="0"/>
          <w:marRight w:val="0"/>
          <w:marTop w:val="0"/>
          <w:marBottom w:val="0"/>
          <w:divBdr>
            <w:top w:val="none" w:sz="0" w:space="0" w:color="auto"/>
            <w:left w:val="none" w:sz="0" w:space="0" w:color="auto"/>
            <w:bottom w:val="none" w:sz="0" w:space="0" w:color="auto"/>
            <w:right w:val="none" w:sz="0" w:space="0" w:color="auto"/>
          </w:divBdr>
        </w:div>
        <w:div w:id="1736854407">
          <w:marLeft w:val="0"/>
          <w:marRight w:val="0"/>
          <w:marTop w:val="0"/>
          <w:marBottom w:val="0"/>
          <w:divBdr>
            <w:top w:val="none" w:sz="0" w:space="0" w:color="auto"/>
            <w:left w:val="none" w:sz="0" w:space="0" w:color="auto"/>
            <w:bottom w:val="none" w:sz="0" w:space="0" w:color="auto"/>
            <w:right w:val="none" w:sz="0" w:space="0" w:color="auto"/>
          </w:divBdr>
        </w:div>
        <w:div w:id="1793554172">
          <w:marLeft w:val="0"/>
          <w:marRight w:val="0"/>
          <w:marTop w:val="0"/>
          <w:marBottom w:val="0"/>
          <w:divBdr>
            <w:top w:val="none" w:sz="0" w:space="0" w:color="auto"/>
            <w:left w:val="none" w:sz="0" w:space="0" w:color="auto"/>
            <w:bottom w:val="none" w:sz="0" w:space="0" w:color="auto"/>
            <w:right w:val="none" w:sz="0" w:space="0" w:color="auto"/>
          </w:divBdr>
        </w:div>
      </w:divsChild>
    </w:div>
    <w:div w:id="654140283">
      <w:bodyDiv w:val="1"/>
      <w:marLeft w:val="0"/>
      <w:marRight w:val="0"/>
      <w:marTop w:val="0"/>
      <w:marBottom w:val="0"/>
      <w:divBdr>
        <w:top w:val="none" w:sz="0" w:space="0" w:color="auto"/>
        <w:left w:val="none" w:sz="0" w:space="0" w:color="auto"/>
        <w:bottom w:val="none" w:sz="0" w:space="0" w:color="auto"/>
        <w:right w:val="none" w:sz="0" w:space="0" w:color="auto"/>
      </w:divBdr>
    </w:div>
    <w:div w:id="662047682">
      <w:bodyDiv w:val="1"/>
      <w:marLeft w:val="0"/>
      <w:marRight w:val="0"/>
      <w:marTop w:val="0"/>
      <w:marBottom w:val="0"/>
      <w:divBdr>
        <w:top w:val="none" w:sz="0" w:space="0" w:color="auto"/>
        <w:left w:val="none" w:sz="0" w:space="0" w:color="auto"/>
        <w:bottom w:val="none" w:sz="0" w:space="0" w:color="auto"/>
        <w:right w:val="none" w:sz="0" w:space="0" w:color="auto"/>
      </w:divBdr>
      <w:divsChild>
        <w:div w:id="1708136400">
          <w:marLeft w:val="0"/>
          <w:marRight w:val="0"/>
          <w:marTop w:val="0"/>
          <w:marBottom w:val="0"/>
          <w:divBdr>
            <w:top w:val="none" w:sz="0" w:space="0" w:color="auto"/>
            <w:left w:val="none" w:sz="0" w:space="0" w:color="auto"/>
            <w:bottom w:val="none" w:sz="0" w:space="0" w:color="auto"/>
            <w:right w:val="none" w:sz="0" w:space="0" w:color="auto"/>
          </w:divBdr>
        </w:div>
      </w:divsChild>
    </w:div>
    <w:div w:id="675041138">
      <w:bodyDiv w:val="1"/>
      <w:marLeft w:val="0"/>
      <w:marRight w:val="0"/>
      <w:marTop w:val="0"/>
      <w:marBottom w:val="0"/>
      <w:divBdr>
        <w:top w:val="none" w:sz="0" w:space="0" w:color="auto"/>
        <w:left w:val="none" w:sz="0" w:space="0" w:color="auto"/>
        <w:bottom w:val="none" w:sz="0" w:space="0" w:color="auto"/>
        <w:right w:val="none" w:sz="0" w:space="0" w:color="auto"/>
      </w:divBdr>
    </w:div>
    <w:div w:id="706414515">
      <w:bodyDiv w:val="1"/>
      <w:marLeft w:val="0"/>
      <w:marRight w:val="0"/>
      <w:marTop w:val="0"/>
      <w:marBottom w:val="0"/>
      <w:divBdr>
        <w:top w:val="none" w:sz="0" w:space="0" w:color="auto"/>
        <w:left w:val="none" w:sz="0" w:space="0" w:color="auto"/>
        <w:bottom w:val="none" w:sz="0" w:space="0" w:color="auto"/>
        <w:right w:val="none" w:sz="0" w:space="0" w:color="auto"/>
      </w:divBdr>
      <w:divsChild>
        <w:div w:id="1217350395">
          <w:marLeft w:val="0"/>
          <w:marRight w:val="0"/>
          <w:marTop w:val="0"/>
          <w:marBottom w:val="0"/>
          <w:divBdr>
            <w:top w:val="none" w:sz="0" w:space="0" w:color="auto"/>
            <w:left w:val="none" w:sz="0" w:space="0" w:color="auto"/>
            <w:bottom w:val="none" w:sz="0" w:space="0" w:color="auto"/>
            <w:right w:val="none" w:sz="0" w:space="0" w:color="auto"/>
          </w:divBdr>
        </w:div>
      </w:divsChild>
    </w:div>
    <w:div w:id="714037321">
      <w:bodyDiv w:val="1"/>
      <w:marLeft w:val="0"/>
      <w:marRight w:val="0"/>
      <w:marTop w:val="0"/>
      <w:marBottom w:val="0"/>
      <w:divBdr>
        <w:top w:val="none" w:sz="0" w:space="0" w:color="auto"/>
        <w:left w:val="none" w:sz="0" w:space="0" w:color="auto"/>
        <w:bottom w:val="none" w:sz="0" w:space="0" w:color="auto"/>
        <w:right w:val="none" w:sz="0" w:space="0" w:color="auto"/>
      </w:divBdr>
      <w:divsChild>
        <w:div w:id="1139610873">
          <w:marLeft w:val="0"/>
          <w:marRight w:val="0"/>
          <w:marTop w:val="0"/>
          <w:marBottom w:val="0"/>
          <w:divBdr>
            <w:top w:val="none" w:sz="0" w:space="0" w:color="auto"/>
            <w:left w:val="none" w:sz="0" w:space="0" w:color="auto"/>
            <w:bottom w:val="none" w:sz="0" w:space="0" w:color="auto"/>
            <w:right w:val="none" w:sz="0" w:space="0" w:color="auto"/>
          </w:divBdr>
        </w:div>
      </w:divsChild>
    </w:div>
    <w:div w:id="737630278">
      <w:bodyDiv w:val="1"/>
      <w:marLeft w:val="0"/>
      <w:marRight w:val="0"/>
      <w:marTop w:val="0"/>
      <w:marBottom w:val="0"/>
      <w:divBdr>
        <w:top w:val="none" w:sz="0" w:space="0" w:color="auto"/>
        <w:left w:val="none" w:sz="0" w:space="0" w:color="auto"/>
        <w:bottom w:val="none" w:sz="0" w:space="0" w:color="auto"/>
        <w:right w:val="none" w:sz="0" w:space="0" w:color="auto"/>
      </w:divBdr>
      <w:divsChild>
        <w:div w:id="868373030">
          <w:marLeft w:val="0"/>
          <w:marRight w:val="0"/>
          <w:marTop w:val="0"/>
          <w:marBottom w:val="0"/>
          <w:divBdr>
            <w:top w:val="none" w:sz="0" w:space="0" w:color="auto"/>
            <w:left w:val="none" w:sz="0" w:space="0" w:color="auto"/>
            <w:bottom w:val="none" w:sz="0" w:space="0" w:color="auto"/>
            <w:right w:val="none" w:sz="0" w:space="0" w:color="auto"/>
          </w:divBdr>
        </w:div>
      </w:divsChild>
    </w:div>
    <w:div w:id="781455227">
      <w:bodyDiv w:val="1"/>
      <w:marLeft w:val="0"/>
      <w:marRight w:val="0"/>
      <w:marTop w:val="0"/>
      <w:marBottom w:val="0"/>
      <w:divBdr>
        <w:top w:val="none" w:sz="0" w:space="0" w:color="auto"/>
        <w:left w:val="none" w:sz="0" w:space="0" w:color="auto"/>
        <w:bottom w:val="none" w:sz="0" w:space="0" w:color="auto"/>
        <w:right w:val="none" w:sz="0" w:space="0" w:color="auto"/>
      </w:divBdr>
      <w:divsChild>
        <w:div w:id="1022050406">
          <w:marLeft w:val="0"/>
          <w:marRight w:val="0"/>
          <w:marTop w:val="0"/>
          <w:marBottom w:val="0"/>
          <w:divBdr>
            <w:top w:val="none" w:sz="0" w:space="0" w:color="auto"/>
            <w:left w:val="none" w:sz="0" w:space="0" w:color="auto"/>
            <w:bottom w:val="none" w:sz="0" w:space="0" w:color="auto"/>
            <w:right w:val="none" w:sz="0" w:space="0" w:color="auto"/>
          </w:divBdr>
        </w:div>
      </w:divsChild>
    </w:div>
    <w:div w:id="785000636">
      <w:bodyDiv w:val="1"/>
      <w:marLeft w:val="0"/>
      <w:marRight w:val="0"/>
      <w:marTop w:val="0"/>
      <w:marBottom w:val="0"/>
      <w:divBdr>
        <w:top w:val="none" w:sz="0" w:space="0" w:color="auto"/>
        <w:left w:val="none" w:sz="0" w:space="0" w:color="auto"/>
        <w:bottom w:val="none" w:sz="0" w:space="0" w:color="auto"/>
        <w:right w:val="none" w:sz="0" w:space="0" w:color="auto"/>
      </w:divBdr>
      <w:divsChild>
        <w:div w:id="1603221869">
          <w:marLeft w:val="0"/>
          <w:marRight w:val="0"/>
          <w:marTop w:val="0"/>
          <w:marBottom w:val="0"/>
          <w:divBdr>
            <w:top w:val="none" w:sz="0" w:space="0" w:color="auto"/>
            <w:left w:val="none" w:sz="0" w:space="0" w:color="auto"/>
            <w:bottom w:val="none" w:sz="0" w:space="0" w:color="auto"/>
            <w:right w:val="none" w:sz="0" w:space="0" w:color="auto"/>
          </w:divBdr>
        </w:div>
      </w:divsChild>
    </w:div>
    <w:div w:id="793057659">
      <w:bodyDiv w:val="1"/>
      <w:marLeft w:val="0"/>
      <w:marRight w:val="0"/>
      <w:marTop w:val="0"/>
      <w:marBottom w:val="0"/>
      <w:divBdr>
        <w:top w:val="none" w:sz="0" w:space="0" w:color="auto"/>
        <w:left w:val="none" w:sz="0" w:space="0" w:color="auto"/>
        <w:bottom w:val="none" w:sz="0" w:space="0" w:color="auto"/>
        <w:right w:val="none" w:sz="0" w:space="0" w:color="auto"/>
      </w:divBdr>
      <w:divsChild>
        <w:div w:id="320282200">
          <w:marLeft w:val="0"/>
          <w:marRight w:val="0"/>
          <w:marTop w:val="0"/>
          <w:marBottom w:val="0"/>
          <w:divBdr>
            <w:top w:val="none" w:sz="0" w:space="0" w:color="auto"/>
            <w:left w:val="none" w:sz="0" w:space="0" w:color="auto"/>
            <w:bottom w:val="none" w:sz="0" w:space="0" w:color="auto"/>
            <w:right w:val="none" w:sz="0" w:space="0" w:color="auto"/>
          </w:divBdr>
        </w:div>
      </w:divsChild>
    </w:div>
    <w:div w:id="797914135">
      <w:bodyDiv w:val="1"/>
      <w:marLeft w:val="0"/>
      <w:marRight w:val="0"/>
      <w:marTop w:val="0"/>
      <w:marBottom w:val="0"/>
      <w:divBdr>
        <w:top w:val="none" w:sz="0" w:space="0" w:color="auto"/>
        <w:left w:val="none" w:sz="0" w:space="0" w:color="auto"/>
        <w:bottom w:val="none" w:sz="0" w:space="0" w:color="auto"/>
        <w:right w:val="none" w:sz="0" w:space="0" w:color="auto"/>
      </w:divBdr>
      <w:divsChild>
        <w:div w:id="39405131">
          <w:marLeft w:val="0"/>
          <w:marRight w:val="0"/>
          <w:marTop w:val="0"/>
          <w:marBottom w:val="0"/>
          <w:divBdr>
            <w:top w:val="none" w:sz="0" w:space="0" w:color="auto"/>
            <w:left w:val="none" w:sz="0" w:space="0" w:color="auto"/>
            <w:bottom w:val="none" w:sz="0" w:space="0" w:color="auto"/>
            <w:right w:val="none" w:sz="0" w:space="0" w:color="auto"/>
          </w:divBdr>
          <w:divsChild>
            <w:div w:id="1970427466">
              <w:marLeft w:val="0"/>
              <w:marRight w:val="0"/>
              <w:marTop w:val="0"/>
              <w:marBottom w:val="0"/>
              <w:divBdr>
                <w:top w:val="none" w:sz="0" w:space="0" w:color="auto"/>
                <w:left w:val="none" w:sz="0" w:space="0" w:color="auto"/>
                <w:bottom w:val="none" w:sz="0" w:space="0" w:color="auto"/>
                <w:right w:val="none" w:sz="0" w:space="0" w:color="auto"/>
              </w:divBdr>
            </w:div>
          </w:divsChild>
        </w:div>
        <w:div w:id="115833192">
          <w:marLeft w:val="0"/>
          <w:marRight w:val="0"/>
          <w:marTop w:val="0"/>
          <w:marBottom w:val="0"/>
          <w:divBdr>
            <w:top w:val="none" w:sz="0" w:space="0" w:color="auto"/>
            <w:left w:val="none" w:sz="0" w:space="0" w:color="auto"/>
            <w:bottom w:val="none" w:sz="0" w:space="0" w:color="auto"/>
            <w:right w:val="none" w:sz="0" w:space="0" w:color="auto"/>
          </w:divBdr>
          <w:divsChild>
            <w:div w:id="624697573">
              <w:marLeft w:val="0"/>
              <w:marRight w:val="0"/>
              <w:marTop w:val="0"/>
              <w:marBottom w:val="0"/>
              <w:divBdr>
                <w:top w:val="none" w:sz="0" w:space="0" w:color="auto"/>
                <w:left w:val="none" w:sz="0" w:space="0" w:color="auto"/>
                <w:bottom w:val="none" w:sz="0" w:space="0" w:color="auto"/>
                <w:right w:val="none" w:sz="0" w:space="0" w:color="auto"/>
              </w:divBdr>
            </w:div>
          </w:divsChild>
        </w:div>
        <w:div w:id="159737675">
          <w:marLeft w:val="0"/>
          <w:marRight w:val="0"/>
          <w:marTop w:val="0"/>
          <w:marBottom w:val="0"/>
          <w:divBdr>
            <w:top w:val="none" w:sz="0" w:space="0" w:color="auto"/>
            <w:left w:val="none" w:sz="0" w:space="0" w:color="auto"/>
            <w:bottom w:val="none" w:sz="0" w:space="0" w:color="auto"/>
            <w:right w:val="none" w:sz="0" w:space="0" w:color="auto"/>
          </w:divBdr>
          <w:divsChild>
            <w:div w:id="905526600">
              <w:marLeft w:val="0"/>
              <w:marRight w:val="0"/>
              <w:marTop w:val="0"/>
              <w:marBottom w:val="0"/>
              <w:divBdr>
                <w:top w:val="none" w:sz="0" w:space="0" w:color="auto"/>
                <w:left w:val="none" w:sz="0" w:space="0" w:color="auto"/>
                <w:bottom w:val="none" w:sz="0" w:space="0" w:color="auto"/>
                <w:right w:val="none" w:sz="0" w:space="0" w:color="auto"/>
              </w:divBdr>
            </w:div>
          </w:divsChild>
        </w:div>
        <w:div w:id="231815695">
          <w:marLeft w:val="0"/>
          <w:marRight w:val="0"/>
          <w:marTop w:val="0"/>
          <w:marBottom w:val="0"/>
          <w:divBdr>
            <w:top w:val="none" w:sz="0" w:space="0" w:color="auto"/>
            <w:left w:val="none" w:sz="0" w:space="0" w:color="auto"/>
            <w:bottom w:val="none" w:sz="0" w:space="0" w:color="auto"/>
            <w:right w:val="none" w:sz="0" w:space="0" w:color="auto"/>
          </w:divBdr>
          <w:divsChild>
            <w:div w:id="1155147005">
              <w:marLeft w:val="0"/>
              <w:marRight w:val="0"/>
              <w:marTop w:val="0"/>
              <w:marBottom w:val="0"/>
              <w:divBdr>
                <w:top w:val="none" w:sz="0" w:space="0" w:color="auto"/>
                <w:left w:val="none" w:sz="0" w:space="0" w:color="auto"/>
                <w:bottom w:val="none" w:sz="0" w:space="0" w:color="auto"/>
                <w:right w:val="none" w:sz="0" w:space="0" w:color="auto"/>
              </w:divBdr>
            </w:div>
          </w:divsChild>
        </w:div>
        <w:div w:id="242223287">
          <w:marLeft w:val="0"/>
          <w:marRight w:val="0"/>
          <w:marTop w:val="0"/>
          <w:marBottom w:val="0"/>
          <w:divBdr>
            <w:top w:val="none" w:sz="0" w:space="0" w:color="auto"/>
            <w:left w:val="none" w:sz="0" w:space="0" w:color="auto"/>
            <w:bottom w:val="none" w:sz="0" w:space="0" w:color="auto"/>
            <w:right w:val="none" w:sz="0" w:space="0" w:color="auto"/>
          </w:divBdr>
          <w:divsChild>
            <w:div w:id="175273569">
              <w:marLeft w:val="0"/>
              <w:marRight w:val="0"/>
              <w:marTop w:val="0"/>
              <w:marBottom w:val="0"/>
              <w:divBdr>
                <w:top w:val="none" w:sz="0" w:space="0" w:color="auto"/>
                <w:left w:val="none" w:sz="0" w:space="0" w:color="auto"/>
                <w:bottom w:val="none" w:sz="0" w:space="0" w:color="auto"/>
                <w:right w:val="none" w:sz="0" w:space="0" w:color="auto"/>
              </w:divBdr>
            </w:div>
          </w:divsChild>
        </w:div>
        <w:div w:id="291639896">
          <w:marLeft w:val="0"/>
          <w:marRight w:val="0"/>
          <w:marTop w:val="0"/>
          <w:marBottom w:val="0"/>
          <w:divBdr>
            <w:top w:val="none" w:sz="0" w:space="0" w:color="auto"/>
            <w:left w:val="none" w:sz="0" w:space="0" w:color="auto"/>
            <w:bottom w:val="none" w:sz="0" w:space="0" w:color="auto"/>
            <w:right w:val="none" w:sz="0" w:space="0" w:color="auto"/>
          </w:divBdr>
          <w:divsChild>
            <w:div w:id="1360736847">
              <w:marLeft w:val="0"/>
              <w:marRight w:val="0"/>
              <w:marTop w:val="0"/>
              <w:marBottom w:val="0"/>
              <w:divBdr>
                <w:top w:val="none" w:sz="0" w:space="0" w:color="auto"/>
                <w:left w:val="none" w:sz="0" w:space="0" w:color="auto"/>
                <w:bottom w:val="none" w:sz="0" w:space="0" w:color="auto"/>
                <w:right w:val="none" w:sz="0" w:space="0" w:color="auto"/>
              </w:divBdr>
            </w:div>
          </w:divsChild>
        </w:div>
        <w:div w:id="340157520">
          <w:marLeft w:val="0"/>
          <w:marRight w:val="0"/>
          <w:marTop w:val="0"/>
          <w:marBottom w:val="0"/>
          <w:divBdr>
            <w:top w:val="none" w:sz="0" w:space="0" w:color="auto"/>
            <w:left w:val="none" w:sz="0" w:space="0" w:color="auto"/>
            <w:bottom w:val="none" w:sz="0" w:space="0" w:color="auto"/>
            <w:right w:val="none" w:sz="0" w:space="0" w:color="auto"/>
          </w:divBdr>
          <w:divsChild>
            <w:div w:id="1618221385">
              <w:marLeft w:val="0"/>
              <w:marRight w:val="0"/>
              <w:marTop w:val="0"/>
              <w:marBottom w:val="0"/>
              <w:divBdr>
                <w:top w:val="none" w:sz="0" w:space="0" w:color="auto"/>
                <w:left w:val="none" w:sz="0" w:space="0" w:color="auto"/>
                <w:bottom w:val="none" w:sz="0" w:space="0" w:color="auto"/>
                <w:right w:val="none" w:sz="0" w:space="0" w:color="auto"/>
              </w:divBdr>
            </w:div>
          </w:divsChild>
        </w:div>
        <w:div w:id="375206410">
          <w:marLeft w:val="0"/>
          <w:marRight w:val="0"/>
          <w:marTop w:val="0"/>
          <w:marBottom w:val="0"/>
          <w:divBdr>
            <w:top w:val="none" w:sz="0" w:space="0" w:color="auto"/>
            <w:left w:val="none" w:sz="0" w:space="0" w:color="auto"/>
            <w:bottom w:val="none" w:sz="0" w:space="0" w:color="auto"/>
            <w:right w:val="none" w:sz="0" w:space="0" w:color="auto"/>
          </w:divBdr>
          <w:divsChild>
            <w:div w:id="1923369726">
              <w:marLeft w:val="0"/>
              <w:marRight w:val="0"/>
              <w:marTop w:val="0"/>
              <w:marBottom w:val="0"/>
              <w:divBdr>
                <w:top w:val="none" w:sz="0" w:space="0" w:color="auto"/>
                <w:left w:val="none" w:sz="0" w:space="0" w:color="auto"/>
                <w:bottom w:val="none" w:sz="0" w:space="0" w:color="auto"/>
                <w:right w:val="none" w:sz="0" w:space="0" w:color="auto"/>
              </w:divBdr>
            </w:div>
          </w:divsChild>
        </w:div>
        <w:div w:id="435756557">
          <w:marLeft w:val="0"/>
          <w:marRight w:val="0"/>
          <w:marTop w:val="0"/>
          <w:marBottom w:val="0"/>
          <w:divBdr>
            <w:top w:val="none" w:sz="0" w:space="0" w:color="auto"/>
            <w:left w:val="none" w:sz="0" w:space="0" w:color="auto"/>
            <w:bottom w:val="none" w:sz="0" w:space="0" w:color="auto"/>
            <w:right w:val="none" w:sz="0" w:space="0" w:color="auto"/>
          </w:divBdr>
          <w:divsChild>
            <w:div w:id="1911186686">
              <w:marLeft w:val="0"/>
              <w:marRight w:val="0"/>
              <w:marTop w:val="0"/>
              <w:marBottom w:val="0"/>
              <w:divBdr>
                <w:top w:val="none" w:sz="0" w:space="0" w:color="auto"/>
                <w:left w:val="none" w:sz="0" w:space="0" w:color="auto"/>
                <w:bottom w:val="none" w:sz="0" w:space="0" w:color="auto"/>
                <w:right w:val="none" w:sz="0" w:space="0" w:color="auto"/>
              </w:divBdr>
            </w:div>
          </w:divsChild>
        </w:div>
        <w:div w:id="443042299">
          <w:marLeft w:val="0"/>
          <w:marRight w:val="0"/>
          <w:marTop w:val="0"/>
          <w:marBottom w:val="0"/>
          <w:divBdr>
            <w:top w:val="none" w:sz="0" w:space="0" w:color="auto"/>
            <w:left w:val="none" w:sz="0" w:space="0" w:color="auto"/>
            <w:bottom w:val="none" w:sz="0" w:space="0" w:color="auto"/>
            <w:right w:val="none" w:sz="0" w:space="0" w:color="auto"/>
          </w:divBdr>
          <w:divsChild>
            <w:div w:id="1678341669">
              <w:marLeft w:val="0"/>
              <w:marRight w:val="0"/>
              <w:marTop w:val="0"/>
              <w:marBottom w:val="0"/>
              <w:divBdr>
                <w:top w:val="none" w:sz="0" w:space="0" w:color="auto"/>
                <w:left w:val="none" w:sz="0" w:space="0" w:color="auto"/>
                <w:bottom w:val="none" w:sz="0" w:space="0" w:color="auto"/>
                <w:right w:val="none" w:sz="0" w:space="0" w:color="auto"/>
              </w:divBdr>
            </w:div>
          </w:divsChild>
        </w:div>
        <w:div w:id="506941755">
          <w:marLeft w:val="0"/>
          <w:marRight w:val="0"/>
          <w:marTop w:val="0"/>
          <w:marBottom w:val="0"/>
          <w:divBdr>
            <w:top w:val="none" w:sz="0" w:space="0" w:color="auto"/>
            <w:left w:val="none" w:sz="0" w:space="0" w:color="auto"/>
            <w:bottom w:val="none" w:sz="0" w:space="0" w:color="auto"/>
            <w:right w:val="none" w:sz="0" w:space="0" w:color="auto"/>
          </w:divBdr>
          <w:divsChild>
            <w:div w:id="1198618116">
              <w:marLeft w:val="0"/>
              <w:marRight w:val="0"/>
              <w:marTop w:val="0"/>
              <w:marBottom w:val="0"/>
              <w:divBdr>
                <w:top w:val="none" w:sz="0" w:space="0" w:color="auto"/>
                <w:left w:val="none" w:sz="0" w:space="0" w:color="auto"/>
                <w:bottom w:val="none" w:sz="0" w:space="0" w:color="auto"/>
                <w:right w:val="none" w:sz="0" w:space="0" w:color="auto"/>
              </w:divBdr>
            </w:div>
          </w:divsChild>
        </w:div>
        <w:div w:id="600145077">
          <w:marLeft w:val="0"/>
          <w:marRight w:val="0"/>
          <w:marTop w:val="0"/>
          <w:marBottom w:val="0"/>
          <w:divBdr>
            <w:top w:val="none" w:sz="0" w:space="0" w:color="auto"/>
            <w:left w:val="none" w:sz="0" w:space="0" w:color="auto"/>
            <w:bottom w:val="none" w:sz="0" w:space="0" w:color="auto"/>
            <w:right w:val="none" w:sz="0" w:space="0" w:color="auto"/>
          </w:divBdr>
          <w:divsChild>
            <w:div w:id="414861238">
              <w:marLeft w:val="0"/>
              <w:marRight w:val="0"/>
              <w:marTop w:val="0"/>
              <w:marBottom w:val="0"/>
              <w:divBdr>
                <w:top w:val="none" w:sz="0" w:space="0" w:color="auto"/>
                <w:left w:val="none" w:sz="0" w:space="0" w:color="auto"/>
                <w:bottom w:val="none" w:sz="0" w:space="0" w:color="auto"/>
                <w:right w:val="none" w:sz="0" w:space="0" w:color="auto"/>
              </w:divBdr>
            </w:div>
          </w:divsChild>
        </w:div>
        <w:div w:id="629820674">
          <w:marLeft w:val="0"/>
          <w:marRight w:val="0"/>
          <w:marTop w:val="0"/>
          <w:marBottom w:val="0"/>
          <w:divBdr>
            <w:top w:val="none" w:sz="0" w:space="0" w:color="auto"/>
            <w:left w:val="none" w:sz="0" w:space="0" w:color="auto"/>
            <w:bottom w:val="none" w:sz="0" w:space="0" w:color="auto"/>
            <w:right w:val="none" w:sz="0" w:space="0" w:color="auto"/>
          </w:divBdr>
          <w:divsChild>
            <w:div w:id="1274677239">
              <w:marLeft w:val="0"/>
              <w:marRight w:val="0"/>
              <w:marTop w:val="0"/>
              <w:marBottom w:val="0"/>
              <w:divBdr>
                <w:top w:val="none" w:sz="0" w:space="0" w:color="auto"/>
                <w:left w:val="none" w:sz="0" w:space="0" w:color="auto"/>
                <w:bottom w:val="none" w:sz="0" w:space="0" w:color="auto"/>
                <w:right w:val="none" w:sz="0" w:space="0" w:color="auto"/>
              </w:divBdr>
            </w:div>
          </w:divsChild>
        </w:div>
        <w:div w:id="695347381">
          <w:marLeft w:val="0"/>
          <w:marRight w:val="0"/>
          <w:marTop w:val="0"/>
          <w:marBottom w:val="0"/>
          <w:divBdr>
            <w:top w:val="none" w:sz="0" w:space="0" w:color="auto"/>
            <w:left w:val="none" w:sz="0" w:space="0" w:color="auto"/>
            <w:bottom w:val="none" w:sz="0" w:space="0" w:color="auto"/>
            <w:right w:val="none" w:sz="0" w:space="0" w:color="auto"/>
          </w:divBdr>
          <w:divsChild>
            <w:div w:id="1391230462">
              <w:marLeft w:val="0"/>
              <w:marRight w:val="0"/>
              <w:marTop w:val="0"/>
              <w:marBottom w:val="0"/>
              <w:divBdr>
                <w:top w:val="none" w:sz="0" w:space="0" w:color="auto"/>
                <w:left w:val="none" w:sz="0" w:space="0" w:color="auto"/>
                <w:bottom w:val="none" w:sz="0" w:space="0" w:color="auto"/>
                <w:right w:val="none" w:sz="0" w:space="0" w:color="auto"/>
              </w:divBdr>
            </w:div>
          </w:divsChild>
        </w:div>
        <w:div w:id="729496991">
          <w:marLeft w:val="0"/>
          <w:marRight w:val="0"/>
          <w:marTop w:val="0"/>
          <w:marBottom w:val="0"/>
          <w:divBdr>
            <w:top w:val="none" w:sz="0" w:space="0" w:color="auto"/>
            <w:left w:val="none" w:sz="0" w:space="0" w:color="auto"/>
            <w:bottom w:val="none" w:sz="0" w:space="0" w:color="auto"/>
            <w:right w:val="none" w:sz="0" w:space="0" w:color="auto"/>
          </w:divBdr>
          <w:divsChild>
            <w:div w:id="637148200">
              <w:marLeft w:val="0"/>
              <w:marRight w:val="0"/>
              <w:marTop w:val="0"/>
              <w:marBottom w:val="0"/>
              <w:divBdr>
                <w:top w:val="none" w:sz="0" w:space="0" w:color="auto"/>
                <w:left w:val="none" w:sz="0" w:space="0" w:color="auto"/>
                <w:bottom w:val="none" w:sz="0" w:space="0" w:color="auto"/>
                <w:right w:val="none" w:sz="0" w:space="0" w:color="auto"/>
              </w:divBdr>
            </w:div>
          </w:divsChild>
        </w:div>
        <w:div w:id="775758007">
          <w:marLeft w:val="0"/>
          <w:marRight w:val="0"/>
          <w:marTop w:val="0"/>
          <w:marBottom w:val="0"/>
          <w:divBdr>
            <w:top w:val="none" w:sz="0" w:space="0" w:color="auto"/>
            <w:left w:val="none" w:sz="0" w:space="0" w:color="auto"/>
            <w:bottom w:val="none" w:sz="0" w:space="0" w:color="auto"/>
            <w:right w:val="none" w:sz="0" w:space="0" w:color="auto"/>
          </w:divBdr>
          <w:divsChild>
            <w:div w:id="528225559">
              <w:marLeft w:val="0"/>
              <w:marRight w:val="0"/>
              <w:marTop w:val="0"/>
              <w:marBottom w:val="0"/>
              <w:divBdr>
                <w:top w:val="none" w:sz="0" w:space="0" w:color="auto"/>
                <w:left w:val="none" w:sz="0" w:space="0" w:color="auto"/>
                <w:bottom w:val="none" w:sz="0" w:space="0" w:color="auto"/>
                <w:right w:val="none" w:sz="0" w:space="0" w:color="auto"/>
              </w:divBdr>
            </w:div>
          </w:divsChild>
        </w:div>
        <w:div w:id="808016039">
          <w:marLeft w:val="0"/>
          <w:marRight w:val="0"/>
          <w:marTop w:val="0"/>
          <w:marBottom w:val="0"/>
          <w:divBdr>
            <w:top w:val="none" w:sz="0" w:space="0" w:color="auto"/>
            <w:left w:val="none" w:sz="0" w:space="0" w:color="auto"/>
            <w:bottom w:val="none" w:sz="0" w:space="0" w:color="auto"/>
            <w:right w:val="none" w:sz="0" w:space="0" w:color="auto"/>
          </w:divBdr>
          <w:divsChild>
            <w:div w:id="225998410">
              <w:marLeft w:val="0"/>
              <w:marRight w:val="0"/>
              <w:marTop w:val="0"/>
              <w:marBottom w:val="0"/>
              <w:divBdr>
                <w:top w:val="none" w:sz="0" w:space="0" w:color="auto"/>
                <w:left w:val="none" w:sz="0" w:space="0" w:color="auto"/>
                <w:bottom w:val="none" w:sz="0" w:space="0" w:color="auto"/>
                <w:right w:val="none" w:sz="0" w:space="0" w:color="auto"/>
              </w:divBdr>
            </w:div>
          </w:divsChild>
        </w:div>
        <w:div w:id="858587359">
          <w:marLeft w:val="0"/>
          <w:marRight w:val="0"/>
          <w:marTop w:val="0"/>
          <w:marBottom w:val="0"/>
          <w:divBdr>
            <w:top w:val="none" w:sz="0" w:space="0" w:color="auto"/>
            <w:left w:val="none" w:sz="0" w:space="0" w:color="auto"/>
            <w:bottom w:val="none" w:sz="0" w:space="0" w:color="auto"/>
            <w:right w:val="none" w:sz="0" w:space="0" w:color="auto"/>
          </w:divBdr>
          <w:divsChild>
            <w:div w:id="1680808139">
              <w:marLeft w:val="0"/>
              <w:marRight w:val="0"/>
              <w:marTop w:val="0"/>
              <w:marBottom w:val="0"/>
              <w:divBdr>
                <w:top w:val="none" w:sz="0" w:space="0" w:color="auto"/>
                <w:left w:val="none" w:sz="0" w:space="0" w:color="auto"/>
                <w:bottom w:val="none" w:sz="0" w:space="0" w:color="auto"/>
                <w:right w:val="none" w:sz="0" w:space="0" w:color="auto"/>
              </w:divBdr>
            </w:div>
          </w:divsChild>
        </w:div>
        <w:div w:id="897712528">
          <w:marLeft w:val="0"/>
          <w:marRight w:val="0"/>
          <w:marTop w:val="0"/>
          <w:marBottom w:val="0"/>
          <w:divBdr>
            <w:top w:val="none" w:sz="0" w:space="0" w:color="auto"/>
            <w:left w:val="none" w:sz="0" w:space="0" w:color="auto"/>
            <w:bottom w:val="none" w:sz="0" w:space="0" w:color="auto"/>
            <w:right w:val="none" w:sz="0" w:space="0" w:color="auto"/>
          </w:divBdr>
          <w:divsChild>
            <w:div w:id="356197740">
              <w:marLeft w:val="0"/>
              <w:marRight w:val="0"/>
              <w:marTop w:val="0"/>
              <w:marBottom w:val="0"/>
              <w:divBdr>
                <w:top w:val="none" w:sz="0" w:space="0" w:color="auto"/>
                <w:left w:val="none" w:sz="0" w:space="0" w:color="auto"/>
                <w:bottom w:val="none" w:sz="0" w:space="0" w:color="auto"/>
                <w:right w:val="none" w:sz="0" w:space="0" w:color="auto"/>
              </w:divBdr>
            </w:div>
          </w:divsChild>
        </w:div>
        <w:div w:id="909342590">
          <w:marLeft w:val="0"/>
          <w:marRight w:val="0"/>
          <w:marTop w:val="0"/>
          <w:marBottom w:val="0"/>
          <w:divBdr>
            <w:top w:val="none" w:sz="0" w:space="0" w:color="auto"/>
            <w:left w:val="none" w:sz="0" w:space="0" w:color="auto"/>
            <w:bottom w:val="none" w:sz="0" w:space="0" w:color="auto"/>
            <w:right w:val="none" w:sz="0" w:space="0" w:color="auto"/>
          </w:divBdr>
          <w:divsChild>
            <w:div w:id="1563717224">
              <w:marLeft w:val="0"/>
              <w:marRight w:val="0"/>
              <w:marTop w:val="0"/>
              <w:marBottom w:val="0"/>
              <w:divBdr>
                <w:top w:val="none" w:sz="0" w:space="0" w:color="auto"/>
                <w:left w:val="none" w:sz="0" w:space="0" w:color="auto"/>
                <w:bottom w:val="none" w:sz="0" w:space="0" w:color="auto"/>
                <w:right w:val="none" w:sz="0" w:space="0" w:color="auto"/>
              </w:divBdr>
            </w:div>
          </w:divsChild>
        </w:div>
        <w:div w:id="923804061">
          <w:marLeft w:val="0"/>
          <w:marRight w:val="0"/>
          <w:marTop w:val="0"/>
          <w:marBottom w:val="0"/>
          <w:divBdr>
            <w:top w:val="none" w:sz="0" w:space="0" w:color="auto"/>
            <w:left w:val="none" w:sz="0" w:space="0" w:color="auto"/>
            <w:bottom w:val="none" w:sz="0" w:space="0" w:color="auto"/>
            <w:right w:val="none" w:sz="0" w:space="0" w:color="auto"/>
          </w:divBdr>
          <w:divsChild>
            <w:div w:id="2057922815">
              <w:marLeft w:val="0"/>
              <w:marRight w:val="0"/>
              <w:marTop w:val="0"/>
              <w:marBottom w:val="0"/>
              <w:divBdr>
                <w:top w:val="none" w:sz="0" w:space="0" w:color="auto"/>
                <w:left w:val="none" w:sz="0" w:space="0" w:color="auto"/>
                <w:bottom w:val="none" w:sz="0" w:space="0" w:color="auto"/>
                <w:right w:val="none" w:sz="0" w:space="0" w:color="auto"/>
              </w:divBdr>
            </w:div>
          </w:divsChild>
        </w:div>
        <w:div w:id="926041566">
          <w:marLeft w:val="0"/>
          <w:marRight w:val="0"/>
          <w:marTop w:val="0"/>
          <w:marBottom w:val="0"/>
          <w:divBdr>
            <w:top w:val="none" w:sz="0" w:space="0" w:color="auto"/>
            <w:left w:val="none" w:sz="0" w:space="0" w:color="auto"/>
            <w:bottom w:val="none" w:sz="0" w:space="0" w:color="auto"/>
            <w:right w:val="none" w:sz="0" w:space="0" w:color="auto"/>
          </w:divBdr>
          <w:divsChild>
            <w:div w:id="111290179">
              <w:marLeft w:val="0"/>
              <w:marRight w:val="0"/>
              <w:marTop w:val="0"/>
              <w:marBottom w:val="0"/>
              <w:divBdr>
                <w:top w:val="none" w:sz="0" w:space="0" w:color="auto"/>
                <w:left w:val="none" w:sz="0" w:space="0" w:color="auto"/>
                <w:bottom w:val="none" w:sz="0" w:space="0" w:color="auto"/>
                <w:right w:val="none" w:sz="0" w:space="0" w:color="auto"/>
              </w:divBdr>
            </w:div>
          </w:divsChild>
        </w:div>
        <w:div w:id="952440539">
          <w:marLeft w:val="0"/>
          <w:marRight w:val="0"/>
          <w:marTop w:val="0"/>
          <w:marBottom w:val="0"/>
          <w:divBdr>
            <w:top w:val="none" w:sz="0" w:space="0" w:color="auto"/>
            <w:left w:val="none" w:sz="0" w:space="0" w:color="auto"/>
            <w:bottom w:val="none" w:sz="0" w:space="0" w:color="auto"/>
            <w:right w:val="none" w:sz="0" w:space="0" w:color="auto"/>
          </w:divBdr>
          <w:divsChild>
            <w:div w:id="428355712">
              <w:marLeft w:val="0"/>
              <w:marRight w:val="0"/>
              <w:marTop w:val="0"/>
              <w:marBottom w:val="0"/>
              <w:divBdr>
                <w:top w:val="none" w:sz="0" w:space="0" w:color="auto"/>
                <w:left w:val="none" w:sz="0" w:space="0" w:color="auto"/>
                <w:bottom w:val="none" w:sz="0" w:space="0" w:color="auto"/>
                <w:right w:val="none" w:sz="0" w:space="0" w:color="auto"/>
              </w:divBdr>
            </w:div>
          </w:divsChild>
        </w:div>
        <w:div w:id="961620367">
          <w:marLeft w:val="0"/>
          <w:marRight w:val="0"/>
          <w:marTop w:val="0"/>
          <w:marBottom w:val="0"/>
          <w:divBdr>
            <w:top w:val="none" w:sz="0" w:space="0" w:color="auto"/>
            <w:left w:val="none" w:sz="0" w:space="0" w:color="auto"/>
            <w:bottom w:val="none" w:sz="0" w:space="0" w:color="auto"/>
            <w:right w:val="none" w:sz="0" w:space="0" w:color="auto"/>
          </w:divBdr>
          <w:divsChild>
            <w:div w:id="941032943">
              <w:marLeft w:val="0"/>
              <w:marRight w:val="0"/>
              <w:marTop w:val="0"/>
              <w:marBottom w:val="0"/>
              <w:divBdr>
                <w:top w:val="none" w:sz="0" w:space="0" w:color="auto"/>
                <w:left w:val="none" w:sz="0" w:space="0" w:color="auto"/>
                <w:bottom w:val="none" w:sz="0" w:space="0" w:color="auto"/>
                <w:right w:val="none" w:sz="0" w:space="0" w:color="auto"/>
              </w:divBdr>
            </w:div>
          </w:divsChild>
        </w:div>
        <w:div w:id="965164963">
          <w:marLeft w:val="0"/>
          <w:marRight w:val="0"/>
          <w:marTop w:val="0"/>
          <w:marBottom w:val="0"/>
          <w:divBdr>
            <w:top w:val="none" w:sz="0" w:space="0" w:color="auto"/>
            <w:left w:val="none" w:sz="0" w:space="0" w:color="auto"/>
            <w:bottom w:val="none" w:sz="0" w:space="0" w:color="auto"/>
            <w:right w:val="none" w:sz="0" w:space="0" w:color="auto"/>
          </w:divBdr>
          <w:divsChild>
            <w:div w:id="1935897876">
              <w:marLeft w:val="0"/>
              <w:marRight w:val="0"/>
              <w:marTop w:val="0"/>
              <w:marBottom w:val="0"/>
              <w:divBdr>
                <w:top w:val="none" w:sz="0" w:space="0" w:color="auto"/>
                <w:left w:val="none" w:sz="0" w:space="0" w:color="auto"/>
                <w:bottom w:val="none" w:sz="0" w:space="0" w:color="auto"/>
                <w:right w:val="none" w:sz="0" w:space="0" w:color="auto"/>
              </w:divBdr>
            </w:div>
          </w:divsChild>
        </w:div>
        <w:div w:id="1080903104">
          <w:marLeft w:val="0"/>
          <w:marRight w:val="0"/>
          <w:marTop w:val="0"/>
          <w:marBottom w:val="0"/>
          <w:divBdr>
            <w:top w:val="none" w:sz="0" w:space="0" w:color="auto"/>
            <w:left w:val="none" w:sz="0" w:space="0" w:color="auto"/>
            <w:bottom w:val="none" w:sz="0" w:space="0" w:color="auto"/>
            <w:right w:val="none" w:sz="0" w:space="0" w:color="auto"/>
          </w:divBdr>
          <w:divsChild>
            <w:div w:id="1448964175">
              <w:marLeft w:val="0"/>
              <w:marRight w:val="0"/>
              <w:marTop w:val="0"/>
              <w:marBottom w:val="0"/>
              <w:divBdr>
                <w:top w:val="none" w:sz="0" w:space="0" w:color="auto"/>
                <w:left w:val="none" w:sz="0" w:space="0" w:color="auto"/>
                <w:bottom w:val="none" w:sz="0" w:space="0" w:color="auto"/>
                <w:right w:val="none" w:sz="0" w:space="0" w:color="auto"/>
              </w:divBdr>
            </w:div>
          </w:divsChild>
        </w:div>
        <w:div w:id="1081952206">
          <w:marLeft w:val="0"/>
          <w:marRight w:val="0"/>
          <w:marTop w:val="0"/>
          <w:marBottom w:val="0"/>
          <w:divBdr>
            <w:top w:val="none" w:sz="0" w:space="0" w:color="auto"/>
            <w:left w:val="none" w:sz="0" w:space="0" w:color="auto"/>
            <w:bottom w:val="none" w:sz="0" w:space="0" w:color="auto"/>
            <w:right w:val="none" w:sz="0" w:space="0" w:color="auto"/>
          </w:divBdr>
          <w:divsChild>
            <w:div w:id="742605460">
              <w:marLeft w:val="0"/>
              <w:marRight w:val="0"/>
              <w:marTop w:val="0"/>
              <w:marBottom w:val="0"/>
              <w:divBdr>
                <w:top w:val="none" w:sz="0" w:space="0" w:color="auto"/>
                <w:left w:val="none" w:sz="0" w:space="0" w:color="auto"/>
                <w:bottom w:val="none" w:sz="0" w:space="0" w:color="auto"/>
                <w:right w:val="none" w:sz="0" w:space="0" w:color="auto"/>
              </w:divBdr>
            </w:div>
          </w:divsChild>
        </w:div>
        <w:div w:id="1105346768">
          <w:marLeft w:val="0"/>
          <w:marRight w:val="0"/>
          <w:marTop w:val="0"/>
          <w:marBottom w:val="0"/>
          <w:divBdr>
            <w:top w:val="none" w:sz="0" w:space="0" w:color="auto"/>
            <w:left w:val="none" w:sz="0" w:space="0" w:color="auto"/>
            <w:bottom w:val="none" w:sz="0" w:space="0" w:color="auto"/>
            <w:right w:val="none" w:sz="0" w:space="0" w:color="auto"/>
          </w:divBdr>
          <w:divsChild>
            <w:div w:id="926960467">
              <w:marLeft w:val="0"/>
              <w:marRight w:val="0"/>
              <w:marTop w:val="0"/>
              <w:marBottom w:val="0"/>
              <w:divBdr>
                <w:top w:val="none" w:sz="0" w:space="0" w:color="auto"/>
                <w:left w:val="none" w:sz="0" w:space="0" w:color="auto"/>
                <w:bottom w:val="none" w:sz="0" w:space="0" w:color="auto"/>
                <w:right w:val="none" w:sz="0" w:space="0" w:color="auto"/>
              </w:divBdr>
            </w:div>
          </w:divsChild>
        </w:div>
        <w:div w:id="1195727993">
          <w:marLeft w:val="0"/>
          <w:marRight w:val="0"/>
          <w:marTop w:val="0"/>
          <w:marBottom w:val="0"/>
          <w:divBdr>
            <w:top w:val="none" w:sz="0" w:space="0" w:color="auto"/>
            <w:left w:val="none" w:sz="0" w:space="0" w:color="auto"/>
            <w:bottom w:val="none" w:sz="0" w:space="0" w:color="auto"/>
            <w:right w:val="none" w:sz="0" w:space="0" w:color="auto"/>
          </w:divBdr>
          <w:divsChild>
            <w:div w:id="2038120544">
              <w:marLeft w:val="0"/>
              <w:marRight w:val="0"/>
              <w:marTop w:val="0"/>
              <w:marBottom w:val="0"/>
              <w:divBdr>
                <w:top w:val="none" w:sz="0" w:space="0" w:color="auto"/>
                <w:left w:val="none" w:sz="0" w:space="0" w:color="auto"/>
                <w:bottom w:val="none" w:sz="0" w:space="0" w:color="auto"/>
                <w:right w:val="none" w:sz="0" w:space="0" w:color="auto"/>
              </w:divBdr>
            </w:div>
          </w:divsChild>
        </w:div>
        <w:div w:id="1214779391">
          <w:marLeft w:val="0"/>
          <w:marRight w:val="0"/>
          <w:marTop w:val="0"/>
          <w:marBottom w:val="0"/>
          <w:divBdr>
            <w:top w:val="none" w:sz="0" w:space="0" w:color="auto"/>
            <w:left w:val="none" w:sz="0" w:space="0" w:color="auto"/>
            <w:bottom w:val="none" w:sz="0" w:space="0" w:color="auto"/>
            <w:right w:val="none" w:sz="0" w:space="0" w:color="auto"/>
          </w:divBdr>
          <w:divsChild>
            <w:div w:id="1050223036">
              <w:marLeft w:val="0"/>
              <w:marRight w:val="0"/>
              <w:marTop w:val="0"/>
              <w:marBottom w:val="0"/>
              <w:divBdr>
                <w:top w:val="none" w:sz="0" w:space="0" w:color="auto"/>
                <w:left w:val="none" w:sz="0" w:space="0" w:color="auto"/>
                <w:bottom w:val="none" w:sz="0" w:space="0" w:color="auto"/>
                <w:right w:val="none" w:sz="0" w:space="0" w:color="auto"/>
              </w:divBdr>
            </w:div>
          </w:divsChild>
        </w:div>
        <w:div w:id="1218009176">
          <w:marLeft w:val="0"/>
          <w:marRight w:val="0"/>
          <w:marTop w:val="0"/>
          <w:marBottom w:val="0"/>
          <w:divBdr>
            <w:top w:val="none" w:sz="0" w:space="0" w:color="auto"/>
            <w:left w:val="none" w:sz="0" w:space="0" w:color="auto"/>
            <w:bottom w:val="none" w:sz="0" w:space="0" w:color="auto"/>
            <w:right w:val="none" w:sz="0" w:space="0" w:color="auto"/>
          </w:divBdr>
          <w:divsChild>
            <w:div w:id="612395631">
              <w:marLeft w:val="0"/>
              <w:marRight w:val="0"/>
              <w:marTop w:val="0"/>
              <w:marBottom w:val="0"/>
              <w:divBdr>
                <w:top w:val="none" w:sz="0" w:space="0" w:color="auto"/>
                <w:left w:val="none" w:sz="0" w:space="0" w:color="auto"/>
                <w:bottom w:val="none" w:sz="0" w:space="0" w:color="auto"/>
                <w:right w:val="none" w:sz="0" w:space="0" w:color="auto"/>
              </w:divBdr>
            </w:div>
          </w:divsChild>
        </w:div>
        <w:div w:id="1308893926">
          <w:marLeft w:val="0"/>
          <w:marRight w:val="0"/>
          <w:marTop w:val="0"/>
          <w:marBottom w:val="0"/>
          <w:divBdr>
            <w:top w:val="none" w:sz="0" w:space="0" w:color="auto"/>
            <w:left w:val="none" w:sz="0" w:space="0" w:color="auto"/>
            <w:bottom w:val="none" w:sz="0" w:space="0" w:color="auto"/>
            <w:right w:val="none" w:sz="0" w:space="0" w:color="auto"/>
          </w:divBdr>
          <w:divsChild>
            <w:div w:id="1027409385">
              <w:marLeft w:val="0"/>
              <w:marRight w:val="0"/>
              <w:marTop w:val="0"/>
              <w:marBottom w:val="0"/>
              <w:divBdr>
                <w:top w:val="none" w:sz="0" w:space="0" w:color="auto"/>
                <w:left w:val="none" w:sz="0" w:space="0" w:color="auto"/>
                <w:bottom w:val="none" w:sz="0" w:space="0" w:color="auto"/>
                <w:right w:val="none" w:sz="0" w:space="0" w:color="auto"/>
              </w:divBdr>
            </w:div>
          </w:divsChild>
        </w:div>
        <w:div w:id="1317496502">
          <w:marLeft w:val="0"/>
          <w:marRight w:val="0"/>
          <w:marTop w:val="0"/>
          <w:marBottom w:val="0"/>
          <w:divBdr>
            <w:top w:val="none" w:sz="0" w:space="0" w:color="auto"/>
            <w:left w:val="none" w:sz="0" w:space="0" w:color="auto"/>
            <w:bottom w:val="none" w:sz="0" w:space="0" w:color="auto"/>
            <w:right w:val="none" w:sz="0" w:space="0" w:color="auto"/>
          </w:divBdr>
          <w:divsChild>
            <w:div w:id="1218124343">
              <w:marLeft w:val="0"/>
              <w:marRight w:val="0"/>
              <w:marTop w:val="0"/>
              <w:marBottom w:val="0"/>
              <w:divBdr>
                <w:top w:val="none" w:sz="0" w:space="0" w:color="auto"/>
                <w:left w:val="none" w:sz="0" w:space="0" w:color="auto"/>
                <w:bottom w:val="none" w:sz="0" w:space="0" w:color="auto"/>
                <w:right w:val="none" w:sz="0" w:space="0" w:color="auto"/>
              </w:divBdr>
            </w:div>
          </w:divsChild>
        </w:div>
        <w:div w:id="1397388710">
          <w:marLeft w:val="0"/>
          <w:marRight w:val="0"/>
          <w:marTop w:val="0"/>
          <w:marBottom w:val="0"/>
          <w:divBdr>
            <w:top w:val="none" w:sz="0" w:space="0" w:color="auto"/>
            <w:left w:val="none" w:sz="0" w:space="0" w:color="auto"/>
            <w:bottom w:val="none" w:sz="0" w:space="0" w:color="auto"/>
            <w:right w:val="none" w:sz="0" w:space="0" w:color="auto"/>
          </w:divBdr>
          <w:divsChild>
            <w:div w:id="1177770993">
              <w:marLeft w:val="0"/>
              <w:marRight w:val="0"/>
              <w:marTop w:val="0"/>
              <w:marBottom w:val="0"/>
              <w:divBdr>
                <w:top w:val="none" w:sz="0" w:space="0" w:color="auto"/>
                <w:left w:val="none" w:sz="0" w:space="0" w:color="auto"/>
                <w:bottom w:val="none" w:sz="0" w:space="0" w:color="auto"/>
                <w:right w:val="none" w:sz="0" w:space="0" w:color="auto"/>
              </w:divBdr>
            </w:div>
          </w:divsChild>
        </w:div>
        <w:div w:id="1463772916">
          <w:marLeft w:val="0"/>
          <w:marRight w:val="0"/>
          <w:marTop w:val="0"/>
          <w:marBottom w:val="0"/>
          <w:divBdr>
            <w:top w:val="none" w:sz="0" w:space="0" w:color="auto"/>
            <w:left w:val="none" w:sz="0" w:space="0" w:color="auto"/>
            <w:bottom w:val="none" w:sz="0" w:space="0" w:color="auto"/>
            <w:right w:val="none" w:sz="0" w:space="0" w:color="auto"/>
          </w:divBdr>
          <w:divsChild>
            <w:div w:id="1608584385">
              <w:marLeft w:val="0"/>
              <w:marRight w:val="0"/>
              <w:marTop w:val="0"/>
              <w:marBottom w:val="0"/>
              <w:divBdr>
                <w:top w:val="none" w:sz="0" w:space="0" w:color="auto"/>
                <w:left w:val="none" w:sz="0" w:space="0" w:color="auto"/>
                <w:bottom w:val="none" w:sz="0" w:space="0" w:color="auto"/>
                <w:right w:val="none" w:sz="0" w:space="0" w:color="auto"/>
              </w:divBdr>
            </w:div>
          </w:divsChild>
        </w:div>
        <w:div w:id="1604922069">
          <w:marLeft w:val="0"/>
          <w:marRight w:val="0"/>
          <w:marTop w:val="0"/>
          <w:marBottom w:val="0"/>
          <w:divBdr>
            <w:top w:val="none" w:sz="0" w:space="0" w:color="auto"/>
            <w:left w:val="none" w:sz="0" w:space="0" w:color="auto"/>
            <w:bottom w:val="none" w:sz="0" w:space="0" w:color="auto"/>
            <w:right w:val="none" w:sz="0" w:space="0" w:color="auto"/>
          </w:divBdr>
          <w:divsChild>
            <w:div w:id="932663281">
              <w:marLeft w:val="0"/>
              <w:marRight w:val="0"/>
              <w:marTop w:val="0"/>
              <w:marBottom w:val="0"/>
              <w:divBdr>
                <w:top w:val="none" w:sz="0" w:space="0" w:color="auto"/>
                <w:left w:val="none" w:sz="0" w:space="0" w:color="auto"/>
                <w:bottom w:val="none" w:sz="0" w:space="0" w:color="auto"/>
                <w:right w:val="none" w:sz="0" w:space="0" w:color="auto"/>
              </w:divBdr>
            </w:div>
          </w:divsChild>
        </w:div>
        <w:div w:id="1621447165">
          <w:marLeft w:val="0"/>
          <w:marRight w:val="0"/>
          <w:marTop w:val="0"/>
          <w:marBottom w:val="0"/>
          <w:divBdr>
            <w:top w:val="none" w:sz="0" w:space="0" w:color="auto"/>
            <w:left w:val="none" w:sz="0" w:space="0" w:color="auto"/>
            <w:bottom w:val="none" w:sz="0" w:space="0" w:color="auto"/>
            <w:right w:val="none" w:sz="0" w:space="0" w:color="auto"/>
          </w:divBdr>
          <w:divsChild>
            <w:div w:id="1489902309">
              <w:marLeft w:val="0"/>
              <w:marRight w:val="0"/>
              <w:marTop w:val="0"/>
              <w:marBottom w:val="0"/>
              <w:divBdr>
                <w:top w:val="none" w:sz="0" w:space="0" w:color="auto"/>
                <w:left w:val="none" w:sz="0" w:space="0" w:color="auto"/>
                <w:bottom w:val="none" w:sz="0" w:space="0" w:color="auto"/>
                <w:right w:val="none" w:sz="0" w:space="0" w:color="auto"/>
              </w:divBdr>
            </w:div>
          </w:divsChild>
        </w:div>
        <w:div w:id="1629362380">
          <w:marLeft w:val="0"/>
          <w:marRight w:val="0"/>
          <w:marTop w:val="0"/>
          <w:marBottom w:val="0"/>
          <w:divBdr>
            <w:top w:val="none" w:sz="0" w:space="0" w:color="auto"/>
            <w:left w:val="none" w:sz="0" w:space="0" w:color="auto"/>
            <w:bottom w:val="none" w:sz="0" w:space="0" w:color="auto"/>
            <w:right w:val="none" w:sz="0" w:space="0" w:color="auto"/>
          </w:divBdr>
          <w:divsChild>
            <w:div w:id="1723096370">
              <w:marLeft w:val="0"/>
              <w:marRight w:val="0"/>
              <w:marTop w:val="0"/>
              <w:marBottom w:val="0"/>
              <w:divBdr>
                <w:top w:val="none" w:sz="0" w:space="0" w:color="auto"/>
                <w:left w:val="none" w:sz="0" w:space="0" w:color="auto"/>
                <w:bottom w:val="none" w:sz="0" w:space="0" w:color="auto"/>
                <w:right w:val="none" w:sz="0" w:space="0" w:color="auto"/>
              </w:divBdr>
            </w:div>
          </w:divsChild>
        </w:div>
        <w:div w:id="1640652648">
          <w:marLeft w:val="0"/>
          <w:marRight w:val="0"/>
          <w:marTop w:val="0"/>
          <w:marBottom w:val="0"/>
          <w:divBdr>
            <w:top w:val="none" w:sz="0" w:space="0" w:color="auto"/>
            <w:left w:val="none" w:sz="0" w:space="0" w:color="auto"/>
            <w:bottom w:val="none" w:sz="0" w:space="0" w:color="auto"/>
            <w:right w:val="none" w:sz="0" w:space="0" w:color="auto"/>
          </w:divBdr>
          <w:divsChild>
            <w:div w:id="1370108841">
              <w:marLeft w:val="0"/>
              <w:marRight w:val="0"/>
              <w:marTop w:val="0"/>
              <w:marBottom w:val="0"/>
              <w:divBdr>
                <w:top w:val="none" w:sz="0" w:space="0" w:color="auto"/>
                <w:left w:val="none" w:sz="0" w:space="0" w:color="auto"/>
                <w:bottom w:val="none" w:sz="0" w:space="0" w:color="auto"/>
                <w:right w:val="none" w:sz="0" w:space="0" w:color="auto"/>
              </w:divBdr>
            </w:div>
          </w:divsChild>
        </w:div>
        <w:div w:id="1714187132">
          <w:marLeft w:val="0"/>
          <w:marRight w:val="0"/>
          <w:marTop w:val="0"/>
          <w:marBottom w:val="0"/>
          <w:divBdr>
            <w:top w:val="none" w:sz="0" w:space="0" w:color="auto"/>
            <w:left w:val="none" w:sz="0" w:space="0" w:color="auto"/>
            <w:bottom w:val="none" w:sz="0" w:space="0" w:color="auto"/>
            <w:right w:val="none" w:sz="0" w:space="0" w:color="auto"/>
          </w:divBdr>
          <w:divsChild>
            <w:div w:id="1858037026">
              <w:marLeft w:val="0"/>
              <w:marRight w:val="0"/>
              <w:marTop w:val="0"/>
              <w:marBottom w:val="0"/>
              <w:divBdr>
                <w:top w:val="none" w:sz="0" w:space="0" w:color="auto"/>
                <w:left w:val="none" w:sz="0" w:space="0" w:color="auto"/>
                <w:bottom w:val="none" w:sz="0" w:space="0" w:color="auto"/>
                <w:right w:val="none" w:sz="0" w:space="0" w:color="auto"/>
              </w:divBdr>
            </w:div>
          </w:divsChild>
        </w:div>
        <w:div w:id="1790513215">
          <w:marLeft w:val="0"/>
          <w:marRight w:val="0"/>
          <w:marTop w:val="0"/>
          <w:marBottom w:val="0"/>
          <w:divBdr>
            <w:top w:val="none" w:sz="0" w:space="0" w:color="auto"/>
            <w:left w:val="none" w:sz="0" w:space="0" w:color="auto"/>
            <w:bottom w:val="none" w:sz="0" w:space="0" w:color="auto"/>
            <w:right w:val="none" w:sz="0" w:space="0" w:color="auto"/>
          </w:divBdr>
          <w:divsChild>
            <w:div w:id="1764448725">
              <w:marLeft w:val="0"/>
              <w:marRight w:val="0"/>
              <w:marTop w:val="0"/>
              <w:marBottom w:val="0"/>
              <w:divBdr>
                <w:top w:val="none" w:sz="0" w:space="0" w:color="auto"/>
                <w:left w:val="none" w:sz="0" w:space="0" w:color="auto"/>
                <w:bottom w:val="none" w:sz="0" w:space="0" w:color="auto"/>
                <w:right w:val="none" w:sz="0" w:space="0" w:color="auto"/>
              </w:divBdr>
            </w:div>
          </w:divsChild>
        </w:div>
        <w:div w:id="1799176282">
          <w:marLeft w:val="0"/>
          <w:marRight w:val="0"/>
          <w:marTop w:val="0"/>
          <w:marBottom w:val="0"/>
          <w:divBdr>
            <w:top w:val="none" w:sz="0" w:space="0" w:color="auto"/>
            <w:left w:val="none" w:sz="0" w:space="0" w:color="auto"/>
            <w:bottom w:val="none" w:sz="0" w:space="0" w:color="auto"/>
            <w:right w:val="none" w:sz="0" w:space="0" w:color="auto"/>
          </w:divBdr>
          <w:divsChild>
            <w:div w:id="1326396162">
              <w:marLeft w:val="0"/>
              <w:marRight w:val="0"/>
              <w:marTop w:val="0"/>
              <w:marBottom w:val="0"/>
              <w:divBdr>
                <w:top w:val="none" w:sz="0" w:space="0" w:color="auto"/>
                <w:left w:val="none" w:sz="0" w:space="0" w:color="auto"/>
                <w:bottom w:val="none" w:sz="0" w:space="0" w:color="auto"/>
                <w:right w:val="none" w:sz="0" w:space="0" w:color="auto"/>
              </w:divBdr>
            </w:div>
          </w:divsChild>
        </w:div>
        <w:div w:id="1849178489">
          <w:marLeft w:val="0"/>
          <w:marRight w:val="0"/>
          <w:marTop w:val="0"/>
          <w:marBottom w:val="0"/>
          <w:divBdr>
            <w:top w:val="none" w:sz="0" w:space="0" w:color="auto"/>
            <w:left w:val="none" w:sz="0" w:space="0" w:color="auto"/>
            <w:bottom w:val="none" w:sz="0" w:space="0" w:color="auto"/>
            <w:right w:val="none" w:sz="0" w:space="0" w:color="auto"/>
          </w:divBdr>
          <w:divsChild>
            <w:div w:id="312755745">
              <w:marLeft w:val="0"/>
              <w:marRight w:val="0"/>
              <w:marTop w:val="0"/>
              <w:marBottom w:val="0"/>
              <w:divBdr>
                <w:top w:val="none" w:sz="0" w:space="0" w:color="auto"/>
                <w:left w:val="none" w:sz="0" w:space="0" w:color="auto"/>
                <w:bottom w:val="none" w:sz="0" w:space="0" w:color="auto"/>
                <w:right w:val="none" w:sz="0" w:space="0" w:color="auto"/>
              </w:divBdr>
            </w:div>
          </w:divsChild>
        </w:div>
        <w:div w:id="1927491517">
          <w:marLeft w:val="0"/>
          <w:marRight w:val="0"/>
          <w:marTop w:val="0"/>
          <w:marBottom w:val="0"/>
          <w:divBdr>
            <w:top w:val="none" w:sz="0" w:space="0" w:color="auto"/>
            <w:left w:val="none" w:sz="0" w:space="0" w:color="auto"/>
            <w:bottom w:val="none" w:sz="0" w:space="0" w:color="auto"/>
            <w:right w:val="none" w:sz="0" w:space="0" w:color="auto"/>
          </w:divBdr>
          <w:divsChild>
            <w:div w:id="1965385281">
              <w:marLeft w:val="0"/>
              <w:marRight w:val="0"/>
              <w:marTop w:val="0"/>
              <w:marBottom w:val="0"/>
              <w:divBdr>
                <w:top w:val="none" w:sz="0" w:space="0" w:color="auto"/>
                <w:left w:val="none" w:sz="0" w:space="0" w:color="auto"/>
                <w:bottom w:val="none" w:sz="0" w:space="0" w:color="auto"/>
                <w:right w:val="none" w:sz="0" w:space="0" w:color="auto"/>
              </w:divBdr>
            </w:div>
          </w:divsChild>
        </w:div>
        <w:div w:id="1952937557">
          <w:marLeft w:val="0"/>
          <w:marRight w:val="0"/>
          <w:marTop w:val="0"/>
          <w:marBottom w:val="0"/>
          <w:divBdr>
            <w:top w:val="none" w:sz="0" w:space="0" w:color="auto"/>
            <w:left w:val="none" w:sz="0" w:space="0" w:color="auto"/>
            <w:bottom w:val="none" w:sz="0" w:space="0" w:color="auto"/>
            <w:right w:val="none" w:sz="0" w:space="0" w:color="auto"/>
          </w:divBdr>
          <w:divsChild>
            <w:div w:id="1758747731">
              <w:marLeft w:val="0"/>
              <w:marRight w:val="0"/>
              <w:marTop w:val="0"/>
              <w:marBottom w:val="0"/>
              <w:divBdr>
                <w:top w:val="none" w:sz="0" w:space="0" w:color="auto"/>
                <w:left w:val="none" w:sz="0" w:space="0" w:color="auto"/>
                <w:bottom w:val="none" w:sz="0" w:space="0" w:color="auto"/>
                <w:right w:val="none" w:sz="0" w:space="0" w:color="auto"/>
              </w:divBdr>
            </w:div>
          </w:divsChild>
        </w:div>
        <w:div w:id="1957101848">
          <w:marLeft w:val="0"/>
          <w:marRight w:val="0"/>
          <w:marTop w:val="0"/>
          <w:marBottom w:val="0"/>
          <w:divBdr>
            <w:top w:val="none" w:sz="0" w:space="0" w:color="auto"/>
            <w:left w:val="none" w:sz="0" w:space="0" w:color="auto"/>
            <w:bottom w:val="none" w:sz="0" w:space="0" w:color="auto"/>
            <w:right w:val="none" w:sz="0" w:space="0" w:color="auto"/>
          </w:divBdr>
          <w:divsChild>
            <w:div w:id="1522666436">
              <w:marLeft w:val="0"/>
              <w:marRight w:val="0"/>
              <w:marTop w:val="0"/>
              <w:marBottom w:val="0"/>
              <w:divBdr>
                <w:top w:val="none" w:sz="0" w:space="0" w:color="auto"/>
                <w:left w:val="none" w:sz="0" w:space="0" w:color="auto"/>
                <w:bottom w:val="none" w:sz="0" w:space="0" w:color="auto"/>
                <w:right w:val="none" w:sz="0" w:space="0" w:color="auto"/>
              </w:divBdr>
            </w:div>
          </w:divsChild>
        </w:div>
        <w:div w:id="1982464348">
          <w:marLeft w:val="0"/>
          <w:marRight w:val="0"/>
          <w:marTop w:val="0"/>
          <w:marBottom w:val="0"/>
          <w:divBdr>
            <w:top w:val="none" w:sz="0" w:space="0" w:color="auto"/>
            <w:left w:val="none" w:sz="0" w:space="0" w:color="auto"/>
            <w:bottom w:val="none" w:sz="0" w:space="0" w:color="auto"/>
            <w:right w:val="none" w:sz="0" w:space="0" w:color="auto"/>
          </w:divBdr>
          <w:divsChild>
            <w:div w:id="1716462721">
              <w:marLeft w:val="0"/>
              <w:marRight w:val="0"/>
              <w:marTop w:val="0"/>
              <w:marBottom w:val="0"/>
              <w:divBdr>
                <w:top w:val="none" w:sz="0" w:space="0" w:color="auto"/>
                <w:left w:val="none" w:sz="0" w:space="0" w:color="auto"/>
                <w:bottom w:val="none" w:sz="0" w:space="0" w:color="auto"/>
                <w:right w:val="none" w:sz="0" w:space="0" w:color="auto"/>
              </w:divBdr>
            </w:div>
          </w:divsChild>
        </w:div>
        <w:div w:id="2015447906">
          <w:marLeft w:val="0"/>
          <w:marRight w:val="0"/>
          <w:marTop w:val="0"/>
          <w:marBottom w:val="0"/>
          <w:divBdr>
            <w:top w:val="none" w:sz="0" w:space="0" w:color="auto"/>
            <w:left w:val="none" w:sz="0" w:space="0" w:color="auto"/>
            <w:bottom w:val="none" w:sz="0" w:space="0" w:color="auto"/>
            <w:right w:val="none" w:sz="0" w:space="0" w:color="auto"/>
          </w:divBdr>
          <w:divsChild>
            <w:div w:id="109682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081325">
      <w:bodyDiv w:val="1"/>
      <w:marLeft w:val="0"/>
      <w:marRight w:val="0"/>
      <w:marTop w:val="0"/>
      <w:marBottom w:val="0"/>
      <w:divBdr>
        <w:top w:val="none" w:sz="0" w:space="0" w:color="auto"/>
        <w:left w:val="none" w:sz="0" w:space="0" w:color="auto"/>
        <w:bottom w:val="none" w:sz="0" w:space="0" w:color="auto"/>
        <w:right w:val="none" w:sz="0" w:space="0" w:color="auto"/>
      </w:divBdr>
    </w:div>
    <w:div w:id="815338142">
      <w:bodyDiv w:val="1"/>
      <w:marLeft w:val="0"/>
      <w:marRight w:val="0"/>
      <w:marTop w:val="0"/>
      <w:marBottom w:val="0"/>
      <w:divBdr>
        <w:top w:val="none" w:sz="0" w:space="0" w:color="auto"/>
        <w:left w:val="none" w:sz="0" w:space="0" w:color="auto"/>
        <w:bottom w:val="none" w:sz="0" w:space="0" w:color="auto"/>
        <w:right w:val="none" w:sz="0" w:space="0" w:color="auto"/>
      </w:divBdr>
    </w:div>
    <w:div w:id="839154247">
      <w:bodyDiv w:val="1"/>
      <w:marLeft w:val="0"/>
      <w:marRight w:val="0"/>
      <w:marTop w:val="0"/>
      <w:marBottom w:val="0"/>
      <w:divBdr>
        <w:top w:val="none" w:sz="0" w:space="0" w:color="auto"/>
        <w:left w:val="none" w:sz="0" w:space="0" w:color="auto"/>
        <w:bottom w:val="none" w:sz="0" w:space="0" w:color="auto"/>
        <w:right w:val="none" w:sz="0" w:space="0" w:color="auto"/>
      </w:divBdr>
    </w:div>
    <w:div w:id="868496664">
      <w:bodyDiv w:val="1"/>
      <w:marLeft w:val="0"/>
      <w:marRight w:val="0"/>
      <w:marTop w:val="0"/>
      <w:marBottom w:val="0"/>
      <w:divBdr>
        <w:top w:val="none" w:sz="0" w:space="0" w:color="auto"/>
        <w:left w:val="none" w:sz="0" w:space="0" w:color="auto"/>
        <w:bottom w:val="none" w:sz="0" w:space="0" w:color="auto"/>
        <w:right w:val="none" w:sz="0" w:space="0" w:color="auto"/>
      </w:divBdr>
      <w:divsChild>
        <w:div w:id="517816699">
          <w:marLeft w:val="0"/>
          <w:marRight w:val="0"/>
          <w:marTop w:val="0"/>
          <w:marBottom w:val="0"/>
          <w:divBdr>
            <w:top w:val="none" w:sz="0" w:space="0" w:color="auto"/>
            <w:left w:val="none" w:sz="0" w:space="0" w:color="auto"/>
            <w:bottom w:val="none" w:sz="0" w:space="0" w:color="auto"/>
            <w:right w:val="none" w:sz="0" w:space="0" w:color="auto"/>
          </w:divBdr>
        </w:div>
      </w:divsChild>
    </w:div>
    <w:div w:id="870530420">
      <w:bodyDiv w:val="1"/>
      <w:marLeft w:val="0"/>
      <w:marRight w:val="0"/>
      <w:marTop w:val="0"/>
      <w:marBottom w:val="0"/>
      <w:divBdr>
        <w:top w:val="none" w:sz="0" w:space="0" w:color="auto"/>
        <w:left w:val="none" w:sz="0" w:space="0" w:color="auto"/>
        <w:bottom w:val="none" w:sz="0" w:space="0" w:color="auto"/>
        <w:right w:val="none" w:sz="0" w:space="0" w:color="auto"/>
      </w:divBdr>
      <w:divsChild>
        <w:div w:id="1278830881">
          <w:marLeft w:val="0"/>
          <w:marRight w:val="0"/>
          <w:marTop w:val="0"/>
          <w:marBottom w:val="0"/>
          <w:divBdr>
            <w:top w:val="none" w:sz="0" w:space="0" w:color="auto"/>
            <w:left w:val="none" w:sz="0" w:space="0" w:color="auto"/>
            <w:bottom w:val="none" w:sz="0" w:space="0" w:color="auto"/>
            <w:right w:val="none" w:sz="0" w:space="0" w:color="auto"/>
          </w:divBdr>
        </w:div>
      </w:divsChild>
    </w:div>
    <w:div w:id="875892605">
      <w:bodyDiv w:val="1"/>
      <w:marLeft w:val="0"/>
      <w:marRight w:val="0"/>
      <w:marTop w:val="0"/>
      <w:marBottom w:val="0"/>
      <w:divBdr>
        <w:top w:val="none" w:sz="0" w:space="0" w:color="auto"/>
        <w:left w:val="none" w:sz="0" w:space="0" w:color="auto"/>
        <w:bottom w:val="none" w:sz="0" w:space="0" w:color="auto"/>
        <w:right w:val="none" w:sz="0" w:space="0" w:color="auto"/>
      </w:divBdr>
      <w:divsChild>
        <w:div w:id="1601791211">
          <w:marLeft w:val="0"/>
          <w:marRight w:val="0"/>
          <w:marTop w:val="0"/>
          <w:marBottom w:val="0"/>
          <w:divBdr>
            <w:top w:val="none" w:sz="0" w:space="0" w:color="auto"/>
            <w:left w:val="none" w:sz="0" w:space="0" w:color="auto"/>
            <w:bottom w:val="none" w:sz="0" w:space="0" w:color="auto"/>
            <w:right w:val="none" w:sz="0" w:space="0" w:color="auto"/>
          </w:divBdr>
        </w:div>
      </w:divsChild>
    </w:div>
    <w:div w:id="902326307">
      <w:bodyDiv w:val="1"/>
      <w:marLeft w:val="0"/>
      <w:marRight w:val="0"/>
      <w:marTop w:val="0"/>
      <w:marBottom w:val="0"/>
      <w:divBdr>
        <w:top w:val="none" w:sz="0" w:space="0" w:color="auto"/>
        <w:left w:val="none" w:sz="0" w:space="0" w:color="auto"/>
        <w:bottom w:val="none" w:sz="0" w:space="0" w:color="auto"/>
        <w:right w:val="none" w:sz="0" w:space="0" w:color="auto"/>
      </w:divBdr>
    </w:div>
    <w:div w:id="915431645">
      <w:bodyDiv w:val="1"/>
      <w:marLeft w:val="0"/>
      <w:marRight w:val="0"/>
      <w:marTop w:val="0"/>
      <w:marBottom w:val="0"/>
      <w:divBdr>
        <w:top w:val="none" w:sz="0" w:space="0" w:color="auto"/>
        <w:left w:val="none" w:sz="0" w:space="0" w:color="auto"/>
        <w:bottom w:val="none" w:sz="0" w:space="0" w:color="auto"/>
        <w:right w:val="none" w:sz="0" w:space="0" w:color="auto"/>
      </w:divBdr>
    </w:div>
    <w:div w:id="917901543">
      <w:bodyDiv w:val="1"/>
      <w:marLeft w:val="0"/>
      <w:marRight w:val="0"/>
      <w:marTop w:val="0"/>
      <w:marBottom w:val="0"/>
      <w:divBdr>
        <w:top w:val="none" w:sz="0" w:space="0" w:color="auto"/>
        <w:left w:val="none" w:sz="0" w:space="0" w:color="auto"/>
        <w:bottom w:val="none" w:sz="0" w:space="0" w:color="auto"/>
        <w:right w:val="none" w:sz="0" w:space="0" w:color="auto"/>
      </w:divBdr>
      <w:divsChild>
        <w:div w:id="136923112">
          <w:marLeft w:val="0"/>
          <w:marRight w:val="0"/>
          <w:marTop w:val="0"/>
          <w:marBottom w:val="0"/>
          <w:divBdr>
            <w:top w:val="none" w:sz="0" w:space="0" w:color="auto"/>
            <w:left w:val="none" w:sz="0" w:space="0" w:color="auto"/>
            <w:bottom w:val="none" w:sz="0" w:space="0" w:color="auto"/>
            <w:right w:val="none" w:sz="0" w:space="0" w:color="auto"/>
          </w:divBdr>
        </w:div>
      </w:divsChild>
    </w:div>
    <w:div w:id="920867454">
      <w:bodyDiv w:val="1"/>
      <w:marLeft w:val="0"/>
      <w:marRight w:val="0"/>
      <w:marTop w:val="0"/>
      <w:marBottom w:val="0"/>
      <w:divBdr>
        <w:top w:val="none" w:sz="0" w:space="0" w:color="auto"/>
        <w:left w:val="none" w:sz="0" w:space="0" w:color="auto"/>
        <w:bottom w:val="none" w:sz="0" w:space="0" w:color="auto"/>
        <w:right w:val="none" w:sz="0" w:space="0" w:color="auto"/>
      </w:divBdr>
      <w:divsChild>
        <w:div w:id="1206676816">
          <w:marLeft w:val="0"/>
          <w:marRight w:val="0"/>
          <w:marTop w:val="0"/>
          <w:marBottom w:val="0"/>
          <w:divBdr>
            <w:top w:val="none" w:sz="0" w:space="0" w:color="auto"/>
            <w:left w:val="none" w:sz="0" w:space="0" w:color="auto"/>
            <w:bottom w:val="none" w:sz="0" w:space="0" w:color="auto"/>
            <w:right w:val="none" w:sz="0" w:space="0" w:color="auto"/>
          </w:divBdr>
        </w:div>
      </w:divsChild>
    </w:div>
    <w:div w:id="962345899">
      <w:bodyDiv w:val="1"/>
      <w:marLeft w:val="0"/>
      <w:marRight w:val="0"/>
      <w:marTop w:val="0"/>
      <w:marBottom w:val="0"/>
      <w:divBdr>
        <w:top w:val="none" w:sz="0" w:space="0" w:color="auto"/>
        <w:left w:val="none" w:sz="0" w:space="0" w:color="auto"/>
        <w:bottom w:val="none" w:sz="0" w:space="0" w:color="auto"/>
        <w:right w:val="none" w:sz="0" w:space="0" w:color="auto"/>
      </w:divBdr>
      <w:divsChild>
        <w:div w:id="2078241788">
          <w:marLeft w:val="0"/>
          <w:marRight w:val="0"/>
          <w:marTop w:val="0"/>
          <w:marBottom w:val="0"/>
          <w:divBdr>
            <w:top w:val="none" w:sz="0" w:space="0" w:color="auto"/>
            <w:left w:val="none" w:sz="0" w:space="0" w:color="auto"/>
            <w:bottom w:val="none" w:sz="0" w:space="0" w:color="auto"/>
            <w:right w:val="none" w:sz="0" w:space="0" w:color="auto"/>
          </w:divBdr>
        </w:div>
      </w:divsChild>
    </w:div>
    <w:div w:id="980499579">
      <w:bodyDiv w:val="1"/>
      <w:marLeft w:val="0"/>
      <w:marRight w:val="0"/>
      <w:marTop w:val="0"/>
      <w:marBottom w:val="0"/>
      <w:divBdr>
        <w:top w:val="none" w:sz="0" w:space="0" w:color="auto"/>
        <w:left w:val="none" w:sz="0" w:space="0" w:color="auto"/>
        <w:bottom w:val="none" w:sz="0" w:space="0" w:color="auto"/>
        <w:right w:val="none" w:sz="0" w:space="0" w:color="auto"/>
      </w:divBdr>
      <w:divsChild>
        <w:div w:id="2019232073">
          <w:marLeft w:val="0"/>
          <w:marRight w:val="0"/>
          <w:marTop w:val="0"/>
          <w:marBottom w:val="0"/>
          <w:divBdr>
            <w:top w:val="none" w:sz="0" w:space="0" w:color="auto"/>
            <w:left w:val="none" w:sz="0" w:space="0" w:color="auto"/>
            <w:bottom w:val="none" w:sz="0" w:space="0" w:color="auto"/>
            <w:right w:val="none" w:sz="0" w:space="0" w:color="auto"/>
          </w:divBdr>
        </w:div>
      </w:divsChild>
    </w:div>
    <w:div w:id="984705371">
      <w:bodyDiv w:val="1"/>
      <w:marLeft w:val="0"/>
      <w:marRight w:val="0"/>
      <w:marTop w:val="0"/>
      <w:marBottom w:val="0"/>
      <w:divBdr>
        <w:top w:val="none" w:sz="0" w:space="0" w:color="auto"/>
        <w:left w:val="none" w:sz="0" w:space="0" w:color="auto"/>
        <w:bottom w:val="none" w:sz="0" w:space="0" w:color="auto"/>
        <w:right w:val="none" w:sz="0" w:space="0" w:color="auto"/>
      </w:divBdr>
      <w:divsChild>
        <w:div w:id="991525901">
          <w:marLeft w:val="0"/>
          <w:marRight w:val="0"/>
          <w:marTop w:val="0"/>
          <w:marBottom w:val="0"/>
          <w:divBdr>
            <w:top w:val="none" w:sz="0" w:space="0" w:color="auto"/>
            <w:left w:val="none" w:sz="0" w:space="0" w:color="auto"/>
            <w:bottom w:val="none" w:sz="0" w:space="0" w:color="auto"/>
            <w:right w:val="none" w:sz="0" w:space="0" w:color="auto"/>
          </w:divBdr>
        </w:div>
      </w:divsChild>
    </w:div>
    <w:div w:id="1036811512">
      <w:bodyDiv w:val="1"/>
      <w:marLeft w:val="0"/>
      <w:marRight w:val="0"/>
      <w:marTop w:val="0"/>
      <w:marBottom w:val="0"/>
      <w:divBdr>
        <w:top w:val="none" w:sz="0" w:space="0" w:color="auto"/>
        <w:left w:val="none" w:sz="0" w:space="0" w:color="auto"/>
        <w:bottom w:val="none" w:sz="0" w:space="0" w:color="auto"/>
        <w:right w:val="none" w:sz="0" w:space="0" w:color="auto"/>
      </w:divBdr>
    </w:div>
    <w:div w:id="1050150334">
      <w:bodyDiv w:val="1"/>
      <w:marLeft w:val="0"/>
      <w:marRight w:val="0"/>
      <w:marTop w:val="0"/>
      <w:marBottom w:val="0"/>
      <w:divBdr>
        <w:top w:val="none" w:sz="0" w:space="0" w:color="auto"/>
        <w:left w:val="none" w:sz="0" w:space="0" w:color="auto"/>
        <w:bottom w:val="none" w:sz="0" w:space="0" w:color="auto"/>
        <w:right w:val="none" w:sz="0" w:space="0" w:color="auto"/>
      </w:divBdr>
      <w:divsChild>
        <w:div w:id="2974754">
          <w:marLeft w:val="0"/>
          <w:marRight w:val="0"/>
          <w:marTop w:val="0"/>
          <w:marBottom w:val="0"/>
          <w:divBdr>
            <w:top w:val="none" w:sz="0" w:space="0" w:color="auto"/>
            <w:left w:val="none" w:sz="0" w:space="0" w:color="auto"/>
            <w:bottom w:val="none" w:sz="0" w:space="0" w:color="auto"/>
            <w:right w:val="none" w:sz="0" w:space="0" w:color="auto"/>
          </w:divBdr>
          <w:divsChild>
            <w:div w:id="863321763">
              <w:marLeft w:val="0"/>
              <w:marRight w:val="0"/>
              <w:marTop w:val="0"/>
              <w:marBottom w:val="0"/>
              <w:divBdr>
                <w:top w:val="none" w:sz="0" w:space="0" w:color="auto"/>
                <w:left w:val="none" w:sz="0" w:space="0" w:color="auto"/>
                <w:bottom w:val="none" w:sz="0" w:space="0" w:color="auto"/>
                <w:right w:val="none" w:sz="0" w:space="0" w:color="auto"/>
              </w:divBdr>
            </w:div>
          </w:divsChild>
        </w:div>
        <w:div w:id="29116715">
          <w:marLeft w:val="0"/>
          <w:marRight w:val="0"/>
          <w:marTop w:val="0"/>
          <w:marBottom w:val="0"/>
          <w:divBdr>
            <w:top w:val="none" w:sz="0" w:space="0" w:color="auto"/>
            <w:left w:val="none" w:sz="0" w:space="0" w:color="auto"/>
            <w:bottom w:val="none" w:sz="0" w:space="0" w:color="auto"/>
            <w:right w:val="none" w:sz="0" w:space="0" w:color="auto"/>
          </w:divBdr>
          <w:divsChild>
            <w:div w:id="1099061474">
              <w:marLeft w:val="0"/>
              <w:marRight w:val="0"/>
              <w:marTop w:val="0"/>
              <w:marBottom w:val="0"/>
              <w:divBdr>
                <w:top w:val="none" w:sz="0" w:space="0" w:color="auto"/>
                <w:left w:val="none" w:sz="0" w:space="0" w:color="auto"/>
                <w:bottom w:val="none" w:sz="0" w:space="0" w:color="auto"/>
                <w:right w:val="none" w:sz="0" w:space="0" w:color="auto"/>
              </w:divBdr>
            </w:div>
          </w:divsChild>
        </w:div>
        <w:div w:id="34429918">
          <w:marLeft w:val="0"/>
          <w:marRight w:val="0"/>
          <w:marTop w:val="0"/>
          <w:marBottom w:val="0"/>
          <w:divBdr>
            <w:top w:val="none" w:sz="0" w:space="0" w:color="auto"/>
            <w:left w:val="none" w:sz="0" w:space="0" w:color="auto"/>
            <w:bottom w:val="none" w:sz="0" w:space="0" w:color="auto"/>
            <w:right w:val="none" w:sz="0" w:space="0" w:color="auto"/>
          </w:divBdr>
          <w:divsChild>
            <w:div w:id="1567259613">
              <w:marLeft w:val="0"/>
              <w:marRight w:val="0"/>
              <w:marTop w:val="0"/>
              <w:marBottom w:val="0"/>
              <w:divBdr>
                <w:top w:val="none" w:sz="0" w:space="0" w:color="auto"/>
                <w:left w:val="none" w:sz="0" w:space="0" w:color="auto"/>
                <w:bottom w:val="none" w:sz="0" w:space="0" w:color="auto"/>
                <w:right w:val="none" w:sz="0" w:space="0" w:color="auto"/>
              </w:divBdr>
            </w:div>
          </w:divsChild>
        </w:div>
        <w:div w:id="36050394">
          <w:marLeft w:val="0"/>
          <w:marRight w:val="0"/>
          <w:marTop w:val="0"/>
          <w:marBottom w:val="0"/>
          <w:divBdr>
            <w:top w:val="none" w:sz="0" w:space="0" w:color="auto"/>
            <w:left w:val="none" w:sz="0" w:space="0" w:color="auto"/>
            <w:bottom w:val="none" w:sz="0" w:space="0" w:color="auto"/>
            <w:right w:val="none" w:sz="0" w:space="0" w:color="auto"/>
          </w:divBdr>
          <w:divsChild>
            <w:div w:id="125514409">
              <w:marLeft w:val="0"/>
              <w:marRight w:val="0"/>
              <w:marTop w:val="0"/>
              <w:marBottom w:val="0"/>
              <w:divBdr>
                <w:top w:val="none" w:sz="0" w:space="0" w:color="auto"/>
                <w:left w:val="none" w:sz="0" w:space="0" w:color="auto"/>
                <w:bottom w:val="none" w:sz="0" w:space="0" w:color="auto"/>
                <w:right w:val="none" w:sz="0" w:space="0" w:color="auto"/>
              </w:divBdr>
            </w:div>
          </w:divsChild>
        </w:div>
        <w:div w:id="75060637">
          <w:marLeft w:val="0"/>
          <w:marRight w:val="0"/>
          <w:marTop w:val="0"/>
          <w:marBottom w:val="0"/>
          <w:divBdr>
            <w:top w:val="none" w:sz="0" w:space="0" w:color="auto"/>
            <w:left w:val="none" w:sz="0" w:space="0" w:color="auto"/>
            <w:bottom w:val="none" w:sz="0" w:space="0" w:color="auto"/>
            <w:right w:val="none" w:sz="0" w:space="0" w:color="auto"/>
          </w:divBdr>
          <w:divsChild>
            <w:div w:id="1839540367">
              <w:marLeft w:val="0"/>
              <w:marRight w:val="0"/>
              <w:marTop w:val="0"/>
              <w:marBottom w:val="0"/>
              <w:divBdr>
                <w:top w:val="none" w:sz="0" w:space="0" w:color="auto"/>
                <w:left w:val="none" w:sz="0" w:space="0" w:color="auto"/>
                <w:bottom w:val="none" w:sz="0" w:space="0" w:color="auto"/>
                <w:right w:val="none" w:sz="0" w:space="0" w:color="auto"/>
              </w:divBdr>
            </w:div>
          </w:divsChild>
        </w:div>
        <w:div w:id="85465253">
          <w:marLeft w:val="0"/>
          <w:marRight w:val="0"/>
          <w:marTop w:val="0"/>
          <w:marBottom w:val="0"/>
          <w:divBdr>
            <w:top w:val="none" w:sz="0" w:space="0" w:color="auto"/>
            <w:left w:val="none" w:sz="0" w:space="0" w:color="auto"/>
            <w:bottom w:val="none" w:sz="0" w:space="0" w:color="auto"/>
            <w:right w:val="none" w:sz="0" w:space="0" w:color="auto"/>
          </w:divBdr>
          <w:divsChild>
            <w:div w:id="282003013">
              <w:marLeft w:val="0"/>
              <w:marRight w:val="0"/>
              <w:marTop w:val="0"/>
              <w:marBottom w:val="0"/>
              <w:divBdr>
                <w:top w:val="none" w:sz="0" w:space="0" w:color="auto"/>
                <w:left w:val="none" w:sz="0" w:space="0" w:color="auto"/>
                <w:bottom w:val="none" w:sz="0" w:space="0" w:color="auto"/>
                <w:right w:val="none" w:sz="0" w:space="0" w:color="auto"/>
              </w:divBdr>
            </w:div>
          </w:divsChild>
        </w:div>
        <w:div w:id="96947137">
          <w:marLeft w:val="0"/>
          <w:marRight w:val="0"/>
          <w:marTop w:val="0"/>
          <w:marBottom w:val="0"/>
          <w:divBdr>
            <w:top w:val="none" w:sz="0" w:space="0" w:color="auto"/>
            <w:left w:val="none" w:sz="0" w:space="0" w:color="auto"/>
            <w:bottom w:val="none" w:sz="0" w:space="0" w:color="auto"/>
            <w:right w:val="none" w:sz="0" w:space="0" w:color="auto"/>
          </w:divBdr>
          <w:divsChild>
            <w:div w:id="754939125">
              <w:marLeft w:val="0"/>
              <w:marRight w:val="0"/>
              <w:marTop w:val="0"/>
              <w:marBottom w:val="0"/>
              <w:divBdr>
                <w:top w:val="none" w:sz="0" w:space="0" w:color="auto"/>
                <w:left w:val="none" w:sz="0" w:space="0" w:color="auto"/>
                <w:bottom w:val="none" w:sz="0" w:space="0" w:color="auto"/>
                <w:right w:val="none" w:sz="0" w:space="0" w:color="auto"/>
              </w:divBdr>
            </w:div>
          </w:divsChild>
        </w:div>
        <w:div w:id="97335264">
          <w:marLeft w:val="0"/>
          <w:marRight w:val="0"/>
          <w:marTop w:val="0"/>
          <w:marBottom w:val="0"/>
          <w:divBdr>
            <w:top w:val="none" w:sz="0" w:space="0" w:color="auto"/>
            <w:left w:val="none" w:sz="0" w:space="0" w:color="auto"/>
            <w:bottom w:val="none" w:sz="0" w:space="0" w:color="auto"/>
            <w:right w:val="none" w:sz="0" w:space="0" w:color="auto"/>
          </w:divBdr>
          <w:divsChild>
            <w:div w:id="2012680747">
              <w:marLeft w:val="0"/>
              <w:marRight w:val="0"/>
              <w:marTop w:val="0"/>
              <w:marBottom w:val="0"/>
              <w:divBdr>
                <w:top w:val="none" w:sz="0" w:space="0" w:color="auto"/>
                <w:left w:val="none" w:sz="0" w:space="0" w:color="auto"/>
                <w:bottom w:val="none" w:sz="0" w:space="0" w:color="auto"/>
                <w:right w:val="none" w:sz="0" w:space="0" w:color="auto"/>
              </w:divBdr>
            </w:div>
          </w:divsChild>
        </w:div>
        <w:div w:id="102917672">
          <w:marLeft w:val="0"/>
          <w:marRight w:val="0"/>
          <w:marTop w:val="0"/>
          <w:marBottom w:val="0"/>
          <w:divBdr>
            <w:top w:val="none" w:sz="0" w:space="0" w:color="auto"/>
            <w:left w:val="none" w:sz="0" w:space="0" w:color="auto"/>
            <w:bottom w:val="none" w:sz="0" w:space="0" w:color="auto"/>
            <w:right w:val="none" w:sz="0" w:space="0" w:color="auto"/>
          </w:divBdr>
          <w:divsChild>
            <w:div w:id="1531067857">
              <w:marLeft w:val="0"/>
              <w:marRight w:val="0"/>
              <w:marTop w:val="0"/>
              <w:marBottom w:val="0"/>
              <w:divBdr>
                <w:top w:val="none" w:sz="0" w:space="0" w:color="auto"/>
                <w:left w:val="none" w:sz="0" w:space="0" w:color="auto"/>
                <w:bottom w:val="none" w:sz="0" w:space="0" w:color="auto"/>
                <w:right w:val="none" w:sz="0" w:space="0" w:color="auto"/>
              </w:divBdr>
            </w:div>
          </w:divsChild>
        </w:div>
        <w:div w:id="114326590">
          <w:marLeft w:val="0"/>
          <w:marRight w:val="0"/>
          <w:marTop w:val="0"/>
          <w:marBottom w:val="0"/>
          <w:divBdr>
            <w:top w:val="none" w:sz="0" w:space="0" w:color="auto"/>
            <w:left w:val="none" w:sz="0" w:space="0" w:color="auto"/>
            <w:bottom w:val="none" w:sz="0" w:space="0" w:color="auto"/>
            <w:right w:val="none" w:sz="0" w:space="0" w:color="auto"/>
          </w:divBdr>
          <w:divsChild>
            <w:div w:id="1143691007">
              <w:marLeft w:val="0"/>
              <w:marRight w:val="0"/>
              <w:marTop w:val="0"/>
              <w:marBottom w:val="0"/>
              <w:divBdr>
                <w:top w:val="none" w:sz="0" w:space="0" w:color="auto"/>
                <w:left w:val="none" w:sz="0" w:space="0" w:color="auto"/>
                <w:bottom w:val="none" w:sz="0" w:space="0" w:color="auto"/>
                <w:right w:val="none" w:sz="0" w:space="0" w:color="auto"/>
              </w:divBdr>
            </w:div>
          </w:divsChild>
        </w:div>
        <w:div w:id="151261535">
          <w:marLeft w:val="0"/>
          <w:marRight w:val="0"/>
          <w:marTop w:val="0"/>
          <w:marBottom w:val="0"/>
          <w:divBdr>
            <w:top w:val="none" w:sz="0" w:space="0" w:color="auto"/>
            <w:left w:val="none" w:sz="0" w:space="0" w:color="auto"/>
            <w:bottom w:val="none" w:sz="0" w:space="0" w:color="auto"/>
            <w:right w:val="none" w:sz="0" w:space="0" w:color="auto"/>
          </w:divBdr>
          <w:divsChild>
            <w:div w:id="175467034">
              <w:marLeft w:val="0"/>
              <w:marRight w:val="0"/>
              <w:marTop w:val="0"/>
              <w:marBottom w:val="0"/>
              <w:divBdr>
                <w:top w:val="none" w:sz="0" w:space="0" w:color="auto"/>
                <w:left w:val="none" w:sz="0" w:space="0" w:color="auto"/>
                <w:bottom w:val="none" w:sz="0" w:space="0" w:color="auto"/>
                <w:right w:val="none" w:sz="0" w:space="0" w:color="auto"/>
              </w:divBdr>
            </w:div>
          </w:divsChild>
        </w:div>
        <w:div w:id="165751501">
          <w:marLeft w:val="0"/>
          <w:marRight w:val="0"/>
          <w:marTop w:val="0"/>
          <w:marBottom w:val="0"/>
          <w:divBdr>
            <w:top w:val="none" w:sz="0" w:space="0" w:color="auto"/>
            <w:left w:val="none" w:sz="0" w:space="0" w:color="auto"/>
            <w:bottom w:val="none" w:sz="0" w:space="0" w:color="auto"/>
            <w:right w:val="none" w:sz="0" w:space="0" w:color="auto"/>
          </w:divBdr>
          <w:divsChild>
            <w:div w:id="1268661432">
              <w:marLeft w:val="0"/>
              <w:marRight w:val="0"/>
              <w:marTop w:val="0"/>
              <w:marBottom w:val="0"/>
              <w:divBdr>
                <w:top w:val="none" w:sz="0" w:space="0" w:color="auto"/>
                <w:left w:val="none" w:sz="0" w:space="0" w:color="auto"/>
                <w:bottom w:val="none" w:sz="0" w:space="0" w:color="auto"/>
                <w:right w:val="none" w:sz="0" w:space="0" w:color="auto"/>
              </w:divBdr>
            </w:div>
          </w:divsChild>
        </w:div>
        <w:div w:id="167210358">
          <w:marLeft w:val="0"/>
          <w:marRight w:val="0"/>
          <w:marTop w:val="0"/>
          <w:marBottom w:val="0"/>
          <w:divBdr>
            <w:top w:val="none" w:sz="0" w:space="0" w:color="auto"/>
            <w:left w:val="none" w:sz="0" w:space="0" w:color="auto"/>
            <w:bottom w:val="none" w:sz="0" w:space="0" w:color="auto"/>
            <w:right w:val="none" w:sz="0" w:space="0" w:color="auto"/>
          </w:divBdr>
          <w:divsChild>
            <w:div w:id="1296721637">
              <w:marLeft w:val="0"/>
              <w:marRight w:val="0"/>
              <w:marTop w:val="0"/>
              <w:marBottom w:val="0"/>
              <w:divBdr>
                <w:top w:val="none" w:sz="0" w:space="0" w:color="auto"/>
                <w:left w:val="none" w:sz="0" w:space="0" w:color="auto"/>
                <w:bottom w:val="none" w:sz="0" w:space="0" w:color="auto"/>
                <w:right w:val="none" w:sz="0" w:space="0" w:color="auto"/>
              </w:divBdr>
            </w:div>
          </w:divsChild>
        </w:div>
        <w:div w:id="193424324">
          <w:marLeft w:val="0"/>
          <w:marRight w:val="0"/>
          <w:marTop w:val="0"/>
          <w:marBottom w:val="0"/>
          <w:divBdr>
            <w:top w:val="none" w:sz="0" w:space="0" w:color="auto"/>
            <w:left w:val="none" w:sz="0" w:space="0" w:color="auto"/>
            <w:bottom w:val="none" w:sz="0" w:space="0" w:color="auto"/>
            <w:right w:val="none" w:sz="0" w:space="0" w:color="auto"/>
          </w:divBdr>
          <w:divsChild>
            <w:div w:id="399911525">
              <w:marLeft w:val="0"/>
              <w:marRight w:val="0"/>
              <w:marTop w:val="0"/>
              <w:marBottom w:val="0"/>
              <w:divBdr>
                <w:top w:val="none" w:sz="0" w:space="0" w:color="auto"/>
                <w:left w:val="none" w:sz="0" w:space="0" w:color="auto"/>
                <w:bottom w:val="none" w:sz="0" w:space="0" w:color="auto"/>
                <w:right w:val="none" w:sz="0" w:space="0" w:color="auto"/>
              </w:divBdr>
            </w:div>
          </w:divsChild>
        </w:div>
        <w:div w:id="206845516">
          <w:marLeft w:val="0"/>
          <w:marRight w:val="0"/>
          <w:marTop w:val="0"/>
          <w:marBottom w:val="0"/>
          <w:divBdr>
            <w:top w:val="none" w:sz="0" w:space="0" w:color="auto"/>
            <w:left w:val="none" w:sz="0" w:space="0" w:color="auto"/>
            <w:bottom w:val="none" w:sz="0" w:space="0" w:color="auto"/>
            <w:right w:val="none" w:sz="0" w:space="0" w:color="auto"/>
          </w:divBdr>
          <w:divsChild>
            <w:div w:id="2027294094">
              <w:marLeft w:val="0"/>
              <w:marRight w:val="0"/>
              <w:marTop w:val="0"/>
              <w:marBottom w:val="0"/>
              <w:divBdr>
                <w:top w:val="none" w:sz="0" w:space="0" w:color="auto"/>
                <w:left w:val="none" w:sz="0" w:space="0" w:color="auto"/>
                <w:bottom w:val="none" w:sz="0" w:space="0" w:color="auto"/>
                <w:right w:val="none" w:sz="0" w:space="0" w:color="auto"/>
              </w:divBdr>
            </w:div>
          </w:divsChild>
        </w:div>
        <w:div w:id="235821416">
          <w:marLeft w:val="0"/>
          <w:marRight w:val="0"/>
          <w:marTop w:val="0"/>
          <w:marBottom w:val="0"/>
          <w:divBdr>
            <w:top w:val="none" w:sz="0" w:space="0" w:color="auto"/>
            <w:left w:val="none" w:sz="0" w:space="0" w:color="auto"/>
            <w:bottom w:val="none" w:sz="0" w:space="0" w:color="auto"/>
            <w:right w:val="none" w:sz="0" w:space="0" w:color="auto"/>
          </w:divBdr>
          <w:divsChild>
            <w:div w:id="2093358409">
              <w:marLeft w:val="0"/>
              <w:marRight w:val="0"/>
              <w:marTop w:val="0"/>
              <w:marBottom w:val="0"/>
              <w:divBdr>
                <w:top w:val="none" w:sz="0" w:space="0" w:color="auto"/>
                <w:left w:val="none" w:sz="0" w:space="0" w:color="auto"/>
                <w:bottom w:val="none" w:sz="0" w:space="0" w:color="auto"/>
                <w:right w:val="none" w:sz="0" w:space="0" w:color="auto"/>
              </w:divBdr>
            </w:div>
          </w:divsChild>
        </w:div>
        <w:div w:id="256987931">
          <w:marLeft w:val="0"/>
          <w:marRight w:val="0"/>
          <w:marTop w:val="0"/>
          <w:marBottom w:val="0"/>
          <w:divBdr>
            <w:top w:val="none" w:sz="0" w:space="0" w:color="auto"/>
            <w:left w:val="none" w:sz="0" w:space="0" w:color="auto"/>
            <w:bottom w:val="none" w:sz="0" w:space="0" w:color="auto"/>
            <w:right w:val="none" w:sz="0" w:space="0" w:color="auto"/>
          </w:divBdr>
          <w:divsChild>
            <w:div w:id="475877469">
              <w:marLeft w:val="0"/>
              <w:marRight w:val="0"/>
              <w:marTop w:val="0"/>
              <w:marBottom w:val="0"/>
              <w:divBdr>
                <w:top w:val="none" w:sz="0" w:space="0" w:color="auto"/>
                <w:left w:val="none" w:sz="0" w:space="0" w:color="auto"/>
                <w:bottom w:val="none" w:sz="0" w:space="0" w:color="auto"/>
                <w:right w:val="none" w:sz="0" w:space="0" w:color="auto"/>
              </w:divBdr>
            </w:div>
          </w:divsChild>
        </w:div>
        <w:div w:id="268127899">
          <w:marLeft w:val="0"/>
          <w:marRight w:val="0"/>
          <w:marTop w:val="0"/>
          <w:marBottom w:val="0"/>
          <w:divBdr>
            <w:top w:val="none" w:sz="0" w:space="0" w:color="auto"/>
            <w:left w:val="none" w:sz="0" w:space="0" w:color="auto"/>
            <w:bottom w:val="none" w:sz="0" w:space="0" w:color="auto"/>
            <w:right w:val="none" w:sz="0" w:space="0" w:color="auto"/>
          </w:divBdr>
          <w:divsChild>
            <w:div w:id="1481732601">
              <w:marLeft w:val="0"/>
              <w:marRight w:val="0"/>
              <w:marTop w:val="0"/>
              <w:marBottom w:val="0"/>
              <w:divBdr>
                <w:top w:val="none" w:sz="0" w:space="0" w:color="auto"/>
                <w:left w:val="none" w:sz="0" w:space="0" w:color="auto"/>
                <w:bottom w:val="none" w:sz="0" w:space="0" w:color="auto"/>
                <w:right w:val="none" w:sz="0" w:space="0" w:color="auto"/>
              </w:divBdr>
            </w:div>
          </w:divsChild>
        </w:div>
        <w:div w:id="275020932">
          <w:marLeft w:val="0"/>
          <w:marRight w:val="0"/>
          <w:marTop w:val="0"/>
          <w:marBottom w:val="0"/>
          <w:divBdr>
            <w:top w:val="none" w:sz="0" w:space="0" w:color="auto"/>
            <w:left w:val="none" w:sz="0" w:space="0" w:color="auto"/>
            <w:bottom w:val="none" w:sz="0" w:space="0" w:color="auto"/>
            <w:right w:val="none" w:sz="0" w:space="0" w:color="auto"/>
          </w:divBdr>
          <w:divsChild>
            <w:div w:id="929385998">
              <w:marLeft w:val="0"/>
              <w:marRight w:val="0"/>
              <w:marTop w:val="0"/>
              <w:marBottom w:val="0"/>
              <w:divBdr>
                <w:top w:val="none" w:sz="0" w:space="0" w:color="auto"/>
                <w:left w:val="none" w:sz="0" w:space="0" w:color="auto"/>
                <w:bottom w:val="none" w:sz="0" w:space="0" w:color="auto"/>
                <w:right w:val="none" w:sz="0" w:space="0" w:color="auto"/>
              </w:divBdr>
            </w:div>
          </w:divsChild>
        </w:div>
        <w:div w:id="275720623">
          <w:marLeft w:val="0"/>
          <w:marRight w:val="0"/>
          <w:marTop w:val="0"/>
          <w:marBottom w:val="0"/>
          <w:divBdr>
            <w:top w:val="none" w:sz="0" w:space="0" w:color="auto"/>
            <w:left w:val="none" w:sz="0" w:space="0" w:color="auto"/>
            <w:bottom w:val="none" w:sz="0" w:space="0" w:color="auto"/>
            <w:right w:val="none" w:sz="0" w:space="0" w:color="auto"/>
          </w:divBdr>
          <w:divsChild>
            <w:div w:id="926693884">
              <w:marLeft w:val="0"/>
              <w:marRight w:val="0"/>
              <w:marTop w:val="0"/>
              <w:marBottom w:val="0"/>
              <w:divBdr>
                <w:top w:val="none" w:sz="0" w:space="0" w:color="auto"/>
                <w:left w:val="none" w:sz="0" w:space="0" w:color="auto"/>
                <w:bottom w:val="none" w:sz="0" w:space="0" w:color="auto"/>
                <w:right w:val="none" w:sz="0" w:space="0" w:color="auto"/>
              </w:divBdr>
            </w:div>
          </w:divsChild>
        </w:div>
        <w:div w:id="299770798">
          <w:marLeft w:val="0"/>
          <w:marRight w:val="0"/>
          <w:marTop w:val="0"/>
          <w:marBottom w:val="0"/>
          <w:divBdr>
            <w:top w:val="none" w:sz="0" w:space="0" w:color="auto"/>
            <w:left w:val="none" w:sz="0" w:space="0" w:color="auto"/>
            <w:bottom w:val="none" w:sz="0" w:space="0" w:color="auto"/>
            <w:right w:val="none" w:sz="0" w:space="0" w:color="auto"/>
          </w:divBdr>
          <w:divsChild>
            <w:div w:id="452553559">
              <w:marLeft w:val="0"/>
              <w:marRight w:val="0"/>
              <w:marTop w:val="0"/>
              <w:marBottom w:val="0"/>
              <w:divBdr>
                <w:top w:val="none" w:sz="0" w:space="0" w:color="auto"/>
                <w:left w:val="none" w:sz="0" w:space="0" w:color="auto"/>
                <w:bottom w:val="none" w:sz="0" w:space="0" w:color="auto"/>
                <w:right w:val="none" w:sz="0" w:space="0" w:color="auto"/>
              </w:divBdr>
            </w:div>
          </w:divsChild>
        </w:div>
        <w:div w:id="299775623">
          <w:marLeft w:val="0"/>
          <w:marRight w:val="0"/>
          <w:marTop w:val="0"/>
          <w:marBottom w:val="0"/>
          <w:divBdr>
            <w:top w:val="none" w:sz="0" w:space="0" w:color="auto"/>
            <w:left w:val="none" w:sz="0" w:space="0" w:color="auto"/>
            <w:bottom w:val="none" w:sz="0" w:space="0" w:color="auto"/>
            <w:right w:val="none" w:sz="0" w:space="0" w:color="auto"/>
          </w:divBdr>
          <w:divsChild>
            <w:div w:id="184368086">
              <w:marLeft w:val="0"/>
              <w:marRight w:val="0"/>
              <w:marTop w:val="0"/>
              <w:marBottom w:val="0"/>
              <w:divBdr>
                <w:top w:val="none" w:sz="0" w:space="0" w:color="auto"/>
                <w:left w:val="none" w:sz="0" w:space="0" w:color="auto"/>
                <w:bottom w:val="none" w:sz="0" w:space="0" w:color="auto"/>
                <w:right w:val="none" w:sz="0" w:space="0" w:color="auto"/>
              </w:divBdr>
            </w:div>
          </w:divsChild>
        </w:div>
        <w:div w:id="309527336">
          <w:marLeft w:val="0"/>
          <w:marRight w:val="0"/>
          <w:marTop w:val="0"/>
          <w:marBottom w:val="0"/>
          <w:divBdr>
            <w:top w:val="none" w:sz="0" w:space="0" w:color="auto"/>
            <w:left w:val="none" w:sz="0" w:space="0" w:color="auto"/>
            <w:bottom w:val="none" w:sz="0" w:space="0" w:color="auto"/>
            <w:right w:val="none" w:sz="0" w:space="0" w:color="auto"/>
          </w:divBdr>
          <w:divsChild>
            <w:div w:id="77749031">
              <w:marLeft w:val="0"/>
              <w:marRight w:val="0"/>
              <w:marTop w:val="0"/>
              <w:marBottom w:val="0"/>
              <w:divBdr>
                <w:top w:val="none" w:sz="0" w:space="0" w:color="auto"/>
                <w:left w:val="none" w:sz="0" w:space="0" w:color="auto"/>
                <w:bottom w:val="none" w:sz="0" w:space="0" w:color="auto"/>
                <w:right w:val="none" w:sz="0" w:space="0" w:color="auto"/>
              </w:divBdr>
            </w:div>
          </w:divsChild>
        </w:div>
        <w:div w:id="319623733">
          <w:marLeft w:val="0"/>
          <w:marRight w:val="0"/>
          <w:marTop w:val="0"/>
          <w:marBottom w:val="0"/>
          <w:divBdr>
            <w:top w:val="none" w:sz="0" w:space="0" w:color="auto"/>
            <w:left w:val="none" w:sz="0" w:space="0" w:color="auto"/>
            <w:bottom w:val="none" w:sz="0" w:space="0" w:color="auto"/>
            <w:right w:val="none" w:sz="0" w:space="0" w:color="auto"/>
          </w:divBdr>
          <w:divsChild>
            <w:div w:id="92165483">
              <w:marLeft w:val="0"/>
              <w:marRight w:val="0"/>
              <w:marTop w:val="0"/>
              <w:marBottom w:val="0"/>
              <w:divBdr>
                <w:top w:val="none" w:sz="0" w:space="0" w:color="auto"/>
                <w:left w:val="none" w:sz="0" w:space="0" w:color="auto"/>
                <w:bottom w:val="none" w:sz="0" w:space="0" w:color="auto"/>
                <w:right w:val="none" w:sz="0" w:space="0" w:color="auto"/>
              </w:divBdr>
            </w:div>
          </w:divsChild>
        </w:div>
        <w:div w:id="362364854">
          <w:marLeft w:val="0"/>
          <w:marRight w:val="0"/>
          <w:marTop w:val="0"/>
          <w:marBottom w:val="0"/>
          <w:divBdr>
            <w:top w:val="none" w:sz="0" w:space="0" w:color="auto"/>
            <w:left w:val="none" w:sz="0" w:space="0" w:color="auto"/>
            <w:bottom w:val="none" w:sz="0" w:space="0" w:color="auto"/>
            <w:right w:val="none" w:sz="0" w:space="0" w:color="auto"/>
          </w:divBdr>
          <w:divsChild>
            <w:div w:id="771826881">
              <w:marLeft w:val="0"/>
              <w:marRight w:val="0"/>
              <w:marTop w:val="0"/>
              <w:marBottom w:val="0"/>
              <w:divBdr>
                <w:top w:val="none" w:sz="0" w:space="0" w:color="auto"/>
                <w:left w:val="none" w:sz="0" w:space="0" w:color="auto"/>
                <w:bottom w:val="none" w:sz="0" w:space="0" w:color="auto"/>
                <w:right w:val="none" w:sz="0" w:space="0" w:color="auto"/>
              </w:divBdr>
            </w:div>
          </w:divsChild>
        </w:div>
        <w:div w:id="419061767">
          <w:marLeft w:val="0"/>
          <w:marRight w:val="0"/>
          <w:marTop w:val="0"/>
          <w:marBottom w:val="0"/>
          <w:divBdr>
            <w:top w:val="none" w:sz="0" w:space="0" w:color="auto"/>
            <w:left w:val="none" w:sz="0" w:space="0" w:color="auto"/>
            <w:bottom w:val="none" w:sz="0" w:space="0" w:color="auto"/>
            <w:right w:val="none" w:sz="0" w:space="0" w:color="auto"/>
          </w:divBdr>
          <w:divsChild>
            <w:div w:id="1857650644">
              <w:marLeft w:val="0"/>
              <w:marRight w:val="0"/>
              <w:marTop w:val="0"/>
              <w:marBottom w:val="0"/>
              <w:divBdr>
                <w:top w:val="none" w:sz="0" w:space="0" w:color="auto"/>
                <w:left w:val="none" w:sz="0" w:space="0" w:color="auto"/>
                <w:bottom w:val="none" w:sz="0" w:space="0" w:color="auto"/>
                <w:right w:val="none" w:sz="0" w:space="0" w:color="auto"/>
              </w:divBdr>
            </w:div>
          </w:divsChild>
        </w:div>
        <w:div w:id="484977307">
          <w:marLeft w:val="0"/>
          <w:marRight w:val="0"/>
          <w:marTop w:val="0"/>
          <w:marBottom w:val="0"/>
          <w:divBdr>
            <w:top w:val="none" w:sz="0" w:space="0" w:color="auto"/>
            <w:left w:val="none" w:sz="0" w:space="0" w:color="auto"/>
            <w:bottom w:val="none" w:sz="0" w:space="0" w:color="auto"/>
            <w:right w:val="none" w:sz="0" w:space="0" w:color="auto"/>
          </w:divBdr>
          <w:divsChild>
            <w:div w:id="795101577">
              <w:marLeft w:val="0"/>
              <w:marRight w:val="0"/>
              <w:marTop w:val="0"/>
              <w:marBottom w:val="0"/>
              <w:divBdr>
                <w:top w:val="none" w:sz="0" w:space="0" w:color="auto"/>
                <w:left w:val="none" w:sz="0" w:space="0" w:color="auto"/>
                <w:bottom w:val="none" w:sz="0" w:space="0" w:color="auto"/>
                <w:right w:val="none" w:sz="0" w:space="0" w:color="auto"/>
              </w:divBdr>
            </w:div>
          </w:divsChild>
        </w:div>
        <w:div w:id="551818096">
          <w:marLeft w:val="0"/>
          <w:marRight w:val="0"/>
          <w:marTop w:val="0"/>
          <w:marBottom w:val="0"/>
          <w:divBdr>
            <w:top w:val="none" w:sz="0" w:space="0" w:color="auto"/>
            <w:left w:val="none" w:sz="0" w:space="0" w:color="auto"/>
            <w:bottom w:val="none" w:sz="0" w:space="0" w:color="auto"/>
            <w:right w:val="none" w:sz="0" w:space="0" w:color="auto"/>
          </w:divBdr>
          <w:divsChild>
            <w:div w:id="1037974369">
              <w:marLeft w:val="0"/>
              <w:marRight w:val="0"/>
              <w:marTop w:val="0"/>
              <w:marBottom w:val="0"/>
              <w:divBdr>
                <w:top w:val="none" w:sz="0" w:space="0" w:color="auto"/>
                <w:left w:val="none" w:sz="0" w:space="0" w:color="auto"/>
                <w:bottom w:val="none" w:sz="0" w:space="0" w:color="auto"/>
                <w:right w:val="none" w:sz="0" w:space="0" w:color="auto"/>
              </w:divBdr>
            </w:div>
          </w:divsChild>
        </w:div>
        <w:div w:id="552040885">
          <w:marLeft w:val="0"/>
          <w:marRight w:val="0"/>
          <w:marTop w:val="0"/>
          <w:marBottom w:val="0"/>
          <w:divBdr>
            <w:top w:val="none" w:sz="0" w:space="0" w:color="auto"/>
            <w:left w:val="none" w:sz="0" w:space="0" w:color="auto"/>
            <w:bottom w:val="none" w:sz="0" w:space="0" w:color="auto"/>
            <w:right w:val="none" w:sz="0" w:space="0" w:color="auto"/>
          </w:divBdr>
          <w:divsChild>
            <w:div w:id="284386609">
              <w:marLeft w:val="0"/>
              <w:marRight w:val="0"/>
              <w:marTop w:val="0"/>
              <w:marBottom w:val="0"/>
              <w:divBdr>
                <w:top w:val="none" w:sz="0" w:space="0" w:color="auto"/>
                <w:left w:val="none" w:sz="0" w:space="0" w:color="auto"/>
                <w:bottom w:val="none" w:sz="0" w:space="0" w:color="auto"/>
                <w:right w:val="none" w:sz="0" w:space="0" w:color="auto"/>
              </w:divBdr>
            </w:div>
          </w:divsChild>
        </w:div>
        <w:div w:id="553271536">
          <w:marLeft w:val="0"/>
          <w:marRight w:val="0"/>
          <w:marTop w:val="0"/>
          <w:marBottom w:val="0"/>
          <w:divBdr>
            <w:top w:val="none" w:sz="0" w:space="0" w:color="auto"/>
            <w:left w:val="none" w:sz="0" w:space="0" w:color="auto"/>
            <w:bottom w:val="none" w:sz="0" w:space="0" w:color="auto"/>
            <w:right w:val="none" w:sz="0" w:space="0" w:color="auto"/>
          </w:divBdr>
          <w:divsChild>
            <w:div w:id="346257564">
              <w:marLeft w:val="0"/>
              <w:marRight w:val="0"/>
              <w:marTop w:val="0"/>
              <w:marBottom w:val="0"/>
              <w:divBdr>
                <w:top w:val="none" w:sz="0" w:space="0" w:color="auto"/>
                <w:left w:val="none" w:sz="0" w:space="0" w:color="auto"/>
                <w:bottom w:val="none" w:sz="0" w:space="0" w:color="auto"/>
                <w:right w:val="none" w:sz="0" w:space="0" w:color="auto"/>
              </w:divBdr>
            </w:div>
          </w:divsChild>
        </w:div>
        <w:div w:id="554396836">
          <w:marLeft w:val="0"/>
          <w:marRight w:val="0"/>
          <w:marTop w:val="0"/>
          <w:marBottom w:val="0"/>
          <w:divBdr>
            <w:top w:val="none" w:sz="0" w:space="0" w:color="auto"/>
            <w:left w:val="none" w:sz="0" w:space="0" w:color="auto"/>
            <w:bottom w:val="none" w:sz="0" w:space="0" w:color="auto"/>
            <w:right w:val="none" w:sz="0" w:space="0" w:color="auto"/>
          </w:divBdr>
          <w:divsChild>
            <w:div w:id="2010986644">
              <w:marLeft w:val="0"/>
              <w:marRight w:val="0"/>
              <w:marTop w:val="0"/>
              <w:marBottom w:val="0"/>
              <w:divBdr>
                <w:top w:val="none" w:sz="0" w:space="0" w:color="auto"/>
                <w:left w:val="none" w:sz="0" w:space="0" w:color="auto"/>
                <w:bottom w:val="none" w:sz="0" w:space="0" w:color="auto"/>
                <w:right w:val="none" w:sz="0" w:space="0" w:color="auto"/>
              </w:divBdr>
            </w:div>
          </w:divsChild>
        </w:div>
        <w:div w:id="588972819">
          <w:marLeft w:val="0"/>
          <w:marRight w:val="0"/>
          <w:marTop w:val="0"/>
          <w:marBottom w:val="0"/>
          <w:divBdr>
            <w:top w:val="none" w:sz="0" w:space="0" w:color="auto"/>
            <w:left w:val="none" w:sz="0" w:space="0" w:color="auto"/>
            <w:bottom w:val="none" w:sz="0" w:space="0" w:color="auto"/>
            <w:right w:val="none" w:sz="0" w:space="0" w:color="auto"/>
          </w:divBdr>
          <w:divsChild>
            <w:div w:id="734814449">
              <w:marLeft w:val="0"/>
              <w:marRight w:val="0"/>
              <w:marTop w:val="0"/>
              <w:marBottom w:val="0"/>
              <w:divBdr>
                <w:top w:val="none" w:sz="0" w:space="0" w:color="auto"/>
                <w:left w:val="none" w:sz="0" w:space="0" w:color="auto"/>
                <w:bottom w:val="none" w:sz="0" w:space="0" w:color="auto"/>
                <w:right w:val="none" w:sz="0" w:space="0" w:color="auto"/>
              </w:divBdr>
            </w:div>
          </w:divsChild>
        </w:div>
        <w:div w:id="631715408">
          <w:marLeft w:val="0"/>
          <w:marRight w:val="0"/>
          <w:marTop w:val="0"/>
          <w:marBottom w:val="0"/>
          <w:divBdr>
            <w:top w:val="none" w:sz="0" w:space="0" w:color="auto"/>
            <w:left w:val="none" w:sz="0" w:space="0" w:color="auto"/>
            <w:bottom w:val="none" w:sz="0" w:space="0" w:color="auto"/>
            <w:right w:val="none" w:sz="0" w:space="0" w:color="auto"/>
          </w:divBdr>
          <w:divsChild>
            <w:div w:id="1989631153">
              <w:marLeft w:val="0"/>
              <w:marRight w:val="0"/>
              <w:marTop w:val="0"/>
              <w:marBottom w:val="0"/>
              <w:divBdr>
                <w:top w:val="none" w:sz="0" w:space="0" w:color="auto"/>
                <w:left w:val="none" w:sz="0" w:space="0" w:color="auto"/>
                <w:bottom w:val="none" w:sz="0" w:space="0" w:color="auto"/>
                <w:right w:val="none" w:sz="0" w:space="0" w:color="auto"/>
              </w:divBdr>
            </w:div>
          </w:divsChild>
        </w:div>
        <w:div w:id="634335898">
          <w:marLeft w:val="0"/>
          <w:marRight w:val="0"/>
          <w:marTop w:val="0"/>
          <w:marBottom w:val="0"/>
          <w:divBdr>
            <w:top w:val="none" w:sz="0" w:space="0" w:color="auto"/>
            <w:left w:val="none" w:sz="0" w:space="0" w:color="auto"/>
            <w:bottom w:val="none" w:sz="0" w:space="0" w:color="auto"/>
            <w:right w:val="none" w:sz="0" w:space="0" w:color="auto"/>
          </w:divBdr>
          <w:divsChild>
            <w:div w:id="864756019">
              <w:marLeft w:val="0"/>
              <w:marRight w:val="0"/>
              <w:marTop w:val="0"/>
              <w:marBottom w:val="0"/>
              <w:divBdr>
                <w:top w:val="none" w:sz="0" w:space="0" w:color="auto"/>
                <w:left w:val="none" w:sz="0" w:space="0" w:color="auto"/>
                <w:bottom w:val="none" w:sz="0" w:space="0" w:color="auto"/>
                <w:right w:val="none" w:sz="0" w:space="0" w:color="auto"/>
              </w:divBdr>
            </w:div>
          </w:divsChild>
        </w:div>
        <w:div w:id="703284617">
          <w:marLeft w:val="0"/>
          <w:marRight w:val="0"/>
          <w:marTop w:val="0"/>
          <w:marBottom w:val="0"/>
          <w:divBdr>
            <w:top w:val="none" w:sz="0" w:space="0" w:color="auto"/>
            <w:left w:val="none" w:sz="0" w:space="0" w:color="auto"/>
            <w:bottom w:val="none" w:sz="0" w:space="0" w:color="auto"/>
            <w:right w:val="none" w:sz="0" w:space="0" w:color="auto"/>
          </w:divBdr>
          <w:divsChild>
            <w:div w:id="2050373387">
              <w:marLeft w:val="0"/>
              <w:marRight w:val="0"/>
              <w:marTop w:val="0"/>
              <w:marBottom w:val="0"/>
              <w:divBdr>
                <w:top w:val="none" w:sz="0" w:space="0" w:color="auto"/>
                <w:left w:val="none" w:sz="0" w:space="0" w:color="auto"/>
                <w:bottom w:val="none" w:sz="0" w:space="0" w:color="auto"/>
                <w:right w:val="none" w:sz="0" w:space="0" w:color="auto"/>
              </w:divBdr>
            </w:div>
          </w:divsChild>
        </w:div>
        <w:div w:id="723869452">
          <w:marLeft w:val="0"/>
          <w:marRight w:val="0"/>
          <w:marTop w:val="0"/>
          <w:marBottom w:val="0"/>
          <w:divBdr>
            <w:top w:val="none" w:sz="0" w:space="0" w:color="auto"/>
            <w:left w:val="none" w:sz="0" w:space="0" w:color="auto"/>
            <w:bottom w:val="none" w:sz="0" w:space="0" w:color="auto"/>
            <w:right w:val="none" w:sz="0" w:space="0" w:color="auto"/>
          </w:divBdr>
          <w:divsChild>
            <w:div w:id="65422245">
              <w:marLeft w:val="0"/>
              <w:marRight w:val="0"/>
              <w:marTop w:val="0"/>
              <w:marBottom w:val="0"/>
              <w:divBdr>
                <w:top w:val="none" w:sz="0" w:space="0" w:color="auto"/>
                <w:left w:val="none" w:sz="0" w:space="0" w:color="auto"/>
                <w:bottom w:val="none" w:sz="0" w:space="0" w:color="auto"/>
                <w:right w:val="none" w:sz="0" w:space="0" w:color="auto"/>
              </w:divBdr>
            </w:div>
          </w:divsChild>
        </w:div>
        <w:div w:id="739180591">
          <w:marLeft w:val="0"/>
          <w:marRight w:val="0"/>
          <w:marTop w:val="0"/>
          <w:marBottom w:val="0"/>
          <w:divBdr>
            <w:top w:val="none" w:sz="0" w:space="0" w:color="auto"/>
            <w:left w:val="none" w:sz="0" w:space="0" w:color="auto"/>
            <w:bottom w:val="none" w:sz="0" w:space="0" w:color="auto"/>
            <w:right w:val="none" w:sz="0" w:space="0" w:color="auto"/>
          </w:divBdr>
          <w:divsChild>
            <w:div w:id="1178348078">
              <w:marLeft w:val="0"/>
              <w:marRight w:val="0"/>
              <w:marTop w:val="0"/>
              <w:marBottom w:val="0"/>
              <w:divBdr>
                <w:top w:val="none" w:sz="0" w:space="0" w:color="auto"/>
                <w:left w:val="none" w:sz="0" w:space="0" w:color="auto"/>
                <w:bottom w:val="none" w:sz="0" w:space="0" w:color="auto"/>
                <w:right w:val="none" w:sz="0" w:space="0" w:color="auto"/>
              </w:divBdr>
            </w:div>
          </w:divsChild>
        </w:div>
        <w:div w:id="789787587">
          <w:marLeft w:val="0"/>
          <w:marRight w:val="0"/>
          <w:marTop w:val="0"/>
          <w:marBottom w:val="0"/>
          <w:divBdr>
            <w:top w:val="none" w:sz="0" w:space="0" w:color="auto"/>
            <w:left w:val="none" w:sz="0" w:space="0" w:color="auto"/>
            <w:bottom w:val="none" w:sz="0" w:space="0" w:color="auto"/>
            <w:right w:val="none" w:sz="0" w:space="0" w:color="auto"/>
          </w:divBdr>
          <w:divsChild>
            <w:div w:id="1502504291">
              <w:marLeft w:val="0"/>
              <w:marRight w:val="0"/>
              <w:marTop w:val="0"/>
              <w:marBottom w:val="0"/>
              <w:divBdr>
                <w:top w:val="none" w:sz="0" w:space="0" w:color="auto"/>
                <w:left w:val="none" w:sz="0" w:space="0" w:color="auto"/>
                <w:bottom w:val="none" w:sz="0" w:space="0" w:color="auto"/>
                <w:right w:val="none" w:sz="0" w:space="0" w:color="auto"/>
              </w:divBdr>
            </w:div>
          </w:divsChild>
        </w:div>
        <w:div w:id="790899678">
          <w:marLeft w:val="0"/>
          <w:marRight w:val="0"/>
          <w:marTop w:val="0"/>
          <w:marBottom w:val="0"/>
          <w:divBdr>
            <w:top w:val="none" w:sz="0" w:space="0" w:color="auto"/>
            <w:left w:val="none" w:sz="0" w:space="0" w:color="auto"/>
            <w:bottom w:val="none" w:sz="0" w:space="0" w:color="auto"/>
            <w:right w:val="none" w:sz="0" w:space="0" w:color="auto"/>
          </w:divBdr>
          <w:divsChild>
            <w:div w:id="1893230026">
              <w:marLeft w:val="0"/>
              <w:marRight w:val="0"/>
              <w:marTop w:val="0"/>
              <w:marBottom w:val="0"/>
              <w:divBdr>
                <w:top w:val="none" w:sz="0" w:space="0" w:color="auto"/>
                <w:left w:val="none" w:sz="0" w:space="0" w:color="auto"/>
                <w:bottom w:val="none" w:sz="0" w:space="0" w:color="auto"/>
                <w:right w:val="none" w:sz="0" w:space="0" w:color="auto"/>
              </w:divBdr>
            </w:div>
          </w:divsChild>
        </w:div>
        <w:div w:id="824853295">
          <w:marLeft w:val="0"/>
          <w:marRight w:val="0"/>
          <w:marTop w:val="0"/>
          <w:marBottom w:val="0"/>
          <w:divBdr>
            <w:top w:val="none" w:sz="0" w:space="0" w:color="auto"/>
            <w:left w:val="none" w:sz="0" w:space="0" w:color="auto"/>
            <w:bottom w:val="none" w:sz="0" w:space="0" w:color="auto"/>
            <w:right w:val="none" w:sz="0" w:space="0" w:color="auto"/>
          </w:divBdr>
          <w:divsChild>
            <w:div w:id="1329746340">
              <w:marLeft w:val="0"/>
              <w:marRight w:val="0"/>
              <w:marTop w:val="0"/>
              <w:marBottom w:val="0"/>
              <w:divBdr>
                <w:top w:val="none" w:sz="0" w:space="0" w:color="auto"/>
                <w:left w:val="none" w:sz="0" w:space="0" w:color="auto"/>
                <w:bottom w:val="none" w:sz="0" w:space="0" w:color="auto"/>
                <w:right w:val="none" w:sz="0" w:space="0" w:color="auto"/>
              </w:divBdr>
            </w:div>
          </w:divsChild>
        </w:div>
        <w:div w:id="884878199">
          <w:marLeft w:val="0"/>
          <w:marRight w:val="0"/>
          <w:marTop w:val="0"/>
          <w:marBottom w:val="0"/>
          <w:divBdr>
            <w:top w:val="none" w:sz="0" w:space="0" w:color="auto"/>
            <w:left w:val="none" w:sz="0" w:space="0" w:color="auto"/>
            <w:bottom w:val="none" w:sz="0" w:space="0" w:color="auto"/>
            <w:right w:val="none" w:sz="0" w:space="0" w:color="auto"/>
          </w:divBdr>
          <w:divsChild>
            <w:div w:id="147943363">
              <w:marLeft w:val="0"/>
              <w:marRight w:val="0"/>
              <w:marTop w:val="0"/>
              <w:marBottom w:val="0"/>
              <w:divBdr>
                <w:top w:val="none" w:sz="0" w:space="0" w:color="auto"/>
                <w:left w:val="none" w:sz="0" w:space="0" w:color="auto"/>
                <w:bottom w:val="none" w:sz="0" w:space="0" w:color="auto"/>
                <w:right w:val="none" w:sz="0" w:space="0" w:color="auto"/>
              </w:divBdr>
            </w:div>
          </w:divsChild>
        </w:div>
        <w:div w:id="894854242">
          <w:marLeft w:val="0"/>
          <w:marRight w:val="0"/>
          <w:marTop w:val="0"/>
          <w:marBottom w:val="0"/>
          <w:divBdr>
            <w:top w:val="none" w:sz="0" w:space="0" w:color="auto"/>
            <w:left w:val="none" w:sz="0" w:space="0" w:color="auto"/>
            <w:bottom w:val="none" w:sz="0" w:space="0" w:color="auto"/>
            <w:right w:val="none" w:sz="0" w:space="0" w:color="auto"/>
          </w:divBdr>
          <w:divsChild>
            <w:div w:id="475025211">
              <w:marLeft w:val="0"/>
              <w:marRight w:val="0"/>
              <w:marTop w:val="0"/>
              <w:marBottom w:val="0"/>
              <w:divBdr>
                <w:top w:val="none" w:sz="0" w:space="0" w:color="auto"/>
                <w:left w:val="none" w:sz="0" w:space="0" w:color="auto"/>
                <w:bottom w:val="none" w:sz="0" w:space="0" w:color="auto"/>
                <w:right w:val="none" w:sz="0" w:space="0" w:color="auto"/>
              </w:divBdr>
            </w:div>
          </w:divsChild>
        </w:div>
        <w:div w:id="898203008">
          <w:marLeft w:val="0"/>
          <w:marRight w:val="0"/>
          <w:marTop w:val="0"/>
          <w:marBottom w:val="0"/>
          <w:divBdr>
            <w:top w:val="none" w:sz="0" w:space="0" w:color="auto"/>
            <w:left w:val="none" w:sz="0" w:space="0" w:color="auto"/>
            <w:bottom w:val="none" w:sz="0" w:space="0" w:color="auto"/>
            <w:right w:val="none" w:sz="0" w:space="0" w:color="auto"/>
          </w:divBdr>
          <w:divsChild>
            <w:div w:id="1339650239">
              <w:marLeft w:val="0"/>
              <w:marRight w:val="0"/>
              <w:marTop w:val="0"/>
              <w:marBottom w:val="0"/>
              <w:divBdr>
                <w:top w:val="none" w:sz="0" w:space="0" w:color="auto"/>
                <w:left w:val="none" w:sz="0" w:space="0" w:color="auto"/>
                <w:bottom w:val="none" w:sz="0" w:space="0" w:color="auto"/>
                <w:right w:val="none" w:sz="0" w:space="0" w:color="auto"/>
              </w:divBdr>
            </w:div>
            <w:div w:id="1977828975">
              <w:marLeft w:val="0"/>
              <w:marRight w:val="0"/>
              <w:marTop w:val="0"/>
              <w:marBottom w:val="0"/>
              <w:divBdr>
                <w:top w:val="none" w:sz="0" w:space="0" w:color="auto"/>
                <w:left w:val="none" w:sz="0" w:space="0" w:color="auto"/>
                <w:bottom w:val="none" w:sz="0" w:space="0" w:color="auto"/>
                <w:right w:val="none" w:sz="0" w:space="0" w:color="auto"/>
              </w:divBdr>
            </w:div>
          </w:divsChild>
        </w:div>
        <w:div w:id="958562142">
          <w:marLeft w:val="0"/>
          <w:marRight w:val="0"/>
          <w:marTop w:val="0"/>
          <w:marBottom w:val="0"/>
          <w:divBdr>
            <w:top w:val="none" w:sz="0" w:space="0" w:color="auto"/>
            <w:left w:val="none" w:sz="0" w:space="0" w:color="auto"/>
            <w:bottom w:val="none" w:sz="0" w:space="0" w:color="auto"/>
            <w:right w:val="none" w:sz="0" w:space="0" w:color="auto"/>
          </w:divBdr>
          <w:divsChild>
            <w:div w:id="807892451">
              <w:marLeft w:val="0"/>
              <w:marRight w:val="0"/>
              <w:marTop w:val="0"/>
              <w:marBottom w:val="0"/>
              <w:divBdr>
                <w:top w:val="none" w:sz="0" w:space="0" w:color="auto"/>
                <w:left w:val="none" w:sz="0" w:space="0" w:color="auto"/>
                <w:bottom w:val="none" w:sz="0" w:space="0" w:color="auto"/>
                <w:right w:val="none" w:sz="0" w:space="0" w:color="auto"/>
              </w:divBdr>
            </w:div>
          </w:divsChild>
        </w:div>
        <w:div w:id="1010522868">
          <w:marLeft w:val="0"/>
          <w:marRight w:val="0"/>
          <w:marTop w:val="0"/>
          <w:marBottom w:val="0"/>
          <w:divBdr>
            <w:top w:val="none" w:sz="0" w:space="0" w:color="auto"/>
            <w:left w:val="none" w:sz="0" w:space="0" w:color="auto"/>
            <w:bottom w:val="none" w:sz="0" w:space="0" w:color="auto"/>
            <w:right w:val="none" w:sz="0" w:space="0" w:color="auto"/>
          </w:divBdr>
          <w:divsChild>
            <w:div w:id="417406045">
              <w:marLeft w:val="0"/>
              <w:marRight w:val="0"/>
              <w:marTop w:val="0"/>
              <w:marBottom w:val="0"/>
              <w:divBdr>
                <w:top w:val="none" w:sz="0" w:space="0" w:color="auto"/>
                <w:left w:val="none" w:sz="0" w:space="0" w:color="auto"/>
                <w:bottom w:val="none" w:sz="0" w:space="0" w:color="auto"/>
                <w:right w:val="none" w:sz="0" w:space="0" w:color="auto"/>
              </w:divBdr>
            </w:div>
          </w:divsChild>
        </w:div>
        <w:div w:id="1031226372">
          <w:marLeft w:val="0"/>
          <w:marRight w:val="0"/>
          <w:marTop w:val="0"/>
          <w:marBottom w:val="0"/>
          <w:divBdr>
            <w:top w:val="none" w:sz="0" w:space="0" w:color="auto"/>
            <w:left w:val="none" w:sz="0" w:space="0" w:color="auto"/>
            <w:bottom w:val="none" w:sz="0" w:space="0" w:color="auto"/>
            <w:right w:val="none" w:sz="0" w:space="0" w:color="auto"/>
          </w:divBdr>
          <w:divsChild>
            <w:div w:id="1719159688">
              <w:marLeft w:val="0"/>
              <w:marRight w:val="0"/>
              <w:marTop w:val="0"/>
              <w:marBottom w:val="0"/>
              <w:divBdr>
                <w:top w:val="none" w:sz="0" w:space="0" w:color="auto"/>
                <w:left w:val="none" w:sz="0" w:space="0" w:color="auto"/>
                <w:bottom w:val="none" w:sz="0" w:space="0" w:color="auto"/>
                <w:right w:val="none" w:sz="0" w:space="0" w:color="auto"/>
              </w:divBdr>
            </w:div>
          </w:divsChild>
        </w:div>
        <w:div w:id="1038240622">
          <w:marLeft w:val="0"/>
          <w:marRight w:val="0"/>
          <w:marTop w:val="0"/>
          <w:marBottom w:val="0"/>
          <w:divBdr>
            <w:top w:val="none" w:sz="0" w:space="0" w:color="auto"/>
            <w:left w:val="none" w:sz="0" w:space="0" w:color="auto"/>
            <w:bottom w:val="none" w:sz="0" w:space="0" w:color="auto"/>
            <w:right w:val="none" w:sz="0" w:space="0" w:color="auto"/>
          </w:divBdr>
          <w:divsChild>
            <w:div w:id="1882354551">
              <w:marLeft w:val="0"/>
              <w:marRight w:val="0"/>
              <w:marTop w:val="0"/>
              <w:marBottom w:val="0"/>
              <w:divBdr>
                <w:top w:val="none" w:sz="0" w:space="0" w:color="auto"/>
                <w:left w:val="none" w:sz="0" w:space="0" w:color="auto"/>
                <w:bottom w:val="none" w:sz="0" w:space="0" w:color="auto"/>
                <w:right w:val="none" w:sz="0" w:space="0" w:color="auto"/>
              </w:divBdr>
            </w:div>
          </w:divsChild>
        </w:div>
        <w:div w:id="1046837826">
          <w:marLeft w:val="0"/>
          <w:marRight w:val="0"/>
          <w:marTop w:val="0"/>
          <w:marBottom w:val="0"/>
          <w:divBdr>
            <w:top w:val="none" w:sz="0" w:space="0" w:color="auto"/>
            <w:left w:val="none" w:sz="0" w:space="0" w:color="auto"/>
            <w:bottom w:val="none" w:sz="0" w:space="0" w:color="auto"/>
            <w:right w:val="none" w:sz="0" w:space="0" w:color="auto"/>
          </w:divBdr>
          <w:divsChild>
            <w:div w:id="1169831331">
              <w:marLeft w:val="0"/>
              <w:marRight w:val="0"/>
              <w:marTop w:val="0"/>
              <w:marBottom w:val="0"/>
              <w:divBdr>
                <w:top w:val="none" w:sz="0" w:space="0" w:color="auto"/>
                <w:left w:val="none" w:sz="0" w:space="0" w:color="auto"/>
                <w:bottom w:val="none" w:sz="0" w:space="0" w:color="auto"/>
                <w:right w:val="none" w:sz="0" w:space="0" w:color="auto"/>
              </w:divBdr>
            </w:div>
          </w:divsChild>
        </w:div>
        <w:div w:id="1279215026">
          <w:marLeft w:val="0"/>
          <w:marRight w:val="0"/>
          <w:marTop w:val="0"/>
          <w:marBottom w:val="0"/>
          <w:divBdr>
            <w:top w:val="none" w:sz="0" w:space="0" w:color="auto"/>
            <w:left w:val="none" w:sz="0" w:space="0" w:color="auto"/>
            <w:bottom w:val="none" w:sz="0" w:space="0" w:color="auto"/>
            <w:right w:val="none" w:sz="0" w:space="0" w:color="auto"/>
          </w:divBdr>
          <w:divsChild>
            <w:div w:id="1101415204">
              <w:marLeft w:val="0"/>
              <w:marRight w:val="0"/>
              <w:marTop w:val="0"/>
              <w:marBottom w:val="0"/>
              <w:divBdr>
                <w:top w:val="none" w:sz="0" w:space="0" w:color="auto"/>
                <w:left w:val="none" w:sz="0" w:space="0" w:color="auto"/>
                <w:bottom w:val="none" w:sz="0" w:space="0" w:color="auto"/>
                <w:right w:val="none" w:sz="0" w:space="0" w:color="auto"/>
              </w:divBdr>
            </w:div>
          </w:divsChild>
        </w:div>
        <w:div w:id="1360014298">
          <w:marLeft w:val="0"/>
          <w:marRight w:val="0"/>
          <w:marTop w:val="0"/>
          <w:marBottom w:val="0"/>
          <w:divBdr>
            <w:top w:val="none" w:sz="0" w:space="0" w:color="auto"/>
            <w:left w:val="none" w:sz="0" w:space="0" w:color="auto"/>
            <w:bottom w:val="none" w:sz="0" w:space="0" w:color="auto"/>
            <w:right w:val="none" w:sz="0" w:space="0" w:color="auto"/>
          </w:divBdr>
          <w:divsChild>
            <w:div w:id="511460536">
              <w:marLeft w:val="0"/>
              <w:marRight w:val="0"/>
              <w:marTop w:val="0"/>
              <w:marBottom w:val="0"/>
              <w:divBdr>
                <w:top w:val="none" w:sz="0" w:space="0" w:color="auto"/>
                <w:left w:val="none" w:sz="0" w:space="0" w:color="auto"/>
                <w:bottom w:val="none" w:sz="0" w:space="0" w:color="auto"/>
                <w:right w:val="none" w:sz="0" w:space="0" w:color="auto"/>
              </w:divBdr>
            </w:div>
          </w:divsChild>
        </w:div>
        <w:div w:id="1381053432">
          <w:marLeft w:val="0"/>
          <w:marRight w:val="0"/>
          <w:marTop w:val="0"/>
          <w:marBottom w:val="0"/>
          <w:divBdr>
            <w:top w:val="none" w:sz="0" w:space="0" w:color="auto"/>
            <w:left w:val="none" w:sz="0" w:space="0" w:color="auto"/>
            <w:bottom w:val="none" w:sz="0" w:space="0" w:color="auto"/>
            <w:right w:val="none" w:sz="0" w:space="0" w:color="auto"/>
          </w:divBdr>
          <w:divsChild>
            <w:div w:id="984088958">
              <w:marLeft w:val="0"/>
              <w:marRight w:val="0"/>
              <w:marTop w:val="0"/>
              <w:marBottom w:val="0"/>
              <w:divBdr>
                <w:top w:val="none" w:sz="0" w:space="0" w:color="auto"/>
                <w:left w:val="none" w:sz="0" w:space="0" w:color="auto"/>
                <w:bottom w:val="none" w:sz="0" w:space="0" w:color="auto"/>
                <w:right w:val="none" w:sz="0" w:space="0" w:color="auto"/>
              </w:divBdr>
            </w:div>
          </w:divsChild>
        </w:div>
        <w:div w:id="1447575261">
          <w:marLeft w:val="0"/>
          <w:marRight w:val="0"/>
          <w:marTop w:val="0"/>
          <w:marBottom w:val="0"/>
          <w:divBdr>
            <w:top w:val="none" w:sz="0" w:space="0" w:color="auto"/>
            <w:left w:val="none" w:sz="0" w:space="0" w:color="auto"/>
            <w:bottom w:val="none" w:sz="0" w:space="0" w:color="auto"/>
            <w:right w:val="none" w:sz="0" w:space="0" w:color="auto"/>
          </w:divBdr>
          <w:divsChild>
            <w:div w:id="314064722">
              <w:marLeft w:val="0"/>
              <w:marRight w:val="0"/>
              <w:marTop w:val="0"/>
              <w:marBottom w:val="0"/>
              <w:divBdr>
                <w:top w:val="none" w:sz="0" w:space="0" w:color="auto"/>
                <w:left w:val="none" w:sz="0" w:space="0" w:color="auto"/>
                <w:bottom w:val="none" w:sz="0" w:space="0" w:color="auto"/>
                <w:right w:val="none" w:sz="0" w:space="0" w:color="auto"/>
              </w:divBdr>
            </w:div>
          </w:divsChild>
        </w:div>
        <w:div w:id="1476213982">
          <w:marLeft w:val="0"/>
          <w:marRight w:val="0"/>
          <w:marTop w:val="0"/>
          <w:marBottom w:val="0"/>
          <w:divBdr>
            <w:top w:val="none" w:sz="0" w:space="0" w:color="auto"/>
            <w:left w:val="none" w:sz="0" w:space="0" w:color="auto"/>
            <w:bottom w:val="none" w:sz="0" w:space="0" w:color="auto"/>
            <w:right w:val="none" w:sz="0" w:space="0" w:color="auto"/>
          </w:divBdr>
          <w:divsChild>
            <w:div w:id="1926185027">
              <w:marLeft w:val="0"/>
              <w:marRight w:val="0"/>
              <w:marTop w:val="0"/>
              <w:marBottom w:val="0"/>
              <w:divBdr>
                <w:top w:val="none" w:sz="0" w:space="0" w:color="auto"/>
                <w:left w:val="none" w:sz="0" w:space="0" w:color="auto"/>
                <w:bottom w:val="none" w:sz="0" w:space="0" w:color="auto"/>
                <w:right w:val="none" w:sz="0" w:space="0" w:color="auto"/>
              </w:divBdr>
            </w:div>
          </w:divsChild>
        </w:div>
        <w:div w:id="1542287292">
          <w:marLeft w:val="0"/>
          <w:marRight w:val="0"/>
          <w:marTop w:val="0"/>
          <w:marBottom w:val="0"/>
          <w:divBdr>
            <w:top w:val="none" w:sz="0" w:space="0" w:color="auto"/>
            <w:left w:val="none" w:sz="0" w:space="0" w:color="auto"/>
            <w:bottom w:val="none" w:sz="0" w:space="0" w:color="auto"/>
            <w:right w:val="none" w:sz="0" w:space="0" w:color="auto"/>
          </w:divBdr>
          <w:divsChild>
            <w:div w:id="1666126498">
              <w:marLeft w:val="0"/>
              <w:marRight w:val="0"/>
              <w:marTop w:val="0"/>
              <w:marBottom w:val="0"/>
              <w:divBdr>
                <w:top w:val="none" w:sz="0" w:space="0" w:color="auto"/>
                <w:left w:val="none" w:sz="0" w:space="0" w:color="auto"/>
                <w:bottom w:val="none" w:sz="0" w:space="0" w:color="auto"/>
                <w:right w:val="none" w:sz="0" w:space="0" w:color="auto"/>
              </w:divBdr>
            </w:div>
          </w:divsChild>
        </w:div>
        <w:div w:id="1544245790">
          <w:marLeft w:val="0"/>
          <w:marRight w:val="0"/>
          <w:marTop w:val="0"/>
          <w:marBottom w:val="0"/>
          <w:divBdr>
            <w:top w:val="none" w:sz="0" w:space="0" w:color="auto"/>
            <w:left w:val="none" w:sz="0" w:space="0" w:color="auto"/>
            <w:bottom w:val="none" w:sz="0" w:space="0" w:color="auto"/>
            <w:right w:val="none" w:sz="0" w:space="0" w:color="auto"/>
          </w:divBdr>
          <w:divsChild>
            <w:div w:id="1290549137">
              <w:marLeft w:val="0"/>
              <w:marRight w:val="0"/>
              <w:marTop w:val="0"/>
              <w:marBottom w:val="0"/>
              <w:divBdr>
                <w:top w:val="none" w:sz="0" w:space="0" w:color="auto"/>
                <w:left w:val="none" w:sz="0" w:space="0" w:color="auto"/>
                <w:bottom w:val="none" w:sz="0" w:space="0" w:color="auto"/>
                <w:right w:val="none" w:sz="0" w:space="0" w:color="auto"/>
              </w:divBdr>
            </w:div>
          </w:divsChild>
        </w:div>
        <w:div w:id="1547062161">
          <w:marLeft w:val="0"/>
          <w:marRight w:val="0"/>
          <w:marTop w:val="0"/>
          <w:marBottom w:val="0"/>
          <w:divBdr>
            <w:top w:val="none" w:sz="0" w:space="0" w:color="auto"/>
            <w:left w:val="none" w:sz="0" w:space="0" w:color="auto"/>
            <w:bottom w:val="none" w:sz="0" w:space="0" w:color="auto"/>
            <w:right w:val="none" w:sz="0" w:space="0" w:color="auto"/>
          </w:divBdr>
          <w:divsChild>
            <w:div w:id="779765280">
              <w:marLeft w:val="0"/>
              <w:marRight w:val="0"/>
              <w:marTop w:val="0"/>
              <w:marBottom w:val="0"/>
              <w:divBdr>
                <w:top w:val="none" w:sz="0" w:space="0" w:color="auto"/>
                <w:left w:val="none" w:sz="0" w:space="0" w:color="auto"/>
                <w:bottom w:val="none" w:sz="0" w:space="0" w:color="auto"/>
                <w:right w:val="none" w:sz="0" w:space="0" w:color="auto"/>
              </w:divBdr>
            </w:div>
          </w:divsChild>
        </w:div>
        <w:div w:id="1564367908">
          <w:marLeft w:val="0"/>
          <w:marRight w:val="0"/>
          <w:marTop w:val="0"/>
          <w:marBottom w:val="0"/>
          <w:divBdr>
            <w:top w:val="none" w:sz="0" w:space="0" w:color="auto"/>
            <w:left w:val="none" w:sz="0" w:space="0" w:color="auto"/>
            <w:bottom w:val="none" w:sz="0" w:space="0" w:color="auto"/>
            <w:right w:val="none" w:sz="0" w:space="0" w:color="auto"/>
          </w:divBdr>
          <w:divsChild>
            <w:div w:id="1995912201">
              <w:marLeft w:val="0"/>
              <w:marRight w:val="0"/>
              <w:marTop w:val="0"/>
              <w:marBottom w:val="0"/>
              <w:divBdr>
                <w:top w:val="none" w:sz="0" w:space="0" w:color="auto"/>
                <w:left w:val="none" w:sz="0" w:space="0" w:color="auto"/>
                <w:bottom w:val="none" w:sz="0" w:space="0" w:color="auto"/>
                <w:right w:val="none" w:sz="0" w:space="0" w:color="auto"/>
              </w:divBdr>
            </w:div>
          </w:divsChild>
        </w:div>
        <w:div w:id="1569413915">
          <w:marLeft w:val="0"/>
          <w:marRight w:val="0"/>
          <w:marTop w:val="0"/>
          <w:marBottom w:val="0"/>
          <w:divBdr>
            <w:top w:val="none" w:sz="0" w:space="0" w:color="auto"/>
            <w:left w:val="none" w:sz="0" w:space="0" w:color="auto"/>
            <w:bottom w:val="none" w:sz="0" w:space="0" w:color="auto"/>
            <w:right w:val="none" w:sz="0" w:space="0" w:color="auto"/>
          </w:divBdr>
          <w:divsChild>
            <w:div w:id="1982035745">
              <w:marLeft w:val="0"/>
              <w:marRight w:val="0"/>
              <w:marTop w:val="0"/>
              <w:marBottom w:val="0"/>
              <w:divBdr>
                <w:top w:val="none" w:sz="0" w:space="0" w:color="auto"/>
                <w:left w:val="none" w:sz="0" w:space="0" w:color="auto"/>
                <w:bottom w:val="none" w:sz="0" w:space="0" w:color="auto"/>
                <w:right w:val="none" w:sz="0" w:space="0" w:color="auto"/>
              </w:divBdr>
            </w:div>
          </w:divsChild>
        </w:div>
        <w:div w:id="1583179097">
          <w:marLeft w:val="0"/>
          <w:marRight w:val="0"/>
          <w:marTop w:val="0"/>
          <w:marBottom w:val="0"/>
          <w:divBdr>
            <w:top w:val="none" w:sz="0" w:space="0" w:color="auto"/>
            <w:left w:val="none" w:sz="0" w:space="0" w:color="auto"/>
            <w:bottom w:val="none" w:sz="0" w:space="0" w:color="auto"/>
            <w:right w:val="none" w:sz="0" w:space="0" w:color="auto"/>
          </w:divBdr>
          <w:divsChild>
            <w:div w:id="1519393142">
              <w:marLeft w:val="0"/>
              <w:marRight w:val="0"/>
              <w:marTop w:val="0"/>
              <w:marBottom w:val="0"/>
              <w:divBdr>
                <w:top w:val="none" w:sz="0" w:space="0" w:color="auto"/>
                <w:left w:val="none" w:sz="0" w:space="0" w:color="auto"/>
                <w:bottom w:val="none" w:sz="0" w:space="0" w:color="auto"/>
                <w:right w:val="none" w:sz="0" w:space="0" w:color="auto"/>
              </w:divBdr>
            </w:div>
          </w:divsChild>
        </w:div>
        <w:div w:id="1636064192">
          <w:marLeft w:val="0"/>
          <w:marRight w:val="0"/>
          <w:marTop w:val="0"/>
          <w:marBottom w:val="0"/>
          <w:divBdr>
            <w:top w:val="none" w:sz="0" w:space="0" w:color="auto"/>
            <w:left w:val="none" w:sz="0" w:space="0" w:color="auto"/>
            <w:bottom w:val="none" w:sz="0" w:space="0" w:color="auto"/>
            <w:right w:val="none" w:sz="0" w:space="0" w:color="auto"/>
          </w:divBdr>
          <w:divsChild>
            <w:div w:id="577715577">
              <w:marLeft w:val="0"/>
              <w:marRight w:val="0"/>
              <w:marTop w:val="0"/>
              <w:marBottom w:val="0"/>
              <w:divBdr>
                <w:top w:val="none" w:sz="0" w:space="0" w:color="auto"/>
                <w:left w:val="none" w:sz="0" w:space="0" w:color="auto"/>
                <w:bottom w:val="none" w:sz="0" w:space="0" w:color="auto"/>
                <w:right w:val="none" w:sz="0" w:space="0" w:color="auto"/>
              </w:divBdr>
            </w:div>
          </w:divsChild>
        </w:div>
        <w:div w:id="1711149697">
          <w:marLeft w:val="0"/>
          <w:marRight w:val="0"/>
          <w:marTop w:val="0"/>
          <w:marBottom w:val="0"/>
          <w:divBdr>
            <w:top w:val="none" w:sz="0" w:space="0" w:color="auto"/>
            <w:left w:val="none" w:sz="0" w:space="0" w:color="auto"/>
            <w:bottom w:val="none" w:sz="0" w:space="0" w:color="auto"/>
            <w:right w:val="none" w:sz="0" w:space="0" w:color="auto"/>
          </w:divBdr>
          <w:divsChild>
            <w:div w:id="393435695">
              <w:marLeft w:val="0"/>
              <w:marRight w:val="0"/>
              <w:marTop w:val="0"/>
              <w:marBottom w:val="0"/>
              <w:divBdr>
                <w:top w:val="none" w:sz="0" w:space="0" w:color="auto"/>
                <w:left w:val="none" w:sz="0" w:space="0" w:color="auto"/>
                <w:bottom w:val="none" w:sz="0" w:space="0" w:color="auto"/>
                <w:right w:val="none" w:sz="0" w:space="0" w:color="auto"/>
              </w:divBdr>
            </w:div>
          </w:divsChild>
        </w:div>
        <w:div w:id="1712654034">
          <w:marLeft w:val="0"/>
          <w:marRight w:val="0"/>
          <w:marTop w:val="0"/>
          <w:marBottom w:val="0"/>
          <w:divBdr>
            <w:top w:val="none" w:sz="0" w:space="0" w:color="auto"/>
            <w:left w:val="none" w:sz="0" w:space="0" w:color="auto"/>
            <w:bottom w:val="none" w:sz="0" w:space="0" w:color="auto"/>
            <w:right w:val="none" w:sz="0" w:space="0" w:color="auto"/>
          </w:divBdr>
          <w:divsChild>
            <w:div w:id="286620320">
              <w:marLeft w:val="0"/>
              <w:marRight w:val="0"/>
              <w:marTop w:val="0"/>
              <w:marBottom w:val="0"/>
              <w:divBdr>
                <w:top w:val="none" w:sz="0" w:space="0" w:color="auto"/>
                <w:left w:val="none" w:sz="0" w:space="0" w:color="auto"/>
                <w:bottom w:val="none" w:sz="0" w:space="0" w:color="auto"/>
                <w:right w:val="none" w:sz="0" w:space="0" w:color="auto"/>
              </w:divBdr>
            </w:div>
          </w:divsChild>
        </w:div>
        <w:div w:id="1722555320">
          <w:marLeft w:val="0"/>
          <w:marRight w:val="0"/>
          <w:marTop w:val="0"/>
          <w:marBottom w:val="0"/>
          <w:divBdr>
            <w:top w:val="none" w:sz="0" w:space="0" w:color="auto"/>
            <w:left w:val="none" w:sz="0" w:space="0" w:color="auto"/>
            <w:bottom w:val="none" w:sz="0" w:space="0" w:color="auto"/>
            <w:right w:val="none" w:sz="0" w:space="0" w:color="auto"/>
          </w:divBdr>
          <w:divsChild>
            <w:div w:id="1868326064">
              <w:marLeft w:val="0"/>
              <w:marRight w:val="0"/>
              <w:marTop w:val="0"/>
              <w:marBottom w:val="0"/>
              <w:divBdr>
                <w:top w:val="none" w:sz="0" w:space="0" w:color="auto"/>
                <w:left w:val="none" w:sz="0" w:space="0" w:color="auto"/>
                <w:bottom w:val="none" w:sz="0" w:space="0" w:color="auto"/>
                <w:right w:val="none" w:sz="0" w:space="0" w:color="auto"/>
              </w:divBdr>
            </w:div>
          </w:divsChild>
        </w:div>
        <w:div w:id="1727099674">
          <w:marLeft w:val="0"/>
          <w:marRight w:val="0"/>
          <w:marTop w:val="0"/>
          <w:marBottom w:val="0"/>
          <w:divBdr>
            <w:top w:val="none" w:sz="0" w:space="0" w:color="auto"/>
            <w:left w:val="none" w:sz="0" w:space="0" w:color="auto"/>
            <w:bottom w:val="none" w:sz="0" w:space="0" w:color="auto"/>
            <w:right w:val="none" w:sz="0" w:space="0" w:color="auto"/>
          </w:divBdr>
          <w:divsChild>
            <w:div w:id="293830541">
              <w:marLeft w:val="0"/>
              <w:marRight w:val="0"/>
              <w:marTop w:val="0"/>
              <w:marBottom w:val="0"/>
              <w:divBdr>
                <w:top w:val="none" w:sz="0" w:space="0" w:color="auto"/>
                <w:left w:val="none" w:sz="0" w:space="0" w:color="auto"/>
                <w:bottom w:val="none" w:sz="0" w:space="0" w:color="auto"/>
                <w:right w:val="none" w:sz="0" w:space="0" w:color="auto"/>
              </w:divBdr>
            </w:div>
          </w:divsChild>
        </w:div>
        <w:div w:id="1730224927">
          <w:marLeft w:val="0"/>
          <w:marRight w:val="0"/>
          <w:marTop w:val="0"/>
          <w:marBottom w:val="0"/>
          <w:divBdr>
            <w:top w:val="none" w:sz="0" w:space="0" w:color="auto"/>
            <w:left w:val="none" w:sz="0" w:space="0" w:color="auto"/>
            <w:bottom w:val="none" w:sz="0" w:space="0" w:color="auto"/>
            <w:right w:val="none" w:sz="0" w:space="0" w:color="auto"/>
          </w:divBdr>
          <w:divsChild>
            <w:div w:id="2002780383">
              <w:marLeft w:val="0"/>
              <w:marRight w:val="0"/>
              <w:marTop w:val="0"/>
              <w:marBottom w:val="0"/>
              <w:divBdr>
                <w:top w:val="none" w:sz="0" w:space="0" w:color="auto"/>
                <w:left w:val="none" w:sz="0" w:space="0" w:color="auto"/>
                <w:bottom w:val="none" w:sz="0" w:space="0" w:color="auto"/>
                <w:right w:val="none" w:sz="0" w:space="0" w:color="auto"/>
              </w:divBdr>
            </w:div>
          </w:divsChild>
        </w:div>
        <w:div w:id="1740130790">
          <w:marLeft w:val="0"/>
          <w:marRight w:val="0"/>
          <w:marTop w:val="0"/>
          <w:marBottom w:val="0"/>
          <w:divBdr>
            <w:top w:val="none" w:sz="0" w:space="0" w:color="auto"/>
            <w:left w:val="none" w:sz="0" w:space="0" w:color="auto"/>
            <w:bottom w:val="none" w:sz="0" w:space="0" w:color="auto"/>
            <w:right w:val="none" w:sz="0" w:space="0" w:color="auto"/>
          </w:divBdr>
          <w:divsChild>
            <w:div w:id="946546733">
              <w:marLeft w:val="0"/>
              <w:marRight w:val="0"/>
              <w:marTop w:val="0"/>
              <w:marBottom w:val="0"/>
              <w:divBdr>
                <w:top w:val="none" w:sz="0" w:space="0" w:color="auto"/>
                <w:left w:val="none" w:sz="0" w:space="0" w:color="auto"/>
                <w:bottom w:val="none" w:sz="0" w:space="0" w:color="auto"/>
                <w:right w:val="none" w:sz="0" w:space="0" w:color="auto"/>
              </w:divBdr>
            </w:div>
          </w:divsChild>
        </w:div>
        <w:div w:id="1786193146">
          <w:marLeft w:val="0"/>
          <w:marRight w:val="0"/>
          <w:marTop w:val="0"/>
          <w:marBottom w:val="0"/>
          <w:divBdr>
            <w:top w:val="none" w:sz="0" w:space="0" w:color="auto"/>
            <w:left w:val="none" w:sz="0" w:space="0" w:color="auto"/>
            <w:bottom w:val="none" w:sz="0" w:space="0" w:color="auto"/>
            <w:right w:val="none" w:sz="0" w:space="0" w:color="auto"/>
          </w:divBdr>
          <w:divsChild>
            <w:div w:id="2081244037">
              <w:marLeft w:val="0"/>
              <w:marRight w:val="0"/>
              <w:marTop w:val="0"/>
              <w:marBottom w:val="0"/>
              <w:divBdr>
                <w:top w:val="none" w:sz="0" w:space="0" w:color="auto"/>
                <w:left w:val="none" w:sz="0" w:space="0" w:color="auto"/>
                <w:bottom w:val="none" w:sz="0" w:space="0" w:color="auto"/>
                <w:right w:val="none" w:sz="0" w:space="0" w:color="auto"/>
              </w:divBdr>
            </w:div>
          </w:divsChild>
        </w:div>
        <w:div w:id="1811482371">
          <w:marLeft w:val="0"/>
          <w:marRight w:val="0"/>
          <w:marTop w:val="0"/>
          <w:marBottom w:val="0"/>
          <w:divBdr>
            <w:top w:val="none" w:sz="0" w:space="0" w:color="auto"/>
            <w:left w:val="none" w:sz="0" w:space="0" w:color="auto"/>
            <w:bottom w:val="none" w:sz="0" w:space="0" w:color="auto"/>
            <w:right w:val="none" w:sz="0" w:space="0" w:color="auto"/>
          </w:divBdr>
          <w:divsChild>
            <w:div w:id="1545942793">
              <w:marLeft w:val="0"/>
              <w:marRight w:val="0"/>
              <w:marTop w:val="0"/>
              <w:marBottom w:val="0"/>
              <w:divBdr>
                <w:top w:val="none" w:sz="0" w:space="0" w:color="auto"/>
                <w:left w:val="none" w:sz="0" w:space="0" w:color="auto"/>
                <w:bottom w:val="none" w:sz="0" w:space="0" w:color="auto"/>
                <w:right w:val="none" w:sz="0" w:space="0" w:color="auto"/>
              </w:divBdr>
            </w:div>
          </w:divsChild>
        </w:div>
        <w:div w:id="1827473259">
          <w:marLeft w:val="0"/>
          <w:marRight w:val="0"/>
          <w:marTop w:val="0"/>
          <w:marBottom w:val="0"/>
          <w:divBdr>
            <w:top w:val="none" w:sz="0" w:space="0" w:color="auto"/>
            <w:left w:val="none" w:sz="0" w:space="0" w:color="auto"/>
            <w:bottom w:val="none" w:sz="0" w:space="0" w:color="auto"/>
            <w:right w:val="none" w:sz="0" w:space="0" w:color="auto"/>
          </w:divBdr>
          <w:divsChild>
            <w:div w:id="1295210785">
              <w:marLeft w:val="0"/>
              <w:marRight w:val="0"/>
              <w:marTop w:val="0"/>
              <w:marBottom w:val="0"/>
              <w:divBdr>
                <w:top w:val="none" w:sz="0" w:space="0" w:color="auto"/>
                <w:left w:val="none" w:sz="0" w:space="0" w:color="auto"/>
                <w:bottom w:val="none" w:sz="0" w:space="0" w:color="auto"/>
                <w:right w:val="none" w:sz="0" w:space="0" w:color="auto"/>
              </w:divBdr>
            </w:div>
          </w:divsChild>
        </w:div>
        <w:div w:id="1830947162">
          <w:marLeft w:val="0"/>
          <w:marRight w:val="0"/>
          <w:marTop w:val="0"/>
          <w:marBottom w:val="0"/>
          <w:divBdr>
            <w:top w:val="none" w:sz="0" w:space="0" w:color="auto"/>
            <w:left w:val="none" w:sz="0" w:space="0" w:color="auto"/>
            <w:bottom w:val="none" w:sz="0" w:space="0" w:color="auto"/>
            <w:right w:val="none" w:sz="0" w:space="0" w:color="auto"/>
          </w:divBdr>
          <w:divsChild>
            <w:div w:id="818306211">
              <w:marLeft w:val="0"/>
              <w:marRight w:val="0"/>
              <w:marTop w:val="0"/>
              <w:marBottom w:val="0"/>
              <w:divBdr>
                <w:top w:val="none" w:sz="0" w:space="0" w:color="auto"/>
                <w:left w:val="none" w:sz="0" w:space="0" w:color="auto"/>
                <w:bottom w:val="none" w:sz="0" w:space="0" w:color="auto"/>
                <w:right w:val="none" w:sz="0" w:space="0" w:color="auto"/>
              </w:divBdr>
            </w:div>
          </w:divsChild>
        </w:div>
        <w:div w:id="1844930484">
          <w:marLeft w:val="0"/>
          <w:marRight w:val="0"/>
          <w:marTop w:val="0"/>
          <w:marBottom w:val="0"/>
          <w:divBdr>
            <w:top w:val="none" w:sz="0" w:space="0" w:color="auto"/>
            <w:left w:val="none" w:sz="0" w:space="0" w:color="auto"/>
            <w:bottom w:val="none" w:sz="0" w:space="0" w:color="auto"/>
            <w:right w:val="none" w:sz="0" w:space="0" w:color="auto"/>
          </w:divBdr>
          <w:divsChild>
            <w:div w:id="1909681636">
              <w:marLeft w:val="0"/>
              <w:marRight w:val="0"/>
              <w:marTop w:val="0"/>
              <w:marBottom w:val="0"/>
              <w:divBdr>
                <w:top w:val="none" w:sz="0" w:space="0" w:color="auto"/>
                <w:left w:val="none" w:sz="0" w:space="0" w:color="auto"/>
                <w:bottom w:val="none" w:sz="0" w:space="0" w:color="auto"/>
                <w:right w:val="none" w:sz="0" w:space="0" w:color="auto"/>
              </w:divBdr>
            </w:div>
          </w:divsChild>
        </w:div>
        <w:div w:id="1887330989">
          <w:marLeft w:val="0"/>
          <w:marRight w:val="0"/>
          <w:marTop w:val="0"/>
          <w:marBottom w:val="0"/>
          <w:divBdr>
            <w:top w:val="none" w:sz="0" w:space="0" w:color="auto"/>
            <w:left w:val="none" w:sz="0" w:space="0" w:color="auto"/>
            <w:bottom w:val="none" w:sz="0" w:space="0" w:color="auto"/>
            <w:right w:val="none" w:sz="0" w:space="0" w:color="auto"/>
          </w:divBdr>
          <w:divsChild>
            <w:div w:id="1668240296">
              <w:marLeft w:val="0"/>
              <w:marRight w:val="0"/>
              <w:marTop w:val="0"/>
              <w:marBottom w:val="0"/>
              <w:divBdr>
                <w:top w:val="none" w:sz="0" w:space="0" w:color="auto"/>
                <w:left w:val="none" w:sz="0" w:space="0" w:color="auto"/>
                <w:bottom w:val="none" w:sz="0" w:space="0" w:color="auto"/>
                <w:right w:val="none" w:sz="0" w:space="0" w:color="auto"/>
              </w:divBdr>
            </w:div>
          </w:divsChild>
        </w:div>
        <w:div w:id="1922252692">
          <w:marLeft w:val="0"/>
          <w:marRight w:val="0"/>
          <w:marTop w:val="0"/>
          <w:marBottom w:val="0"/>
          <w:divBdr>
            <w:top w:val="none" w:sz="0" w:space="0" w:color="auto"/>
            <w:left w:val="none" w:sz="0" w:space="0" w:color="auto"/>
            <w:bottom w:val="none" w:sz="0" w:space="0" w:color="auto"/>
            <w:right w:val="none" w:sz="0" w:space="0" w:color="auto"/>
          </w:divBdr>
          <w:divsChild>
            <w:div w:id="1639804285">
              <w:marLeft w:val="0"/>
              <w:marRight w:val="0"/>
              <w:marTop w:val="0"/>
              <w:marBottom w:val="0"/>
              <w:divBdr>
                <w:top w:val="none" w:sz="0" w:space="0" w:color="auto"/>
                <w:left w:val="none" w:sz="0" w:space="0" w:color="auto"/>
                <w:bottom w:val="none" w:sz="0" w:space="0" w:color="auto"/>
                <w:right w:val="none" w:sz="0" w:space="0" w:color="auto"/>
              </w:divBdr>
            </w:div>
          </w:divsChild>
        </w:div>
        <w:div w:id="1932858204">
          <w:marLeft w:val="0"/>
          <w:marRight w:val="0"/>
          <w:marTop w:val="0"/>
          <w:marBottom w:val="0"/>
          <w:divBdr>
            <w:top w:val="none" w:sz="0" w:space="0" w:color="auto"/>
            <w:left w:val="none" w:sz="0" w:space="0" w:color="auto"/>
            <w:bottom w:val="none" w:sz="0" w:space="0" w:color="auto"/>
            <w:right w:val="none" w:sz="0" w:space="0" w:color="auto"/>
          </w:divBdr>
          <w:divsChild>
            <w:div w:id="1505777346">
              <w:marLeft w:val="0"/>
              <w:marRight w:val="0"/>
              <w:marTop w:val="0"/>
              <w:marBottom w:val="0"/>
              <w:divBdr>
                <w:top w:val="none" w:sz="0" w:space="0" w:color="auto"/>
                <w:left w:val="none" w:sz="0" w:space="0" w:color="auto"/>
                <w:bottom w:val="none" w:sz="0" w:space="0" w:color="auto"/>
                <w:right w:val="none" w:sz="0" w:space="0" w:color="auto"/>
              </w:divBdr>
            </w:div>
          </w:divsChild>
        </w:div>
        <w:div w:id="2020081835">
          <w:marLeft w:val="0"/>
          <w:marRight w:val="0"/>
          <w:marTop w:val="0"/>
          <w:marBottom w:val="0"/>
          <w:divBdr>
            <w:top w:val="none" w:sz="0" w:space="0" w:color="auto"/>
            <w:left w:val="none" w:sz="0" w:space="0" w:color="auto"/>
            <w:bottom w:val="none" w:sz="0" w:space="0" w:color="auto"/>
            <w:right w:val="none" w:sz="0" w:space="0" w:color="auto"/>
          </w:divBdr>
          <w:divsChild>
            <w:div w:id="874077507">
              <w:marLeft w:val="0"/>
              <w:marRight w:val="0"/>
              <w:marTop w:val="0"/>
              <w:marBottom w:val="0"/>
              <w:divBdr>
                <w:top w:val="none" w:sz="0" w:space="0" w:color="auto"/>
                <w:left w:val="none" w:sz="0" w:space="0" w:color="auto"/>
                <w:bottom w:val="none" w:sz="0" w:space="0" w:color="auto"/>
                <w:right w:val="none" w:sz="0" w:space="0" w:color="auto"/>
              </w:divBdr>
            </w:div>
          </w:divsChild>
        </w:div>
        <w:div w:id="2076050621">
          <w:marLeft w:val="0"/>
          <w:marRight w:val="0"/>
          <w:marTop w:val="0"/>
          <w:marBottom w:val="0"/>
          <w:divBdr>
            <w:top w:val="none" w:sz="0" w:space="0" w:color="auto"/>
            <w:left w:val="none" w:sz="0" w:space="0" w:color="auto"/>
            <w:bottom w:val="none" w:sz="0" w:space="0" w:color="auto"/>
            <w:right w:val="none" w:sz="0" w:space="0" w:color="auto"/>
          </w:divBdr>
          <w:divsChild>
            <w:div w:id="109904372">
              <w:marLeft w:val="0"/>
              <w:marRight w:val="0"/>
              <w:marTop w:val="0"/>
              <w:marBottom w:val="0"/>
              <w:divBdr>
                <w:top w:val="none" w:sz="0" w:space="0" w:color="auto"/>
                <w:left w:val="none" w:sz="0" w:space="0" w:color="auto"/>
                <w:bottom w:val="none" w:sz="0" w:space="0" w:color="auto"/>
                <w:right w:val="none" w:sz="0" w:space="0" w:color="auto"/>
              </w:divBdr>
            </w:div>
          </w:divsChild>
        </w:div>
        <w:div w:id="2092506061">
          <w:marLeft w:val="0"/>
          <w:marRight w:val="0"/>
          <w:marTop w:val="0"/>
          <w:marBottom w:val="0"/>
          <w:divBdr>
            <w:top w:val="none" w:sz="0" w:space="0" w:color="auto"/>
            <w:left w:val="none" w:sz="0" w:space="0" w:color="auto"/>
            <w:bottom w:val="none" w:sz="0" w:space="0" w:color="auto"/>
            <w:right w:val="none" w:sz="0" w:space="0" w:color="auto"/>
          </w:divBdr>
          <w:divsChild>
            <w:div w:id="1132095178">
              <w:marLeft w:val="0"/>
              <w:marRight w:val="0"/>
              <w:marTop w:val="0"/>
              <w:marBottom w:val="0"/>
              <w:divBdr>
                <w:top w:val="none" w:sz="0" w:space="0" w:color="auto"/>
                <w:left w:val="none" w:sz="0" w:space="0" w:color="auto"/>
                <w:bottom w:val="none" w:sz="0" w:space="0" w:color="auto"/>
                <w:right w:val="none" w:sz="0" w:space="0" w:color="auto"/>
              </w:divBdr>
            </w:div>
          </w:divsChild>
        </w:div>
        <w:div w:id="2106293902">
          <w:marLeft w:val="0"/>
          <w:marRight w:val="0"/>
          <w:marTop w:val="0"/>
          <w:marBottom w:val="0"/>
          <w:divBdr>
            <w:top w:val="none" w:sz="0" w:space="0" w:color="auto"/>
            <w:left w:val="none" w:sz="0" w:space="0" w:color="auto"/>
            <w:bottom w:val="none" w:sz="0" w:space="0" w:color="auto"/>
            <w:right w:val="none" w:sz="0" w:space="0" w:color="auto"/>
          </w:divBdr>
          <w:divsChild>
            <w:div w:id="364522435">
              <w:marLeft w:val="0"/>
              <w:marRight w:val="0"/>
              <w:marTop w:val="0"/>
              <w:marBottom w:val="0"/>
              <w:divBdr>
                <w:top w:val="none" w:sz="0" w:space="0" w:color="auto"/>
                <w:left w:val="none" w:sz="0" w:space="0" w:color="auto"/>
                <w:bottom w:val="none" w:sz="0" w:space="0" w:color="auto"/>
                <w:right w:val="none" w:sz="0" w:space="0" w:color="auto"/>
              </w:divBdr>
            </w:div>
          </w:divsChild>
        </w:div>
        <w:div w:id="2139059771">
          <w:marLeft w:val="0"/>
          <w:marRight w:val="0"/>
          <w:marTop w:val="0"/>
          <w:marBottom w:val="0"/>
          <w:divBdr>
            <w:top w:val="none" w:sz="0" w:space="0" w:color="auto"/>
            <w:left w:val="none" w:sz="0" w:space="0" w:color="auto"/>
            <w:bottom w:val="none" w:sz="0" w:space="0" w:color="auto"/>
            <w:right w:val="none" w:sz="0" w:space="0" w:color="auto"/>
          </w:divBdr>
          <w:divsChild>
            <w:div w:id="56014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492524">
      <w:bodyDiv w:val="1"/>
      <w:marLeft w:val="0"/>
      <w:marRight w:val="0"/>
      <w:marTop w:val="0"/>
      <w:marBottom w:val="0"/>
      <w:divBdr>
        <w:top w:val="none" w:sz="0" w:space="0" w:color="auto"/>
        <w:left w:val="none" w:sz="0" w:space="0" w:color="auto"/>
        <w:bottom w:val="none" w:sz="0" w:space="0" w:color="auto"/>
        <w:right w:val="none" w:sz="0" w:space="0" w:color="auto"/>
      </w:divBdr>
      <w:divsChild>
        <w:div w:id="1863088041">
          <w:marLeft w:val="0"/>
          <w:marRight w:val="0"/>
          <w:marTop w:val="0"/>
          <w:marBottom w:val="0"/>
          <w:divBdr>
            <w:top w:val="none" w:sz="0" w:space="0" w:color="auto"/>
            <w:left w:val="none" w:sz="0" w:space="0" w:color="auto"/>
            <w:bottom w:val="none" w:sz="0" w:space="0" w:color="auto"/>
            <w:right w:val="none" w:sz="0" w:space="0" w:color="auto"/>
          </w:divBdr>
        </w:div>
      </w:divsChild>
    </w:div>
    <w:div w:id="1082146419">
      <w:bodyDiv w:val="1"/>
      <w:marLeft w:val="0"/>
      <w:marRight w:val="0"/>
      <w:marTop w:val="0"/>
      <w:marBottom w:val="0"/>
      <w:divBdr>
        <w:top w:val="none" w:sz="0" w:space="0" w:color="auto"/>
        <w:left w:val="none" w:sz="0" w:space="0" w:color="auto"/>
        <w:bottom w:val="none" w:sz="0" w:space="0" w:color="auto"/>
        <w:right w:val="none" w:sz="0" w:space="0" w:color="auto"/>
      </w:divBdr>
      <w:divsChild>
        <w:div w:id="1951012650">
          <w:marLeft w:val="0"/>
          <w:marRight w:val="0"/>
          <w:marTop w:val="0"/>
          <w:marBottom w:val="0"/>
          <w:divBdr>
            <w:top w:val="none" w:sz="0" w:space="0" w:color="auto"/>
            <w:left w:val="none" w:sz="0" w:space="0" w:color="auto"/>
            <w:bottom w:val="none" w:sz="0" w:space="0" w:color="auto"/>
            <w:right w:val="none" w:sz="0" w:space="0" w:color="auto"/>
          </w:divBdr>
        </w:div>
      </w:divsChild>
    </w:div>
    <w:div w:id="1097943556">
      <w:bodyDiv w:val="1"/>
      <w:marLeft w:val="0"/>
      <w:marRight w:val="0"/>
      <w:marTop w:val="0"/>
      <w:marBottom w:val="0"/>
      <w:divBdr>
        <w:top w:val="none" w:sz="0" w:space="0" w:color="auto"/>
        <w:left w:val="none" w:sz="0" w:space="0" w:color="auto"/>
        <w:bottom w:val="none" w:sz="0" w:space="0" w:color="auto"/>
        <w:right w:val="none" w:sz="0" w:space="0" w:color="auto"/>
      </w:divBdr>
      <w:divsChild>
        <w:div w:id="1044870854">
          <w:marLeft w:val="0"/>
          <w:marRight w:val="0"/>
          <w:marTop w:val="0"/>
          <w:marBottom w:val="0"/>
          <w:divBdr>
            <w:top w:val="none" w:sz="0" w:space="0" w:color="auto"/>
            <w:left w:val="none" w:sz="0" w:space="0" w:color="auto"/>
            <w:bottom w:val="none" w:sz="0" w:space="0" w:color="auto"/>
            <w:right w:val="none" w:sz="0" w:space="0" w:color="auto"/>
          </w:divBdr>
        </w:div>
      </w:divsChild>
    </w:div>
    <w:div w:id="1127550334">
      <w:bodyDiv w:val="1"/>
      <w:marLeft w:val="0"/>
      <w:marRight w:val="0"/>
      <w:marTop w:val="0"/>
      <w:marBottom w:val="0"/>
      <w:divBdr>
        <w:top w:val="none" w:sz="0" w:space="0" w:color="auto"/>
        <w:left w:val="none" w:sz="0" w:space="0" w:color="auto"/>
        <w:bottom w:val="none" w:sz="0" w:space="0" w:color="auto"/>
        <w:right w:val="none" w:sz="0" w:space="0" w:color="auto"/>
      </w:divBdr>
      <w:divsChild>
        <w:div w:id="1203982086">
          <w:marLeft w:val="0"/>
          <w:marRight w:val="0"/>
          <w:marTop w:val="0"/>
          <w:marBottom w:val="0"/>
          <w:divBdr>
            <w:top w:val="none" w:sz="0" w:space="0" w:color="auto"/>
            <w:left w:val="none" w:sz="0" w:space="0" w:color="auto"/>
            <w:bottom w:val="none" w:sz="0" w:space="0" w:color="auto"/>
            <w:right w:val="none" w:sz="0" w:space="0" w:color="auto"/>
          </w:divBdr>
        </w:div>
      </w:divsChild>
    </w:div>
    <w:div w:id="1156726738">
      <w:bodyDiv w:val="1"/>
      <w:marLeft w:val="0"/>
      <w:marRight w:val="0"/>
      <w:marTop w:val="0"/>
      <w:marBottom w:val="0"/>
      <w:divBdr>
        <w:top w:val="none" w:sz="0" w:space="0" w:color="auto"/>
        <w:left w:val="none" w:sz="0" w:space="0" w:color="auto"/>
        <w:bottom w:val="none" w:sz="0" w:space="0" w:color="auto"/>
        <w:right w:val="none" w:sz="0" w:space="0" w:color="auto"/>
      </w:divBdr>
    </w:div>
    <w:div w:id="1163397725">
      <w:bodyDiv w:val="1"/>
      <w:marLeft w:val="0"/>
      <w:marRight w:val="0"/>
      <w:marTop w:val="0"/>
      <w:marBottom w:val="0"/>
      <w:divBdr>
        <w:top w:val="none" w:sz="0" w:space="0" w:color="auto"/>
        <w:left w:val="none" w:sz="0" w:space="0" w:color="auto"/>
        <w:bottom w:val="none" w:sz="0" w:space="0" w:color="auto"/>
        <w:right w:val="none" w:sz="0" w:space="0" w:color="auto"/>
      </w:divBdr>
    </w:div>
    <w:div w:id="1183324311">
      <w:bodyDiv w:val="1"/>
      <w:marLeft w:val="0"/>
      <w:marRight w:val="0"/>
      <w:marTop w:val="0"/>
      <w:marBottom w:val="0"/>
      <w:divBdr>
        <w:top w:val="none" w:sz="0" w:space="0" w:color="auto"/>
        <w:left w:val="none" w:sz="0" w:space="0" w:color="auto"/>
        <w:bottom w:val="none" w:sz="0" w:space="0" w:color="auto"/>
        <w:right w:val="none" w:sz="0" w:space="0" w:color="auto"/>
      </w:divBdr>
    </w:div>
    <w:div w:id="1185554469">
      <w:bodyDiv w:val="1"/>
      <w:marLeft w:val="0"/>
      <w:marRight w:val="0"/>
      <w:marTop w:val="0"/>
      <w:marBottom w:val="0"/>
      <w:divBdr>
        <w:top w:val="none" w:sz="0" w:space="0" w:color="auto"/>
        <w:left w:val="none" w:sz="0" w:space="0" w:color="auto"/>
        <w:bottom w:val="none" w:sz="0" w:space="0" w:color="auto"/>
        <w:right w:val="none" w:sz="0" w:space="0" w:color="auto"/>
      </w:divBdr>
      <w:divsChild>
        <w:div w:id="1238634522">
          <w:marLeft w:val="0"/>
          <w:marRight w:val="0"/>
          <w:marTop w:val="0"/>
          <w:marBottom w:val="0"/>
          <w:divBdr>
            <w:top w:val="none" w:sz="0" w:space="0" w:color="auto"/>
            <w:left w:val="none" w:sz="0" w:space="0" w:color="auto"/>
            <w:bottom w:val="none" w:sz="0" w:space="0" w:color="auto"/>
            <w:right w:val="none" w:sz="0" w:space="0" w:color="auto"/>
          </w:divBdr>
        </w:div>
      </w:divsChild>
    </w:div>
    <w:div w:id="1187139463">
      <w:bodyDiv w:val="1"/>
      <w:marLeft w:val="0"/>
      <w:marRight w:val="0"/>
      <w:marTop w:val="0"/>
      <w:marBottom w:val="0"/>
      <w:divBdr>
        <w:top w:val="none" w:sz="0" w:space="0" w:color="auto"/>
        <w:left w:val="none" w:sz="0" w:space="0" w:color="auto"/>
        <w:bottom w:val="none" w:sz="0" w:space="0" w:color="auto"/>
        <w:right w:val="none" w:sz="0" w:space="0" w:color="auto"/>
      </w:divBdr>
    </w:div>
    <w:div w:id="1216434214">
      <w:bodyDiv w:val="1"/>
      <w:marLeft w:val="0"/>
      <w:marRight w:val="0"/>
      <w:marTop w:val="0"/>
      <w:marBottom w:val="0"/>
      <w:divBdr>
        <w:top w:val="none" w:sz="0" w:space="0" w:color="auto"/>
        <w:left w:val="none" w:sz="0" w:space="0" w:color="auto"/>
        <w:bottom w:val="none" w:sz="0" w:space="0" w:color="auto"/>
        <w:right w:val="none" w:sz="0" w:space="0" w:color="auto"/>
      </w:divBdr>
      <w:divsChild>
        <w:div w:id="1973293055">
          <w:marLeft w:val="0"/>
          <w:marRight w:val="0"/>
          <w:marTop w:val="0"/>
          <w:marBottom w:val="0"/>
          <w:divBdr>
            <w:top w:val="none" w:sz="0" w:space="0" w:color="auto"/>
            <w:left w:val="none" w:sz="0" w:space="0" w:color="auto"/>
            <w:bottom w:val="none" w:sz="0" w:space="0" w:color="auto"/>
            <w:right w:val="none" w:sz="0" w:space="0" w:color="auto"/>
          </w:divBdr>
        </w:div>
      </w:divsChild>
    </w:div>
    <w:div w:id="1227492814">
      <w:bodyDiv w:val="1"/>
      <w:marLeft w:val="0"/>
      <w:marRight w:val="0"/>
      <w:marTop w:val="0"/>
      <w:marBottom w:val="0"/>
      <w:divBdr>
        <w:top w:val="none" w:sz="0" w:space="0" w:color="auto"/>
        <w:left w:val="none" w:sz="0" w:space="0" w:color="auto"/>
        <w:bottom w:val="none" w:sz="0" w:space="0" w:color="auto"/>
        <w:right w:val="none" w:sz="0" w:space="0" w:color="auto"/>
      </w:divBdr>
      <w:divsChild>
        <w:div w:id="1489052353">
          <w:marLeft w:val="0"/>
          <w:marRight w:val="0"/>
          <w:marTop w:val="0"/>
          <w:marBottom w:val="0"/>
          <w:divBdr>
            <w:top w:val="none" w:sz="0" w:space="0" w:color="auto"/>
            <w:left w:val="none" w:sz="0" w:space="0" w:color="auto"/>
            <w:bottom w:val="none" w:sz="0" w:space="0" w:color="auto"/>
            <w:right w:val="none" w:sz="0" w:space="0" w:color="auto"/>
          </w:divBdr>
        </w:div>
      </w:divsChild>
    </w:div>
    <w:div w:id="1243685118">
      <w:bodyDiv w:val="1"/>
      <w:marLeft w:val="0"/>
      <w:marRight w:val="0"/>
      <w:marTop w:val="0"/>
      <w:marBottom w:val="0"/>
      <w:divBdr>
        <w:top w:val="none" w:sz="0" w:space="0" w:color="auto"/>
        <w:left w:val="none" w:sz="0" w:space="0" w:color="auto"/>
        <w:bottom w:val="none" w:sz="0" w:space="0" w:color="auto"/>
        <w:right w:val="none" w:sz="0" w:space="0" w:color="auto"/>
      </w:divBdr>
    </w:div>
    <w:div w:id="1251082408">
      <w:bodyDiv w:val="1"/>
      <w:marLeft w:val="0"/>
      <w:marRight w:val="0"/>
      <w:marTop w:val="0"/>
      <w:marBottom w:val="0"/>
      <w:divBdr>
        <w:top w:val="none" w:sz="0" w:space="0" w:color="auto"/>
        <w:left w:val="none" w:sz="0" w:space="0" w:color="auto"/>
        <w:bottom w:val="none" w:sz="0" w:space="0" w:color="auto"/>
        <w:right w:val="none" w:sz="0" w:space="0" w:color="auto"/>
      </w:divBdr>
    </w:div>
    <w:div w:id="1284532647">
      <w:bodyDiv w:val="1"/>
      <w:marLeft w:val="0"/>
      <w:marRight w:val="0"/>
      <w:marTop w:val="0"/>
      <w:marBottom w:val="0"/>
      <w:divBdr>
        <w:top w:val="none" w:sz="0" w:space="0" w:color="auto"/>
        <w:left w:val="none" w:sz="0" w:space="0" w:color="auto"/>
        <w:bottom w:val="none" w:sz="0" w:space="0" w:color="auto"/>
        <w:right w:val="none" w:sz="0" w:space="0" w:color="auto"/>
      </w:divBdr>
      <w:divsChild>
        <w:div w:id="45184571">
          <w:marLeft w:val="0"/>
          <w:marRight w:val="0"/>
          <w:marTop w:val="0"/>
          <w:marBottom w:val="0"/>
          <w:divBdr>
            <w:top w:val="none" w:sz="0" w:space="0" w:color="auto"/>
            <w:left w:val="none" w:sz="0" w:space="0" w:color="auto"/>
            <w:bottom w:val="none" w:sz="0" w:space="0" w:color="auto"/>
            <w:right w:val="none" w:sz="0" w:space="0" w:color="auto"/>
          </w:divBdr>
          <w:divsChild>
            <w:div w:id="1023477804">
              <w:marLeft w:val="0"/>
              <w:marRight w:val="0"/>
              <w:marTop w:val="0"/>
              <w:marBottom w:val="0"/>
              <w:divBdr>
                <w:top w:val="none" w:sz="0" w:space="0" w:color="auto"/>
                <w:left w:val="none" w:sz="0" w:space="0" w:color="auto"/>
                <w:bottom w:val="none" w:sz="0" w:space="0" w:color="auto"/>
                <w:right w:val="none" w:sz="0" w:space="0" w:color="auto"/>
              </w:divBdr>
            </w:div>
          </w:divsChild>
        </w:div>
        <w:div w:id="74406126">
          <w:marLeft w:val="0"/>
          <w:marRight w:val="0"/>
          <w:marTop w:val="0"/>
          <w:marBottom w:val="0"/>
          <w:divBdr>
            <w:top w:val="none" w:sz="0" w:space="0" w:color="auto"/>
            <w:left w:val="none" w:sz="0" w:space="0" w:color="auto"/>
            <w:bottom w:val="none" w:sz="0" w:space="0" w:color="auto"/>
            <w:right w:val="none" w:sz="0" w:space="0" w:color="auto"/>
          </w:divBdr>
          <w:divsChild>
            <w:div w:id="353966509">
              <w:marLeft w:val="0"/>
              <w:marRight w:val="0"/>
              <w:marTop w:val="0"/>
              <w:marBottom w:val="0"/>
              <w:divBdr>
                <w:top w:val="none" w:sz="0" w:space="0" w:color="auto"/>
                <w:left w:val="none" w:sz="0" w:space="0" w:color="auto"/>
                <w:bottom w:val="none" w:sz="0" w:space="0" w:color="auto"/>
                <w:right w:val="none" w:sz="0" w:space="0" w:color="auto"/>
              </w:divBdr>
            </w:div>
          </w:divsChild>
        </w:div>
        <w:div w:id="91823957">
          <w:marLeft w:val="0"/>
          <w:marRight w:val="0"/>
          <w:marTop w:val="0"/>
          <w:marBottom w:val="0"/>
          <w:divBdr>
            <w:top w:val="none" w:sz="0" w:space="0" w:color="auto"/>
            <w:left w:val="none" w:sz="0" w:space="0" w:color="auto"/>
            <w:bottom w:val="none" w:sz="0" w:space="0" w:color="auto"/>
            <w:right w:val="none" w:sz="0" w:space="0" w:color="auto"/>
          </w:divBdr>
          <w:divsChild>
            <w:div w:id="400174897">
              <w:marLeft w:val="0"/>
              <w:marRight w:val="0"/>
              <w:marTop w:val="0"/>
              <w:marBottom w:val="0"/>
              <w:divBdr>
                <w:top w:val="none" w:sz="0" w:space="0" w:color="auto"/>
                <w:left w:val="none" w:sz="0" w:space="0" w:color="auto"/>
                <w:bottom w:val="none" w:sz="0" w:space="0" w:color="auto"/>
                <w:right w:val="none" w:sz="0" w:space="0" w:color="auto"/>
              </w:divBdr>
            </w:div>
          </w:divsChild>
        </w:div>
        <w:div w:id="115874485">
          <w:marLeft w:val="0"/>
          <w:marRight w:val="0"/>
          <w:marTop w:val="0"/>
          <w:marBottom w:val="0"/>
          <w:divBdr>
            <w:top w:val="none" w:sz="0" w:space="0" w:color="auto"/>
            <w:left w:val="none" w:sz="0" w:space="0" w:color="auto"/>
            <w:bottom w:val="none" w:sz="0" w:space="0" w:color="auto"/>
            <w:right w:val="none" w:sz="0" w:space="0" w:color="auto"/>
          </w:divBdr>
          <w:divsChild>
            <w:div w:id="1422407517">
              <w:marLeft w:val="0"/>
              <w:marRight w:val="0"/>
              <w:marTop w:val="0"/>
              <w:marBottom w:val="0"/>
              <w:divBdr>
                <w:top w:val="none" w:sz="0" w:space="0" w:color="auto"/>
                <w:left w:val="none" w:sz="0" w:space="0" w:color="auto"/>
                <w:bottom w:val="none" w:sz="0" w:space="0" w:color="auto"/>
                <w:right w:val="none" w:sz="0" w:space="0" w:color="auto"/>
              </w:divBdr>
            </w:div>
          </w:divsChild>
        </w:div>
        <w:div w:id="118963631">
          <w:marLeft w:val="0"/>
          <w:marRight w:val="0"/>
          <w:marTop w:val="0"/>
          <w:marBottom w:val="0"/>
          <w:divBdr>
            <w:top w:val="none" w:sz="0" w:space="0" w:color="auto"/>
            <w:left w:val="none" w:sz="0" w:space="0" w:color="auto"/>
            <w:bottom w:val="none" w:sz="0" w:space="0" w:color="auto"/>
            <w:right w:val="none" w:sz="0" w:space="0" w:color="auto"/>
          </w:divBdr>
          <w:divsChild>
            <w:div w:id="865874651">
              <w:marLeft w:val="0"/>
              <w:marRight w:val="0"/>
              <w:marTop w:val="0"/>
              <w:marBottom w:val="0"/>
              <w:divBdr>
                <w:top w:val="none" w:sz="0" w:space="0" w:color="auto"/>
                <w:left w:val="none" w:sz="0" w:space="0" w:color="auto"/>
                <w:bottom w:val="none" w:sz="0" w:space="0" w:color="auto"/>
                <w:right w:val="none" w:sz="0" w:space="0" w:color="auto"/>
              </w:divBdr>
            </w:div>
          </w:divsChild>
        </w:div>
        <w:div w:id="135880778">
          <w:marLeft w:val="0"/>
          <w:marRight w:val="0"/>
          <w:marTop w:val="0"/>
          <w:marBottom w:val="0"/>
          <w:divBdr>
            <w:top w:val="none" w:sz="0" w:space="0" w:color="auto"/>
            <w:left w:val="none" w:sz="0" w:space="0" w:color="auto"/>
            <w:bottom w:val="none" w:sz="0" w:space="0" w:color="auto"/>
            <w:right w:val="none" w:sz="0" w:space="0" w:color="auto"/>
          </w:divBdr>
          <w:divsChild>
            <w:div w:id="1356806592">
              <w:marLeft w:val="0"/>
              <w:marRight w:val="0"/>
              <w:marTop w:val="0"/>
              <w:marBottom w:val="0"/>
              <w:divBdr>
                <w:top w:val="none" w:sz="0" w:space="0" w:color="auto"/>
                <w:left w:val="none" w:sz="0" w:space="0" w:color="auto"/>
                <w:bottom w:val="none" w:sz="0" w:space="0" w:color="auto"/>
                <w:right w:val="none" w:sz="0" w:space="0" w:color="auto"/>
              </w:divBdr>
            </w:div>
          </w:divsChild>
        </w:div>
        <w:div w:id="187062735">
          <w:marLeft w:val="0"/>
          <w:marRight w:val="0"/>
          <w:marTop w:val="0"/>
          <w:marBottom w:val="0"/>
          <w:divBdr>
            <w:top w:val="none" w:sz="0" w:space="0" w:color="auto"/>
            <w:left w:val="none" w:sz="0" w:space="0" w:color="auto"/>
            <w:bottom w:val="none" w:sz="0" w:space="0" w:color="auto"/>
            <w:right w:val="none" w:sz="0" w:space="0" w:color="auto"/>
          </w:divBdr>
          <w:divsChild>
            <w:div w:id="1573420525">
              <w:marLeft w:val="0"/>
              <w:marRight w:val="0"/>
              <w:marTop w:val="0"/>
              <w:marBottom w:val="0"/>
              <w:divBdr>
                <w:top w:val="none" w:sz="0" w:space="0" w:color="auto"/>
                <w:left w:val="none" w:sz="0" w:space="0" w:color="auto"/>
                <w:bottom w:val="none" w:sz="0" w:space="0" w:color="auto"/>
                <w:right w:val="none" w:sz="0" w:space="0" w:color="auto"/>
              </w:divBdr>
            </w:div>
          </w:divsChild>
        </w:div>
        <w:div w:id="188491908">
          <w:marLeft w:val="0"/>
          <w:marRight w:val="0"/>
          <w:marTop w:val="0"/>
          <w:marBottom w:val="0"/>
          <w:divBdr>
            <w:top w:val="none" w:sz="0" w:space="0" w:color="auto"/>
            <w:left w:val="none" w:sz="0" w:space="0" w:color="auto"/>
            <w:bottom w:val="none" w:sz="0" w:space="0" w:color="auto"/>
            <w:right w:val="none" w:sz="0" w:space="0" w:color="auto"/>
          </w:divBdr>
          <w:divsChild>
            <w:div w:id="610556654">
              <w:marLeft w:val="0"/>
              <w:marRight w:val="0"/>
              <w:marTop w:val="0"/>
              <w:marBottom w:val="0"/>
              <w:divBdr>
                <w:top w:val="none" w:sz="0" w:space="0" w:color="auto"/>
                <w:left w:val="none" w:sz="0" w:space="0" w:color="auto"/>
                <w:bottom w:val="none" w:sz="0" w:space="0" w:color="auto"/>
                <w:right w:val="none" w:sz="0" w:space="0" w:color="auto"/>
              </w:divBdr>
            </w:div>
          </w:divsChild>
        </w:div>
        <w:div w:id="236131076">
          <w:marLeft w:val="0"/>
          <w:marRight w:val="0"/>
          <w:marTop w:val="0"/>
          <w:marBottom w:val="0"/>
          <w:divBdr>
            <w:top w:val="none" w:sz="0" w:space="0" w:color="auto"/>
            <w:left w:val="none" w:sz="0" w:space="0" w:color="auto"/>
            <w:bottom w:val="none" w:sz="0" w:space="0" w:color="auto"/>
            <w:right w:val="none" w:sz="0" w:space="0" w:color="auto"/>
          </w:divBdr>
          <w:divsChild>
            <w:div w:id="363557606">
              <w:marLeft w:val="0"/>
              <w:marRight w:val="0"/>
              <w:marTop w:val="0"/>
              <w:marBottom w:val="0"/>
              <w:divBdr>
                <w:top w:val="none" w:sz="0" w:space="0" w:color="auto"/>
                <w:left w:val="none" w:sz="0" w:space="0" w:color="auto"/>
                <w:bottom w:val="none" w:sz="0" w:space="0" w:color="auto"/>
                <w:right w:val="none" w:sz="0" w:space="0" w:color="auto"/>
              </w:divBdr>
            </w:div>
          </w:divsChild>
        </w:div>
        <w:div w:id="349725043">
          <w:marLeft w:val="0"/>
          <w:marRight w:val="0"/>
          <w:marTop w:val="0"/>
          <w:marBottom w:val="0"/>
          <w:divBdr>
            <w:top w:val="none" w:sz="0" w:space="0" w:color="auto"/>
            <w:left w:val="none" w:sz="0" w:space="0" w:color="auto"/>
            <w:bottom w:val="none" w:sz="0" w:space="0" w:color="auto"/>
            <w:right w:val="none" w:sz="0" w:space="0" w:color="auto"/>
          </w:divBdr>
          <w:divsChild>
            <w:div w:id="479735011">
              <w:marLeft w:val="0"/>
              <w:marRight w:val="0"/>
              <w:marTop w:val="0"/>
              <w:marBottom w:val="0"/>
              <w:divBdr>
                <w:top w:val="none" w:sz="0" w:space="0" w:color="auto"/>
                <w:left w:val="none" w:sz="0" w:space="0" w:color="auto"/>
                <w:bottom w:val="none" w:sz="0" w:space="0" w:color="auto"/>
                <w:right w:val="none" w:sz="0" w:space="0" w:color="auto"/>
              </w:divBdr>
            </w:div>
          </w:divsChild>
        </w:div>
        <w:div w:id="365299880">
          <w:marLeft w:val="0"/>
          <w:marRight w:val="0"/>
          <w:marTop w:val="0"/>
          <w:marBottom w:val="0"/>
          <w:divBdr>
            <w:top w:val="none" w:sz="0" w:space="0" w:color="auto"/>
            <w:left w:val="none" w:sz="0" w:space="0" w:color="auto"/>
            <w:bottom w:val="none" w:sz="0" w:space="0" w:color="auto"/>
            <w:right w:val="none" w:sz="0" w:space="0" w:color="auto"/>
          </w:divBdr>
          <w:divsChild>
            <w:div w:id="465514119">
              <w:marLeft w:val="0"/>
              <w:marRight w:val="0"/>
              <w:marTop w:val="0"/>
              <w:marBottom w:val="0"/>
              <w:divBdr>
                <w:top w:val="none" w:sz="0" w:space="0" w:color="auto"/>
                <w:left w:val="none" w:sz="0" w:space="0" w:color="auto"/>
                <w:bottom w:val="none" w:sz="0" w:space="0" w:color="auto"/>
                <w:right w:val="none" w:sz="0" w:space="0" w:color="auto"/>
              </w:divBdr>
            </w:div>
          </w:divsChild>
        </w:div>
        <w:div w:id="384380391">
          <w:marLeft w:val="0"/>
          <w:marRight w:val="0"/>
          <w:marTop w:val="0"/>
          <w:marBottom w:val="0"/>
          <w:divBdr>
            <w:top w:val="none" w:sz="0" w:space="0" w:color="auto"/>
            <w:left w:val="none" w:sz="0" w:space="0" w:color="auto"/>
            <w:bottom w:val="none" w:sz="0" w:space="0" w:color="auto"/>
            <w:right w:val="none" w:sz="0" w:space="0" w:color="auto"/>
          </w:divBdr>
          <w:divsChild>
            <w:div w:id="781413664">
              <w:marLeft w:val="0"/>
              <w:marRight w:val="0"/>
              <w:marTop w:val="0"/>
              <w:marBottom w:val="0"/>
              <w:divBdr>
                <w:top w:val="none" w:sz="0" w:space="0" w:color="auto"/>
                <w:left w:val="none" w:sz="0" w:space="0" w:color="auto"/>
                <w:bottom w:val="none" w:sz="0" w:space="0" w:color="auto"/>
                <w:right w:val="none" w:sz="0" w:space="0" w:color="auto"/>
              </w:divBdr>
            </w:div>
          </w:divsChild>
        </w:div>
        <w:div w:id="400567426">
          <w:marLeft w:val="0"/>
          <w:marRight w:val="0"/>
          <w:marTop w:val="0"/>
          <w:marBottom w:val="0"/>
          <w:divBdr>
            <w:top w:val="none" w:sz="0" w:space="0" w:color="auto"/>
            <w:left w:val="none" w:sz="0" w:space="0" w:color="auto"/>
            <w:bottom w:val="none" w:sz="0" w:space="0" w:color="auto"/>
            <w:right w:val="none" w:sz="0" w:space="0" w:color="auto"/>
          </w:divBdr>
          <w:divsChild>
            <w:div w:id="1915894655">
              <w:marLeft w:val="0"/>
              <w:marRight w:val="0"/>
              <w:marTop w:val="0"/>
              <w:marBottom w:val="0"/>
              <w:divBdr>
                <w:top w:val="none" w:sz="0" w:space="0" w:color="auto"/>
                <w:left w:val="none" w:sz="0" w:space="0" w:color="auto"/>
                <w:bottom w:val="none" w:sz="0" w:space="0" w:color="auto"/>
                <w:right w:val="none" w:sz="0" w:space="0" w:color="auto"/>
              </w:divBdr>
            </w:div>
          </w:divsChild>
        </w:div>
        <w:div w:id="408356086">
          <w:marLeft w:val="0"/>
          <w:marRight w:val="0"/>
          <w:marTop w:val="0"/>
          <w:marBottom w:val="0"/>
          <w:divBdr>
            <w:top w:val="none" w:sz="0" w:space="0" w:color="auto"/>
            <w:left w:val="none" w:sz="0" w:space="0" w:color="auto"/>
            <w:bottom w:val="none" w:sz="0" w:space="0" w:color="auto"/>
            <w:right w:val="none" w:sz="0" w:space="0" w:color="auto"/>
          </w:divBdr>
          <w:divsChild>
            <w:div w:id="251092362">
              <w:marLeft w:val="0"/>
              <w:marRight w:val="0"/>
              <w:marTop w:val="0"/>
              <w:marBottom w:val="0"/>
              <w:divBdr>
                <w:top w:val="none" w:sz="0" w:space="0" w:color="auto"/>
                <w:left w:val="none" w:sz="0" w:space="0" w:color="auto"/>
                <w:bottom w:val="none" w:sz="0" w:space="0" w:color="auto"/>
                <w:right w:val="none" w:sz="0" w:space="0" w:color="auto"/>
              </w:divBdr>
            </w:div>
          </w:divsChild>
        </w:div>
        <w:div w:id="498735153">
          <w:marLeft w:val="0"/>
          <w:marRight w:val="0"/>
          <w:marTop w:val="0"/>
          <w:marBottom w:val="0"/>
          <w:divBdr>
            <w:top w:val="none" w:sz="0" w:space="0" w:color="auto"/>
            <w:left w:val="none" w:sz="0" w:space="0" w:color="auto"/>
            <w:bottom w:val="none" w:sz="0" w:space="0" w:color="auto"/>
            <w:right w:val="none" w:sz="0" w:space="0" w:color="auto"/>
          </w:divBdr>
          <w:divsChild>
            <w:div w:id="1582062122">
              <w:marLeft w:val="0"/>
              <w:marRight w:val="0"/>
              <w:marTop w:val="0"/>
              <w:marBottom w:val="0"/>
              <w:divBdr>
                <w:top w:val="none" w:sz="0" w:space="0" w:color="auto"/>
                <w:left w:val="none" w:sz="0" w:space="0" w:color="auto"/>
                <w:bottom w:val="none" w:sz="0" w:space="0" w:color="auto"/>
                <w:right w:val="none" w:sz="0" w:space="0" w:color="auto"/>
              </w:divBdr>
            </w:div>
          </w:divsChild>
        </w:div>
        <w:div w:id="530146669">
          <w:marLeft w:val="0"/>
          <w:marRight w:val="0"/>
          <w:marTop w:val="0"/>
          <w:marBottom w:val="0"/>
          <w:divBdr>
            <w:top w:val="none" w:sz="0" w:space="0" w:color="auto"/>
            <w:left w:val="none" w:sz="0" w:space="0" w:color="auto"/>
            <w:bottom w:val="none" w:sz="0" w:space="0" w:color="auto"/>
            <w:right w:val="none" w:sz="0" w:space="0" w:color="auto"/>
          </w:divBdr>
          <w:divsChild>
            <w:div w:id="646667728">
              <w:marLeft w:val="0"/>
              <w:marRight w:val="0"/>
              <w:marTop w:val="0"/>
              <w:marBottom w:val="0"/>
              <w:divBdr>
                <w:top w:val="none" w:sz="0" w:space="0" w:color="auto"/>
                <w:left w:val="none" w:sz="0" w:space="0" w:color="auto"/>
                <w:bottom w:val="none" w:sz="0" w:space="0" w:color="auto"/>
                <w:right w:val="none" w:sz="0" w:space="0" w:color="auto"/>
              </w:divBdr>
            </w:div>
          </w:divsChild>
        </w:div>
        <w:div w:id="570968528">
          <w:marLeft w:val="0"/>
          <w:marRight w:val="0"/>
          <w:marTop w:val="0"/>
          <w:marBottom w:val="0"/>
          <w:divBdr>
            <w:top w:val="none" w:sz="0" w:space="0" w:color="auto"/>
            <w:left w:val="none" w:sz="0" w:space="0" w:color="auto"/>
            <w:bottom w:val="none" w:sz="0" w:space="0" w:color="auto"/>
            <w:right w:val="none" w:sz="0" w:space="0" w:color="auto"/>
          </w:divBdr>
          <w:divsChild>
            <w:div w:id="1007368727">
              <w:marLeft w:val="0"/>
              <w:marRight w:val="0"/>
              <w:marTop w:val="0"/>
              <w:marBottom w:val="0"/>
              <w:divBdr>
                <w:top w:val="none" w:sz="0" w:space="0" w:color="auto"/>
                <w:left w:val="none" w:sz="0" w:space="0" w:color="auto"/>
                <w:bottom w:val="none" w:sz="0" w:space="0" w:color="auto"/>
                <w:right w:val="none" w:sz="0" w:space="0" w:color="auto"/>
              </w:divBdr>
            </w:div>
          </w:divsChild>
        </w:div>
        <w:div w:id="595409842">
          <w:marLeft w:val="0"/>
          <w:marRight w:val="0"/>
          <w:marTop w:val="0"/>
          <w:marBottom w:val="0"/>
          <w:divBdr>
            <w:top w:val="none" w:sz="0" w:space="0" w:color="auto"/>
            <w:left w:val="none" w:sz="0" w:space="0" w:color="auto"/>
            <w:bottom w:val="none" w:sz="0" w:space="0" w:color="auto"/>
            <w:right w:val="none" w:sz="0" w:space="0" w:color="auto"/>
          </w:divBdr>
          <w:divsChild>
            <w:div w:id="1686593103">
              <w:marLeft w:val="0"/>
              <w:marRight w:val="0"/>
              <w:marTop w:val="0"/>
              <w:marBottom w:val="0"/>
              <w:divBdr>
                <w:top w:val="none" w:sz="0" w:space="0" w:color="auto"/>
                <w:left w:val="none" w:sz="0" w:space="0" w:color="auto"/>
                <w:bottom w:val="none" w:sz="0" w:space="0" w:color="auto"/>
                <w:right w:val="none" w:sz="0" w:space="0" w:color="auto"/>
              </w:divBdr>
            </w:div>
          </w:divsChild>
        </w:div>
        <w:div w:id="609700941">
          <w:marLeft w:val="0"/>
          <w:marRight w:val="0"/>
          <w:marTop w:val="0"/>
          <w:marBottom w:val="0"/>
          <w:divBdr>
            <w:top w:val="none" w:sz="0" w:space="0" w:color="auto"/>
            <w:left w:val="none" w:sz="0" w:space="0" w:color="auto"/>
            <w:bottom w:val="none" w:sz="0" w:space="0" w:color="auto"/>
            <w:right w:val="none" w:sz="0" w:space="0" w:color="auto"/>
          </w:divBdr>
          <w:divsChild>
            <w:div w:id="1110466851">
              <w:marLeft w:val="0"/>
              <w:marRight w:val="0"/>
              <w:marTop w:val="0"/>
              <w:marBottom w:val="0"/>
              <w:divBdr>
                <w:top w:val="none" w:sz="0" w:space="0" w:color="auto"/>
                <w:left w:val="none" w:sz="0" w:space="0" w:color="auto"/>
                <w:bottom w:val="none" w:sz="0" w:space="0" w:color="auto"/>
                <w:right w:val="none" w:sz="0" w:space="0" w:color="auto"/>
              </w:divBdr>
            </w:div>
          </w:divsChild>
        </w:div>
        <w:div w:id="658774779">
          <w:marLeft w:val="0"/>
          <w:marRight w:val="0"/>
          <w:marTop w:val="0"/>
          <w:marBottom w:val="0"/>
          <w:divBdr>
            <w:top w:val="none" w:sz="0" w:space="0" w:color="auto"/>
            <w:left w:val="none" w:sz="0" w:space="0" w:color="auto"/>
            <w:bottom w:val="none" w:sz="0" w:space="0" w:color="auto"/>
            <w:right w:val="none" w:sz="0" w:space="0" w:color="auto"/>
          </w:divBdr>
          <w:divsChild>
            <w:div w:id="1381903391">
              <w:marLeft w:val="0"/>
              <w:marRight w:val="0"/>
              <w:marTop w:val="0"/>
              <w:marBottom w:val="0"/>
              <w:divBdr>
                <w:top w:val="none" w:sz="0" w:space="0" w:color="auto"/>
                <w:left w:val="none" w:sz="0" w:space="0" w:color="auto"/>
                <w:bottom w:val="none" w:sz="0" w:space="0" w:color="auto"/>
                <w:right w:val="none" w:sz="0" w:space="0" w:color="auto"/>
              </w:divBdr>
            </w:div>
          </w:divsChild>
        </w:div>
        <w:div w:id="669022655">
          <w:marLeft w:val="0"/>
          <w:marRight w:val="0"/>
          <w:marTop w:val="0"/>
          <w:marBottom w:val="0"/>
          <w:divBdr>
            <w:top w:val="none" w:sz="0" w:space="0" w:color="auto"/>
            <w:left w:val="none" w:sz="0" w:space="0" w:color="auto"/>
            <w:bottom w:val="none" w:sz="0" w:space="0" w:color="auto"/>
            <w:right w:val="none" w:sz="0" w:space="0" w:color="auto"/>
          </w:divBdr>
          <w:divsChild>
            <w:div w:id="1075587943">
              <w:marLeft w:val="0"/>
              <w:marRight w:val="0"/>
              <w:marTop w:val="0"/>
              <w:marBottom w:val="0"/>
              <w:divBdr>
                <w:top w:val="none" w:sz="0" w:space="0" w:color="auto"/>
                <w:left w:val="none" w:sz="0" w:space="0" w:color="auto"/>
                <w:bottom w:val="none" w:sz="0" w:space="0" w:color="auto"/>
                <w:right w:val="none" w:sz="0" w:space="0" w:color="auto"/>
              </w:divBdr>
            </w:div>
          </w:divsChild>
        </w:div>
        <w:div w:id="685523798">
          <w:marLeft w:val="0"/>
          <w:marRight w:val="0"/>
          <w:marTop w:val="0"/>
          <w:marBottom w:val="0"/>
          <w:divBdr>
            <w:top w:val="none" w:sz="0" w:space="0" w:color="auto"/>
            <w:left w:val="none" w:sz="0" w:space="0" w:color="auto"/>
            <w:bottom w:val="none" w:sz="0" w:space="0" w:color="auto"/>
            <w:right w:val="none" w:sz="0" w:space="0" w:color="auto"/>
          </w:divBdr>
          <w:divsChild>
            <w:div w:id="1972709500">
              <w:marLeft w:val="0"/>
              <w:marRight w:val="0"/>
              <w:marTop w:val="0"/>
              <w:marBottom w:val="0"/>
              <w:divBdr>
                <w:top w:val="none" w:sz="0" w:space="0" w:color="auto"/>
                <w:left w:val="none" w:sz="0" w:space="0" w:color="auto"/>
                <w:bottom w:val="none" w:sz="0" w:space="0" w:color="auto"/>
                <w:right w:val="none" w:sz="0" w:space="0" w:color="auto"/>
              </w:divBdr>
            </w:div>
          </w:divsChild>
        </w:div>
        <w:div w:id="695156769">
          <w:marLeft w:val="0"/>
          <w:marRight w:val="0"/>
          <w:marTop w:val="0"/>
          <w:marBottom w:val="0"/>
          <w:divBdr>
            <w:top w:val="none" w:sz="0" w:space="0" w:color="auto"/>
            <w:left w:val="none" w:sz="0" w:space="0" w:color="auto"/>
            <w:bottom w:val="none" w:sz="0" w:space="0" w:color="auto"/>
            <w:right w:val="none" w:sz="0" w:space="0" w:color="auto"/>
          </w:divBdr>
          <w:divsChild>
            <w:div w:id="1471744439">
              <w:marLeft w:val="0"/>
              <w:marRight w:val="0"/>
              <w:marTop w:val="0"/>
              <w:marBottom w:val="0"/>
              <w:divBdr>
                <w:top w:val="none" w:sz="0" w:space="0" w:color="auto"/>
                <w:left w:val="none" w:sz="0" w:space="0" w:color="auto"/>
                <w:bottom w:val="none" w:sz="0" w:space="0" w:color="auto"/>
                <w:right w:val="none" w:sz="0" w:space="0" w:color="auto"/>
              </w:divBdr>
            </w:div>
          </w:divsChild>
        </w:div>
        <w:div w:id="713971420">
          <w:marLeft w:val="0"/>
          <w:marRight w:val="0"/>
          <w:marTop w:val="0"/>
          <w:marBottom w:val="0"/>
          <w:divBdr>
            <w:top w:val="none" w:sz="0" w:space="0" w:color="auto"/>
            <w:left w:val="none" w:sz="0" w:space="0" w:color="auto"/>
            <w:bottom w:val="none" w:sz="0" w:space="0" w:color="auto"/>
            <w:right w:val="none" w:sz="0" w:space="0" w:color="auto"/>
          </w:divBdr>
          <w:divsChild>
            <w:div w:id="1487894190">
              <w:marLeft w:val="0"/>
              <w:marRight w:val="0"/>
              <w:marTop w:val="0"/>
              <w:marBottom w:val="0"/>
              <w:divBdr>
                <w:top w:val="none" w:sz="0" w:space="0" w:color="auto"/>
                <w:left w:val="none" w:sz="0" w:space="0" w:color="auto"/>
                <w:bottom w:val="none" w:sz="0" w:space="0" w:color="auto"/>
                <w:right w:val="none" w:sz="0" w:space="0" w:color="auto"/>
              </w:divBdr>
            </w:div>
          </w:divsChild>
        </w:div>
        <w:div w:id="735518490">
          <w:marLeft w:val="0"/>
          <w:marRight w:val="0"/>
          <w:marTop w:val="0"/>
          <w:marBottom w:val="0"/>
          <w:divBdr>
            <w:top w:val="none" w:sz="0" w:space="0" w:color="auto"/>
            <w:left w:val="none" w:sz="0" w:space="0" w:color="auto"/>
            <w:bottom w:val="none" w:sz="0" w:space="0" w:color="auto"/>
            <w:right w:val="none" w:sz="0" w:space="0" w:color="auto"/>
          </w:divBdr>
          <w:divsChild>
            <w:div w:id="56519258">
              <w:marLeft w:val="0"/>
              <w:marRight w:val="0"/>
              <w:marTop w:val="0"/>
              <w:marBottom w:val="0"/>
              <w:divBdr>
                <w:top w:val="none" w:sz="0" w:space="0" w:color="auto"/>
                <w:left w:val="none" w:sz="0" w:space="0" w:color="auto"/>
                <w:bottom w:val="none" w:sz="0" w:space="0" w:color="auto"/>
                <w:right w:val="none" w:sz="0" w:space="0" w:color="auto"/>
              </w:divBdr>
            </w:div>
          </w:divsChild>
        </w:div>
        <w:div w:id="741026684">
          <w:marLeft w:val="0"/>
          <w:marRight w:val="0"/>
          <w:marTop w:val="0"/>
          <w:marBottom w:val="0"/>
          <w:divBdr>
            <w:top w:val="none" w:sz="0" w:space="0" w:color="auto"/>
            <w:left w:val="none" w:sz="0" w:space="0" w:color="auto"/>
            <w:bottom w:val="none" w:sz="0" w:space="0" w:color="auto"/>
            <w:right w:val="none" w:sz="0" w:space="0" w:color="auto"/>
          </w:divBdr>
          <w:divsChild>
            <w:div w:id="721908862">
              <w:marLeft w:val="0"/>
              <w:marRight w:val="0"/>
              <w:marTop w:val="0"/>
              <w:marBottom w:val="0"/>
              <w:divBdr>
                <w:top w:val="none" w:sz="0" w:space="0" w:color="auto"/>
                <w:left w:val="none" w:sz="0" w:space="0" w:color="auto"/>
                <w:bottom w:val="none" w:sz="0" w:space="0" w:color="auto"/>
                <w:right w:val="none" w:sz="0" w:space="0" w:color="auto"/>
              </w:divBdr>
            </w:div>
          </w:divsChild>
        </w:div>
        <w:div w:id="763234406">
          <w:marLeft w:val="0"/>
          <w:marRight w:val="0"/>
          <w:marTop w:val="0"/>
          <w:marBottom w:val="0"/>
          <w:divBdr>
            <w:top w:val="none" w:sz="0" w:space="0" w:color="auto"/>
            <w:left w:val="none" w:sz="0" w:space="0" w:color="auto"/>
            <w:bottom w:val="none" w:sz="0" w:space="0" w:color="auto"/>
            <w:right w:val="none" w:sz="0" w:space="0" w:color="auto"/>
          </w:divBdr>
          <w:divsChild>
            <w:div w:id="1397973260">
              <w:marLeft w:val="0"/>
              <w:marRight w:val="0"/>
              <w:marTop w:val="0"/>
              <w:marBottom w:val="0"/>
              <w:divBdr>
                <w:top w:val="none" w:sz="0" w:space="0" w:color="auto"/>
                <w:left w:val="none" w:sz="0" w:space="0" w:color="auto"/>
                <w:bottom w:val="none" w:sz="0" w:space="0" w:color="auto"/>
                <w:right w:val="none" w:sz="0" w:space="0" w:color="auto"/>
              </w:divBdr>
            </w:div>
          </w:divsChild>
        </w:div>
        <w:div w:id="794833502">
          <w:marLeft w:val="0"/>
          <w:marRight w:val="0"/>
          <w:marTop w:val="0"/>
          <w:marBottom w:val="0"/>
          <w:divBdr>
            <w:top w:val="none" w:sz="0" w:space="0" w:color="auto"/>
            <w:left w:val="none" w:sz="0" w:space="0" w:color="auto"/>
            <w:bottom w:val="none" w:sz="0" w:space="0" w:color="auto"/>
            <w:right w:val="none" w:sz="0" w:space="0" w:color="auto"/>
          </w:divBdr>
          <w:divsChild>
            <w:div w:id="1670021117">
              <w:marLeft w:val="0"/>
              <w:marRight w:val="0"/>
              <w:marTop w:val="0"/>
              <w:marBottom w:val="0"/>
              <w:divBdr>
                <w:top w:val="none" w:sz="0" w:space="0" w:color="auto"/>
                <w:left w:val="none" w:sz="0" w:space="0" w:color="auto"/>
                <w:bottom w:val="none" w:sz="0" w:space="0" w:color="auto"/>
                <w:right w:val="none" w:sz="0" w:space="0" w:color="auto"/>
              </w:divBdr>
            </w:div>
          </w:divsChild>
        </w:div>
        <w:div w:id="802776130">
          <w:marLeft w:val="0"/>
          <w:marRight w:val="0"/>
          <w:marTop w:val="0"/>
          <w:marBottom w:val="0"/>
          <w:divBdr>
            <w:top w:val="none" w:sz="0" w:space="0" w:color="auto"/>
            <w:left w:val="none" w:sz="0" w:space="0" w:color="auto"/>
            <w:bottom w:val="none" w:sz="0" w:space="0" w:color="auto"/>
            <w:right w:val="none" w:sz="0" w:space="0" w:color="auto"/>
          </w:divBdr>
          <w:divsChild>
            <w:div w:id="809244775">
              <w:marLeft w:val="0"/>
              <w:marRight w:val="0"/>
              <w:marTop w:val="0"/>
              <w:marBottom w:val="0"/>
              <w:divBdr>
                <w:top w:val="none" w:sz="0" w:space="0" w:color="auto"/>
                <w:left w:val="none" w:sz="0" w:space="0" w:color="auto"/>
                <w:bottom w:val="none" w:sz="0" w:space="0" w:color="auto"/>
                <w:right w:val="none" w:sz="0" w:space="0" w:color="auto"/>
              </w:divBdr>
            </w:div>
          </w:divsChild>
        </w:div>
        <w:div w:id="834078765">
          <w:marLeft w:val="0"/>
          <w:marRight w:val="0"/>
          <w:marTop w:val="0"/>
          <w:marBottom w:val="0"/>
          <w:divBdr>
            <w:top w:val="none" w:sz="0" w:space="0" w:color="auto"/>
            <w:left w:val="none" w:sz="0" w:space="0" w:color="auto"/>
            <w:bottom w:val="none" w:sz="0" w:space="0" w:color="auto"/>
            <w:right w:val="none" w:sz="0" w:space="0" w:color="auto"/>
          </w:divBdr>
          <w:divsChild>
            <w:div w:id="1708293150">
              <w:marLeft w:val="0"/>
              <w:marRight w:val="0"/>
              <w:marTop w:val="0"/>
              <w:marBottom w:val="0"/>
              <w:divBdr>
                <w:top w:val="none" w:sz="0" w:space="0" w:color="auto"/>
                <w:left w:val="none" w:sz="0" w:space="0" w:color="auto"/>
                <w:bottom w:val="none" w:sz="0" w:space="0" w:color="auto"/>
                <w:right w:val="none" w:sz="0" w:space="0" w:color="auto"/>
              </w:divBdr>
            </w:div>
          </w:divsChild>
        </w:div>
        <w:div w:id="858542923">
          <w:marLeft w:val="0"/>
          <w:marRight w:val="0"/>
          <w:marTop w:val="0"/>
          <w:marBottom w:val="0"/>
          <w:divBdr>
            <w:top w:val="none" w:sz="0" w:space="0" w:color="auto"/>
            <w:left w:val="none" w:sz="0" w:space="0" w:color="auto"/>
            <w:bottom w:val="none" w:sz="0" w:space="0" w:color="auto"/>
            <w:right w:val="none" w:sz="0" w:space="0" w:color="auto"/>
          </w:divBdr>
          <w:divsChild>
            <w:div w:id="1309438438">
              <w:marLeft w:val="0"/>
              <w:marRight w:val="0"/>
              <w:marTop w:val="0"/>
              <w:marBottom w:val="0"/>
              <w:divBdr>
                <w:top w:val="none" w:sz="0" w:space="0" w:color="auto"/>
                <w:left w:val="none" w:sz="0" w:space="0" w:color="auto"/>
                <w:bottom w:val="none" w:sz="0" w:space="0" w:color="auto"/>
                <w:right w:val="none" w:sz="0" w:space="0" w:color="auto"/>
              </w:divBdr>
            </w:div>
          </w:divsChild>
        </w:div>
        <w:div w:id="872377558">
          <w:marLeft w:val="0"/>
          <w:marRight w:val="0"/>
          <w:marTop w:val="0"/>
          <w:marBottom w:val="0"/>
          <w:divBdr>
            <w:top w:val="none" w:sz="0" w:space="0" w:color="auto"/>
            <w:left w:val="none" w:sz="0" w:space="0" w:color="auto"/>
            <w:bottom w:val="none" w:sz="0" w:space="0" w:color="auto"/>
            <w:right w:val="none" w:sz="0" w:space="0" w:color="auto"/>
          </w:divBdr>
          <w:divsChild>
            <w:div w:id="1979610318">
              <w:marLeft w:val="0"/>
              <w:marRight w:val="0"/>
              <w:marTop w:val="0"/>
              <w:marBottom w:val="0"/>
              <w:divBdr>
                <w:top w:val="none" w:sz="0" w:space="0" w:color="auto"/>
                <w:left w:val="none" w:sz="0" w:space="0" w:color="auto"/>
                <w:bottom w:val="none" w:sz="0" w:space="0" w:color="auto"/>
                <w:right w:val="none" w:sz="0" w:space="0" w:color="auto"/>
              </w:divBdr>
            </w:div>
          </w:divsChild>
        </w:div>
        <w:div w:id="880358739">
          <w:marLeft w:val="0"/>
          <w:marRight w:val="0"/>
          <w:marTop w:val="0"/>
          <w:marBottom w:val="0"/>
          <w:divBdr>
            <w:top w:val="none" w:sz="0" w:space="0" w:color="auto"/>
            <w:left w:val="none" w:sz="0" w:space="0" w:color="auto"/>
            <w:bottom w:val="none" w:sz="0" w:space="0" w:color="auto"/>
            <w:right w:val="none" w:sz="0" w:space="0" w:color="auto"/>
          </w:divBdr>
          <w:divsChild>
            <w:div w:id="575634048">
              <w:marLeft w:val="0"/>
              <w:marRight w:val="0"/>
              <w:marTop w:val="0"/>
              <w:marBottom w:val="0"/>
              <w:divBdr>
                <w:top w:val="none" w:sz="0" w:space="0" w:color="auto"/>
                <w:left w:val="none" w:sz="0" w:space="0" w:color="auto"/>
                <w:bottom w:val="none" w:sz="0" w:space="0" w:color="auto"/>
                <w:right w:val="none" w:sz="0" w:space="0" w:color="auto"/>
              </w:divBdr>
            </w:div>
          </w:divsChild>
        </w:div>
        <w:div w:id="882205543">
          <w:marLeft w:val="0"/>
          <w:marRight w:val="0"/>
          <w:marTop w:val="0"/>
          <w:marBottom w:val="0"/>
          <w:divBdr>
            <w:top w:val="none" w:sz="0" w:space="0" w:color="auto"/>
            <w:left w:val="none" w:sz="0" w:space="0" w:color="auto"/>
            <w:bottom w:val="none" w:sz="0" w:space="0" w:color="auto"/>
            <w:right w:val="none" w:sz="0" w:space="0" w:color="auto"/>
          </w:divBdr>
          <w:divsChild>
            <w:div w:id="693842171">
              <w:marLeft w:val="0"/>
              <w:marRight w:val="0"/>
              <w:marTop w:val="0"/>
              <w:marBottom w:val="0"/>
              <w:divBdr>
                <w:top w:val="none" w:sz="0" w:space="0" w:color="auto"/>
                <w:left w:val="none" w:sz="0" w:space="0" w:color="auto"/>
                <w:bottom w:val="none" w:sz="0" w:space="0" w:color="auto"/>
                <w:right w:val="none" w:sz="0" w:space="0" w:color="auto"/>
              </w:divBdr>
            </w:div>
          </w:divsChild>
        </w:div>
        <w:div w:id="890768980">
          <w:marLeft w:val="0"/>
          <w:marRight w:val="0"/>
          <w:marTop w:val="0"/>
          <w:marBottom w:val="0"/>
          <w:divBdr>
            <w:top w:val="none" w:sz="0" w:space="0" w:color="auto"/>
            <w:left w:val="none" w:sz="0" w:space="0" w:color="auto"/>
            <w:bottom w:val="none" w:sz="0" w:space="0" w:color="auto"/>
            <w:right w:val="none" w:sz="0" w:space="0" w:color="auto"/>
          </w:divBdr>
          <w:divsChild>
            <w:div w:id="454956699">
              <w:marLeft w:val="0"/>
              <w:marRight w:val="0"/>
              <w:marTop w:val="0"/>
              <w:marBottom w:val="0"/>
              <w:divBdr>
                <w:top w:val="none" w:sz="0" w:space="0" w:color="auto"/>
                <w:left w:val="none" w:sz="0" w:space="0" w:color="auto"/>
                <w:bottom w:val="none" w:sz="0" w:space="0" w:color="auto"/>
                <w:right w:val="none" w:sz="0" w:space="0" w:color="auto"/>
              </w:divBdr>
            </w:div>
          </w:divsChild>
        </w:div>
        <w:div w:id="921451633">
          <w:marLeft w:val="0"/>
          <w:marRight w:val="0"/>
          <w:marTop w:val="0"/>
          <w:marBottom w:val="0"/>
          <w:divBdr>
            <w:top w:val="none" w:sz="0" w:space="0" w:color="auto"/>
            <w:left w:val="none" w:sz="0" w:space="0" w:color="auto"/>
            <w:bottom w:val="none" w:sz="0" w:space="0" w:color="auto"/>
            <w:right w:val="none" w:sz="0" w:space="0" w:color="auto"/>
          </w:divBdr>
          <w:divsChild>
            <w:div w:id="140387102">
              <w:marLeft w:val="0"/>
              <w:marRight w:val="0"/>
              <w:marTop w:val="0"/>
              <w:marBottom w:val="0"/>
              <w:divBdr>
                <w:top w:val="none" w:sz="0" w:space="0" w:color="auto"/>
                <w:left w:val="none" w:sz="0" w:space="0" w:color="auto"/>
                <w:bottom w:val="none" w:sz="0" w:space="0" w:color="auto"/>
                <w:right w:val="none" w:sz="0" w:space="0" w:color="auto"/>
              </w:divBdr>
            </w:div>
          </w:divsChild>
        </w:div>
        <w:div w:id="938610129">
          <w:marLeft w:val="0"/>
          <w:marRight w:val="0"/>
          <w:marTop w:val="0"/>
          <w:marBottom w:val="0"/>
          <w:divBdr>
            <w:top w:val="none" w:sz="0" w:space="0" w:color="auto"/>
            <w:left w:val="none" w:sz="0" w:space="0" w:color="auto"/>
            <w:bottom w:val="none" w:sz="0" w:space="0" w:color="auto"/>
            <w:right w:val="none" w:sz="0" w:space="0" w:color="auto"/>
          </w:divBdr>
          <w:divsChild>
            <w:div w:id="1564099397">
              <w:marLeft w:val="0"/>
              <w:marRight w:val="0"/>
              <w:marTop w:val="0"/>
              <w:marBottom w:val="0"/>
              <w:divBdr>
                <w:top w:val="none" w:sz="0" w:space="0" w:color="auto"/>
                <w:left w:val="none" w:sz="0" w:space="0" w:color="auto"/>
                <w:bottom w:val="none" w:sz="0" w:space="0" w:color="auto"/>
                <w:right w:val="none" w:sz="0" w:space="0" w:color="auto"/>
              </w:divBdr>
            </w:div>
          </w:divsChild>
        </w:div>
        <w:div w:id="946275129">
          <w:marLeft w:val="0"/>
          <w:marRight w:val="0"/>
          <w:marTop w:val="0"/>
          <w:marBottom w:val="0"/>
          <w:divBdr>
            <w:top w:val="none" w:sz="0" w:space="0" w:color="auto"/>
            <w:left w:val="none" w:sz="0" w:space="0" w:color="auto"/>
            <w:bottom w:val="none" w:sz="0" w:space="0" w:color="auto"/>
            <w:right w:val="none" w:sz="0" w:space="0" w:color="auto"/>
          </w:divBdr>
          <w:divsChild>
            <w:div w:id="58556176">
              <w:marLeft w:val="0"/>
              <w:marRight w:val="0"/>
              <w:marTop w:val="0"/>
              <w:marBottom w:val="0"/>
              <w:divBdr>
                <w:top w:val="none" w:sz="0" w:space="0" w:color="auto"/>
                <w:left w:val="none" w:sz="0" w:space="0" w:color="auto"/>
                <w:bottom w:val="none" w:sz="0" w:space="0" w:color="auto"/>
                <w:right w:val="none" w:sz="0" w:space="0" w:color="auto"/>
              </w:divBdr>
            </w:div>
          </w:divsChild>
        </w:div>
        <w:div w:id="963467448">
          <w:marLeft w:val="0"/>
          <w:marRight w:val="0"/>
          <w:marTop w:val="0"/>
          <w:marBottom w:val="0"/>
          <w:divBdr>
            <w:top w:val="none" w:sz="0" w:space="0" w:color="auto"/>
            <w:left w:val="none" w:sz="0" w:space="0" w:color="auto"/>
            <w:bottom w:val="none" w:sz="0" w:space="0" w:color="auto"/>
            <w:right w:val="none" w:sz="0" w:space="0" w:color="auto"/>
          </w:divBdr>
          <w:divsChild>
            <w:div w:id="154760789">
              <w:marLeft w:val="0"/>
              <w:marRight w:val="0"/>
              <w:marTop w:val="0"/>
              <w:marBottom w:val="0"/>
              <w:divBdr>
                <w:top w:val="none" w:sz="0" w:space="0" w:color="auto"/>
                <w:left w:val="none" w:sz="0" w:space="0" w:color="auto"/>
                <w:bottom w:val="none" w:sz="0" w:space="0" w:color="auto"/>
                <w:right w:val="none" w:sz="0" w:space="0" w:color="auto"/>
              </w:divBdr>
            </w:div>
          </w:divsChild>
        </w:div>
        <w:div w:id="983390590">
          <w:marLeft w:val="0"/>
          <w:marRight w:val="0"/>
          <w:marTop w:val="0"/>
          <w:marBottom w:val="0"/>
          <w:divBdr>
            <w:top w:val="none" w:sz="0" w:space="0" w:color="auto"/>
            <w:left w:val="none" w:sz="0" w:space="0" w:color="auto"/>
            <w:bottom w:val="none" w:sz="0" w:space="0" w:color="auto"/>
            <w:right w:val="none" w:sz="0" w:space="0" w:color="auto"/>
          </w:divBdr>
          <w:divsChild>
            <w:div w:id="87822532">
              <w:marLeft w:val="0"/>
              <w:marRight w:val="0"/>
              <w:marTop w:val="0"/>
              <w:marBottom w:val="0"/>
              <w:divBdr>
                <w:top w:val="none" w:sz="0" w:space="0" w:color="auto"/>
                <w:left w:val="none" w:sz="0" w:space="0" w:color="auto"/>
                <w:bottom w:val="none" w:sz="0" w:space="0" w:color="auto"/>
                <w:right w:val="none" w:sz="0" w:space="0" w:color="auto"/>
              </w:divBdr>
            </w:div>
          </w:divsChild>
        </w:div>
        <w:div w:id="984747465">
          <w:marLeft w:val="0"/>
          <w:marRight w:val="0"/>
          <w:marTop w:val="0"/>
          <w:marBottom w:val="0"/>
          <w:divBdr>
            <w:top w:val="none" w:sz="0" w:space="0" w:color="auto"/>
            <w:left w:val="none" w:sz="0" w:space="0" w:color="auto"/>
            <w:bottom w:val="none" w:sz="0" w:space="0" w:color="auto"/>
            <w:right w:val="none" w:sz="0" w:space="0" w:color="auto"/>
          </w:divBdr>
          <w:divsChild>
            <w:div w:id="2011366722">
              <w:marLeft w:val="0"/>
              <w:marRight w:val="0"/>
              <w:marTop w:val="0"/>
              <w:marBottom w:val="0"/>
              <w:divBdr>
                <w:top w:val="none" w:sz="0" w:space="0" w:color="auto"/>
                <w:left w:val="none" w:sz="0" w:space="0" w:color="auto"/>
                <w:bottom w:val="none" w:sz="0" w:space="0" w:color="auto"/>
                <w:right w:val="none" w:sz="0" w:space="0" w:color="auto"/>
              </w:divBdr>
            </w:div>
          </w:divsChild>
        </w:div>
        <w:div w:id="1037662523">
          <w:marLeft w:val="0"/>
          <w:marRight w:val="0"/>
          <w:marTop w:val="0"/>
          <w:marBottom w:val="0"/>
          <w:divBdr>
            <w:top w:val="none" w:sz="0" w:space="0" w:color="auto"/>
            <w:left w:val="none" w:sz="0" w:space="0" w:color="auto"/>
            <w:bottom w:val="none" w:sz="0" w:space="0" w:color="auto"/>
            <w:right w:val="none" w:sz="0" w:space="0" w:color="auto"/>
          </w:divBdr>
          <w:divsChild>
            <w:div w:id="631714457">
              <w:marLeft w:val="0"/>
              <w:marRight w:val="0"/>
              <w:marTop w:val="0"/>
              <w:marBottom w:val="0"/>
              <w:divBdr>
                <w:top w:val="none" w:sz="0" w:space="0" w:color="auto"/>
                <w:left w:val="none" w:sz="0" w:space="0" w:color="auto"/>
                <w:bottom w:val="none" w:sz="0" w:space="0" w:color="auto"/>
                <w:right w:val="none" w:sz="0" w:space="0" w:color="auto"/>
              </w:divBdr>
            </w:div>
          </w:divsChild>
        </w:div>
        <w:div w:id="1047682568">
          <w:marLeft w:val="0"/>
          <w:marRight w:val="0"/>
          <w:marTop w:val="0"/>
          <w:marBottom w:val="0"/>
          <w:divBdr>
            <w:top w:val="none" w:sz="0" w:space="0" w:color="auto"/>
            <w:left w:val="none" w:sz="0" w:space="0" w:color="auto"/>
            <w:bottom w:val="none" w:sz="0" w:space="0" w:color="auto"/>
            <w:right w:val="none" w:sz="0" w:space="0" w:color="auto"/>
          </w:divBdr>
          <w:divsChild>
            <w:div w:id="1208683159">
              <w:marLeft w:val="0"/>
              <w:marRight w:val="0"/>
              <w:marTop w:val="0"/>
              <w:marBottom w:val="0"/>
              <w:divBdr>
                <w:top w:val="none" w:sz="0" w:space="0" w:color="auto"/>
                <w:left w:val="none" w:sz="0" w:space="0" w:color="auto"/>
                <w:bottom w:val="none" w:sz="0" w:space="0" w:color="auto"/>
                <w:right w:val="none" w:sz="0" w:space="0" w:color="auto"/>
              </w:divBdr>
            </w:div>
          </w:divsChild>
        </w:div>
        <w:div w:id="1067529869">
          <w:marLeft w:val="0"/>
          <w:marRight w:val="0"/>
          <w:marTop w:val="0"/>
          <w:marBottom w:val="0"/>
          <w:divBdr>
            <w:top w:val="none" w:sz="0" w:space="0" w:color="auto"/>
            <w:left w:val="none" w:sz="0" w:space="0" w:color="auto"/>
            <w:bottom w:val="none" w:sz="0" w:space="0" w:color="auto"/>
            <w:right w:val="none" w:sz="0" w:space="0" w:color="auto"/>
          </w:divBdr>
          <w:divsChild>
            <w:div w:id="1764570955">
              <w:marLeft w:val="0"/>
              <w:marRight w:val="0"/>
              <w:marTop w:val="0"/>
              <w:marBottom w:val="0"/>
              <w:divBdr>
                <w:top w:val="none" w:sz="0" w:space="0" w:color="auto"/>
                <w:left w:val="none" w:sz="0" w:space="0" w:color="auto"/>
                <w:bottom w:val="none" w:sz="0" w:space="0" w:color="auto"/>
                <w:right w:val="none" w:sz="0" w:space="0" w:color="auto"/>
              </w:divBdr>
            </w:div>
          </w:divsChild>
        </w:div>
        <w:div w:id="1079401136">
          <w:marLeft w:val="0"/>
          <w:marRight w:val="0"/>
          <w:marTop w:val="0"/>
          <w:marBottom w:val="0"/>
          <w:divBdr>
            <w:top w:val="none" w:sz="0" w:space="0" w:color="auto"/>
            <w:left w:val="none" w:sz="0" w:space="0" w:color="auto"/>
            <w:bottom w:val="none" w:sz="0" w:space="0" w:color="auto"/>
            <w:right w:val="none" w:sz="0" w:space="0" w:color="auto"/>
          </w:divBdr>
          <w:divsChild>
            <w:div w:id="1988590682">
              <w:marLeft w:val="0"/>
              <w:marRight w:val="0"/>
              <w:marTop w:val="0"/>
              <w:marBottom w:val="0"/>
              <w:divBdr>
                <w:top w:val="none" w:sz="0" w:space="0" w:color="auto"/>
                <w:left w:val="none" w:sz="0" w:space="0" w:color="auto"/>
                <w:bottom w:val="none" w:sz="0" w:space="0" w:color="auto"/>
                <w:right w:val="none" w:sz="0" w:space="0" w:color="auto"/>
              </w:divBdr>
            </w:div>
          </w:divsChild>
        </w:div>
        <w:div w:id="1146816206">
          <w:marLeft w:val="0"/>
          <w:marRight w:val="0"/>
          <w:marTop w:val="0"/>
          <w:marBottom w:val="0"/>
          <w:divBdr>
            <w:top w:val="none" w:sz="0" w:space="0" w:color="auto"/>
            <w:left w:val="none" w:sz="0" w:space="0" w:color="auto"/>
            <w:bottom w:val="none" w:sz="0" w:space="0" w:color="auto"/>
            <w:right w:val="none" w:sz="0" w:space="0" w:color="auto"/>
          </w:divBdr>
          <w:divsChild>
            <w:div w:id="380640530">
              <w:marLeft w:val="0"/>
              <w:marRight w:val="0"/>
              <w:marTop w:val="0"/>
              <w:marBottom w:val="0"/>
              <w:divBdr>
                <w:top w:val="none" w:sz="0" w:space="0" w:color="auto"/>
                <w:left w:val="none" w:sz="0" w:space="0" w:color="auto"/>
                <w:bottom w:val="none" w:sz="0" w:space="0" w:color="auto"/>
                <w:right w:val="none" w:sz="0" w:space="0" w:color="auto"/>
              </w:divBdr>
            </w:div>
          </w:divsChild>
        </w:div>
        <w:div w:id="1178616776">
          <w:marLeft w:val="0"/>
          <w:marRight w:val="0"/>
          <w:marTop w:val="0"/>
          <w:marBottom w:val="0"/>
          <w:divBdr>
            <w:top w:val="none" w:sz="0" w:space="0" w:color="auto"/>
            <w:left w:val="none" w:sz="0" w:space="0" w:color="auto"/>
            <w:bottom w:val="none" w:sz="0" w:space="0" w:color="auto"/>
            <w:right w:val="none" w:sz="0" w:space="0" w:color="auto"/>
          </w:divBdr>
          <w:divsChild>
            <w:div w:id="151682065">
              <w:marLeft w:val="0"/>
              <w:marRight w:val="0"/>
              <w:marTop w:val="0"/>
              <w:marBottom w:val="0"/>
              <w:divBdr>
                <w:top w:val="none" w:sz="0" w:space="0" w:color="auto"/>
                <w:left w:val="none" w:sz="0" w:space="0" w:color="auto"/>
                <w:bottom w:val="none" w:sz="0" w:space="0" w:color="auto"/>
                <w:right w:val="none" w:sz="0" w:space="0" w:color="auto"/>
              </w:divBdr>
            </w:div>
          </w:divsChild>
        </w:div>
        <w:div w:id="1217816350">
          <w:marLeft w:val="0"/>
          <w:marRight w:val="0"/>
          <w:marTop w:val="0"/>
          <w:marBottom w:val="0"/>
          <w:divBdr>
            <w:top w:val="none" w:sz="0" w:space="0" w:color="auto"/>
            <w:left w:val="none" w:sz="0" w:space="0" w:color="auto"/>
            <w:bottom w:val="none" w:sz="0" w:space="0" w:color="auto"/>
            <w:right w:val="none" w:sz="0" w:space="0" w:color="auto"/>
          </w:divBdr>
          <w:divsChild>
            <w:div w:id="728114280">
              <w:marLeft w:val="0"/>
              <w:marRight w:val="0"/>
              <w:marTop w:val="0"/>
              <w:marBottom w:val="0"/>
              <w:divBdr>
                <w:top w:val="none" w:sz="0" w:space="0" w:color="auto"/>
                <w:left w:val="none" w:sz="0" w:space="0" w:color="auto"/>
                <w:bottom w:val="none" w:sz="0" w:space="0" w:color="auto"/>
                <w:right w:val="none" w:sz="0" w:space="0" w:color="auto"/>
              </w:divBdr>
            </w:div>
          </w:divsChild>
        </w:div>
        <w:div w:id="1235508888">
          <w:marLeft w:val="0"/>
          <w:marRight w:val="0"/>
          <w:marTop w:val="0"/>
          <w:marBottom w:val="0"/>
          <w:divBdr>
            <w:top w:val="none" w:sz="0" w:space="0" w:color="auto"/>
            <w:left w:val="none" w:sz="0" w:space="0" w:color="auto"/>
            <w:bottom w:val="none" w:sz="0" w:space="0" w:color="auto"/>
            <w:right w:val="none" w:sz="0" w:space="0" w:color="auto"/>
          </w:divBdr>
          <w:divsChild>
            <w:div w:id="1495074822">
              <w:marLeft w:val="0"/>
              <w:marRight w:val="0"/>
              <w:marTop w:val="0"/>
              <w:marBottom w:val="0"/>
              <w:divBdr>
                <w:top w:val="none" w:sz="0" w:space="0" w:color="auto"/>
                <w:left w:val="none" w:sz="0" w:space="0" w:color="auto"/>
                <w:bottom w:val="none" w:sz="0" w:space="0" w:color="auto"/>
                <w:right w:val="none" w:sz="0" w:space="0" w:color="auto"/>
              </w:divBdr>
            </w:div>
          </w:divsChild>
        </w:div>
        <w:div w:id="1243831775">
          <w:marLeft w:val="0"/>
          <w:marRight w:val="0"/>
          <w:marTop w:val="0"/>
          <w:marBottom w:val="0"/>
          <w:divBdr>
            <w:top w:val="none" w:sz="0" w:space="0" w:color="auto"/>
            <w:left w:val="none" w:sz="0" w:space="0" w:color="auto"/>
            <w:bottom w:val="none" w:sz="0" w:space="0" w:color="auto"/>
            <w:right w:val="none" w:sz="0" w:space="0" w:color="auto"/>
          </w:divBdr>
          <w:divsChild>
            <w:div w:id="1835605663">
              <w:marLeft w:val="0"/>
              <w:marRight w:val="0"/>
              <w:marTop w:val="0"/>
              <w:marBottom w:val="0"/>
              <w:divBdr>
                <w:top w:val="none" w:sz="0" w:space="0" w:color="auto"/>
                <w:left w:val="none" w:sz="0" w:space="0" w:color="auto"/>
                <w:bottom w:val="none" w:sz="0" w:space="0" w:color="auto"/>
                <w:right w:val="none" w:sz="0" w:space="0" w:color="auto"/>
              </w:divBdr>
            </w:div>
          </w:divsChild>
        </w:div>
        <w:div w:id="1413970759">
          <w:marLeft w:val="0"/>
          <w:marRight w:val="0"/>
          <w:marTop w:val="0"/>
          <w:marBottom w:val="0"/>
          <w:divBdr>
            <w:top w:val="none" w:sz="0" w:space="0" w:color="auto"/>
            <w:left w:val="none" w:sz="0" w:space="0" w:color="auto"/>
            <w:bottom w:val="none" w:sz="0" w:space="0" w:color="auto"/>
            <w:right w:val="none" w:sz="0" w:space="0" w:color="auto"/>
          </w:divBdr>
          <w:divsChild>
            <w:div w:id="590621528">
              <w:marLeft w:val="0"/>
              <w:marRight w:val="0"/>
              <w:marTop w:val="0"/>
              <w:marBottom w:val="0"/>
              <w:divBdr>
                <w:top w:val="none" w:sz="0" w:space="0" w:color="auto"/>
                <w:left w:val="none" w:sz="0" w:space="0" w:color="auto"/>
                <w:bottom w:val="none" w:sz="0" w:space="0" w:color="auto"/>
                <w:right w:val="none" w:sz="0" w:space="0" w:color="auto"/>
              </w:divBdr>
            </w:div>
          </w:divsChild>
        </w:div>
        <w:div w:id="1428503567">
          <w:marLeft w:val="0"/>
          <w:marRight w:val="0"/>
          <w:marTop w:val="0"/>
          <w:marBottom w:val="0"/>
          <w:divBdr>
            <w:top w:val="none" w:sz="0" w:space="0" w:color="auto"/>
            <w:left w:val="none" w:sz="0" w:space="0" w:color="auto"/>
            <w:bottom w:val="none" w:sz="0" w:space="0" w:color="auto"/>
            <w:right w:val="none" w:sz="0" w:space="0" w:color="auto"/>
          </w:divBdr>
          <w:divsChild>
            <w:div w:id="1166558689">
              <w:marLeft w:val="0"/>
              <w:marRight w:val="0"/>
              <w:marTop w:val="0"/>
              <w:marBottom w:val="0"/>
              <w:divBdr>
                <w:top w:val="none" w:sz="0" w:space="0" w:color="auto"/>
                <w:left w:val="none" w:sz="0" w:space="0" w:color="auto"/>
                <w:bottom w:val="none" w:sz="0" w:space="0" w:color="auto"/>
                <w:right w:val="none" w:sz="0" w:space="0" w:color="auto"/>
              </w:divBdr>
            </w:div>
          </w:divsChild>
        </w:div>
        <w:div w:id="1430932312">
          <w:marLeft w:val="0"/>
          <w:marRight w:val="0"/>
          <w:marTop w:val="0"/>
          <w:marBottom w:val="0"/>
          <w:divBdr>
            <w:top w:val="none" w:sz="0" w:space="0" w:color="auto"/>
            <w:left w:val="none" w:sz="0" w:space="0" w:color="auto"/>
            <w:bottom w:val="none" w:sz="0" w:space="0" w:color="auto"/>
            <w:right w:val="none" w:sz="0" w:space="0" w:color="auto"/>
          </w:divBdr>
          <w:divsChild>
            <w:div w:id="127361513">
              <w:marLeft w:val="0"/>
              <w:marRight w:val="0"/>
              <w:marTop w:val="0"/>
              <w:marBottom w:val="0"/>
              <w:divBdr>
                <w:top w:val="none" w:sz="0" w:space="0" w:color="auto"/>
                <w:left w:val="none" w:sz="0" w:space="0" w:color="auto"/>
                <w:bottom w:val="none" w:sz="0" w:space="0" w:color="auto"/>
                <w:right w:val="none" w:sz="0" w:space="0" w:color="auto"/>
              </w:divBdr>
            </w:div>
          </w:divsChild>
        </w:div>
        <w:div w:id="1448042123">
          <w:marLeft w:val="0"/>
          <w:marRight w:val="0"/>
          <w:marTop w:val="0"/>
          <w:marBottom w:val="0"/>
          <w:divBdr>
            <w:top w:val="none" w:sz="0" w:space="0" w:color="auto"/>
            <w:left w:val="none" w:sz="0" w:space="0" w:color="auto"/>
            <w:bottom w:val="none" w:sz="0" w:space="0" w:color="auto"/>
            <w:right w:val="none" w:sz="0" w:space="0" w:color="auto"/>
          </w:divBdr>
          <w:divsChild>
            <w:div w:id="944847204">
              <w:marLeft w:val="0"/>
              <w:marRight w:val="0"/>
              <w:marTop w:val="0"/>
              <w:marBottom w:val="0"/>
              <w:divBdr>
                <w:top w:val="none" w:sz="0" w:space="0" w:color="auto"/>
                <w:left w:val="none" w:sz="0" w:space="0" w:color="auto"/>
                <w:bottom w:val="none" w:sz="0" w:space="0" w:color="auto"/>
                <w:right w:val="none" w:sz="0" w:space="0" w:color="auto"/>
              </w:divBdr>
            </w:div>
          </w:divsChild>
        </w:div>
        <w:div w:id="1450853989">
          <w:marLeft w:val="0"/>
          <w:marRight w:val="0"/>
          <w:marTop w:val="0"/>
          <w:marBottom w:val="0"/>
          <w:divBdr>
            <w:top w:val="none" w:sz="0" w:space="0" w:color="auto"/>
            <w:left w:val="none" w:sz="0" w:space="0" w:color="auto"/>
            <w:bottom w:val="none" w:sz="0" w:space="0" w:color="auto"/>
            <w:right w:val="none" w:sz="0" w:space="0" w:color="auto"/>
          </w:divBdr>
          <w:divsChild>
            <w:div w:id="652031095">
              <w:marLeft w:val="0"/>
              <w:marRight w:val="0"/>
              <w:marTop w:val="0"/>
              <w:marBottom w:val="0"/>
              <w:divBdr>
                <w:top w:val="none" w:sz="0" w:space="0" w:color="auto"/>
                <w:left w:val="none" w:sz="0" w:space="0" w:color="auto"/>
                <w:bottom w:val="none" w:sz="0" w:space="0" w:color="auto"/>
                <w:right w:val="none" w:sz="0" w:space="0" w:color="auto"/>
              </w:divBdr>
            </w:div>
          </w:divsChild>
        </w:div>
        <w:div w:id="1469931185">
          <w:marLeft w:val="0"/>
          <w:marRight w:val="0"/>
          <w:marTop w:val="0"/>
          <w:marBottom w:val="0"/>
          <w:divBdr>
            <w:top w:val="none" w:sz="0" w:space="0" w:color="auto"/>
            <w:left w:val="none" w:sz="0" w:space="0" w:color="auto"/>
            <w:bottom w:val="none" w:sz="0" w:space="0" w:color="auto"/>
            <w:right w:val="none" w:sz="0" w:space="0" w:color="auto"/>
          </w:divBdr>
          <w:divsChild>
            <w:div w:id="1232354654">
              <w:marLeft w:val="0"/>
              <w:marRight w:val="0"/>
              <w:marTop w:val="0"/>
              <w:marBottom w:val="0"/>
              <w:divBdr>
                <w:top w:val="none" w:sz="0" w:space="0" w:color="auto"/>
                <w:left w:val="none" w:sz="0" w:space="0" w:color="auto"/>
                <w:bottom w:val="none" w:sz="0" w:space="0" w:color="auto"/>
                <w:right w:val="none" w:sz="0" w:space="0" w:color="auto"/>
              </w:divBdr>
            </w:div>
          </w:divsChild>
        </w:div>
        <w:div w:id="1478766195">
          <w:marLeft w:val="0"/>
          <w:marRight w:val="0"/>
          <w:marTop w:val="0"/>
          <w:marBottom w:val="0"/>
          <w:divBdr>
            <w:top w:val="none" w:sz="0" w:space="0" w:color="auto"/>
            <w:left w:val="none" w:sz="0" w:space="0" w:color="auto"/>
            <w:bottom w:val="none" w:sz="0" w:space="0" w:color="auto"/>
            <w:right w:val="none" w:sz="0" w:space="0" w:color="auto"/>
          </w:divBdr>
          <w:divsChild>
            <w:div w:id="943075384">
              <w:marLeft w:val="0"/>
              <w:marRight w:val="0"/>
              <w:marTop w:val="0"/>
              <w:marBottom w:val="0"/>
              <w:divBdr>
                <w:top w:val="none" w:sz="0" w:space="0" w:color="auto"/>
                <w:left w:val="none" w:sz="0" w:space="0" w:color="auto"/>
                <w:bottom w:val="none" w:sz="0" w:space="0" w:color="auto"/>
                <w:right w:val="none" w:sz="0" w:space="0" w:color="auto"/>
              </w:divBdr>
            </w:div>
          </w:divsChild>
        </w:div>
        <w:div w:id="1501656428">
          <w:marLeft w:val="0"/>
          <w:marRight w:val="0"/>
          <w:marTop w:val="0"/>
          <w:marBottom w:val="0"/>
          <w:divBdr>
            <w:top w:val="none" w:sz="0" w:space="0" w:color="auto"/>
            <w:left w:val="none" w:sz="0" w:space="0" w:color="auto"/>
            <w:bottom w:val="none" w:sz="0" w:space="0" w:color="auto"/>
            <w:right w:val="none" w:sz="0" w:space="0" w:color="auto"/>
          </w:divBdr>
          <w:divsChild>
            <w:div w:id="2075467453">
              <w:marLeft w:val="0"/>
              <w:marRight w:val="0"/>
              <w:marTop w:val="0"/>
              <w:marBottom w:val="0"/>
              <w:divBdr>
                <w:top w:val="none" w:sz="0" w:space="0" w:color="auto"/>
                <w:left w:val="none" w:sz="0" w:space="0" w:color="auto"/>
                <w:bottom w:val="none" w:sz="0" w:space="0" w:color="auto"/>
                <w:right w:val="none" w:sz="0" w:space="0" w:color="auto"/>
              </w:divBdr>
            </w:div>
          </w:divsChild>
        </w:div>
        <w:div w:id="1529757897">
          <w:marLeft w:val="0"/>
          <w:marRight w:val="0"/>
          <w:marTop w:val="0"/>
          <w:marBottom w:val="0"/>
          <w:divBdr>
            <w:top w:val="none" w:sz="0" w:space="0" w:color="auto"/>
            <w:left w:val="none" w:sz="0" w:space="0" w:color="auto"/>
            <w:bottom w:val="none" w:sz="0" w:space="0" w:color="auto"/>
            <w:right w:val="none" w:sz="0" w:space="0" w:color="auto"/>
          </w:divBdr>
          <w:divsChild>
            <w:div w:id="1770082112">
              <w:marLeft w:val="0"/>
              <w:marRight w:val="0"/>
              <w:marTop w:val="0"/>
              <w:marBottom w:val="0"/>
              <w:divBdr>
                <w:top w:val="none" w:sz="0" w:space="0" w:color="auto"/>
                <w:left w:val="none" w:sz="0" w:space="0" w:color="auto"/>
                <w:bottom w:val="none" w:sz="0" w:space="0" w:color="auto"/>
                <w:right w:val="none" w:sz="0" w:space="0" w:color="auto"/>
              </w:divBdr>
            </w:div>
          </w:divsChild>
        </w:div>
        <w:div w:id="1581910866">
          <w:marLeft w:val="0"/>
          <w:marRight w:val="0"/>
          <w:marTop w:val="0"/>
          <w:marBottom w:val="0"/>
          <w:divBdr>
            <w:top w:val="none" w:sz="0" w:space="0" w:color="auto"/>
            <w:left w:val="none" w:sz="0" w:space="0" w:color="auto"/>
            <w:bottom w:val="none" w:sz="0" w:space="0" w:color="auto"/>
            <w:right w:val="none" w:sz="0" w:space="0" w:color="auto"/>
          </w:divBdr>
          <w:divsChild>
            <w:div w:id="39943119">
              <w:marLeft w:val="0"/>
              <w:marRight w:val="0"/>
              <w:marTop w:val="0"/>
              <w:marBottom w:val="0"/>
              <w:divBdr>
                <w:top w:val="none" w:sz="0" w:space="0" w:color="auto"/>
                <w:left w:val="none" w:sz="0" w:space="0" w:color="auto"/>
                <w:bottom w:val="none" w:sz="0" w:space="0" w:color="auto"/>
                <w:right w:val="none" w:sz="0" w:space="0" w:color="auto"/>
              </w:divBdr>
            </w:div>
          </w:divsChild>
        </w:div>
        <w:div w:id="1651708251">
          <w:marLeft w:val="0"/>
          <w:marRight w:val="0"/>
          <w:marTop w:val="0"/>
          <w:marBottom w:val="0"/>
          <w:divBdr>
            <w:top w:val="none" w:sz="0" w:space="0" w:color="auto"/>
            <w:left w:val="none" w:sz="0" w:space="0" w:color="auto"/>
            <w:bottom w:val="none" w:sz="0" w:space="0" w:color="auto"/>
            <w:right w:val="none" w:sz="0" w:space="0" w:color="auto"/>
          </w:divBdr>
          <w:divsChild>
            <w:div w:id="438793880">
              <w:marLeft w:val="0"/>
              <w:marRight w:val="0"/>
              <w:marTop w:val="0"/>
              <w:marBottom w:val="0"/>
              <w:divBdr>
                <w:top w:val="none" w:sz="0" w:space="0" w:color="auto"/>
                <w:left w:val="none" w:sz="0" w:space="0" w:color="auto"/>
                <w:bottom w:val="none" w:sz="0" w:space="0" w:color="auto"/>
                <w:right w:val="none" w:sz="0" w:space="0" w:color="auto"/>
              </w:divBdr>
            </w:div>
          </w:divsChild>
        </w:div>
        <w:div w:id="1670406506">
          <w:marLeft w:val="0"/>
          <w:marRight w:val="0"/>
          <w:marTop w:val="0"/>
          <w:marBottom w:val="0"/>
          <w:divBdr>
            <w:top w:val="none" w:sz="0" w:space="0" w:color="auto"/>
            <w:left w:val="none" w:sz="0" w:space="0" w:color="auto"/>
            <w:bottom w:val="none" w:sz="0" w:space="0" w:color="auto"/>
            <w:right w:val="none" w:sz="0" w:space="0" w:color="auto"/>
          </w:divBdr>
          <w:divsChild>
            <w:div w:id="189530612">
              <w:marLeft w:val="0"/>
              <w:marRight w:val="0"/>
              <w:marTop w:val="0"/>
              <w:marBottom w:val="0"/>
              <w:divBdr>
                <w:top w:val="none" w:sz="0" w:space="0" w:color="auto"/>
                <w:left w:val="none" w:sz="0" w:space="0" w:color="auto"/>
                <w:bottom w:val="none" w:sz="0" w:space="0" w:color="auto"/>
                <w:right w:val="none" w:sz="0" w:space="0" w:color="auto"/>
              </w:divBdr>
            </w:div>
            <w:div w:id="788012775">
              <w:marLeft w:val="0"/>
              <w:marRight w:val="0"/>
              <w:marTop w:val="0"/>
              <w:marBottom w:val="0"/>
              <w:divBdr>
                <w:top w:val="none" w:sz="0" w:space="0" w:color="auto"/>
                <w:left w:val="none" w:sz="0" w:space="0" w:color="auto"/>
                <w:bottom w:val="none" w:sz="0" w:space="0" w:color="auto"/>
                <w:right w:val="none" w:sz="0" w:space="0" w:color="auto"/>
              </w:divBdr>
            </w:div>
          </w:divsChild>
        </w:div>
        <w:div w:id="1687246357">
          <w:marLeft w:val="0"/>
          <w:marRight w:val="0"/>
          <w:marTop w:val="0"/>
          <w:marBottom w:val="0"/>
          <w:divBdr>
            <w:top w:val="none" w:sz="0" w:space="0" w:color="auto"/>
            <w:left w:val="none" w:sz="0" w:space="0" w:color="auto"/>
            <w:bottom w:val="none" w:sz="0" w:space="0" w:color="auto"/>
            <w:right w:val="none" w:sz="0" w:space="0" w:color="auto"/>
          </w:divBdr>
          <w:divsChild>
            <w:div w:id="748312331">
              <w:marLeft w:val="0"/>
              <w:marRight w:val="0"/>
              <w:marTop w:val="0"/>
              <w:marBottom w:val="0"/>
              <w:divBdr>
                <w:top w:val="none" w:sz="0" w:space="0" w:color="auto"/>
                <w:left w:val="none" w:sz="0" w:space="0" w:color="auto"/>
                <w:bottom w:val="none" w:sz="0" w:space="0" w:color="auto"/>
                <w:right w:val="none" w:sz="0" w:space="0" w:color="auto"/>
              </w:divBdr>
            </w:div>
          </w:divsChild>
        </w:div>
        <w:div w:id="1706514839">
          <w:marLeft w:val="0"/>
          <w:marRight w:val="0"/>
          <w:marTop w:val="0"/>
          <w:marBottom w:val="0"/>
          <w:divBdr>
            <w:top w:val="none" w:sz="0" w:space="0" w:color="auto"/>
            <w:left w:val="none" w:sz="0" w:space="0" w:color="auto"/>
            <w:bottom w:val="none" w:sz="0" w:space="0" w:color="auto"/>
            <w:right w:val="none" w:sz="0" w:space="0" w:color="auto"/>
          </w:divBdr>
          <w:divsChild>
            <w:div w:id="263223153">
              <w:marLeft w:val="0"/>
              <w:marRight w:val="0"/>
              <w:marTop w:val="0"/>
              <w:marBottom w:val="0"/>
              <w:divBdr>
                <w:top w:val="none" w:sz="0" w:space="0" w:color="auto"/>
                <w:left w:val="none" w:sz="0" w:space="0" w:color="auto"/>
                <w:bottom w:val="none" w:sz="0" w:space="0" w:color="auto"/>
                <w:right w:val="none" w:sz="0" w:space="0" w:color="auto"/>
              </w:divBdr>
            </w:div>
          </w:divsChild>
        </w:div>
        <w:div w:id="1725443645">
          <w:marLeft w:val="0"/>
          <w:marRight w:val="0"/>
          <w:marTop w:val="0"/>
          <w:marBottom w:val="0"/>
          <w:divBdr>
            <w:top w:val="none" w:sz="0" w:space="0" w:color="auto"/>
            <w:left w:val="none" w:sz="0" w:space="0" w:color="auto"/>
            <w:bottom w:val="none" w:sz="0" w:space="0" w:color="auto"/>
            <w:right w:val="none" w:sz="0" w:space="0" w:color="auto"/>
          </w:divBdr>
          <w:divsChild>
            <w:div w:id="1410620882">
              <w:marLeft w:val="0"/>
              <w:marRight w:val="0"/>
              <w:marTop w:val="0"/>
              <w:marBottom w:val="0"/>
              <w:divBdr>
                <w:top w:val="none" w:sz="0" w:space="0" w:color="auto"/>
                <w:left w:val="none" w:sz="0" w:space="0" w:color="auto"/>
                <w:bottom w:val="none" w:sz="0" w:space="0" w:color="auto"/>
                <w:right w:val="none" w:sz="0" w:space="0" w:color="auto"/>
              </w:divBdr>
            </w:div>
          </w:divsChild>
        </w:div>
        <w:div w:id="1773551354">
          <w:marLeft w:val="0"/>
          <w:marRight w:val="0"/>
          <w:marTop w:val="0"/>
          <w:marBottom w:val="0"/>
          <w:divBdr>
            <w:top w:val="none" w:sz="0" w:space="0" w:color="auto"/>
            <w:left w:val="none" w:sz="0" w:space="0" w:color="auto"/>
            <w:bottom w:val="none" w:sz="0" w:space="0" w:color="auto"/>
            <w:right w:val="none" w:sz="0" w:space="0" w:color="auto"/>
          </w:divBdr>
          <w:divsChild>
            <w:div w:id="1089696398">
              <w:marLeft w:val="0"/>
              <w:marRight w:val="0"/>
              <w:marTop w:val="0"/>
              <w:marBottom w:val="0"/>
              <w:divBdr>
                <w:top w:val="none" w:sz="0" w:space="0" w:color="auto"/>
                <w:left w:val="none" w:sz="0" w:space="0" w:color="auto"/>
                <w:bottom w:val="none" w:sz="0" w:space="0" w:color="auto"/>
                <w:right w:val="none" w:sz="0" w:space="0" w:color="auto"/>
              </w:divBdr>
            </w:div>
          </w:divsChild>
        </w:div>
        <w:div w:id="1824856512">
          <w:marLeft w:val="0"/>
          <w:marRight w:val="0"/>
          <w:marTop w:val="0"/>
          <w:marBottom w:val="0"/>
          <w:divBdr>
            <w:top w:val="none" w:sz="0" w:space="0" w:color="auto"/>
            <w:left w:val="none" w:sz="0" w:space="0" w:color="auto"/>
            <w:bottom w:val="none" w:sz="0" w:space="0" w:color="auto"/>
            <w:right w:val="none" w:sz="0" w:space="0" w:color="auto"/>
          </w:divBdr>
          <w:divsChild>
            <w:div w:id="303236746">
              <w:marLeft w:val="0"/>
              <w:marRight w:val="0"/>
              <w:marTop w:val="0"/>
              <w:marBottom w:val="0"/>
              <w:divBdr>
                <w:top w:val="none" w:sz="0" w:space="0" w:color="auto"/>
                <w:left w:val="none" w:sz="0" w:space="0" w:color="auto"/>
                <w:bottom w:val="none" w:sz="0" w:space="0" w:color="auto"/>
                <w:right w:val="none" w:sz="0" w:space="0" w:color="auto"/>
              </w:divBdr>
            </w:div>
          </w:divsChild>
        </w:div>
        <w:div w:id="1891768668">
          <w:marLeft w:val="0"/>
          <w:marRight w:val="0"/>
          <w:marTop w:val="0"/>
          <w:marBottom w:val="0"/>
          <w:divBdr>
            <w:top w:val="none" w:sz="0" w:space="0" w:color="auto"/>
            <w:left w:val="none" w:sz="0" w:space="0" w:color="auto"/>
            <w:bottom w:val="none" w:sz="0" w:space="0" w:color="auto"/>
            <w:right w:val="none" w:sz="0" w:space="0" w:color="auto"/>
          </w:divBdr>
          <w:divsChild>
            <w:div w:id="94056818">
              <w:marLeft w:val="0"/>
              <w:marRight w:val="0"/>
              <w:marTop w:val="0"/>
              <w:marBottom w:val="0"/>
              <w:divBdr>
                <w:top w:val="none" w:sz="0" w:space="0" w:color="auto"/>
                <w:left w:val="none" w:sz="0" w:space="0" w:color="auto"/>
                <w:bottom w:val="none" w:sz="0" w:space="0" w:color="auto"/>
                <w:right w:val="none" w:sz="0" w:space="0" w:color="auto"/>
              </w:divBdr>
            </w:div>
          </w:divsChild>
        </w:div>
        <w:div w:id="1922449204">
          <w:marLeft w:val="0"/>
          <w:marRight w:val="0"/>
          <w:marTop w:val="0"/>
          <w:marBottom w:val="0"/>
          <w:divBdr>
            <w:top w:val="none" w:sz="0" w:space="0" w:color="auto"/>
            <w:left w:val="none" w:sz="0" w:space="0" w:color="auto"/>
            <w:bottom w:val="none" w:sz="0" w:space="0" w:color="auto"/>
            <w:right w:val="none" w:sz="0" w:space="0" w:color="auto"/>
          </w:divBdr>
          <w:divsChild>
            <w:div w:id="892273730">
              <w:marLeft w:val="0"/>
              <w:marRight w:val="0"/>
              <w:marTop w:val="0"/>
              <w:marBottom w:val="0"/>
              <w:divBdr>
                <w:top w:val="none" w:sz="0" w:space="0" w:color="auto"/>
                <w:left w:val="none" w:sz="0" w:space="0" w:color="auto"/>
                <w:bottom w:val="none" w:sz="0" w:space="0" w:color="auto"/>
                <w:right w:val="none" w:sz="0" w:space="0" w:color="auto"/>
              </w:divBdr>
            </w:div>
          </w:divsChild>
        </w:div>
        <w:div w:id="1928687197">
          <w:marLeft w:val="0"/>
          <w:marRight w:val="0"/>
          <w:marTop w:val="0"/>
          <w:marBottom w:val="0"/>
          <w:divBdr>
            <w:top w:val="none" w:sz="0" w:space="0" w:color="auto"/>
            <w:left w:val="none" w:sz="0" w:space="0" w:color="auto"/>
            <w:bottom w:val="none" w:sz="0" w:space="0" w:color="auto"/>
            <w:right w:val="none" w:sz="0" w:space="0" w:color="auto"/>
          </w:divBdr>
          <w:divsChild>
            <w:div w:id="848298564">
              <w:marLeft w:val="0"/>
              <w:marRight w:val="0"/>
              <w:marTop w:val="0"/>
              <w:marBottom w:val="0"/>
              <w:divBdr>
                <w:top w:val="none" w:sz="0" w:space="0" w:color="auto"/>
                <w:left w:val="none" w:sz="0" w:space="0" w:color="auto"/>
                <w:bottom w:val="none" w:sz="0" w:space="0" w:color="auto"/>
                <w:right w:val="none" w:sz="0" w:space="0" w:color="auto"/>
              </w:divBdr>
            </w:div>
          </w:divsChild>
        </w:div>
        <w:div w:id="1936205580">
          <w:marLeft w:val="0"/>
          <w:marRight w:val="0"/>
          <w:marTop w:val="0"/>
          <w:marBottom w:val="0"/>
          <w:divBdr>
            <w:top w:val="none" w:sz="0" w:space="0" w:color="auto"/>
            <w:left w:val="none" w:sz="0" w:space="0" w:color="auto"/>
            <w:bottom w:val="none" w:sz="0" w:space="0" w:color="auto"/>
            <w:right w:val="none" w:sz="0" w:space="0" w:color="auto"/>
          </w:divBdr>
          <w:divsChild>
            <w:div w:id="326908068">
              <w:marLeft w:val="0"/>
              <w:marRight w:val="0"/>
              <w:marTop w:val="0"/>
              <w:marBottom w:val="0"/>
              <w:divBdr>
                <w:top w:val="none" w:sz="0" w:space="0" w:color="auto"/>
                <w:left w:val="none" w:sz="0" w:space="0" w:color="auto"/>
                <w:bottom w:val="none" w:sz="0" w:space="0" w:color="auto"/>
                <w:right w:val="none" w:sz="0" w:space="0" w:color="auto"/>
              </w:divBdr>
            </w:div>
          </w:divsChild>
        </w:div>
        <w:div w:id="1951468497">
          <w:marLeft w:val="0"/>
          <w:marRight w:val="0"/>
          <w:marTop w:val="0"/>
          <w:marBottom w:val="0"/>
          <w:divBdr>
            <w:top w:val="none" w:sz="0" w:space="0" w:color="auto"/>
            <w:left w:val="none" w:sz="0" w:space="0" w:color="auto"/>
            <w:bottom w:val="none" w:sz="0" w:space="0" w:color="auto"/>
            <w:right w:val="none" w:sz="0" w:space="0" w:color="auto"/>
          </w:divBdr>
          <w:divsChild>
            <w:div w:id="1822694361">
              <w:marLeft w:val="0"/>
              <w:marRight w:val="0"/>
              <w:marTop w:val="0"/>
              <w:marBottom w:val="0"/>
              <w:divBdr>
                <w:top w:val="none" w:sz="0" w:space="0" w:color="auto"/>
                <w:left w:val="none" w:sz="0" w:space="0" w:color="auto"/>
                <w:bottom w:val="none" w:sz="0" w:space="0" w:color="auto"/>
                <w:right w:val="none" w:sz="0" w:space="0" w:color="auto"/>
              </w:divBdr>
            </w:div>
          </w:divsChild>
        </w:div>
        <w:div w:id="1985700508">
          <w:marLeft w:val="0"/>
          <w:marRight w:val="0"/>
          <w:marTop w:val="0"/>
          <w:marBottom w:val="0"/>
          <w:divBdr>
            <w:top w:val="none" w:sz="0" w:space="0" w:color="auto"/>
            <w:left w:val="none" w:sz="0" w:space="0" w:color="auto"/>
            <w:bottom w:val="none" w:sz="0" w:space="0" w:color="auto"/>
            <w:right w:val="none" w:sz="0" w:space="0" w:color="auto"/>
          </w:divBdr>
          <w:divsChild>
            <w:div w:id="210561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814690">
      <w:bodyDiv w:val="1"/>
      <w:marLeft w:val="0"/>
      <w:marRight w:val="0"/>
      <w:marTop w:val="0"/>
      <w:marBottom w:val="0"/>
      <w:divBdr>
        <w:top w:val="none" w:sz="0" w:space="0" w:color="auto"/>
        <w:left w:val="none" w:sz="0" w:space="0" w:color="auto"/>
        <w:bottom w:val="none" w:sz="0" w:space="0" w:color="auto"/>
        <w:right w:val="none" w:sz="0" w:space="0" w:color="auto"/>
      </w:divBdr>
      <w:divsChild>
        <w:div w:id="274213199">
          <w:marLeft w:val="0"/>
          <w:marRight w:val="0"/>
          <w:marTop w:val="0"/>
          <w:marBottom w:val="0"/>
          <w:divBdr>
            <w:top w:val="none" w:sz="0" w:space="0" w:color="auto"/>
            <w:left w:val="none" w:sz="0" w:space="0" w:color="auto"/>
            <w:bottom w:val="none" w:sz="0" w:space="0" w:color="auto"/>
            <w:right w:val="none" w:sz="0" w:space="0" w:color="auto"/>
          </w:divBdr>
        </w:div>
        <w:div w:id="2014409923">
          <w:marLeft w:val="0"/>
          <w:marRight w:val="0"/>
          <w:marTop w:val="0"/>
          <w:marBottom w:val="0"/>
          <w:divBdr>
            <w:top w:val="none" w:sz="0" w:space="0" w:color="auto"/>
            <w:left w:val="none" w:sz="0" w:space="0" w:color="auto"/>
            <w:bottom w:val="none" w:sz="0" w:space="0" w:color="auto"/>
            <w:right w:val="none" w:sz="0" w:space="0" w:color="auto"/>
          </w:divBdr>
        </w:div>
      </w:divsChild>
    </w:div>
    <w:div w:id="1300963783">
      <w:bodyDiv w:val="1"/>
      <w:marLeft w:val="0"/>
      <w:marRight w:val="0"/>
      <w:marTop w:val="0"/>
      <w:marBottom w:val="0"/>
      <w:divBdr>
        <w:top w:val="none" w:sz="0" w:space="0" w:color="auto"/>
        <w:left w:val="none" w:sz="0" w:space="0" w:color="auto"/>
        <w:bottom w:val="none" w:sz="0" w:space="0" w:color="auto"/>
        <w:right w:val="none" w:sz="0" w:space="0" w:color="auto"/>
      </w:divBdr>
      <w:divsChild>
        <w:div w:id="1858691621">
          <w:marLeft w:val="0"/>
          <w:marRight w:val="0"/>
          <w:marTop w:val="0"/>
          <w:marBottom w:val="0"/>
          <w:divBdr>
            <w:top w:val="none" w:sz="0" w:space="0" w:color="auto"/>
            <w:left w:val="none" w:sz="0" w:space="0" w:color="auto"/>
            <w:bottom w:val="none" w:sz="0" w:space="0" w:color="auto"/>
            <w:right w:val="none" w:sz="0" w:space="0" w:color="auto"/>
          </w:divBdr>
        </w:div>
      </w:divsChild>
    </w:div>
    <w:div w:id="1323391972">
      <w:bodyDiv w:val="1"/>
      <w:marLeft w:val="0"/>
      <w:marRight w:val="0"/>
      <w:marTop w:val="0"/>
      <w:marBottom w:val="0"/>
      <w:divBdr>
        <w:top w:val="none" w:sz="0" w:space="0" w:color="auto"/>
        <w:left w:val="none" w:sz="0" w:space="0" w:color="auto"/>
        <w:bottom w:val="none" w:sz="0" w:space="0" w:color="auto"/>
        <w:right w:val="none" w:sz="0" w:space="0" w:color="auto"/>
      </w:divBdr>
    </w:div>
    <w:div w:id="1323847146">
      <w:bodyDiv w:val="1"/>
      <w:marLeft w:val="0"/>
      <w:marRight w:val="0"/>
      <w:marTop w:val="0"/>
      <w:marBottom w:val="0"/>
      <w:divBdr>
        <w:top w:val="none" w:sz="0" w:space="0" w:color="auto"/>
        <w:left w:val="none" w:sz="0" w:space="0" w:color="auto"/>
        <w:bottom w:val="none" w:sz="0" w:space="0" w:color="auto"/>
        <w:right w:val="none" w:sz="0" w:space="0" w:color="auto"/>
      </w:divBdr>
      <w:divsChild>
        <w:div w:id="1294484447">
          <w:marLeft w:val="0"/>
          <w:marRight w:val="0"/>
          <w:marTop w:val="0"/>
          <w:marBottom w:val="0"/>
          <w:divBdr>
            <w:top w:val="none" w:sz="0" w:space="0" w:color="auto"/>
            <w:left w:val="none" w:sz="0" w:space="0" w:color="auto"/>
            <w:bottom w:val="none" w:sz="0" w:space="0" w:color="auto"/>
            <w:right w:val="none" w:sz="0" w:space="0" w:color="auto"/>
          </w:divBdr>
        </w:div>
      </w:divsChild>
    </w:div>
    <w:div w:id="1332835502">
      <w:bodyDiv w:val="1"/>
      <w:marLeft w:val="0"/>
      <w:marRight w:val="0"/>
      <w:marTop w:val="0"/>
      <w:marBottom w:val="0"/>
      <w:divBdr>
        <w:top w:val="none" w:sz="0" w:space="0" w:color="auto"/>
        <w:left w:val="none" w:sz="0" w:space="0" w:color="auto"/>
        <w:bottom w:val="none" w:sz="0" w:space="0" w:color="auto"/>
        <w:right w:val="none" w:sz="0" w:space="0" w:color="auto"/>
      </w:divBdr>
      <w:divsChild>
        <w:div w:id="86313783">
          <w:marLeft w:val="0"/>
          <w:marRight w:val="0"/>
          <w:marTop w:val="0"/>
          <w:marBottom w:val="0"/>
          <w:divBdr>
            <w:top w:val="none" w:sz="0" w:space="0" w:color="auto"/>
            <w:left w:val="none" w:sz="0" w:space="0" w:color="auto"/>
            <w:bottom w:val="none" w:sz="0" w:space="0" w:color="auto"/>
            <w:right w:val="none" w:sz="0" w:space="0" w:color="auto"/>
          </w:divBdr>
        </w:div>
      </w:divsChild>
    </w:div>
    <w:div w:id="1345279426">
      <w:bodyDiv w:val="1"/>
      <w:marLeft w:val="0"/>
      <w:marRight w:val="0"/>
      <w:marTop w:val="0"/>
      <w:marBottom w:val="0"/>
      <w:divBdr>
        <w:top w:val="none" w:sz="0" w:space="0" w:color="auto"/>
        <w:left w:val="none" w:sz="0" w:space="0" w:color="auto"/>
        <w:bottom w:val="none" w:sz="0" w:space="0" w:color="auto"/>
        <w:right w:val="none" w:sz="0" w:space="0" w:color="auto"/>
      </w:divBdr>
      <w:divsChild>
        <w:div w:id="1553886668">
          <w:marLeft w:val="0"/>
          <w:marRight w:val="0"/>
          <w:marTop w:val="0"/>
          <w:marBottom w:val="0"/>
          <w:divBdr>
            <w:top w:val="none" w:sz="0" w:space="0" w:color="auto"/>
            <w:left w:val="none" w:sz="0" w:space="0" w:color="auto"/>
            <w:bottom w:val="none" w:sz="0" w:space="0" w:color="auto"/>
            <w:right w:val="none" w:sz="0" w:space="0" w:color="auto"/>
          </w:divBdr>
        </w:div>
      </w:divsChild>
    </w:div>
    <w:div w:id="1379428181">
      <w:bodyDiv w:val="1"/>
      <w:marLeft w:val="0"/>
      <w:marRight w:val="0"/>
      <w:marTop w:val="0"/>
      <w:marBottom w:val="0"/>
      <w:divBdr>
        <w:top w:val="none" w:sz="0" w:space="0" w:color="auto"/>
        <w:left w:val="none" w:sz="0" w:space="0" w:color="auto"/>
        <w:bottom w:val="none" w:sz="0" w:space="0" w:color="auto"/>
        <w:right w:val="none" w:sz="0" w:space="0" w:color="auto"/>
      </w:divBdr>
      <w:divsChild>
        <w:div w:id="1570573218">
          <w:marLeft w:val="0"/>
          <w:marRight w:val="0"/>
          <w:marTop w:val="0"/>
          <w:marBottom w:val="0"/>
          <w:divBdr>
            <w:top w:val="none" w:sz="0" w:space="0" w:color="auto"/>
            <w:left w:val="none" w:sz="0" w:space="0" w:color="auto"/>
            <w:bottom w:val="none" w:sz="0" w:space="0" w:color="auto"/>
            <w:right w:val="none" w:sz="0" w:space="0" w:color="auto"/>
          </w:divBdr>
        </w:div>
      </w:divsChild>
    </w:div>
    <w:div w:id="1389836694">
      <w:bodyDiv w:val="1"/>
      <w:marLeft w:val="0"/>
      <w:marRight w:val="0"/>
      <w:marTop w:val="0"/>
      <w:marBottom w:val="0"/>
      <w:divBdr>
        <w:top w:val="none" w:sz="0" w:space="0" w:color="auto"/>
        <w:left w:val="none" w:sz="0" w:space="0" w:color="auto"/>
        <w:bottom w:val="none" w:sz="0" w:space="0" w:color="auto"/>
        <w:right w:val="none" w:sz="0" w:space="0" w:color="auto"/>
      </w:divBdr>
    </w:div>
    <w:div w:id="1404524088">
      <w:bodyDiv w:val="1"/>
      <w:marLeft w:val="0"/>
      <w:marRight w:val="0"/>
      <w:marTop w:val="0"/>
      <w:marBottom w:val="0"/>
      <w:divBdr>
        <w:top w:val="none" w:sz="0" w:space="0" w:color="auto"/>
        <w:left w:val="none" w:sz="0" w:space="0" w:color="auto"/>
        <w:bottom w:val="none" w:sz="0" w:space="0" w:color="auto"/>
        <w:right w:val="none" w:sz="0" w:space="0" w:color="auto"/>
      </w:divBdr>
    </w:div>
    <w:div w:id="1405953915">
      <w:bodyDiv w:val="1"/>
      <w:marLeft w:val="0"/>
      <w:marRight w:val="0"/>
      <w:marTop w:val="0"/>
      <w:marBottom w:val="0"/>
      <w:divBdr>
        <w:top w:val="none" w:sz="0" w:space="0" w:color="auto"/>
        <w:left w:val="none" w:sz="0" w:space="0" w:color="auto"/>
        <w:bottom w:val="none" w:sz="0" w:space="0" w:color="auto"/>
        <w:right w:val="none" w:sz="0" w:space="0" w:color="auto"/>
      </w:divBdr>
    </w:div>
    <w:div w:id="1409419833">
      <w:bodyDiv w:val="1"/>
      <w:marLeft w:val="0"/>
      <w:marRight w:val="0"/>
      <w:marTop w:val="0"/>
      <w:marBottom w:val="0"/>
      <w:divBdr>
        <w:top w:val="none" w:sz="0" w:space="0" w:color="auto"/>
        <w:left w:val="none" w:sz="0" w:space="0" w:color="auto"/>
        <w:bottom w:val="none" w:sz="0" w:space="0" w:color="auto"/>
        <w:right w:val="none" w:sz="0" w:space="0" w:color="auto"/>
      </w:divBdr>
    </w:div>
    <w:div w:id="1420373565">
      <w:bodyDiv w:val="1"/>
      <w:marLeft w:val="0"/>
      <w:marRight w:val="0"/>
      <w:marTop w:val="0"/>
      <w:marBottom w:val="0"/>
      <w:divBdr>
        <w:top w:val="none" w:sz="0" w:space="0" w:color="auto"/>
        <w:left w:val="none" w:sz="0" w:space="0" w:color="auto"/>
        <w:bottom w:val="none" w:sz="0" w:space="0" w:color="auto"/>
        <w:right w:val="none" w:sz="0" w:space="0" w:color="auto"/>
      </w:divBdr>
      <w:divsChild>
        <w:div w:id="1675840743">
          <w:marLeft w:val="0"/>
          <w:marRight w:val="0"/>
          <w:marTop w:val="0"/>
          <w:marBottom w:val="0"/>
          <w:divBdr>
            <w:top w:val="none" w:sz="0" w:space="0" w:color="auto"/>
            <w:left w:val="none" w:sz="0" w:space="0" w:color="auto"/>
            <w:bottom w:val="none" w:sz="0" w:space="0" w:color="auto"/>
            <w:right w:val="none" w:sz="0" w:space="0" w:color="auto"/>
          </w:divBdr>
        </w:div>
      </w:divsChild>
    </w:div>
    <w:div w:id="1420520820">
      <w:bodyDiv w:val="1"/>
      <w:marLeft w:val="0"/>
      <w:marRight w:val="0"/>
      <w:marTop w:val="0"/>
      <w:marBottom w:val="0"/>
      <w:divBdr>
        <w:top w:val="none" w:sz="0" w:space="0" w:color="auto"/>
        <w:left w:val="none" w:sz="0" w:space="0" w:color="auto"/>
        <w:bottom w:val="none" w:sz="0" w:space="0" w:color="auto"/>
        <w:right w:val="none" w:sz="0" w:space="0" w:color="auto"/>
      </w:divBdr>
      <w:divsChild>
        <w:div w:id="1800607561">
          <w:marLeft w:val="0"/>
          <w:marRight w:val="0"/>
          <w:marTop w:val="0"/>
          <w:marBottom w:val="0"/>
          <w:divBdr>
            <w:top w:val="none" w:sz="0" w:space="0" w:color="auto"/>
            <w:left w:val="none" w:sz="0" w:space="0" w:color="auto"/>
            <w:bottom w:val="none" w:sz="0" w:space="0" w:color="auto"/>
            <w:right w:val="none" w:sz="0" w:space="0" w:color="auto"/>
          </w:divBdr>
        </w:div>
      </w:divsChild>
    </w:div>
    <w:div w:id="1428042769">
      <w:bodyDiv w:val="1"/>
      <w:marLeft w:val="0"/>
      <w:marRight w:val="0"/>
      <w:marTop w:val="0"/>
      <w:marBottom w:val="0"/>
      <w:divBdr>
        <w:top w:val="none" w:sz="0" w:space="0" w:color="auto"/>
        <w:left w:val="none" w:sz="0" w:space="0" w:color="auto"/>
        <w:bottom w:val="none" w:sz="0" w:space="0" w:color="auto"/>
        <w:right w:val="none" w:sz="0" w:space="0" w:color="auto"/>
      </w:divBdr>
    </w:div>
    <w:div w:id="1433474913">
      <w:bodyDiv w:val="1"/>
      <w:marLeft w:val="0"/>
      <w:marRight w:val="0"/>
      <w:marTop w:val="0"/>
      <w:marBottom w:val="0"/>
      <w:divBdr>
        <w:top w:val="none" w:sz="0" w:space="0" w:color="auto"/>
        <w:left w:val="none" w:sz="0" w:space="0" w:color="auto"/>
        <w:bottom w:val="none" w:sz="0" w:space="0" w:color="auto"/>
        <w:right w:val="none" w:sz="0" w:space="0" w:color="auto"/>
      </w:divBdr>
    </w:div>
    <w:div w:id="1465466536">
      <w:bodyDiv w:val="1"/>
      <w:marLeft w:val="0"/>
      <w:marRight w:val="0"/>
      <w:marTop w:val="0"/>
      <w:marBottom w:val="0"/>
      <w:divBdr>
        <w:top w:val="none" w:sz="0" w:space="0" w:color="auto"/>
        <w:left w:val="none" w:sz="0" w:space="0" w:color="auto"/>
        <w:bottom w:val="none" w:sz="0" w:space="0" w:color="auto"/>
        <w:right w:val="none" w:sz="0" w:space="0" w:color="auto"/>
      </w:divBdr>
      <w:divsChild>
        <w:div w:id="126166227">
          <w:marLeft w:val="0"/>
          <w:marRight w:val="0"/>
          <w:marTop w:val="0"/>
          <w:marBottom w:val="0"/>
          <w:divBdr>
            <w:top w:val="none" w:sz="0" w:space="0" w:color="auto"/>
            <w:left w:val="none" w:sz="0" w:space="0" w:color="auto"/>
            <w:bottom w:val="none" w:sz="0" w:space="0" w:color="auto"/>
            <w:right w:val="none" w:sz="0" w:space="0" w:color="auto"/>
          </w:divBdr>
        </w:div>
      </w:divsChild>
    </w:div>
    <w:div w:id="1482846815">
      <w:bodyDiv w:val="1"/>
      <w:marLeft w:val="0"/>
      <w:marRight w:val="0"/>
      <w:marTop w:val="0"/>
      <w:marBottom w:val="0"/>
      <w:divBdr>
        <w:top w:val="none" w:sz="0" w:space="0" w:color="auto"/>
        <w:left w:val="none" w:sz="0" w:space="0" w:color="auto"/>
        <w:bottom w:val="none" w:sz="0" w:space="0" w:color="auto"/>
        <w:right w:val="none" w:sz="0" w:space="0" w:color="auto"/>
      </w:divBdr>
      <w:divsChild>
        <w:div w:id="783228042">
          <w:marLeft w:val="0"/>
          <w:marRight w:val="0"/>
          <w:marTop w:val="0"/>
          <w:marBottom w:val="0"/>
          <w:divBdr>
            <w:top w:val="none" w:sz="0" w:space="0" w:color="auto"/>
            <w:left w:val="none" w:sz="0" w:space="0" w:color="auto"/>
            <w:bottom w:val="none" w:sz="0" w:space="0" w:color="auto"/>
            <w:right w:val="none" w:sz="0" w:space="0" w:color="auto"/>
          </w:divBdr>
        </w:div>
        <w:div w:id="1456367678">
          <w:marLeft w:val="0"/>
          <w:marRight w:val="0"/>
          <w:marTop w:val="0"/>
          <w:marBottom w:val="0"/>
          <w:divBdr>
            <w:top w:val="none" w:sz="0" w:space="0" w:color="auto"/>
            <w:left w:val="none" w:sz="0" w:space="0" w:color="auto"/>
            <w:bottom w:val="none" w:sz="0" w:space="0" w:color="auto"/>
            <w:right w:val="none" w:sz="0" w:space="0" w:color="auto"/>
          </w:divBdr>
        </w:div>
      </w:divsChild>
    </w:div>
    <w:div w:id="1486320426">
      <w:bodyDiv w:val="1"/>
      <w:marLeft w:val="0"/>
      <w:marRight w:val="0"/>
      <w:marTop w:val="0"/>
      <w:marBottom w:val="0"/>
      <w:divBdr>
        <w:top w:val="none" w:sz="0" w:space="0" w:color="auto"/>
        <w:left w:val="none" w:sz="0" w:space="0" w:color="auto"/>
        <w:bottom w:val="none" w:sz="0" w:space="0" w:color="auto"/>
        <w:right w:val="none" w:sz="0" w:space="0" w:color="auto"/>
      </w:divBdr>
      <w:divsChild>
        <w:div w:id="749497120">
          <w:marLeft w:val="0"/>
          <w:marRight w:val="0"/>
          <w:marTop w:val="0"/>
          <w:marBottom w:val="0"/>
          <w:divBdr>
            <w:top w:val="none" w:sz="0" w:space="0" w:color="auto"/>
            <w:left w:val="none" w:sz="0" w:space="0" w:color="auto"/>
            <w:bottom w:val="none" w:sz="0" w:space="0" w:color="auto"/>
            <w:right w:val="none" w:sz="0" w:space="0" w:color="auto"/>
          </w:divBdr>
        </w:div>
      </w:divsChild>
    </w:div>
    <w:div w:id="1513642648">
      <w:bodyDiv w:val="1"/>
      <w:marLeft w:val="0"/>
      <w:marRight w:val="0"/>
      <w:marTop w:val="0"/>
      <w:marBottom w:val="0"/>
      <w:divBdr>
        <w:top w:val="none" w:sz="0" w:space="0" w:color="auto"/>
        <w:left w:val="none" w:sz="0" w:space="0" w:color="auto"/>
        <w:bottom w:val="none" w:sz="0" w:space="0" w:color="auto"/>
        <w:right w:val="none" w:sz="0" w:space="0" w:color="auto"/>
      </w:divBdr>
      <w:divsChild>
        <w:div w:id="609045225">
          <w:marLeft w:val="0"/>
          <w:marRight w:val="0"/>
          <w:marTop w:val="0"/>
          <w:marBottom w:val="0"/>
          <w:divBdr>
            <w:top w:val="none" w:sz="0" w:space="0" w:color="auto"/>
            <w:left w:val="none" w:sz="0" w:space="0" w:color="auto"/>
            <w:bottom w:val="none" w:sz="0" w:space="0" w:color="auto"/>
            <w:right w:val="none" w:sz="0" w:space="0" w:color="auto"/>
          </w:divBdr>
        </w:div>
      </w:divsChild>
    </w:div>
    <w:div w:id="1563444276">
      <w:bodyDiv w:val="1"/>
      <w:marLeft w:val="0"/>
      <w:marRight w:val="0"/>
      <w:marTop w:val="0"/>
      <w:marBottom w:val="0"/>
      <w:divBdr>
        <w:top w:val="none" w:sz="0" w:space="0" w:color="auto"/>
        <w:left w:val="none" w:sz="0" w:space="0" w:color="auto"/>
        <w:bottom w:val="none" w:sz="0" w:space="0" w:color="auto"/>
        <w:right w:val="none" w:sz="0" w:space="0" w:color="auto"/>
      </w:divBdr>
      <w:divsChild>
        <w:div w:id="1802188206">
          <w:marLeft w:val="0"/>
          <w:marRight w:val="0"/>
          <w:marTop w:val="0"/>
          <w:marBottom w:val="0"/>
          <w:divBdr>
            <w:top w:val="none" w:sz="0" w:space="0" w:color="auto"/>
            <w:left w:val="none" w:sz="0" w:space="0" w:color="auto"/>
            <w:bottom w:val="none" w:sz="0" w:space="0" w:color="auto"/>
            <w:right w:val="none" w:sz="0" w:space="0" w:color="auto"/>
          </w:divBdr>
        </w:div>
      </w:divsChild>
    </w:div>
    <w:div w:id="1577396513">
      <w:bodyDiv w:val="1"/>
      <w:marLeft w:val="0"/>
      <w:marRight w:val="0"/>
      <w:marTop w:val="0"/>
      <w:marBottom w:val="0"/>
      <w:divBdr>
        <w:top w:val="none" w:sz="0" w:space="0" w:color="auto"/>
        <w:left w:val="none" w:sz="0" w:space="0" w:color="auto"/>
        <w:bottom w:val="none" w:sz="0" w:space="0" w:color="auto"/>
        <w:right w:val="none" w:sz="0" w:space="0" w:color="auto"/>
      </w:divBdr>
      <w:divsChild>
        <w:div w:id="1644195260">
          <w:marLeft w:val="0"/>
          <w:marRight w:val="0"/>
          <w:marTop w:val="0"/>
          <w:marBottom w:val="0"/>
          <w:divBdr>
            <w:top w:val="none" w:sz="0" w:space="0" w:color="auto"/>
            <w:left w:val="none" w:sz="0" w:space="0" w:color="auto"/>
            <w:bottom w:val="none" w:sz="0" w:space="0" w:color="auto"/>
            <w:right w:val="none" w:sz="0" w:space="0" w:color="auto"/>
          </w:divBdr>
        </w:div>
      </w:divsChild>
    </w:div>
    <w:div w:id="1601110458">
      <w:bodyDiv w:val="1"/>
      <w:marLeft w:val="0"/>
      <w:marRight w:val="0"/>
      <w:marTop w:val="0"/>
      <w:marBottom w:val="0"/>
      <w:divBdr>
        <w:top w:val="none" w:sz="0" w:space="0" w:color="auto"/>
        <w:left w:val="none" w:sz="0" w:space="0" w:color="auto"/>
        <w:bottom w:val="none" w:sz="0" w:space="0" w:color="auto"/>
        <w:right w:val="none" w:sz="0" w:space="0" w:color="auto"/>
      </w:divBdr>
    </w:div>
    <w:div w:id="1614825232">
      <w:bodyDiv w:val="1"/>
      <w:marLeft w:val="0"/>
      <w:marRight w:val="0"/>
      <w:marTop w:val="0"/>
      <w:marBottom w:val="0"/>
      <w:divBdr>
        <w:top w:val="none" w:sz="0" w:space="0" w:color="auto"/>
        <w:left w:val="none" w:sz="0" w:space="0" w:color="auto"/>
        <w:bottom w:val="none" w:sz="0" w:space="0" w:color="auto"/>
        <w:right w:val="none" w:sz="0" w:space="0" w:color="auto"/>
      </w:divBdr>
      <w:divsChild>
        <w:div w:id="1141191135">
          <w:marLeft w:val="0"/>
          <w:marRight w:val="0"/>
          <w:marTop w:val="0"/>
          <w:marBottom w:val="0"/>
          <w:divBdr>
            <w:top w:val="none" w:sz="0" w:space="0" w:color="auto"/>
            <w:left w:val="none" w:sz="0" w:space="0" w:color="auto"/>
            <w:bottom w:val="none" w:sz="0" w:space="0" w:color="auto"/>
            <w:right w:val="none" w:sz="0" w:space="0" w:color="auto"/>
          </w:divBdr>
        </w:div>
      </w:divsChild>
    </w:div>
    <w:div w:id="1615359863">
      <w:bodyDiv w:val="1"/>
      <w:marLeft w:val="0"/>
      <w:marRight w:val="0"/>
      <w:marTop w:val="0"/>
      <w:marBottom w:val="0"/>
      <w:divBdr>
        <w:top w:val="none" w:sz="0" w:space="0" w:color="auto"/>
        <w:left w:val="none" w:sz="0" w:space="0" w:color="auto"/>
        <w:bottom w:val="none" w:sz="0" w:space="0" w:color="auto"/>
        <w:right w:val="none" w:sz="0" w:space="0" w:color="auto"/>
      </w:divBdr>
    </w:div>
    <w:div w:id="1624654811">
      <w:bodyDiv w:val="1"/>
      <w:marLeft w:val="0"/>
      <w:marRight w:val="0"/>
      <w:marTop w:val="0"/>
      <w:marBottom w:val="0"/>
      <w:divBdr>
        <w:top w:val="none" w:sz="0" w:space="0" w:color="auto"/>
        <w:left w:val="none" w:sz="0" w:space="0" w:color="auto"/>
        <w:bottom w:val="none" w:sz="0" w:space="0" w:color="auto"/>
        <w:right w:val="none" w:sz="0" w:space="0" w:color="auto"/>
      </w:divBdr>
    </w:div>
    <w:div w:id="1629429341">
      <w:bodyDiv w:val="1"/>
      <w:marLeft w:val="0"/>
      <w:marRight w:val="0"/>
      <w:marTop w:val="0"/>
      <w:marBottom w:val="0"/>
      <w:divBdr>
        <w:top w:val="none" w:sz="0" w:space="0" w:color="auto"/>
        <w:left w:val="none" w:sz="0" w:space="0" w:color="auto"/>
        <w:bottom w:val="none" w:sz="0" w:space="0" w:color="auto"/>
        <w:right w:val="none" w:sz="0" w:space="0" w:color="auto"/>
      </w:divBdr>
      <w:divsChild>
        <w:div w:id="551693878">
          <w:marLeft w:val="0"/>
          <w:marRight w:val="0"/>
          <w:marTop w:val="0"/>
          <w:marBottom w:val="0"/>
          <w:divBdr>
            <w:top w:val="none" w:sz="0" w:space="0" w:color="auto"/>
            <w:left w:val="none" w:sz="0" w:space="0" w:color="auto"/>
            <w:bottom w:val="none" w:sz="0" w:space="0" w:color="auto"/>
            <w:right w:val="none" w:sz="0" w:space="0" w:color="auto"/>
          </w:divBdr>
        </w:div>
      </w:divsChild>
    </w:div>
    <w:div w:id="1631085527">
      <w:bodyDiv w:val="1"/>
      <w:marLeft w:val="0"/>
      <w:marRight w:val="0"/>
      <w:marTop w:val="0"/>
      <w:marBottom w:val="0"/>
      <w:divBdr>
        <w:top w:val="none" w:sz="0" w:space="0" w:color="auto"/>
        <w:left w:val="none" w:sz="0" w:space="0" w:color="auto"/>
        <w:bottom w:val="none" w:sz="0" w:space="0" w:color="auto"/>
        <w:right w:val="none" w:sz="0" w:space="0" w:color="auto"/>
      </w:divBdr>
    </w:div>
    <w:div w:id="1635984916">
      <w:bodyDiv w:val="1"/>
      <w:marLeft w:val="0"/>
      <w:marRight w:val="0"/>
      <w:marTop w:val="0"/>
      <w:marBottom w:val="0"/>
      <w:divBdr>
        <w:top w:val="none" w:sz="0" w:space="0" w:color="auto"/>
        <w:left w:val="none" w:sz="0" w:space="0" w:color="auto"/>
        <w:bottom w:val="none" w:sz="0" w:space="0" w:color="auto"/>
        <w:right w:val="none" w:sz="0" w:space="0" w:color="auto"/>
      </w:divBdr>
      <w:divsChild>
        <w:div w:id="912737397">
          <w:marLeft w:val="0"/>
          <w:marRight w:val="0"/>
          <w:marTop w:val="0"/>
          <w:marBottom w:val="0"/>
          <w:divBdr>
            <w:top w:val="none" w:sz="0" w:space="0" w:color="auto"/>
            <w:left w:val="none" w:sz="0" w:space="0" w:color="auto"/>
            <w:bottom w:val="none" w:sz="0" w:space="0" w:color="auto"/>
            <w:right w:val="none" w:sz="0" w:space="0" w:color="auto"/>
          </w:divBdr>
        </w:div>
      </w:divsChild>
    </w:div>
    <w:div w:id="1636181612">
      <w:bodyDiv w:val="1"/>
      <w:marLeft w:val="0"/>
      <w:marRight w:val="0"/>
      <w:marTop w:val="0"/>
      <w:marBottom w:val="0"/>
      <w:divBdr>
        <w:top w:val="none" w:sz="0" w:space="0" w:color="auto"/>
        <w:left w:val="none" w:sz="0" w:space="0" w:color="auto"/>
        <w:bottom w:val="none" w:sz="0" w:space="0" w:color="auto"/>
        <w:right w:val="none" w:sz="0" w:space="0" w:color="auto"/>
      </w:divBdr>
    </w:div>
    <w:div w:id="1639065176">
      <w:bodyDiv w:val="1"/>
      <w:marLeft w:val="0"/>
      <w:marRight w:val="0"/>
      <w:marTop w:val="0"/>
      <w:marBottom w:val="0"/>
      <w:divBdr>
        <w:top w:val="none" w:sz="0" w:space="0" w:color="auto"/>
        <w:left w:val="none" w:sz="0" w:space="0" w:color="auto"/>
        <w:bottom w:val="none" w:sz="0" w:space="0" w:color="auto"/>
        <w:right w:val="none" w:sz="0" w:space="0" w:color="auto"/>
      </w:divBdr>
      <w:divsChild>
        <w:div w:id="1430589173">
          <w:marLeft w:val="0"/>
          <w:marRight w:val="0"/>
          <w:marTop w:val="0"/>
          <w:marBottom w:val="0"/>
          <w:divBdr>
            <w:top w:val="none" w:sz="0" w:space="0" w:color="auto"/>
            <w:left w:val="none" w:sz="0" w:space="0" w:color="auto"/>
            <w:bottom w:val="none" w:sz="0" w:space="0" w:color="auto"/>
            <w:right w:val="none" w:sz="0" w:space="0" w:color="auto"/>
          </w:divBdr>
        </w:div>
      </w:divsChild>
    </w:div>
    <w:div w:id="1656176635">
      <w:bodyDiv w:val="1"/>
      <w:marLeft w:val="0"/>
      <w:marRight w:val="0"/>
      <w:marTop w:val="0"/>
      <w:marBottom w:val="0"/>
      <w:divBdr>
        <w:top w:val="none" w:sz="0" w:space="0" w:color="auto"/>
        <w:left w:val="none" w:sz="0" w:space="0" w:color="auto"/>
        <w:bottom w:val="none" w:sz="0" w:space="0" w:color="auto"/>
        <w:right w:val="none" w:sz="0" w:space="0" w:color="auto"/>
      </w:divBdr>
      <w:divsChild>
        <w:div w:id="538470600">
          <w:marLeft w:val="0"/>
          <w:marRight w:val="0"/>
          <w:marTop w:val="0"/>
          <w:marBottom w:val="0"/>
          <w:divBdr>
            <w:top w:val="none" w:sz="0" w:space="0" w:color="auto"/>
            <w:left w:val="none" w:sz="0" w:space="0" w:color="auto"/>
            <w:bottom w:val="none" w:sz="0" w:space="0" w:color="auto"/>
            <w:right w:val="none" w:sz="0" w:space="0" w:color="auto"/>
          </w:divBdr>
        </w:div>
      </w:divsChild>
    </w:div>
    <w:div w:id="1656183914">
      <w:bodyDiv w:val="1"/>
      <w:marLeft w:val="0"/>
      <w:marRight w:val="0"/>
      <w:marTop w:val="0"/>
      <w:marBottom w:val="0"/>
      <w:divBdr>
        <w:top w:val="none" w:sz="0" w:space="0" w:color="auto"/>
        <w:left w:val="none" w:sz="0" w:space="0" w:color="auto"/>
        <w:bottom w:val="none" w:sz="0" w:space="0" w:color="auto"/>
        <w:right w:val="none" w:sz="0" w:space="0" w:color="auto"/>
      </w:divBdr>
      <w:divsChild>
        <w:div w:id="640767008">
          <w:marLeft w:val="0"/>
          <w:marRight w:val="0"/>
          <w:marTop w:val="0"/>
          <w:marBottom w:val="0"/>
          <w:divBdr>
            <w:top w:val="none" w:sz="0" w:space="0" w:color="auto"/>
            <w:left w:val="none" w:sz="0" w:space="0" w:color="auto"/>
            <w:bottom w:val="none" w:sz="0" w:space="0" w:color="auto"/>
            <w:right w:val="none" w:sz="0" w:space="0" w:color="auto"/>
          </w:divBdr>
        </w:div>
      </w:divsChild>
    </w:div>
    <w:div w:id="1707950175">
      <w:bodyDiv w:val="1"/>
      <w:marLeft w:val="0"/>
      <w:marRight w:val="0"/>
      <w:marTop w:val="0"/>
      <w:marBottom w:val="0"/>
      <w:divBdr>
        <w:top w:val="none" w:sz="0" w:space="0" w:color="auto"/>
        <w:left w:val="none" w:sz="0" w:space="0" w:color="auto"/>
        <w:bottom w:val="none" w:sz="0" w:space="0" w:color="auto"/>
        <w:right w:val="none" w:sz="0" w:space="0" w:color="auto"/>
      </w:divBdr>
      <w:divsChild>
        <w:div w:id="262420526">
          <w:marLeft w:val="0"/>
          <w:marRight w:val="0"/>
          <w:marTop w:val="0"/>
          <w:marBottom w:val="0"/>
          <w:divBdr>
            <w:top w:val="none" w:sz="0" w:space="0" w:color="auto"/>
            <w:left w:val="none" w:sz="0" w:space="0" w:color="auto"/>
            <w:bottom w:val="none" w:sz="0" w:space="0" w:color="auto"/>
            <w:right w:val="none" w:sz="0" w:space="0" w:color="auto"/>
          </w:divBdr>
        </w:div>
      </w:divsChild>
    </w:div>
    <w:div w:id="1711958673">
      <w:bodyDiv w:val="1"/>
      <w:marLeft w:val="0"/>
      <w:marRight w:val="0"/>
      <w:marTop w:val="0"/>
      <w:marBottom w:val="0"/>
      <w:divBdr>
        <w:top w:val="none" w:sz="0" w:space="0" w:color="auto"/>
        <w:left w:val="none" w:sz="0" w:space="0" w:color="auto"/>
        <w:bottom w:val="none" w:sz="0" w:space="0" w:color="auto"/>
        <w:right w:val="none" w:sz="0" w:space="0" w:color="auto"/>
      </w:divBdr>
      <w:divsChild>
        <w:div w:id="233009529">
          <w:marLeft w:val="0"/>
          <w:marRight w:val="0"/>
          <w:marTop w:val="0"/>
          <w:marBottom w:val="0"/>
          <w:divBdr>
            <w:top w:val="none" w:sz="0" w:space="0" w:color="auto"/>
            <w:left w:val="none" w:sz="0" w:space="0" w:color="auto"/>
            <w:bottom w:val="none" w:sz="0" w:space="0" w:color="auto"/>
            <w:right w:val="none" w:sz="0" w:space="0" w:color="auto"/>
          </w:divBdr>
        </w:div>
      </w:divsChild>
    </w:div>
    <w:div w:id="1713576673">
      <w:bodyDiv w:val="1"/>
      <w:marLeft w:val="0"/>
      <w:marRight w:val="0"/>
      <w:marTop w:val="0"/>
      <w:marBottom w:val="0"/>
      <w:divBdr>
        <w:top w:val="none" w:sz="0" w:space="0" w:color="auto"/>
        <w:left w:val="none" w:sz="0" w:space="0" w:color="auto"/>
        <w:bottom w:val="none" w:sz="0" w:space="0" w:color="auto"/>
        <w:right w:val="none" w:sz="0" w:space="0" w:color="auto"/>
      </w:divBdr>
      <w:divsChild>
        <w:div w:id="23336861">
          <w:marLeft w:val="0"/>
          <w:marRight w:val="0"/>
          <w:marTop w:val="0"/>
          <w:marBottom w:val="0"/>
          <w:divBdr>
            <w:top w:val="none" w:sz="0" w:space="0" w:color="auto"/>
            <w:left w:val="none" w:sz="0" w:space="0" w:color="auto"/>
            <w:bottom w:val="none" w:sz="0" w:space="0" w:color="auto"/>
            <w:right w:val="none" w:sz="0" w:space="0" w:color="auto"/>
          </w:divBdr>
          <w:divsChild>
            <w:div w:id="1505322448">
              <w:marLeft w:val="0"/>
              <w:marRight w:val="0"/>
              <w:marTop w:val="0"/>
              <w:marBottom w:val="0"/>
              <w:divBdr>
                <w:top w:val="none" w:sz="0" w:space="0" w:color="auto"/>
                <w:left w:val="none" w:sz="0" w:space="0" w:color="auto"/>
                <w:bottom w:val="none" w:sz="0" w:space="0" w:color="auto"/>
                <w:right w:val="none" w:sz="0" w:space="0" w:color="auto"/>
              </w:divBdr>
            </w:div>
          </w:divsChild>
        </w:div>
        <w:div w:id="34816986">
          <w:marLeft w:val="0"/>
          <w:marRight w:val="0"/>
          <w:marTop w:val="0"/>
          <w:marBottom w:val="0"/>
          <w:divBdr>
            <w:top w:val="none" w:sz="0" w:space="0" w:color="auto"/>
            <w:left w:val="none" w:sz="0" w:space="0" w:color="auto"/>
            <w:bottom w:val="none" w:sz="0" w:space="0" w:color="auto"/>
            <w:right w:val="none" w:sz="0" w:space="0" w:color="auto"/>
          </w:divBdr>
          <w:divsChild>
            <w:div w:id="1759977915">
              <w:marLeft w:val="0"/>
              <w:marRight w:val="0"/>
              <w:marTop w:val="0"/>
              <w:marBottom w:val="0"/>
              <w:divBdr>
                <w:top w:val="none" w:sz="0" w:space="0" w:color="auto"/>
                <w:left w:val="none" w:sz="0" w:space="0" w:color="auto"/>
                <w:bottom w:val="none" w:sz="0" w:space="0" w:color="auto"/>
                <w:right w:val="none" w:sz="0" w:space="0" w:color="auto"/>
              </w:divBdr>
            </w:div>
          </w:divsChild>
        </w:div>
        <w:div w:id="115877313">
          <w:marLeft w:val="0"/>
          <w:marRight w:val="0"/>
          <w:marTop w:val="0"/>
          <w:marBottom w:val="0"/>
          <w:divBdr>
            <w:top w:val="none" w:sz="0" w:space="0" w:color="auto"/>
            <w:left w:val="none" w:sz="0" w:space="0" w:color="auto"/>
            <w:bottom w:val="none" w:sz="0" w:space="0" w:color="auto"/>
            <w:right w:val="none" w:sz="0" w:space="0" w:color="auto"/>
          </w:divBdr>
          <w:divsChild>
            <w:div w:id="473716345">
              <w:marLeft w:val="0"/>
              <w:marRight w:val="0"/>
              <w:marTop w:val="0"/>
              <w:marBottom w:val="0"/>
              <w:divBdr>
                <w:top w:val="none" w:sz="0" w:space="0" w:color="auto"/>
                <w:left w:val="none" w:sz="0" w:space="0" w:color="auto"/>
                <w:bottom w:val="none" w:sz="0" w:space="0" w:color="auto"/>
                <w:right w:val="none" w:sz="0" w:space="0" w:color="auto"/>
              </w:divBdr>
            </w:div>
          </w:divsChild>
        </w:div>
        <w:div w:id="128519302">
          <w:marLeft w:val="0"/>
          <w:marRight w:val="0"/>
          <w:marTop w:val="0"/>
          <w:marBottom w:val="0"/>
          <w:divBdr>
            <w:top w:val="none" w:sz="0" w:space="0" w:color="auto"/>
            <w:left w:val="none" w:sz="0" w:space="0" w:color="auto"/>
            <w:bottom w:val="none" w:sz="0" w:space="0" w:color="auto"/>
            <w:right w:val="none" w:sz="0" w:space="0" w:color="auto"/>
          </w:divBdr>
          <w:divsChild>
            <w:div w:id="156386666">
              <w:marLeft w:val="0"/>
              <w:marRight w:val="0"/>
              <w:marTop w:val="0"/>
              <w:marBottom w:val="0"/>
              <w:divBdr>
                <w:top w:val="none" w:sz="0" w:space="0" w:color="auto"/>
                <w:left w:val="none" w:sz="0" w:space="0" w:color="auto"/>
                <w:bottom w:val="none" w:sz="0" w:space="0" w:color="auto"/>
                <w:right w:val="none" w:sz="0" w:space="0" w:color="auto"/>
              </w:divBdr>
            </w:div>
          </w:divsChild>
        </w:div>
        <w:div w:id="133257246">
          <w:marLeft w:val="0"/>
          <w:marRight w:val="0"/>
          <w:marTop w:val="0"/>
          <w:marBottom w:val="0"/>
          <w:divBdr>
            <w:top w:val="none" w:sz="0" w:space="0" w:color="auto"/>
            <w:left w:val="none" w:sz="0" w:space="0" w:color="auto"/>
            <w:bottom w:val="none" w:sz="0" w:space="0" w:color="auto"/>
            <w:right w:val="none" w:sz="0" w:space="0" w:color="auto"/>
          </w:divBdr>
          <w:divsChild>
            <w:div w:id="1499737124">
              <w:marLeft w:val="0"/>
              <w:marRight w:val="0"/>
              <w:marTop w:val="0"/>
              <w:marBottom w:val="0"/>
              <w:divBdr>
                <w:top w:val="none" w:sz="0" w:space="0" w:color="auto"/>
                <w:left w:val="none" w:sz="0" w:space="0" w:color="auto"/>
                <w:bottom w:val="none" w:sz="0" w:space="0" w:color="auto"/>
                <w:right w:val="none" w:sz="0" w:space="0" w:color="auto"/>
              </w:divBdr>
            </w:div>
          </w:divsChild>
        </w:div>
        <w:div w:id="136848697">
          <w:marLeft w:val="0"/>
          <w:marRight w:val="0"/>
          <w:marTop w:val="0"/>
          <w:marBottom w:val="0"/>
          <w:divBdr>
            <w:top w:val="none" w:sz="0" w:space="0" w:color="auto"/>
            <w:left w:val="none" w:sz="0" w:space="0" w:color="auto"/>
            <w:bottom w:val="none" w:sz="0" w:space="0" w:color="auto"/>
            <w:right w:val="none" w:sz="0" w:space="0" w:color="auto"/>
          </w:divBdr>
          <w:divsChild>
            <w:div w:id="1240166154">
              <w:marLeft w:val="0"/>
              <w:marRight w:val="0"/>
              <w:marTop w:val="0"/>
              <w:marBottom w:val="0"/>
              <w:divBdr>
                <w:top w:val="none" w:sz="0" w:space="0" w:color="auto"/>
                <w:left w:val="none" w:sz="0" w:space="0" w:color="auto"/>
                <w:bottom w:val="none" w:sz="0" w:space="0" w:color="auto"/>
                <w:right w:val="none" w:sz="0" w:space="0" w:color="auto"/>
              </w:divBdr>
            </w:div>
          </w:divsChild>
        </w:div>
        <w:div w:id="156192285">
          <w:marLeft w:val="0"/>
          <w:marRight w:val="0"/>
          <w:marTop w:val="0"/>
          <w:marBottom w:val="0"/>
          <w:divBdr>
            <w:top w:val="none" w:sz="0" w:space="0" w:color="auto"/>
            <w:left w:val="none" w:sz="0" w:space="0" w:color="auto"/>
            <w:bottom w:val="none" w:sz="0" w:space="0" w:color="auto"/>
            <w:right w:val="none" w:sz="0" w:space="0" w:color="auto"/>
          </w:divBdr>
          <w:divsChild>
            <w:div w:id="1933851669">
              <w:marLeft w:val="0"/>
              <w:marRight w:val="0"/>
              <w:marTop w:val="0"/>
              <w:marBottom w:val="0"/>
              <w:divBdr>
                <w:top w:val="none" w:sz="0" w:space="0" w:color="auto"/>
                <w:left w:val="none" w:sz="0" w:space="0" w:color="auto"/>
                <w:bottom w:val="none" w:sz="0" w:space="0" w:color="auto"/>
                <w:right w:val="none" w:sz="0" w:space="0" w:color="auto"/>
              </w:divBdr>
            </w:div>
          </w:divsChild>
        </w:div>
        <w:div w:id="180243668">
          <w:marLeft w:val="0"/>
          <w:marRight w:val="0"/>
          <w:marTop w:val="0"/>
          <w:marBottom w:val="0"/>
          <w:divBdr>
            <w:top w:val="none" w:sz="0" w:space="0" w:color="auto"/>
            <w:left w:val="none" w:sz="0" w:space="0" w:color="auto"/>
            <w:bottom w:val="none" w:sz="0" w:space="0" w:color="auto"/>
            <w:right w:val="none" w:sz="0" w:space="0" w:color="auto"/>
          </w:divBdr>
          <w:divsChild>
            <w:div w:id="1562405142">
              <w:marLeft w:val="0"/>
              <w:marRight w:val="0"/>
              <w:marTop w:val="0"/>
              <w:marBottom w:val="0"/>
              <w:divBdr>
                <w:top w:val="none" w:sz="0" w:space="0" w:color="auto"/>
                <w:left w:val="none" w:sz="0" w:space="0" w:color="auto"/>
                <w:bottom w:val="none" w:sz="0" w:space="0" w:color="auto"/>
                <w:right w:val="none" w:sz="0" w:space="0" w:color="auto"/>
              </w:divBdr>
            </w:div>
          </w:divsChild>
        </w:div>
        <w:div w:id="205681237">
          <w:marLeft w:val="0"/>
          <w:marRight w:val="0"/>
          <w:marTop w:val="0"/>
          <w:marBottom w:val="0"/>
          <w:divBdr>
            <w:top w:val="none" w:sz="0" w:space="0" w:color="auto"/>
            <w:left w:val="none" w:sz="0" w:space="0" w:color="auto"/>
            <w:bottom w:val="none" w:sz="0" w:space="0" w:color="auto"/>
            <w:right w:val="none" w:sz="0" w:space="0" w:color="auto"/>
          </w:divBdr>
          <w:divsChild>
            <w:div w:id="1672026624">
              <w:marLeft w:val="0"/>
              <w:marRight w:val="0"/>
              <w:marTop w:val="0"/>
              <w:marBottom w:val="0"/>
              <w:divBdr>
                <w:top w:val="none" w:sz="0" w:space="0" w:color="auto"/>
                <w:left w:val="none" w:sz="0" w:space="0" w:color="auto"/>
                <w:bottom w:val="none" w:sz="0" w:space="0" w:color="auto"/>
                <w:right w:val="none" w:sz="0" w:space="0" w:color="auto"/>
              </w:divBdr>
            </w:div>
          </w:divsChild>
        </w:div>
        <w:div w:id="206189543">
          <w:marLeft w:val="0"/>
          <w:marRight w:val="0"/>
          <w:marTop w:val="0"/>
          <w:marBottom w:val="0"/>
          <w:divBdr>
            <w:top w:val="none" w:sz="0" w:space="0" w:color="auto"/>
            <w:left w:val="none" w:sz="0" w:space="0" w:color="auto"/>
            <w:bottom w:val="none" w:sz="0" w:space="0" w:color="auto"/>
            <w:right w:val="none" w:sz="0" w:space="0" w:color="auto"/>
          </w:divBdr>
          <w:divsChild>
            <w:div w:id="468205609">
              <w:marLeft w:val="0"/>
              <w:marRight w:val="0"/>
              <w:marTop w:val="0"/>
              <w:marBottom w:val="0"/>
              <w:divBdr>
                <w:top w:val="none" w:sz="0" w:space="0" w:color="auto"/>
                <w:left w:val="none" w:sz="0" w:space="0" w:color="auto"/>
                <w:bottom w:val="none" w:sz="0" w:space="0" w:color="auto"/>
                <w:right w:val="none" w:sz="0" w:space="0" w:color="auto"/>
              </w:divBdr>
            </w:div>
          </w:divsChild>
        </w:div>
        <w:div w:id="235014830">
          <w:marLeft w:val="0"/>
          <w:marRight w:val="0"/>
          <w:marTop w:val="0"/>
          <w:marBottom w:val="0"/>
          <w:divBdr>
            <w:top w:val="none" w:sz="0" w:space="0" w:color="auto"/>
            <w:left w:val="none" w:sz="0" w:space="0" w:color="auto"/>
            <w:bottom w:val="none" w:sz="0" w:space="0" w:color="auto"/>
            <w:right w:val="none" w:sz="0" w:space="0" w:color="auto"/>
          </w:divBdr>
          <w:divsChild>
            <w:div w:id="2076586338">
              <w:marLeft w:val="0"/>
              <w:marRight w:val="0"/>
              <w:marTop w:val="0"/>
              <w:marBottom w:val="0"/>
              <w:divBdr>
                <w:top w:val="none" w:sz="0" w:space="0" w:color="auto"/>
                <w:left w:val="none" w:sz="0" w:space="0" w:color="auto"/>
                <w:bottom w:val="none" w:sz="0" w:space="0" w:color="auto"/>
                <w:right w:val="none" w:sz="0" w:space="0" w:color="auto"/>
              </w:divBdr>
            </w:div>
          </w:divsChild>
        </w:div>
        <w:div w:id="239676366">
          <w:marLeft w:val="0"/>
          <w:marRight w:val="0"/>
          <w:marTop w:val="0"/>
          <w:marBottom w:val="0"/>
          <w:divBdr>
            <w:top w:val="none" w:sz="0" w:space="0" w:color="auto"/>
            <w:left w:val="none" w:sz="0" w:space="0" w:color="auto"/>
            <w:bottom w:val="none" w:sz="0" w:space="0" w:color="auto"/>
            <w:right w:val="none" w:sz="0" w:space="0" w:color="auto"/>
          </w:divBdr>
          <w:divsChild>
            <w:div w:id="740103120">
              <w:marLeft w:val="0"/>
              <w:marRight w:val="0"/>
              <w:marTop w:val="0"/>
              <w:marBottom w:val="0"/>
              <w:divBdr>
                <w:top w:val="none" w:sz="0" w:space="0" w:color="auto"/>
                <w:left w:val="none" w:sz="0" w:space="0" w:color="auto"/>
                <w:bottom w:val="none" w:sz="0" w:space="0" w:color="auto"/>
                <w:right w:val="none" w:sz="0" w:space="0" w:color="auto"/>
              </w:divBdr>
            </w:div>
          </w:divsChild>
        </w:div>
        <w:div w:id="258414348">
          <w:marLeft w:val="0"/>
          <w:marRight w:val="0"/>
          <w:marTop w:val="0"/>
          <w:marBottom w:val="0"/>
          <w:divBdr>
            <w:top w:val="none" w:sz="0" w:space="0" w:color="auto"/>
            <w:left w:val="none" w:sz="0" w:space="0" w:color="auto"/>
            <w:bottom w:val="none" w:sz="0" w:space="0" w:color="auto"/>
            <w:right w:val="none" w:sz="0" w:space="0" w:color="auto"/>
          </w:divBdr>
          <w:divsChild>
            <w:div w:id="2020696692">
              <w:marLeft w:val="0"/>
              <w:marRight w:val="0"/>
              <w:marTop w:val="0"/>
              <w:marBottom w:val="0"/>
              <w:divBdr>
                <w:top w:val="none" w:sz="0" w:space="0" w:color="auto"/>
                <w:left w:val="none" w:sz="0" w:space="0" w:color="auto"/>
                <w:bottom w:val="none" w:sz="0" w:space="0" w:color="auto"/>
                <w:right w:val="none" w:sz="0" w:space="0" w:color="auto"/>
              </w:divBdr>
            </w:div>
          </w:divsChild>
        </w:div>
        <w:div w:id="271477691">
          <w:marLeft w:val="0"/>
          <w:marRight w:val="0"/>
          <w:marTop w:val="0"/>
          <w:marBottom w:val="0"/>
          <w:divBdr>
            <w:top w:val="none" w:sz="0" w:space="0" w:color="auto"/>
            <w:left w:val="none" w:sz="0" w:space="0" w:color="auto"/>
            <w:bottom w:val="none" w:sz="0" w:space="0" w:color="auto"/>
            <w:right w:val="none" w:sz="0" w:space="0" w:color="auto"/>
          </w:divBdr>
          <w:divsChild>
            <w:div w:id="287400914">
              <w:marLeft w:val="0"/>
              <w:marRight w:val="0"/>
              <w:marTop w:val="0"/>
              <w:marBottom w:val="0"/>
              <w:divBdr>
                <w:top w:val="none" w:sz="0" w:space="0" w:color="auto"/>
                <w:left w:val="none" w:sz="0" w:space="0" w:color="auto"/>
                <w:bottom w:val="none" w:sz="0" w:space="0" w:color="auto"/>
                <w:right w:val="none" w:sz="0" w:space="0" w:color="auto"/>
              </w:divBdr>
            </w:div>
          </w:divsChild>
        </w:div>
        <w:div w:id="278267013">
          <w:marLeft w:val="0"/>
          <w:marRight w:val="0"/>
          <w:marTop w:val="0"/>
          <w:marBottom w:val="0"/>
          <w:divBdr>
            <w:top w:val="none" w:sz="0" w:space="0" w:color="auto"/>
            <w:left w:val="none" w:sz="0" w:space="0" w:color="auto"/>
            <w:bottom w:val="none" w:sz="0" w:space="0" w:color="auto"/>
            <w:right w:val="none" w:sz="0" w:space="0" w:color="auto"/>
          </w:divBdr>
          <w:divsChild>
            <w:div w:id="1427655372">
              <w:marLeft w:val="0"/>
              <w:marRight w:val="0"/>
              <w:marTop w:val="0"/>
              <w:marBottom w:val="0"/>
              <w:divBdr>
                <w:top w:val="none" w:sz="0" w:space="0" w:color="auto"/>
                <w:left w:val="none" w:sz="0" w:space="0" w:color="auto"/>
                <w:bottom w:val="none" w:sz="0" w:space="0" w:color="auto"/>
                <w:right w:val="none" w:sz="0" w:space="0" w:color="auto"/>
              </w:divBdr>
            </w:div>
          </w:divsChild>
        </w:div>
        <w:div w:id="281116517">
          <w:marLeft w:val="0"/>
          <w:marRight w:val="0"/>
          <w:marTop w:val="0"/>
          <w:marBottom w:val="0"/>
          <w:divBdr>
            <w:top w:val="none" w:sz="0" w:space="0" w:color="auto"/>
            <w:left w:val="none" w:sz="0" w:space="0" w:color="auto"/>
            <w:bottom w:val="none" w:sz="0" w:space="0" w:color="auto"/>
            <w:right w:val="none" w:sz="0" w:space="0" w:color="auto"/>
          </w:divBdr>
          <w:divsChild>
            <w:div w:id="1425374537">
              <w:marLeft w:val="0"/>
              <w:marRight w:val="0"/>
              <w:marTop w:val="0"/>
              <w:marBottom w:val="0"/>
              <w:divBdr>
                <w:top w:val="none" w:sz="0" w:space="0" w:color="auto"/>
                <w:left w:val="none" w:sz="0" w:space="0" w:color="auto"/>
                <w:bottom w:val="none" w:sz="0" w:space="0" w:color="auto"/>
                <w:right w:val="none" w:sz="0" w:space="0" w:color="auto"/>
              </w:divBdr>
            </w:div>
          </w:divsChild>
        </w:div>
        <w:div w:id="359596083">
          <w:marLeft w:val="0"/>
          <w:marRight w:val="0"/>
          <w:marTop w:val="0"/>
          <w:marBottom w:val="0"/>
          <w:divBdr>
            <w:top w:val="none" w:sz="0" w:space="0" w:color="auto"/>
            <w:left w:val="none" w:sz="0" w:space="0" w:color="auto"/>
            <w:bottom w:val="none" w:sz="0" w:space="0" w:color="auto"/>
            <w:right w:val="none" w:sz="0" w:space="0" w:color="auto"/>
          </w:divBdr>
          <w:divsChild>
            <w:div w:id="2045473477">
              <w:marLeft w:val="0"/>
              <w:marRight w:val="0"/>
              <w:marTop w:val="0"/>
              <w:marBottom w:val="0"/>
              <w:divBdr>
                <w:top w:val="none" w:sz="0" w:space="0" w:color="auto"/>
                <w:left w:val="none" w:sz="0" w:space="0" w:color="auto"/>
                <w:bottom w:val="none" w:sz="0" w:space="0" w:color="auto"/>
                <w:right w:val="none" w:sz="0" w:space="0" w:color="auto"/>
              </w:divBdr>
            </w:div>
          </w:divsChild>
        </w:div>
        <w:div w:id="439181693">
          <w:marLeft w:val="0"/>
          <w:marRight w:val="0"/>
          <w:marTop w:val="0"/>
          <w:marBottom w:val="0"/>
          <w:divBdr>
            <w:top w:val="none" w:sz="0" w:space="0" w:color="auto"/>
            <w:left w:val="none" w:sz="0" w:space="0" w:color="auto"/>
            <w:bottom w:val="none" w:sz="0" w:space="0" w:color="auto"/>
            <w:right w:val="none" w:sz="0" w:space="0" w:color="auto"/>
          </w:divBdr>
          <w:divsChild>
            <w:div w:id="1683513942">
              <w:marLeft w:val="0"/>
              <w:marRight w:val="0"/>
              <w:marTop w:val="0"/>
              <w:marBottom w:val="0"/>
              <w:divBdr>
                <w:top w:val="none" w:sz="0" w:space="0" w:color="auto"/>
                <w:left w:val="none" w:sz="0" w:space="0" w:color="auto"/>
                <w:bottom w:val="none" w:sz="0" w:space="0" w:color="auto"/>
                <w:right w:val="none" w:sz="0" w:space="0" w:color="auto"/>
              </w:divBdr>
            </w:div>
          </w:divsChild>
        </w:div>
        <w:div w:id="472021479">
          <w:marLeft w:val="0"/>
          <w:marRight w:val="0"/>
          <w:marTop w:val="0"/>
          <w:marBottom w:val="0"/>
          <w:divBdr>
            <w:top w:val="none" w:sz="0" w:space="0" w:color="auto"/>
            <w:left w:val="none" w:sz="0" w:space="0" w:color="auto"/>
            <w:bottom w:val="none" w:sz="0" w:space="0" w:color="auto"/>
            <w:right w:val="none" w:sz="0" w:space="0" w:color="auto"/>
          </w:divBdr>
          <w:divsChild>
            <w:div w:id="978681005">
              <w:marLeft w:val="0"/>
              <w:marRight w:val="0"/>
              <w:marTop w:val="0"/>
              <w:marBottom w:val="0"/>
              <w:divBdr>
                <w:top w:val="none" w:sz="0" w:space="0" w:color="auto"/>
                <w:left w:val="none" w:sz="0" w:space="0" w:color="auto"/>
                <w:bottom w:val="none" w:sz="0" w:space="0" w:color="auto"/>
                <w:right w:val="none" w:sz="0" w:space="0" w:color="auto"/>
              </w:divBdr>
            </w:div>
          </w:divsChild>
        </w:div>
        <w:div w:id="673799054">
          <w:marLeft w:val="0"/>
          <w:marRight w:val="0"/>
          <w:marTop w:val="0"/>
          <w:marBottom w:val="0"/>
          <w:divBdr>
            <w:top w:val="none" w:sz="0" w:space="0" w:color="auto"/>
            <w:left w:val="none" w:sz="0" w:space="0" w:color="auto"/>
            <w:bottom w:val="none" w:sz="0" w:space="0" w:color="auto"/>
            <w:right w:val="none" w:sz="0" w:space="0" w:color="auto"/>
          </w:divBdr>
          <w:divsChild>
            <w:div w:id="1310282035">
              <w:marLeft w:val="0"/>
              <w:marRight w:val="0"/>
              <w:marTop w:val="0"/>
              <w:marBottom w:val="0"/>
              <w:divBdr>
                <w:top w:val="none" w:sz="0" w:space="0" w:color="auto"/>
                <w:left w:val="none" w:sz="0" w:space="0" w:color="auto"/>
                <w:bottom w:val="none" w:sz="0" w:space="0" w:color="auto"/>
                <w:right w:val="none" w:sz="0" w:space="0" w:color="auto"/>
              </w:divBdr>
            </w:div>
          </w:divsChild>
        </w:div>
        <w:div w:id="749543794">
          <w:marLeft w:val="0"/>
          <w:marRight w:val="0"/>
          <w:marTop w:val="0"/>
          <w:marBottom w:val="0"/>
          <w:divBdr>
            <w:top w:val="none" w:sz="0" w:space="0" w:color="auto"/>
            <w:left w:val="none" w:sz="0" w:space="0" w:color="auto"/>
            <w:bottom w:val="none" w:sz="0" w:space="0" w:color="auto"/>
            <w:right w:val="none" w:sz="0" w:space="0" w:color="auto"/>
          </w:divBdr>
          <w:divsChild>
            <w:div w:id="1752658906">
              <w:marLeft w:val="0"/>
              <w:marRight w:val="0"/>
              <w:marTop w:val="0"/>
              <w:marBottom w:val="0"/>
              <w:divBdr>
                <w:top w:val="none" w:sz="0" w:space="0" w:color="auto"/>
                <w:left w:val="none" w:sz="0" w:space="0" w:color="auto"/>
                <w:bottom w:val="none" w:sz="0" w:space="0" w:color="auto"/>
                <w:right w:val="none" w:sz="0" w:space="0" w:color="auto"/>
              </w:divBdr>
            </w:div>
          </w:divsChild>
        </w:div>
        <w:div w:id="765615001">
          <w:marLeft w:val="0"/>
          <w:marRight w:val="0"/>
          <w:marTop w:val="0"/>
          <w:marBottom w:val="0"/>
          <w:divBdr>
            <w:top w:val="none" w:sz="0" w:space="0" w:color="auto"/>
            <w:left w:val="none" w:sz="0" w:space="0" w:color="auto"/>
            <w:bottom w:val="none" w:sz="0" w:space="0" w:color="auto"/>
            <w:right w:val="none" w:sz="0" w:space="0" w:color="auto"/>
          </w:divBdr>
          <w:divsChild>
            <w:div w:id="1547526999">
              <w:marLeft w:val="0"/>
              <w:marRight w:val="0"/>
              <w:marTop w:val="0"/>
              <w:marBottom w:val="0"/>
              <w:divBdr>
                <w:top w:val="none" w:sz="0" w:space="0" w:color="auto"/>
                <w:left w:val="none" w:sz="0" w:space="0" w:color="auto"/>
                <w:bottom w:val="none" w:sz="0" w:space="0" w:color="auto"/>
                <w:right w:val="none" w:sz="0" w:space="0" w:color="auto"/>
              </w:divBdr>
            </w:div>
          </w:divsChild>
        </w:div>
        <w:div w:id="772474237">
          <w:marLeft w:val="0"/>
          <w:marRight w:val="0"/>
          <w:marTop w:val="0"/>
          <w:marBottom w:val="0"/>
          <w:divBdr>
            <w:top w:val="none" w:sz="0" w:space="0" w:color="auto"/>
            <w:left w:val="none" w:sz="0" w:space="0" w:color="auto"/>
            <w:bottom w:val="none" w:sz="0" w:space="0" w:color="auto"/>
            <w:right w:val="none" w:sz="0" w:space="0" w:color="auto"/>
          </w:divBdr>
          <w:divsChild>
            <w:div w:id="172838445">
              <w:marLeft w:val="0"/>
              <w:marRight w:val="0"/>
              <w:marTop w:val="0"/>
              <w:marBottom w:val="0"/>
              <w:divBdr>
                <w:top w:val="none" w:sz="0" w:space="0" w:color="auto"/>
                <w:left w:val="none" w:sz="0" w:space="0" w:color="auto"/>
                <w:bottom w:val="none" w:sz="0" w:space="0" w:color="auto"/>
                <w:right w:val="none" w:sz="0" w:space="0" w:color="auto"/>
              </w:divBdr>
            </w:div>
          </w:divsChild>
        </w:div>
        <w:div w:id="838038374">
          <w:marLeft w:val="0"/>
          <w:marRight w:val="0"/>
          <w:marTop w:val="0"/>
          <w:marBottom w:val="0"/>
          <w:divBdr>
            <w:top w:val="none" w:sz="0" w:space="0" w:color="auto"/>
            <w:left w:val="none" w:sz="0" w:space="0" w:color="auto"/>
            <w:bottom w:val="none" w:sz="0" w:space="0" w:color="auto"/>
            <w:right w:val="none" w:sz="0" w:space="0" w:color="auto"/>
          </w:divBdr>
          <w:divsChild>
            <w:div w:id="1049964011">
              <w:marLeft w:val="0"/>
              <w:marRight w:val="0"/>
              <w:marTop w:val="0"/>
              <w:marBottom w:val="0"/>
              <w:divBdr>
                <w:top w:val="none" w:sz="0" w:space="0" w:color="auto"/>
                <w:left w:val="none" w:sz="0" w:space="0" w:color="auto"/>
                <w:bottom w:val="none" w:sz="0" w:space="0" w:color="auto"/>
                <w:right w:val="none" w:sz="0" w:space="0" w:color="auto"/>
              </w:divBdr>
            </w:div>
          </w:divsChild>
        </w:div>
        <w:div w:id="868026394">
          <w:marLeft w:val="0"/>
          <w:marRight w:val="0"/>
          <w:marTop w:val="0"/>
          <w:marBottom w:val="0"/>
          <w:divBdr>
            <w:top w:val="none" w:sz="0" w:space="0" w:color="auto"/>
            <w:left w:val="none" w:sz="0" w:space="0" w:color="auto"/>
            <w:bottom w:val="none" w:sz="0" w:space="0" w:color="auto"/>
            <w:right w:val="none" w:sz="0" w:space="0" w:color="auto"/>
          </w:divBdr>
          <w:divsChild>
            <w:div w:id="1230068600">
              <w:marLeft w:val="0"/>
              <w:marRight w:val="0"/>
              <w:marTop w:val="0"/>
              <w:marBottom w:val="0"/>
              <w:divBdr>
                <w:top w:val="none" w:sz="0" w:space="0" w:color="auto"/>
                <w:left w:val="none" w:sz="0" w:space="0" w:color="auto"/>
                <w:bottom w:val="none" w:sz="0" w:space="0" w:color="auto"/>
                <w:right w:val="none" w:sz="0" w:space="0" w:color="auto"/>
              </w:divBdr>
            </w:div>
          </w:divsChild>
        </w:div>
        <w:div w:id="877231996">
          <w:marLeft w:val="0"/>
          <w:marRight w:val="0"/>
          <w:marTop w:val="0"/>
          <w:marBottom w:val="0"/>
          <w:divBdr>
            <w:top w:val="none" w:sz="0" w:space="0" w:color="auto"/>
            <w:left w:val="none" w:sz="0" w:space="0" w:color="auto"/>
            <w:bottom w:val="none" w:sz="0" w:space="0" w:color="auto"/>
            <w:right w:val="none" w:sz="0" w:space="0" w:color="auto"/>
          </w:divBdr>
          <w:divsChild>
            <w:div w:id="2103647999">
              <w:marLeft w:val="0"/>
              <w:marRight w:val="0"/>
              <w:marTop w:val="0"/>
              <w:marBottom w:val="0"/>
              <w:divBdr>
                <w:top w:val="none" w:sz="0" w:space="0" w:color="auto"/>
                <w:left w:val="none" w:sz="0" w:space="0" w:color="auto"/>
                <w:bottom w:val="none" w:sz="0" w:space="0" w:color="auto"/>
                <w:right w:val="none" w:sz="0" w:space="0" w:color="auto"/>
              </w:divBdr>
            </w:div>
          </w:divsChild>
        </w:div>
        <w:div w:id="914242457">
          <w:marLeft w:val="0"/>
          <w:marRight w:val="0"/>
          <w:marTop w:val="0"/>
          <w:marBottom w:val="0"/>
          <w:divBdr>
            <w:top w:val="none" w:sz="0" w:space="0" w:color="auto"/>
            <w:left w:val="none" w:sz="0" w:space="0" w:color="auto"/>
            <w:bottom w:val="none" w:sz="0" w:space="0" w:color="auto"/>
            <w:right w:val="none" w:sz="0" w:space="0" w:color="auto"/>
          </w:divBdr>
          <w:divsChild>
            <w:div w:id="1763646254">
              <w:marLeft w:val="0"/>
              <w:marRight w:val="0"/>
              <w:marTop w:val="0"/>
              <w:marBottom w:val="0"/>
              <w:divBdr>
                <w:top w:val="none" w:sz="0" w:space="0" w:color="auto"/>
                <w:left w:val="none" w:sz="0" w:space="0" w:color="auto"/>
                <w:bottom w:val="none" w:sz="0" w:space="0" w:color="auto"/>
                <w:right w:val="none" w:sz="0" w:space="0" w:color="auto"/>
              </w:divBdr>
            </w:div>
          </w:divsChild>
        </w:div>
        <w:div w:id="924993043">
          <w:marLeft w:val="0"/>
          <w:marRight w:val="0"/>
          <w:marTop w:val="0"/>
          <w:marBottom w:val="0"/>
          <w:divBdr>
            <w:top w:val="none" w:sz="0" w:space="0" w:color="auto"/>
            <w:left w:val="none" w:sz="0" w:space="0" w:color="auto"/>
            <w:bottom w:val="none" w:sz="0" w:space="0" w:color="auto"/>
            <w:right w:val="none" w:sz="0" w:space="0" w:color="auto"/>
          </w:divBdr>
          <w:divsChild>
            <w:div w:id="2000039280">
              <w:marLeft w:val="0"/>
              <w:marRight w:val="0"/>
              <w:marTop w:val="0"/>
              <w:marBottom w:val="0"/>
              <w:divBdr>
                <w:top w:val="none" w:sz="0" w:space="0" w:color="auto"/>
                <w:left w:val="none" w:sz="0" w:space="0" w:color="auto"/>
                <w:bottom w:val="none" w:sz="0" w:space="0" w:color="auto"/>
                <w:right w:val="none" w:sz="0" w:space="0" w:color="auto"/>
              </w:divBdr>
            </w:div>
          </w:divsChild>
        </w:div>
        <w:div w:id="1010447866">
          <w:marLeft w:val="0"/>
          <w:marRight w:val="0"/>
          <w:marTop w:val="0"/>
          <w:marBottom w:val="0"/>
          <w:divBdr>
            <w:top w:val="none" w:sz="0" w:space="0" w:color="auto"/>
            <w:left w:val="none" w:sz="0" w:space="0" w:color="auto"/>
            <w:bottom w:val="none" w:sz="0" w:space="0" w:color="auto"/>
            <w:right w:val="none" w:sz="0" w:space="0" w:color="auto"/>
          </w:divBdr>
          <w:divsChild>
            <w:div w:id="805510404">
              <w:marLeft w:val="0"/>
              <w:marRight w:val="0"/>
              <w:marTop w:val="0"/>
              <w:marBottom w:val="0"/>
              <w:divBdr>
                <w:top w:val="none" w:sz="0" w:space="0" w:color="auto"/>
                <w:left w:val="none" w:sz="0" w:space="0" w:color="auto"/>
                <w:bottom w:val="none" w:sz="0" w:space="0" w:color="auto"/>
                <w:right w:val="none" w:sz="0" w:space="0" w:color="auto"/>
              </w:divBdr>
            </w:div>
          </w:divsChild>
        </w:div>
        <w:div w:id="1108501470">
          <w:marLeft w:val="0"/>
          <w:marRight w:val="0"/>
          <w:marTop w:val="0"/>
          <w:marBottom w:val="0"/>
          <w:divBdr>
            <w:top w:val="none" w:sz="0" w:space="0" w:color="auto"/>
            <w:left w:val="none" w:sz="0" w:space="0" w:color="auto"/>
            <w:bottom w:val="none" w:sz="0" w:space="0" w:color="auto"/>
            <w:right w:val="none" w:sz="0" w:space="0" w:color="auto"/>
          </w:divBdr>
          <w:divsChild>
            <w:div w:id="1485733548">
              <w:marLeft w:val="0"/>
              <w:marRight w:val="0"/>
              <w:marTop w:val="0"/>
              <w:marBottom w:val="0"/>
              <w:divBdr>
                <w:top w:val="none" w:sz="0" w:space="0" w:color="auto"/>
                <w:left w:val="none" w:sz="0" w:space="0" w:color="auto"/>
                <w:bottom w:val="none" w:sz="0" w:space="0" w:color="auto"/>
                <w:right w:val="none" w:sz="0" w:space="0" w:color="auto"/>
              </w:divBdr>
            </w:div>
          </w:divsChild>
        </w:div>
        <w:div w:id="1166087946">
          <w:marLeft w:val="0"/>
          <w:marRight w:val="0"/>
          <w:marTop w:val="0"/>
          <w:marBottom w:val="0"/>
          <w:divBdr>
            <w:top w:val="none" w:sz="0" w:space="0" w:color="auto"/>
            <w:left w:val="none" w:sz="0" w:space="0" w:color="auto"/>
            <w:bottom w:val="none" w:sz="0" w:space="0" w:color="auto"/>
            <w:right w:val="none" w:sz="0" w:space="0" w:color="auto"/>
          </w:divBdr>
          <w:divsChild>
            <w:div w:id="1714966018">
              <w:marLeft w:val="0"/>
              <w:marRight w:val="0"/>
              <w:marTop w:val="0"/>
              <w:marBottom w:val="0"/>
              <w:divBdr>
                <w:top w:val="none" w:sz="0" w:space="0" w:color="auto"/>
                <w:left w:val="none" w:sz="0" w:space="0" w:color="auto"/>
                <w:bottom w:val="none" w:sz="0" w:space="0" w:color="auto"/>
                <w:right w:val="none" w:sz="0" w:space="0" w:color="auto"/>
              </w:divBdr>
            </w:div>
          </w:divsChild>
        </w:div>
        <w:div w:id="1181091445">
          <w:marLeft w:val="0"/>
          <w:marRight w:val="0"/>
          <w:marTop w:val="0"/>
          <w:marBottom w:val="0"/>
          <w:divBdr>
            <w:top w:val="none" w:sz="0" w:space="0" w:color="auto"/>
            <w:left w:val="none" w:sz="0" w:space="0" w:color="auto"/>
            <w:bottom w:val="none" w:sz="0" w:space="0" w:color="auto"/>
            <w:right w:val="none" w:sz="0" w:space="0" w:color="auto"/>
          </w:divBdr>
          <w:divsChild>
            <w:div w:id="1034309386">
              <w:marLeft w:val="0"/>
              <w:marRight w:val="0"/>
              <w:marTop w:val="0"/>
              <w:marBottom w:val="0"/>
              <w:divBdr>
                <w:top w:val="none" w:sz="0" w:space="0" w:color="auto"/>
                <w:left w:val="none" w:sz="0" w:space="0" w:color="auto"/>
                <w:bottom w:val="none" w:sz="0" w:space="0" w:color="auto"/>
                <w:right w:val="none" w:sz="0" w:space="0" w:color="auto"/>
              </w:divBdr>
            </w:div>
          </w:divsChild>
        </w:div>
        <w:div w:id="1206720733">
          <w:marLeft w:val="0"/>
          <w:marRight w:val="0"/>
          <w:marTop w:val="0"/>
          <w:marBottom w:val="0"/>
          <w:divBdr>
            <w:top w:val="none" w:sz="0" w:space="0" w:color="auto"/>
            <w:left w:val="none" w:sz="0" w:space="0" w:color="auto"/>
            <w:bottom w:val="none" w:sz="0" w:space="0" w:color="auto"/>
            <w:right w:val="none" w:sz="0" w:space="0" w:color="auto"/>
          </w:divBdr>
          <w:divsChild>
            <w:div w:id="1450199390">
              <w:marLeft w:val="0"/>
              <w:marRight w:val="0"/>
              <w:marTop w:val="0"/>
              <w:marBottom w:val="0"/>
              <w:divBdr>
                <w:top w:val="none" w:sz="0" w:space="0" w:color="auto"/>
                <w:left w:val="none" w:sz="0" w:space="0" w:color="auto"/>
                <w:bottom w:val="none" w:sz="0" w:space="0" w:color="auto"/>
                <w:right w:val="none" w:sz="0" w:space="0" w:color="auto"/>
              </w:divBdr>
            </w:div>
          </w:divsChild>
        </w:div>
        <w:div w:id="1223559278">
          <w:marLeft w:val="0"/>
          <w:marRight w:val="0"/>
          <w:marTop w:val="0"/>
          <w:marBottom w:val="0"/>
          <w:divBdr>
            <w:top w:val="none" w:sz="0" w:space="0" w:color="auto"/>
            <w:left w:val="none" w:sz="0" w:space="0" w:color="auto"/>
            <w:bottom w:val="none" w:sz="0" w:space="0" w:color="auto"/>
            <w:right w:val="none" w:sz="0" w:space="0" w:color="auto"/>
          </w:divBdr>
          <w:divsChild>
            <w:div w:id="481314489">
              <w:marLeft w:val="0"/>
              <w:marRight w:val="0"/>
              <w:marTop w:val="0"/>
              <w:marBottom w:val="0"/>
              <w:divBdr>
                <w:top w:val="none" w:sz="0" w:space="0" w:color="auto"/>
                <w:left w:val="none" w:sz="0" w:space="0" w:color="auto"/>
                <w:bottom w:val="none" w:sz="0" w:space="0" w:color="auto"/>
                <w:right w:val="none" w:sz="0" w:space="0" w:color="auto"/>
              </w:divBdr>
            </w:div>
          </w:divsChild>
        </w:div>
        <w:div w:id="1237859073">
          <w:marLeft w:val="0"/>
          <w:marRight w:val="0"/>
          <w:marTop w:val="0"/>
          <w:marBottom w:val="0"/>
          <w:divBdr>
            <w:top w:val="none" w:sz="0" w:space="0" w:color="auto"/>
            <w:left w:val="none" w:sz="0" w:space="0" w:color="auto"/>
            <w:bottom w:val="none" w:sz="0" w:space="0" w:color="auto"/>
            <w:right w:val="none" w:sz="0" w:space="0" w:color="auto"/>
          </w:divBdr>
          <w:divsChild>
            <w:div w:id="574123064">
              <w:marLeft w:val="0"/>
              <w:marRight w:val="0"/>
              <w:marTop w:val="0"/>
              <w:marBottom w:val="0"/>
              <w:divBdr>
                <w:top w:val="none" w:sz="0" w:space="0" w:color="auto"/>
                <w:left w:val="none" w:sz="0" w:space="0" w:color="auto"/>
                <w:bottom w:val="none" w:sz="0" w:space="0" w:color="auto"/>
                <w:right w:val="none" w:sz="0" w:space="0" w:color="auto"/>
              </w:divBdr>
            </w:div>
          </w:divsChild>
        </w:div>
        <w:div w:id="1254703440">
          <w:marLeft w:val="0"/>
          <w:marRight w:val="0"/>
          <w:marTop w:val="0"/>
          <w:marBottom w:val="0"/>
          <w:divBdr>
            <w:top w:val="none" w:sz="0" w:space="0" w:color="auto"/>
            <w:left w:val="none" w:sz="0" w:space="0" w:color="auto"/>
            <w:bottom w:val="none" w:sz="0" w:space="0" w:color="auto"/>
            <w:right w:val="none" w:sz="0" w:space="0" w:color="auto"/>
          </w:divBdr>
          <w:divsChild>
            <w:div w:id="1197280532">
              <w:marLeft w:val="0"/>
              <w:marRight w:val="0"/>
              <w:marTop w:val="0"/>
              <w:marBottom w:val="0"/>
              <w:divBdr>
                <w:top w:val="none" w:sz="0" w:space="0" w:color="auto"/>
                <w:left w:val="none" w:sz="0" w:space="0" w:color="auto"/>
                <w:bottom w:val="none" w:sz="0" w:space="0" w:color="auto"/>
                <w:right w:val="none" w:sz="0" w:space="0" w:color="auto"/>
              </w:divBdr>
            </w:div>
          </w:divsChild>
        </w:div>
        <w:div w:id="1257400665">
          <w:marLeft w:val="0"/>
          <w:marRight w:val="0"/>
          <w:marTop w:val="0"/>
          <w:marBottom w:val="0"/>
          <w:divBdr>
            <w:top w:val="none" w:sz="0" w:space="0" w:color="auto"/>
            <w:left w:val="none" w:sz="0" w:space="0" w:color="auto"/>
            <w:bottom w:val="none" w:sz="0" w:space="0" w:color="auto"/>
            <w:right w:val="none" w:sz="0" w:space="0" w:color="auto"/>
          </w:divBdr>
          <w:divsChild>
            <w:div w:id="1293361483">
              <w:marLeft w:val="0"/>
              <w:marRight w:val="0"/>
              <w:marTop w:val="0"/>
              <w:marBottom w:val="0"/>
              <w:divBdr>
                <w:top w:val="none" w:sz="0" w:space="0" w:color="auto"/>
                <w:left w:val="none" w:sz="0" w:space="0" w:color="auto"/>
                <w:bottom w:val="none" w:sz="0" w:space="0" w:color="auto"/>
                <w:right w:val="none" w:sz="0" w:space="0" w:color="auto"/>
              </w:divBdr>
            </w:div>
          </w:divsChild>
        </w:div>
        <w:div w:id="1309357155">
          <w:marLeft w:val="0"/>
          <w:marRight w:val="0"/>
          <w:marTop w:val="0"/>
          <w:marBottom w:val="0"/>
          <w:divBdr>
            <w:top w:val="none" w:sz="0" w:space="0" w:color="auto"/>
            <w:left w:val="none" w:sz="0" w:space="0" w:color="auto"/>
            <w:bottom w:val="none" w:sz="0" w:space="0" w:color="auto"/>
            <w:right w:val="none" w:sz="0" w:space="0" w:color="auto"/>
          </w:divBdr>
          <w:divsChild>
            <w:div w:id="476918519">
              <w:marLeft w:val="0"/>
              <w:marRight w:val="0"/>
              <w:marTop w:val="0"/>
              <w:marBottom w:val="0"/>
              <w:divBdr>
                <w:top w:val="none" w:sz="0" w:space="0" w:color="auto"/>
                <w:left w:val="none" w:sz="0" w:space="0" w:color="auto"/>
                <w:bottom w:val="none" w:sz="0" w:space="0" w:color="auto"/>
                <w:right w:val="none" w:sz="0" w:space="0" w:color="auto"/>
              </w:divBdr>
            </w:div>
          </w:divsChild>
        </w:div>
        <w:div w:id="1313099310">
          <w:marLeft w:val="0"/>
          <w:marRight w:val="0"/>
          <w:marTop w:val="0"/>
          <w:marBottom w:val="0"/>
          <w:divBdr>
            <w:top w:val="none" w:sz="0" w:space="0" w:color="auto"/>
            <w:left w:val="none" w:sz="0" w:space="0" w:color="auto"/>
            <w:bottom w:val="none" w:sz="0" w:space="0" w:color="auto"/>
            <w:right w:val="none" w:sz="0" w:space="0" w:color="auto"/>
          </w:divBdr>
          <w:divsChild>
            <w:div w:id="1448937087">
              <w:marLeft w:val="0"/>
              <w:marRight w:val="0"/>
              <w:marTop w:val="0"/>
              <w:marBottom w:val="0"/>
              <w:divBdr>
                <w:top w:val="none" w:sz="0" w:space="0" w:color="auto"/>
                <w:left w:val="none" w:sz="0" w:space="0" w:color="auto"/>
                <w:bottom w:val="none" w:sz="0" w:space="0" w:color="auto"/>
                <w:right w:val="none" w:sz="0" w:space="0" w:color="auto"/>
              </w:divBdr>
            </w:div>
          </w:divsChild>
        </w:div>
        <w:div w:id="1315988707">
          <w:marLeft w:val="0"/>
          <w:marRight w:val="0"/>
          <w:marTop w:val="0"/>
          <w:marBottom w:val="0"/>
          <w:divBdr>
            <w:top w:val="none" w:sz="0" w:space="0" w:color="auto"/>
            <w:left w:val="none" w:sz="0" w:space="0" w:color="auto"/>
            <w:bottom w:val="none" w:sz="0" w:space="0" w:color="auto"/>
            <w:right w:val="none" w:sz="0" w:space="0" w:color="auto"/>
          </w:divBdr>
          <w:divsChild>
            <w:div w:id="2036733412">
              <w:marLeft w:val="0"/>
              <w:marRight w:val="0"/>
              <w:marTop w:val="0"/>
              <w:marBottom w:val="0"/>
              <w:divBdr>
                <w:top w:val="none" w:sz="0" w:space="0" w:color="auto"/>
                <w:left w:val="none" w:sz="0" w:space="0" w:color="auto"/>
                <w:bottom w:val="none" w:sz="0" w:space="0" w:color="auto"/>
                <w:right w:val="none" w:sz="0" w:space="0" w:color="auto"/>
              </w:divBdr>
            </w:div>
          </w:divsChild>
        </w:div>
        <w:div w:id="1335451850">
          <w:marLeft w:val="0"/>
          <w:marRight w:val="0"/>
          <w:marTop w:val="0"/>
          <w:marBottom w:val="0"/>
          <w:divBdr>
            <w:top w:val="none" w:sz="0" w:space="0" w:color="auto"/>
            <w:left w:val="none" w:sz="0" w:space="0" w:color="auto"/>
            <w:bottom w:val="none" w:sz="0" w:space="0" w:color="auto"/>
            <w:right w:val="none" w:sz="0" w:space="0" w:color="auto"/>
          </w:divBdr>
          <w:divsChild>
            <w:div w:id="242377276">
              <w:marLeft w:val="0"/>
              <w:marRight w:val="0"/>
              <w:marTop w:val="0"/>
              <w:marBottom w:val="0"/>
              <w:divBdr>
                <w:top w:val="none" w:sz="0" w:space="0" w:color="auto"/>
                <w:left w:val="none" w:sz="0" w:space="0" w:color="auto"/>
                <w:bottom w:val="none" w:sz="0" w:space="0" w:color="auto"/>
                <w:right w:val="none" w:sz="0" w:space="0" w:color="auto"/>
              </w:divBdr>
            </w:div>
          </w:divsChild>
        </w:div>
        <w:div w:id="1344479873">
          <w:marLeft w:val="0"/>
          <w:marRight w:val="0"/>
          <w:marTop w:val="0"/>
          <w:marBottom w:val="0"/>
          <w:divBdr>
            <w:top w:val="none" w:sz="0" w:space="0" w:color="auto"/>
            <w:left w:val="none" w:sz="0" w:space="0" w:color="auto"/>
            <w:bottom w:val="none" w:sz="0" w:space="0" w:color="auto"/>
            <w:right w:val="none" w:sz="0" w:space="0" w:color="auto"/>
          </w:divBdr>
          <w:divsChild>
            <w:div w:id="1296135165">
              <w:marLeft w:val="0"/>
              <w:marRight w:val="0"/>
              <w:marTop w:val="0"/>
              <w:marBottom w:val="0"/>
              <w:divBdr>
                <w:top w:val="none" w:sz="0" w:space="0" w:color="auto"/>
                <w:left w:val="none" w:sz="0" w:space="0" w:color="auto"/>
                <w:bottom w:val="none" w:sz="0" w:space="0" w:color="auto"/>
                <w:right w:val="none" w:sz="0" w:space="0" w:color="auto"/>
              </w:divBdr>
            </w:div>
          </w:divsChild>
        </w:div>
        <w:div w:id="1388726550">
          <w:marLeft w:val="0"/>
          <w:marRight w:val="0"/>
          <w:marTop w:val="0"/>
          <w:marBottom w:val="0"/>
          <w:divBdr>
            <w:top w:val="none" w:sz="0" w:space="0" w:color="auto"/>
            <w:left w:val="none" w:sz="0" w:space="0" w:color="auto"/>
            <w:bottom w:val="none" w:sz="0" w:space="0" w:color="auto"/>
            <w:right w:val="none" w:sz="0" w:space="0" w:color="auto"/>
          </w:divBdr>
          <w:divsChild>
            <w:div w:id="866454074">
              <w:marLeft w:val="0"/>
              <w:marRight w:val="0"/>
              <w:marTop w:val="0"/>
              <w:marBottom w:val="0"/>
              <w:divBdr>
                <w:top w:val="none" w:sz="0" w:space="0" w:color="auto"/>
                <w:left w:val="none" w:sz="0" w:space="0" w:color="auto"/>
                <w:bottom w:val="none" w:sz="0" w:space="0" w:color="auto"/>
                <w:right w:val="none" w:sz="0" w:space="0" w:color="auto"/>
              </w:divBdr>
            </w:div>
          </w:divsChild>
        </w:div>
        <w:div w:id="1420980972">
          <w:marLeft w:val="0"/>
          <w:marRight w:val="0"/>
          <w:marTop w:val="0"/>
          <w:marBottom w:val="0"/>
          <w:divBdr>
            <w:top w:val="none" w:sz="0" w:space="0" w:color="auto"/>
            <w:left w:val="none" w:sz="0" w:space="0" w:color="auto"/>
            <w:bottom w:val="none" w:sz="0" w:space="0" w:color="auto"/>
            <w:right w:val="none" w:sz="0" w:space="0" w:color="auto"/>
          </w:divBdr>
          <w:divsChild>
            <w:div w:id="677275160">
              <w:marLeft w:val="0"/>
              <w:marRight w:val="0"/>
              <w:marTop w:val="0"/>
              <w:marBottom w:val="0"/>
              <w:divBdr>
                <w:top w:val="none" w:sz="0" w:space="0" w:color="auto"/>
                <w:left w:val="none" w:sz="0" w:space="0" w:color="auto"/>
                <w:bottom w:val="none" w:sz="0" w:space="0" w:color="auto"/>
                <w:right w:val="none" w:sz="0" w:space="0" w:color="auto"/>
              </w:divBdr>
            </w:div>
          </w:divsChild>
        </w:div>
        <w:div w:id="1454472360">
          <w:marLeft w:val="0"/>
          <w:marRight w:val="0"/>
          <w:marTop w:val="0"/>
          <w:marBottom w:val="0"/>
          <w:divBdr>
            <w:top w:val="none" w:sz="0" w:space="0" w:color="auto"/>
            <w:left w:val="none" w:sz="0" w:space="0" w:color="auto"/>
            <w:bottom w:val="none" w:sz="0" w:space="0" w:color="auto"/>
            <w:right w:val="none" w:sz="0" w:space="0" w:color="auto"/>
          </w:divBdr>
          <w:divsChild>
            <w:div w:id="1173565756">
              <w:marLeft w:val="0"/>
              <w:marRight w:val="0"/>
              <w:marTop w:val="0"/>
              <w:marBottom w:val="0"/>
              <w:divBdr>
                <w:top w:val="none" w:sz="0" w:space="0" w:color="auto"/>
                <w:left w:val="none" w:sz="0" w:space="0" w:color="auto"/>
                <w:bottom w:val="none" w:sz="0" w:space="0" w:color="auto"/>
                <w:right w:val="none" w:sz="0" w:space="0" w:color="auto"/>
              </w:divBdr>
            </w:div>
          </w:divsChild>
        </w:div>
        <w:div w:id="1544563442">
          <w:marLeft w:val="0"/>
          <w:marRight w:val="0"/>
          <w:marTop w:val="0"/>
          <w:marBottom w:val="0"/>
          <w:divBdr>
            <w:top w:val="none" w:sz="0" w:space="0" w:color="auto"/>
            <w:left w:val="none" w:sz="0" w:space="0" w:color="auto"/>
            <w:bottom w:val="none" w:sz="0" w:space="0" w:color="auto"/>
            <w:right w:val="none" w:sz="0" w:space="0" w:color="auto"/>
          </w:divBdr>
          <w:divsChild>
            <w:div w:id="944579886">
              <w:marLeft w:val="0"/>
              <w:marRight w:val="0"/>
              <w:marTop w:val="0"/>
              <w:marBottom w:val="0"/>
              <w:divBdr>
                <w:top w:val="none" w:sz="0" w:space="0" w:color="auto"/>
                <w:left w:val="none" w:sz="0" w:space="0" w:color="auto"/>
                <w:bottom w:val="none" w:sz="0" w:space="0" w:color="auto"/>
                <w:right w:val="none" w:sz="0" w:space="0" w:color="auto"/>
              </w:divBdr>
            </w:div>
          </w:divsChild>
        </w:div>
        <w:div w:id="1545212815">
          <w:marLeft w:val="0"/>
          <w:marRight w:val="0"/>
          <w:marTop w:val="0"/>
          <w:marBottom w:val="0"/>
          <w:divBdr>
            <w:top w:val="none" w:sz="0" w:space="0" w:color="auto"/>
            <w:left w:val="none" w:sz="0" w:space="0" w:color="auto"/>
            <w:bottom w:val="none" w:sz="0" w:space="0" w:color="auto"/>
            <w:right w:val="none" w:sz="0" w:space="0" w:color="auto"/>
          </w:divBdr>
          <w:divsChild>
            <w:div w:id="1771315625">
              <w:marLeft w:val="0"/>
              <w:marRight w:val="0"/>
              <w:marTop w:val="0"/>
              <w:marBottom w:val="0"/>
              <w:divBdr>
                <w:top w:val="none" w:sz="0" w:space="0" w:color="auto"/>
                <w:left w:val="none" w:sz="0" w:space="0" w:color="auto"/>
                <w:bottom w:val="none" w:sz="0" w:space="0" w:color="auto"/>
                <w:right w:val="none" w:sz="0" w:space="0" w:color="auto"/>
              </w:divBdr>
            </w:div>
          </w:divsChild>
        </w:div>
        <w:div w:id="1548761995">
          <w:marLeft w:val="0"/>
          <w:marRight w:val="0"/>
          <w:marTop w:val="0"/>
          <w:marBottom w:val="0"/>
          <w:divBdr>
            <w:top w:val="none" w:sz="0" w:space="0" w:color="auto"/>
            <w:left w:val="none" w:sz="0" w:space="0" w:color="auto"/>
            <w:bottom w:val="none" w:sz="0" w:space="0" w:color="auto"/>
            <w:right w:val="none" w:sz="0" w:space="0" w:color="auto"/>
          </w:divBdr>
          <w:divsChild>
            <w:div w:id="1737585688">
              <w:marLeft w:val="0"/>
              <w:marRight w:val="0"/>
              <w:marTop w:val="0"/>
              <w:marBottom w:val="0"/>
              <w:divBdr>
                <w:top w:val="none" w:sz="0" w:space="0" w:color="auto"/>
                <w:left w:val="none" w:sz="0" w:space="0" w:color="auto"/>
                <w:bottom w:val="none" w:sz="0" w:space="0" w:color="auto"/>
                <w:right w:val="none" w:sz="0" w:space="0" w:color="auto"/>
              </w:divBdr>
            </w:div>
          </w:divsChild>
        </w:div>
        <w:div w:id="1565018727">
          <w:marLeft w:val="0"/>
          <w:marRight w:val="0"/>
          <w:marTop w:val="0"/>
          <w:marBottom w:val="0"/>
          <w:divBdr>
            <w:top w:val="none" w:sz="0" w:space="0" w:color="auto"/>
            <w:left w:val="none" w:sz="0" w:space="0" w:color="auto"/>
            <w:bottom w:val="none" w:sz="0" w:space="0" w:color="auto"/>
            <w:right w:val="none" w:sz="0" w:space="0" w:color="auto"/>
          </w:divBdr>
          <w:divsChild>
            <w:div w:id="1869491572">
              <w:marLeft w:val="0"/>
              <w:marRight w:val="0"/>
              <w:marTop w:val="0"/>
              <w:marBottom w:val="0"/>
              <w:divBdr>
                <w:top w:val="none" w:sz="0" w:space="0" w:color="auto"/>
                <w:left w:val="none" w:sz="0" w:space="0" w:color="auto"/>
                <w:bottom w:val="none" w:sz="0" w:space="0" w:color="auto"/>
                <w:right w:val="none" w:sz="0" w:space="0" w:color="auto"/>
              </w:divBdr>
            </w:div>
          </w:divsChild>
        </w:div>
        <w:div w:id="1580476640">
          <w:marLeft w:val="0"/>
          <w:marRight w:val="0"/>
          <w:marTop w:val="0"/>
          <w:marBottom w:val="0"/>
          <w:divBdr>
            <w:top w:val="none" w:sz="0" w:space="0" w:color="auto"/>
            <w:left w:val="none" w:sz="0" w:space="0" w:color="auto"/>
            <w:bottom w:val="none" w:sz="0" w:space="0" w:color="auto"/>
            <w:right w:val="none" w:sz="0" w:space="0" w:color="auto"/>
          </w:divBdr>
          <w:divsChild>
            <w:div w:id="345786275">
              <w:marLeft w:val="0"/>
              <w:marRight w:val="0"/>
              <w:marTop w:val="0"/>
              <w:marBottom w:val="0"/>
              <w:divBdr>
                <w:top w:val="none" w:sz="0" w:space="0" w:color="auto"/>
                <w:left w:val="none" w:sz="0" w:space="0" w:color="auto"/>
                <w:bottom w:val="none" w:sz="0" w:space="0" w:color="auto"/>
                <w:right w:val="none" w:sz="0" w:space="0" w:color="auto"/>
              </w:divBdr>
            </w:div>
          </w:divsChild>
        </w:div>
        <w:div w:id="1580823959">
          <w:marLeft w:val="0"/>
          <w:marRight w:val="0"/>
          <w:marTop w:val="0"/>
          <w:marBottom w:val="0"/>
          <w:divBdr>
            <w:top w:val="none" w:sz="0" w:space="0" w:color="auto"/>
            <w:left w:val="none" w:sz="0" w:space="0" w:color="auto"/>
            <w:bottom w:val="none" w:sz="0" w:space="0" w:color="auto"/>
            <w:right w:val="none" w:sz="0" w:space="0" w:color="auto"/>
          </w:divBdr>
          <w:divsChild>
            <w:div w:id="22755965">
              <w:marLeft w:val="0"/>
              <w:marRight w:val="0"/>
              <w:marTop w:val="0"/>
              <w:marBottom w:val="0"/>
              <w:divBdr>
                <w:top w:val="none" w:sz="0" w:space="0" w:color="auto"/>
                <w:left w:val="none" w:sz="0" w:space="0" w:color="auto"/>
                <w:bottom w:val="none" w:sz="0" w:space="0" w:color="auto"/>
                <w:right w:val="none" w:sz="0" w:space="0" w:color="auto"/>
              </w:divBdr>
            </w:div>
          </w:divsChild>
        </w:div>
        <w:div w:id="1654488669">
          <w:marLeft w:val="0"/>
          <w:marRight w:val="0"/>
          <w:marTop w:val="0"/>
          <w:marBottom w:val="0"/>
          <w:divBdr>
            <w:top w:val="none" w:sz="0" w:space="0" w:color="auto"/>
            <w:left w:val="none" w:sz="0" w:space="0" w:color="auto"/>
            <w:bottom w:val="none" w:sz="0" w:space="0" w:color="auto"/>
            <w:right w:val="none" w:sz="0" w:space="0" w:color="auto"/>
          </w:divBdr>
          <w:divsChild>
            <w:div w:id="1040471996">
              <w:marLeft w:val="0"/>
              <w:marRight w:val="0"/>
              <w:marTop w:val="0"/>
              <w:marBottom w:val="0"/>
              <w:divBdr>
                <w:top w:val="none" w:sz="0" w:space="0" w:color="auto"/>
                <w:left w:val="none" w:sz="0" w:space="0" w:color="auto"/>
                <w:bottom w:val="none" w:sz="0" w:space="0" w:color="auto"/>
                <w:right w:val="none" w:sz="0" w:space="0" w:color="auto"/>
              </w:divBdr>
            </w:div>
          </w:divsChild>
        </w:div>
        <w:div w:id="1676958717">
          <w:marLeft w:val="0"/>
          <w:marRight w:val="0"/>
          <w:marTop w:val="0"/>
          <w:marBottom w:val="0"/>
          <w:divBdr>
            <w:top w:val="none" w:sz="0" w:space="0" w:color="auto"/>
            <w:left w:val="none" w:sz="0" w:space="0" w:color="auto"/>
            <w:bottom w:val="none" w:sz="0" w:space="0" w:color="auto"/>
            <w:right w:val="none" w:sz="0" w:space="0" w:color="auto"/>
          </w:divBdr>
          <w:divsChild>
            <w:div w:id="329910295">
              <w:marLeft w:val="0"/>
              <w:marRight w:val="0"/>
              <w:marTop w:val="0"/>
              <w:marBottom w:val="0"/>
              <w:divBdr>
                <w:top w:val="none" w:sz="0" w:space="0" w:color="auto"/>
                <w:left w:val="none" w:sz="0" w:space="0" w:color="auto"/>
                <w:bottom w:val="none" w:sz="0" w:space="0" w:color="auto"/>
                <w:right w:val="none" w:sz="0" w:space="0" w:color="auto"/>
              </w:divBdr>
            </w:div>
          </w:divsChild>
        </w:div>
        <w:div w:id="1677460205">
          <w:marLeft w:val="0"/>
          <w:marRight w:val="0"/>
          <w:marTop w:val="0"/>
          <w:marBottom w:val="0"/>
          <w:divBdr>
            <w:top w:val="none" w:sz="0" w:space="0" w:color="auto"/>
            <w:left w:val="none" w:sz="0" w:space="0" w:color="auto"/>
            <w:bottom w:val="none" w:sz="0" w:space="0" w:color="auto"/>
            <w:right w:val="none" w:sz="0" w:space="0" w:color="auto"/>
          </w:divBdr>
          <w:divsChild>
            <w:div w:id="1688822360">
              <w:marLeft w:val="0"/>
              <w:marRight w:val="0"/>
              <w:marTop w:val="0"/>
              <w:marBottom w:val="0"/>
              <w:divBdr>
                <w:top w:val="none" w:sz="0" w:space="0" w:color="auto"/>
                <w:left w:val="none" w:sz="0" w:space="0" w:color="auto"/>
                <w:bottom w:val="none" w:sz="0" w:space="0" w:color="auto"/>
                <w:right w:val="none" w:sz="0" w:space="0" w:color="auto"/>
              </w:divBdr>
            </w:div>
          </w:divsChild>
        </w:div>
        <w:div w:id="1685132837">
          <w:marLeft w:val="0"/>
          <w:marRight w:val="0"/>
          <w:marTop w:val="0"/>
          <w:marBottom w:val="0"/>
          <w:divBdr>
            <w:top w:val="none" w:sz="0" w:space="0" w:color="auto"/>
            <w:left w:val="none" w:sz="0" w:space="0" w:color="auto"/>
            <w:bottom w:val="none" w:sz="0" w:space="0" w:color="auto"/>
            <w:right w:val="none" w:sz="0" w:space="0" w:color="auto"/>
          </w:divBdr>
          <w:divsChild>
            <w:div w:id="1474761688">
              <w:marLeft w:val="0"/>
              <w:marRight w:val="0"/>
              <w:marTop w:val="0"/>
              <w:marBottom w:val="0"/>
              <w:divBdr>
                <w:top w:val="none" w:sz="0" w:space="0" w:color="auto"/>
                <w:left w:val="none" w:sz="0" w:space="0" w:color="auto"/>
                <w:bottom w:val="none" w:sz="0" w:space="0" w:color="auto"/>
                <w:right w:val="none" w:sz="0" w:space="0" w:color="auto"/>
              </w:divBdr>
            </w:div>
          </w:divsChild>
        </w:div>
        <w:div w:id="1687755872">
          <w:marLeft w:val="0"/>
          <w:marRight w:val="0"/>
          <w:marTop w:val="0"/>
          <w:marBottom w:val="0"/>
          <w:divBdr>
            <w:top w:val="none" w:sz="0" w:space="0" w:color="auto"/>
            <w:left w:val="none" w:sz="0" w:space="0" w:color="auto"/>
            <w:bottom w:val="none" w:sz="0" w:space="0" w:color="auto"/>
            <w:right w:val="none" w:sz="0" w:space="0" w:color="auto"/>
          </w:divBdr>
          <w:divsChild>
            <w:div w:id="1766919095">
              <w:marLeft w:val="0"/>
              <w:marRight w:val="0"/>
              <w:marTop w:val="0"/>
              <w:marBottom w:val="0"/>
              <w:divBdr>
                <w:top w:val="none" w:sz="0" w:space="0" w:color="auto"/>
                <w:left w:val="none" w:sz="0" w:space="0" w:color="auto"/>
                <w:bottom w:val="none" w:sz="0" w:space="0" w:color="auto"/>
                <w:right w:val="none" w:sz="0" w:space="0" w:color="auto"/>
              </w:divBdr>
            </w:div>
          </w:divsChild>
        </w:div>
        <w:div w:id="1787390652">
          <w:marLeft w:val="0"/>
          <w:marRight w:val="0"/>
          <w:marTop w:val="0"/>
          <w:marBottom w:val="0"/>
          <w:divBdr>
            <w:top w:val="none" w:sz="0" w:space="0" w:color="auto"/>
            <w:left w:val="none" w:sz="0" w:space="0" w:color="auto"/>
            <w:bottom w:val="none" w:sz="0" w:space="0" w:color="auto"/>
            <w:right w:val="none" w:sz="0" w:space="0" w:color="auto"/>
          </w:divBdr>
          <w:divsChild>
            <w:div w:id="1704747014">
              <w:marLeft w:val="0"/>
              <w:marRight w:val="0"/>
              <w:marTop w:val="0"/>
              <w:marBottom w:val="0"/>
              <w:divBdr>
                <w:top w:val="none" w:sz="0" w:space="0" w:color="auto"/>
                <w:left w:val="none" w:sz="0" w:space="0" w:color="auto"/>
                <w:bottom w:val="none" w:sz="0" w:space="0" w:color="auto"/>
                <w:right w:val="none" w:sz="0" w:space="0" w:color="auto"/>
              </w:divBdr>
            </w:div>
          </w:divsChild>
        </w:div>
        <w:div w:id="1791514999">
          <w:marLeft w:val="0"/>
          <w:marRight w:val="0"/>
          <w:marTop w:val="0"/>
          <w:marBottom w:val="0"/>
          <w:divBdr>
            <w:top w:val="none" w:sz="0" w:space="0" w:color="auto"/>
            <w:left w:val="none" w:sz="0" w:space="0" w:color="auto"/>
            <w:bottom w:val="none" w:sz="0" w:space="0" w:color="auto"/>
            <w:right w:val="none" w:sz="0" w:space="0" w:color="auto"/>
          </w:divBdr>
          <w:divsChild>
            <w:div w:id="342821488">
              <w:marLeft w:val="0"/>
              <w:marRight w:val="0"/>
              <w:marTop w:val="0"/>
              <w:marBottom w:val="0"/>
              <w:divBdr>
                <w:top w:val="none" w:sz="0" w:space="0" w:color="auto"/>
                <w:left w:val="none" w:sz="0" w:space="0" w:color="auto"/>
                <w:bottom w:val="none" w:sz="0" w:space="0" w:color="auto"/>
                <w:right w:val="none" w:sz="0" w:space="0" w:color="auto"/>
              </w:divBdr>
            </w:div>
          </w:divsChild>
        </w:div>
        <w:div w:id="1800030324">
          <w:marLeft w:val="0"/>
          <w:marRight w:val="0"/>
          <w:marTop w:val="0"/>
          <w:marBottom w:val="0"/>
          <w:divBdr>
            <w:top w:val="none" w:sz="0" w:space="0" w:color="auto"/>
            <w:left w:val="none" w:sz="0" w:space="0" w:color="auto"/>
            <w:bottom w:val="none" w:sz="0" w:space="0" w:color="auto"/>
            <w:right w:val="none" w:sz="0" w:space="0" w:color="auto"/>
          </w:divBdr>
          <w:divsChild>
            <w:div w:id="343437529">
              <w:marLeft w:val="0"/>
              <w:marRight w:val="0"/>
              <w:marTop w:val="0"/>
              <w:marBottom w:val="0"/>
              <w:divBdr>
                <w:top w:val="none" w:sz="0" w:space="0" w:color="auto"/>
                <w:left w:val="none" w:sz="0" w:space="0" w:color="auto"/>
                <w:bottom w:val="none" w:sz="0" w:space="0" w:color="auto"/>
                <w:right w:val="none" w:sz="0" w:space="0" w:color="auto"/>
              </w:divBdr>
            </w:div>
          </w:divsChild>
        </w:div>
        <w:div w:id="1834833251">
          <w:marLeft w:val="0"/>
          <w:marRight w:val="0"/>
          <w:marTop w:val="0"/>
          <w:marBottom w:val="0"/>
          <w:divBdr>
            <w:top w:val="none" w:sz="0" w:space="0" w:color="auto"/>
            <w:left w:val="none" w:sz="0" w:space="0" w:color="auto"/>
            <w:bottom w:val="none" w:sz="0" w:space="0" w:color="auto"/>
            <w:right w:val="none" w:sz="0" w:space="0" w:color="auto"/>
          </w:divBdr>
          <w:divsChild>
            <w:div w:id="2067676611">
              <w:marLeft w:val="0"/>
              <w:marRight w:val="0"/>
              <w:marTop w:val="0"/>
              <w:marBottom w:val="0"/>
              <w:divBdr>
                <w:top w:val="none" w:sz="0" w:space="0" w:color="auto"/>
                <w:left w:val="none" w:sz="0" w:space="0" w:color="auto"/>
                <w:bottom w:val="none" w:sz="0" w:space="0" w:color="auto"/>
                <w:right w:val="none" w:sz="0" w:space="0" w:color="auto"/>
              </w:divBdr>
            </w:div>
          </w:divsChild>
        </w:div>
        <w:div w:id="1926180196">
          <w:marLeft w:val="0"/>
          <w:marRight w:val="0"/>
          <w:marTop w:val="0"/>
          <w:marBottom w:val="0"/>
          <w:divBdr>
            <w:top w:val="none" w:sz="0" w:space="0" w:color="auto"/>
            <w:left w:val="none" w:sz="0" w:space="0" w:color="auto"/>
            <w:bottom w:val="none" w:sz="0" w:space="0" w:color="auto"/>
            <w:right w:val="none" w:sz="0" w:space="0" w:color="auto"/>
          </w:divBdr>
          <w:divsChild>
            <w:div w:id="1344435441">
              <w:marLeft w:val="0"/>
              <w:marRight w:val="0"/>
              <w:marTop w:val="0"/>
              <w:marBottom w:val="0"/>
              <w:divBdr>
                <w:top w:val="none" w:sz="0" w:space="0" w:color="auto"/>
                <w:left w:val="none" w:sz="0" w:space="0" w:color="auto"/>
                <w:bottom w:val="none" w:sz="0" w:space="0" w:color="auto"/>
                <w:right w:val="none" w:sz="0" w:space="0" w:color="auto"/>
              </w:divBdr>
            </w:div>
          </w:divsChild>
        </w:div>
        <w:div w:id="1936936344">
          <w:marLeft w:val="0"/>
          <w:marRight w:val="0"/>
          <w:marTop w:val="0"/>
          <w:marBottom w:val="0"/>
          <w:divBdr>
            <w:top w:val="none" w:sz="0" w:space="0" w:color="auto"/>
            <w:left w:val="none" w:sz="0" w:space="0" w:color="auto"/>
            <w:bottom w:val="none" w:sz="0" w:space="0" w:color="auto"/>
            <w:right w:val="none" w:sz="0" w:space="0" w:color="auto"/>
          </w:divBdr>
          <w:divsChild>
            <w:div w:id="1148791047">
              <w:marLeft w:val="0"/>
              <w:marRight w:val="0"/>
              <w:marTop w:val="0"/>
              <w:marBottom w:val="0"/>
              <w:divBdr>
                <w:top w:val="none" w:sz="0" w:space="0" w:color="auto"/>
                <w:left w:val="none" w:sz="0" w:space="0" w:color="auto"/>
                <w:bottom w:val="none" w:sz="0" w:space="0" w:color="auto"/>
                <w:right w:val="none" w:sz="0" w:space="0" w:color="auto"/>
              </w:divBdr>
            </w:div>
          </w:divsChild>
        </w:div>
        <w:div w:id="1966156050">
          <w:marLeft w:val="0"/>
          <w:marRight w:val="0"/>
          <w:marTop w:val="0"/>
          <w:marBottom w:val="0"/>
          <w:divBdr>
            <w:top w:val="none" w:sz="0" w:space="0" w:color="auto"/>
            <w:left w:val="none" w:sz="0" w:space="0" w:color="auto"/>
            <w:bottom w:val="none" w:sz="0" w:space="0" w:color="auto"/>
            <w:right w:val="none" w:sz="0" w:space="0" w:color="auto"/>
          </w:divBdr>
          <w:divsChild>
            <w:div w:id="1074939305">
              <w:marLeft w:val="0"/>
              <w:marRight w:val="0"/>
              <w:marTop w:val="0"/>
              <w:marBottom w:val="0"/>
              <w:divBdr>
                <w:top w:val="none" w:sz="0" w:space="0" w:color="auto"/>
                <w:left w:val="none" w:sz="0" w:space="0" w:color="auto"/>
                <w:bottom w:val="none" w:sz="0" w:space="0" w:color="auto"/>
                <w:right w:val="none" w:sz="0" w:space="0" w:color="auto"/>
              </w:divBdr>
            </w:div>
          </w:divsChild>
        </w:div>
        <w:div w:id="1989940307">
          <w:marLeft w:val="0"/>
          <w:marRight w:val="0"/>
          <w:marTop w:val="0"/>
          <w:marBottom w:val="0"/>
          <w:divBdr>
            <w:top w:val="none" w:sz="0" w:space="0" w:color="auto"/>
            <w:left w:val="none" w:sz="0" w:space="0" w:color="auto"/>
            <w:bottom w:val="none" w:sz="0" w:space="0" w:color="auto"/>
            <w:right w:val="none" w:sz="0" w:space="0" w:color="auto"/>
          </w:divBdr>
          <w:divsChild>
            <w:div w:id="1200127268">
              <w:marLeft w:val="0"/>
              <w:marRight w:val="0"/>
              <w:marTop w:val="0"/>
              <w:marBottom w:val="0"/>
              <w:divBdr>
                <w:top w:val="none" w:sz="0" w:space="0" w:color="auto"/>
                <w:left w:val="none" w:sz="0" w:space="0" w:color="auto"/>
                <w:bottom w:val="none" w:sz="0" w:space="0" w:color="auto"/>
                <w:right w:val="none" w:sz="0" w:space="0" w:color="auto"/>
              </w:divBdr>
            </w:div>
          </w:divsChild>
        </w:div>
        <w:div w:id="2001542413">
          <w:marLeft w:val="0"/>
          <w:marRight w:val="0"/>
          <w:marTop w:val="0"/>
          <w:marBottom w:val="0"/>
          <w:divBdr>
            <w:top w:val="none" w:sz="0" w:space="0" w:color="auto"/>
            <w:left w:val="none" w:sz="0" w:space="0" w:color="auto"/>
            <w:bottom w:val="none" w:sz="0" w:space="0" w:color="auto"/>
            <w:right w:val="none" w:sz="0" w:space="0" w:color="auto"/>
          </w:divBdr>
          <w:divsChild>
            <w:div w:id="1514227890">
              <w:marLeft w:val="0"/>
              <w:marRight w:val="0"/>
              <w:marTop w:val="0"/>
              <w:marBottom w:val="0"/>
              <w:divBdr>
                <w:top w:val="none" w:sz="0" w:space="0" w:color="auto"/>
                <w:left w:val="none" w:sz="0" w:space="0" w:color="auto"/>
                <w:bottom w:val="none" w:sz="0" w:space="0" w:color="auto"/>
                <w:right w:val="none" w:sz="0" w:space="0" w:color="auto"/>
              </w:divBdr>
            </w:div>
          </w:divsChild>
        </w:div>
        <w:div w:id="2012289752">
          <w:marLeft w:val="0"/>
          <w:marRight w:val="0"/>
          <w:marTop w:val="0"/>
          <w:marBottom w:val="0"/>
          <w:divBdr>
            <w:top w:val="none" w:sz="0" w:space="0" w:color="auto"/>
            <w:left w:val="none" w:sz="0" w:space="0" w:color="auto"/>
            <w:bottom w:val="none" w:sz="0" w:space="0" w:color="auto"/>
            <w:right w:val="none" w:sz="0" w:space="0" w:color="auto"/>
          </w:divBdr>
          <w:divsChild>
            <w:div w:id="762216417">
              <w:marLeft w:val="0"/>
              <w:marRight w:val="0"/>
              <w:marTop w:val="0"/>
              <w:marBottom w:val="0"/>
              <w:divBdr>
                <w:top w:val="none" w:sz="0" w:space="0" w:color="auto"/>
                <w:left w:val="none" w:sz="0" w:space="0" w:color="auto"/>
                <w:bottom w:val="none" w:sz="0" w:space="0" w:color="auto"/>
                <w:right w:val="none" w:sz="0" w:space="0" w:color="auto"/>
              </w:divBdr>
            </w:div>
          </w:divsChild>
        </w:div>
        <w:div w:id="2029067061">
          <w:marLeft w:val="0"/>
          <w:marRight w:val="0"/>
          <w:marTop w:val="0"/>
          <w:marBottom w:val="0"/>
          <w:divBdr>
            <w:top w:val="none" w:sz="0" w:space="0" w:color="auto"/>
            <w:left w:val="none" w:sz="0" w:space="0" w:color="auto"/>
            <w:bottom w:val="none" w:sz="0" w:space="0" w:color="auto"/>
            <w:right w:val="none" w:sz="0" w:space="0" w:color="auto"/>
          </w:divBdr>
          <w:divsChild>
            <w:div w:id="197744039">
              <w:marLeft w:val="0"/>
              <w:marRight w:val="0"/>
              <w:marTop w:val="0"/>
              <w:marBottom w:val="0"/>
              <w:divBdr>
                <w:top w:val="none" w:sz="0" w:space="0" w:color="auto"/>
                <w:left w:val="none" w:sz="0" w:space="0" w:color="auto"/>
                <w:bottom w:val="none" w:sz="0" w:space="0" w:color="auto"/>
                <w:right w:val="none" w:sz="0" w:space="0" w:color="auto"/>
              </w:divBdr>
            </w:div>
          </w:divsChild>
        </w:div>
        <w:div w:id="2036736004">
          <w:marLeft w:val="0"/>
          <w:marRight w:val="0"/>
          <w:marTop w:val="0"/>
          <w:marBottom w:val="0"/>
          <w:divBdr>
            <w:top w:val="none" w:sz="0" w:space="0" w:color="auto"/>
            <w:left w:val="none" w:sz="0" w:space="0" w:color="auto"/>
            <w:bottom w:val="none" w:sz="0" w:space="0" w:color="auto"/>
            <w:right w:val="none" w:sz="0" w:space="0" w:color="auto"/>
          </w:divBdr>
          <w:divsChild>
            <w:div w:id="388266559">
              <w:marLeft w:val="0"/>
              <w:marRight w:val="0"/>
              <w:marTop w:val="0"/>
              <w:marBottom w:val="0"/>
              <w:divBdr>
                <w:top w:val="none" w:sz="0" w:space="0" w:color="auto"/>
                <w:left w:val="none" w:sz="0" w:space="0" w:color="auto"/>
                <w:bottom w:val="none" w:sz="0" w:space="0" w:color="auto"/>
                <w:right w:val="none" w:sz="0" w:space="0" w:color="auto"/>
              </w:divBdr>
            </w:div>
          </w:divsChild>
        </w:div>
        <w:div w:id="2042853188">
          <w:marLeft w:val="0"/>
          <w:marRight w:val="0"/>
          <w:marTop w:val="0"/>
          <w:marBottom w:val="0"/>
          <w:divBdr>
            <w:top w:val="none" w:sz="0" w:space="0" w:color="auto"/>
            <w:left w:val="none" w:sz="0" w:space="0" w:color="auto"/>
            <w:bottom w:val="none" w:sz="0" w:space="0" w:color="auto"/>
            <w:right w:val="none" w:sz="0" w:space="0" w:color="auto"/>
          </w:divBdr>
          <w:divsChild>
            <w:div w:id="693771099">
              <w:marLeft w:val="0"/>
              <w:marRight w:val="0"/>
              <w:marTop w:val="0"/>
              <w:marBottom w:val="0"/>
              <w:divBdr>
                <w:top w:val="none" w:sz="0" w:space="0" w:color="auto"/>
                <w:left w:val="none" w:sz="0" w:space="0" w:color="auto"/>
                <w:bottom w:val="none" w:sz="0" w:space="0" w:color="auto"/>
                <w:right w:val="none" w:sz="0" w:space="0" w:color="auto"/>
              </w:divBdr>
            </w:div>
          </w:divsChild>
        </w:div>
        <w:div w:id="2062363591">
          <w:marLeft w:val="0"/>
          <w:marRight w:val="0"/>
          <w:marTop w:val="0"/>
          <w:marBottom w:val="0"/>
          <w:divBdr>
            <w:top w:val="none" w:sz="0" w:space="0" w:color="auto"/>
            <w:left w:val="none" w:sz="0" w:space="0" w:color="auto"/>
            <w:bottom w:val="none" w:sz="0" w:space="0" w:color="auto"/>
            <w:right w:val="none" w:sz="0" w:space="0" w:color="auto"/>
          </w:divBdr>
          <w:divsChild>
            <w:div w:id="256669484">
              <w:marLeft w:val="0"/>
              <w:marRight w:val="0"/>
              <w:marTop w:val="0"/>
              <w:marBottom w:val="0"/>
              <w:divBdr>
                <w:top w:val="none" w:sz="0" w:space="0" w:color="auto"/>
                <w:left w:val="none" w:sz="0" w:space="0" w:color="auto"/>
                <w:bottom w:val="none" w:sz="0" w:space="0" w:color="auto"/>
                <w:right w:val="none" w:sz="0" w:space="0" w:color="auto"/>
              </w:divBdr>
            </w:div>
          </w:divsChild>
        </w:div>
        <w:div w:id="2068601424">
          <w:marLeft w:val="0"/>
          <w:marRight w:val="0"/>
          <w:marTop w:val="0"/>
          <w:marBottom w:val="0"/>
          <w:divBdr>
            <w:top w:val="none" w:sz="0" w:space="0" w:color="auto"/>
            <w:left w:val="none" w:sz="0" w:space="0" w:color="auto"/>
            <w:bottom w:val="none" w:sz="0" w:space="0" w:color="auto"/>
            <w:right w:val="none" w:sz="0" w:space="0" w:color="auto"/>
          </w:divBdr>
          <w:divsChild>
            <w:div w:id="653802063">
              <w:marLeft w:val="0"/>
              <w:marRight w:val="0"/>
              <w:marTop w:val="0"/>
              <w:marBottom w:val="0"/>
              <w:divBdr>
                <w:top w:val="none" w:sz="0" w:space="0" w:color="auto"/>
                <w:left w:val="none" w:sz="0" w:space="0" w:color="auto"/>
                <w:bottom w:val="none" w:sz="0" w:space="0" w:color="auto"/>
                <w:right w:val="none" w:sz="0" w:space="0" w:color="auto"/>
              </w:divBdr>
            </w:div>
          </w:divsChild>
        </w:div>
        <w:div w:id="2109425618">
          <w:marLeft w:val="0"/>
          <w:marRight w:val="0"/>
          <w:marTop w:val="0"/>
          <w:marBottom w:val="0"/>
          <w:divBdr>
            <w:top w:val="none" w:sz="0" w:space="0" w:color="auto"/>
            <w:left w:val="none" w:sz="0" w:space="0" w:color="auto"/>
            <w:bottom w:val="none" w:sz="0" w:space="0" w:color="auto"/>
            <w:right w:val="none" w:sz="0" w:space="0" w:color="auto"/>
          </w:divBdr>
          <w:divsChild>
            <w:div w:id="899940512">
              <w:marLeft w:val="0"/>
              <w:marRight w:val="0"/>
              <w:marTop w:val="0"/>
              <w:marBottom w:val="0"/>
              <w:divBdr>
                <w:top w:val="none" w:sz="0" w:space="0" w:color="auto"/>
                <w:left w:val="none" w:sz="0" w:space="0" w:color="auto"/>
                <w:bottom w:val="none" w:sz="0" w:space="0" w:color="auto"/>
                <w:right w:val="none" w:sz="0" w:space="0" w:color="auto"/>
              </w:divBdr>
            </w:div>
          </w:divsChild>
        </w:div>
        <w:div w:id="2136871250">
          <w:marLeft w:val="0"/>
          <w:marRight w:val="0"/>
          <w:marTop w:val="0"/>
          <w:marBottom w:val="0"/>
          <w:divBdr>
            <w:top w:val="none" w:sz="0" w:space="0" w:color="auto"/>
            <w:left w:val="none" w:sz="0" w:space="0" w:color="auto"/>
            <w:bottom w:val="none" w:sz="0" w:space="0" w:color="auto"/>
            <w:right w:val="none" w:sz="0" w:space="0" w:color="auto"/>
          </w:divBdr>
          <w:divsChild>
            <w:div w:id="21354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449444">
      <w:bodyDiv w:val="1"/>
      <w:marLeft w:val="0"/>
      <w:marRight w:val="0"/>
      <w:marTop w:val="0"/>
      <w:marBottom w:val="0"/>
      <w:divBdr>
        <w:top w:val="none" w:sz="0" w:space="0" w:color="auto"/>
        <w:left w:val="none" w:sz="0" w:space="0" w:color="auto"/>
        <w:bottom w:val="none" w:sz="0" w:space="0" w:color="auto"/>
        <w:right w:val="none" w:sz="0" w:space="0" w:color="auto"/>
      </w:divBdr>
    </w:div>
    <w:div w:id="1728994544">
      <w:bodyDiv w:val="1"/>
      <w:marLeft w:val="0"/>
      <w:marRight w:val="0"/>
      <w:marTop w:val="0"/>
      <w:marBottom w:val="0"/>
      <w:divBdr>
        <w:top w:val="none" w:sz="0" w:space="0" w:color="auto"/>
        <w:left w:val="none" w:sz="0" w:space="0" w:color="auto"/>
        <w:bottom w:val="none" w:sz="0" w:space="0" w:color="auto"/>
        <w:right w:val="none" w:sz="0" w:space="0" w:color="auto"/>
      </w:divBdr>
    </w:div>
    <w:div w:id="1773628564">
      <w:bodyDiv w:val="1"/>
      <w:marLeft w:val="0"/>
      <w:marRight w:val="0"/>
      <w:marTop w:val="0"/>
      <w:marBottom w:val="0"/>
      <w:divBdr>
        <w:top w:val="none" w:sz="0" w:space="0" w:color="auto"/>
        <w:left w:val="none" w:sz="0" w:space="0" w:color="auto"/>
        <w:bottom w:val="none" w:sz="0" w:space="0" w:color="auto"/>
        <w:right w:val="none" w:sz="0" w:space="0" w:color="auto"/>
      </w:divBdr>
    </w:div>
    <w:div w:id="1779984631">
      <w:bodyDiv w:val="1"/>
      <w:marLeft w:val="0"/>
      <w:marRight w:val="0"/>
      <w:marTop w:val="0"/>
      <w:marBottom w:val="0"/>
      <w:divBdr>
        <w:top w:val="none" w:sz="0" w:space="0" w:color="auto"/>
        <w:left w:val="none" w:sz="0" w:space="0" w:color="auto"/>
        <w:bottom w:val="none" w:sz="0" w:space="0" w:color="auto"/>
        <w:right w:val="none" w:sz="0" w:space="0" w:color="auto"/>
      </w:divBdr>
    </w:div>
    <w:div w:id="1781143255">
      <w:bodyDiv w:val="1"/>
      <w:marLeft w:val="0"/>
      <w:marRight w:val="0"/>
      <w:marTop w:val="0"/>
      <w:marBottom w:val="0"/>
      <w:divBdr>
        <w:top w:val="none" w:sz="0" w:space="0" w:color="auto"/>
        <w:left w:val="none" w:sz="0" w:space="0" w:color="auto"/>
        <w:bottom w:val="none" w:sz="0" w:space="0" w:color="auto"/>
        <w:right w:val="none" w:sz="0" w:space="0" w:color="auto"/>
      </w:divBdr>
      <w:divsChild>
        <w:div w:id="174081115">
          <w:marLeft w:val="0"/>
          <w:marRight w:val="0"/>
          <w:marTop w:val="0"/>
          <w:marBottom w:val="0"/>
          <w:divBdr>
            <w:top w:val="none" w:sz="0" w:space="0" w:color="auto"/>
            <w:left w:val="none" w:sz="0" w:space="0" w:color="auto"/>
            <w:bottom w:val="none" w:sz="0" w:space="0" w:color="auto"/>
            <w:right w:val="none" w:sz="0" w:space="0" w:color="auto"/>
          </w:divBdr>
        </w:div>
        <w:div w:id="623535218">
          <w:marLeft w:val="0"/>
          <w:marRight w:val="0"/>
          <w:marTop w:val="0"/>
          <w:marBottom w:val="0"/>
          <w:divBdr>
            <w:top w:val="none" w:sz="0" w:space="0" w:color="auto"/>
            <w:left w:val="none" w:sz="0" w:space="0" w:color="auto"/>
            <w:bottom w:val="none" w:sz="0" w:space="0" w:color="auto"/>
            <w:right w:val="none" w:sz="0" w:space="0" w:color="auto"/>
          </w:divBdr>
        </w:div>
      </w:divsChild>
    </w:div>
    <w:div w:id="1809392157">
      <w:bodyDiv w:val="1"/>
      <w:marLeft w:val="0"/>
      <w:marRight w:val="0"/>
      <w:marTop w:val="0"/>
      <w:marBottom w:val="0"/>
      <w:divBdr>
        <w:top w:val="none" w:sz="0" w:space="0" w:color="auto"/>
        <w:left w:val="none" w:sz="0" w:space="0" w:color="auto"/>
        <w:bottom w:val="none" w:sz="0" w:space="0" w:color="auto"/>
        <w:right w:val="none" w:sz="0" w:space="0" w:color="auto"/>
      </w:divBdr>
    </w:div>
    <w:div w:id="1821648260">
      <w:bodyDiv w:val="1"/>
      <w:marLeft w:val="0"/>
      <w:marRight w:val="0"/>
      <w:marTop w:val="0"/>
      <w:marBottom w:val="0"/>
      <w:divBdr>
        <w:top w:val="none" w:sz="0" w:space="0" w:color="auto"/>
        <w:left w:val="none" w:sz="0" w:space="0" w:color="auto"/>
        <w:bottom w:val="none" w:sz="0" w:space="0" w:color="auto"/>
        <w:right w:val="none" w:sz="0" w:space="0" w:color="auto"/>
      </w:divBdr>
    </w:div>
    <w:div w:id="1842694904">
      <w:bodyDiv w:val="1"/>
      <w:marLeft w:val="0"/>
      <w:marRight w:val="0"/>
      <w:marTop w:val="0"/>
      <w:marBottom w:val="0"/>
      <w:divBdr>
        <w:top w:val="none" w:sz="0" w:space="0" w:color="auto"/>
        <w:left w:val="none" w:sz="0" w:space="0" w:color="auto"/>
        <w:bottom w:val="none" w:sz="0" w:space="0" w:color="auto"/>
        <w:right w:val="none" w:sz="0" w:space="0" w:color="auto"/>
      </w:divBdr>
    </w:div>
    <w:div w:id="1876119602">
      <w:bodyDiv w:val="1"/>
      <w:marLeft w:val="0"/>
      <w:marRight w:val="0"/>
      <w:marTop w:val="0"/>
      <w:marBottom w:val="0"/>
      <w:divBdr>
        <w:top w:val="none" w:sz="0" w:space="0" w:color="auto"/>
        <w:left w:val="none" w:sz="0" w:space="0" w:color="auto"/>
        <w:bottom w:val="none" w:sz="0" w:space="0" w:color="auto"/>
        <w:right w:val="none" w:sz="0" w:space="0" w:color="auto"/>
      </w:divBdr>
      <w:divsChild>
        <w:div w:id="605962938">
          <w:marLeft w:val="0"/>
          <w:marRight w:val="0"/>
          <w:marTop w:val="0"/>
          <w:marBottom w:val="0"/>
          <w:divBdr>
            <w:top w:val="none" w:sz="0" w:space="0" w:color="auto"/>
            <w:left w:val="none" w:sz="0" w:space="0" w:color="auto"/>
            <w:bottom w:val="none" w:sz="0" w:space="0" w:color="auto"/>
            <w:right w:val="none" w:sz="0" w:space="0" w:color="auto"/>
          </w:divBdr>
        </w:div>
      </w:divsChild>
    </w:div>
    <w:div w:id="1882791057">
      <w:bodyDiv w:val="1"/>
      <w:marLeft w:val="0"/>
      <w:marRight w:val="0"/>
      <w:marTop w:val="0"/>
      <w:marBottom w:val="0"/>
      <w:divBdr>
        <w:top w:val="none" w:sz="0" w:space="0" w:color="auto"/>
        <w:left w:val="none" w:sz="0" w:space="0" w:color="auto"/>
        <w:bottom w:val="none" w:sz="0" w:space="0" w:color="auto"/>
        <w:right w:val="none" w:sz="0" w:space="0" w:color="auto"/>
      </w:divBdr>
    </w:div>
    <w:div w:id="1886405179">
      <w:bodyDiv w:val="1"/>
      <w:marLeft w:val="0"/>
      <w:marRight w:val="0"/>
      <w:marTop w:val="0"/>
      <w:marBottom w:val="0"/>
      <w:divBdr>
        <w:top w:val="none" w:sz="0" w:space="0" w:color="auto"/>
        <w:left w:val="none" w:sz="0" w:space="0" w:color="auto"/>
        <w:bottom w:val="none" w:sz="0" w:space="0" w:color="auto"/>
        <w:right w:val="none" w:sz="0" w:space="0" w:color="auto"/>
      </w:divBdr>
    </w:div>
    <w:div w:id="1894350238">
      <w:bodyDiv w:val="1"/>
      <w:marLeft w:val="0"/>
      <w:marRight w:val="0"/>
      <w:marTop w:val="0"/>
      <w:marBottom w:val="0"/>
      <w:divBdr>
        <w:top w:val="none" w:sz="0" w:space="0" w:color="auto"/>
        <w:left w:val="none" w:sz="0" w:space="0" w:color="auto"/>
        <w:bottom w:val="none" w:sz="0" w:space="0" w:color="auto"/>
        <w:right w:val="none" w:sz="0" w:space="0" w:color="auto"/>
      </w:divBdr>
    </w:div>
    <w:div w:id="1930700636">
      <w:bodyDiv w:val="1"/>
      <w:marLeft w:val="0"/>
      <w:marRight w:val="0"/>
      <w:marTop w:val="0"/>
      <w:marBottom w:val="0"/>
      <w:divBdr>
        <w:top w:val="none" w:sz="0" w:space="0" w:color="auto"/>
        <w:left w:val="none" w:sz="0" w:space="0" w:color="auto"/>
        <w:bottom w:val="none" w:sz="0" w:space="0" w:color="auto"/>
        <w:right w:val="none" w:sz="0" w:space="0" w:color="auto"/>
      </w:divBdr>
      <w:divsChild>
        <w:div w:id="517500555">
          <w:marLeft w:val="0"/>
          <w:marRight w:val="0"/>
          <w:marTop w:val="0"/>
          <w:marBottom w:val="0"/>
          <w:divBdr>
            <w:top w:val="none" w:sz="0" w:space="0" w:color="auto"/>
            <w:left w:val="none" w:sz="0" w:space="0" w:color="auto"/>
            <w:bottom w:val="none" w:sz="0" w:space="0" w:color="auto"/>
            <w:right w:val="none" w:sz="0" w:space="0" w:color="auto"/>
          </w:divBdr>
        </w:div>
      </w:divsChild>
    </w:div>
    <w:div w:id="1936280633">
      <w:bodyDiv w:val="1"/>
      <w:marLeft w:val="0"/>
      <w:marRight w:val="0"/>
      <w:marTop w:val="0"/>
      <w:marBottom w:val="0"/>
      <w:divBdr>
        <w:top w:val="none" w:sz="0" w:space="0" w:color="auto"/>
        <w:left w:val="none" w:sz="0" w:space="0" w:color="auto"/>
        <w:bottom w:val="none" w:sz="0" w:space="0" w:color="auto"/>
        <w:right w:val="none" w:sz="0" w:space="0" w:color="auto"/>
      </w:divBdr>
    </w:div>
    <w:div w:id="1982730568">
      <w:bodyDiv w:val="1"/>
      <w:marLeft w:val="0"/>
      <w:marRight w:val="0"/>
      <w:marTop w:val="0"/>
      <w:marBottom w:val="0"/>
      <w:divBdr>
        <w:top w:val="none" w:sz="0" w:space="0" w:color="auto"/>
        <w:left w:val="none" w:sz="0" w:space="0" w:color="auto"/>
        <w:bottom w:val="none" w:sz="0" w:space="0" w:color="auto"/>
        <w:right w:val="none" w:sz="0" w:space="0" w:color="auto"/>
      </w:divBdr>
      <w:divsChild>
        <w:div w:id="1645626208">
          <w:marLeft w:val="0"/>
          <w:marRight w:val="0"/>
          <w:marTop w:val="0"/>
          <w:marBottom w:val="0"/>
          <w:divBdr>
            <w:top w:val="none" w:sz="0" w:space="0" w:color="auto"/>
            <w:left w:val="none" w:sz="0" w:space="0" w:color="auto"/>
            <w:bottom w:val="none" w:sz="0" w:space="0" w:color="auto"/>
            <w:right w:val="none" w:sz="0" w:space="0" w:color="auto"/>
          </w:divBdr>
          <w:divsChild>
            <w:div w:id="365521229">
              <w:marLeft w:val="-75"/>
              <w:marRight w:val="0"/>
              <w:marTop w:val="30"/>
              <w:marBottom w:val="30"/>
              <w:divBdr>
                <w:top w:val="none" w:sz="0" w:space="0" w:color="auto"/>
                <w:left w:val="none" w:sz="0" w:space="0" w:color="auto"/>
                <w:bottom w:val="none" w:sz="0" w:space="0" w:color="auto"/>
                <w:right w:val="none" w:sz="0" w:space="0" w:color="auto"/>
              </w:divBdr>
              <w:divsChild>
                <w:div w:id="787792">
                  <w:marLeft w:val="0"/>
                  <w:marRight w:val="0"/>
                  <w:marTop w:val="0"/>
                  <w:marBottom w:val="0"/>
                  <w:divBdr>
                    <w:top w:val="none" w:sz="0" w:space="0" w:color="auto"/>
                    <w:left w:val="none" w:sz="0" w:space="0" w:color="auto"/>
                    <w:bottom w:val="none" w:sz="0" w:space="0" w:color="auto"/>
                    <w:right w:val="none" w:sz="0" w:space="0" w:color="auto"/>
                  </w:divBdr>
                  <w:divsChild>
                    <w:div w:id="1688022509">
                      <w:marLeft w:val="0"/>
                      <w:marRight w:val="0"/>
                      <w:marTop w:val="0"/>
                      <w:marBottom w:val="0"/>
                      <w:divBdr>
                        <w:top w:val="none" w:sz="0" w:space="0" w:color="auto"/>
                        <w:left w:val="none" w:sz="0" w:space="0" w:color="auto"/>
                        <w:bottom w:val="none" w:sz="0" w:space="0" w:color="auto"/>
                        <w:right w:val="none" w:sz="0" w:space="0" w:color="auto"/>
                      </w:divBdr>
                    </w:div>
                  </w:divsChild>
                </w:div>
                <w:div w:id="31003305">
                  <w:marLeft w:val="0"/>
                  <w:marRight w:val="0"/>
                  <w:marTop w:val="0"/>
                  <w:marBottom w:val="0"/>
                  <w:divBdr>
                    <w:top w:val="none" w:sz="0" w:space="0" w:color="auto"/>
                    <w:left w:val="none" w:sz="0" w:space="0" w:color="auto"/>
                    <w:bottom w:val="none" w:sz="0" w:space="0" w:color="auto"/>
                    <w:right w:val="none" w:sz="0" w:space="0" w:color="auto"/>
                  </w:divBdr>
                  <w:divsChild>
                    <w:div w:id="1927231375">
                      <w:marLeft w:val="0"/>
                      <w:marRight w:val="0"/>
                      <w:marTop w:val="0"/>
                      <w:marBottom w:val="0"/>
                      <w:divBdr>
                        <w:top w:val="none" w:sz="0" w:space="0" w:color="auto"/>
                        <w:left w:val="none" w:sz="0" w:space="0" w:color="auto"/>
                        <w:bottom w:val="none" w:sz="0" w:space="0" w:color="auto"/>
                        <w:right w:val="none" w:sz="0" w:space="0" w:color="auto"/>
                      </w:divBdr>
                    </w:div>
                  </w:divsChild>
                </w:div>
                <w:div w:id="65998033">
                  <w:marLeft w:val="0"/>
                  <w:marRight w:val="0"/>
                  <w:marTop w:val="0"/>
                  <w:marBottom w:val="0"/>
                  <w:divBdr>
                    <w:top w:val="none" w:sz="0" w:space="0" w:color="auto"/>
                    <w:left w:val="none" w:sz="0" w:space="0" w:color="auto"/>
                    <w:bottom w:val="none" w:sz="0" w:space="0" w:color="auto"/>
                    <w:right w:val="none" w:sz="0" w:space="0" w:color="auto"/>
                  </w:divBdr>
                  <w:divsChild>
                    <w:div w:id="919829119">
                      <w:marLeft w:val="0"/>
                      <w:marRight w:val="0"/>
                      <w:marTop w:val="0"/>
                      <w:marBottom w:val="0"/>
                      <w:divBdr>
                        <w:top w:val="none" w:sz="0" w:space="0" w:color="auto"/>
                        <w:left w:val="none" w:sz="0" w:space="0" w:color="auto"/>
                        <w:bottom w:val="none" w:sz="0" w:space="0" w:color="auto"/>
                        <w:right w:val="none" w:sz="0" w:space="0" w:color="auto"/>
                      </w:divBdr>
                    </w:div>
                  </w:divsChild>
                </w:div>
                <w:div w:id="72508925">
                  <w:marLeft w:val="0"/>
                  <w:marRight w:val="0"/>
                  <w:marTop w:val="0"/>
                  <w:marBottom w:val="0"/>
                  <w:divBdr>
                    <w:top w:val="none" w:sz="0" w:space="0" w:color="auto"/>
                    <w:left w:val="none" w:sz="0" w:space="0" w:color="auto"/>
                    <w:bottom w:val="none" w:sz="0" w:space="0" w:color="auto"/>
                    <w:right w:val="none" w:sz="0" w:space="0" w:color="auto"/>
                  </w:divBdr>
                  <w:divsChild>
                    <w:div w:id="676080857">
                      <w:marLeft w:val="0"/>
                      <w:marRight w:val="0"/>
                      <w:marTop w:val="0"/>
                      <w:marBottom w:val="0"/>
                      <w:divBdr>
                        <w:top w:val="none" w:sz="0" w:space="0" w:color="auto"/>
                        <w:left w:val="none" w:sz="0" w:space="0" w:color="auto"/>
                        <w:bottom w:val="none" w:sz="0" w:space="0" w:color="auto"/>
                        <w:right w:val="none" w:sz="0" w:space="0" w:color="auto"/>
                      </w:divBdr>
                    </w:div>
                  </w:divsChild>
                </w:div>
                <w:div w:id="78211430">
                  <w:marLeft w:val="0"/>
                  <w:marRight w:val="0"/>
                  <w:marTop w:val="0"/>
                  <w:marBottom w:val="0"/>
                  <w:divBdr>
                    <w:top w:val="none" w:sz="0" w:space="0" w:color="auto"/>
                    <w:left w:val="none" w:sz="0" w:space="0" w:color="auto"/>
                    <w:bottom w:val="none" w:sz="0" w:space="0" w:color="auto"/>
                    <w:right w:val="none" w:sz="0" w:space="0" w:color="auto"/>
                  </w:divBdr>
                  <w:divsChild>
                    <w:div w:id="594363533">
                      <w:marLeft w:val="0"/>
                      <w:marRight w:val="0"/>
                      <w:marTop w:val="0"/>
                      <w:marBottom w:val="0"/>
                      <w:divBdr>
                        <w:top w:val="none" w:sz="0" w:space="0" w:color="auto"/>
                        <w:left w:val="none" w:sz="0" w:space="0" w:color="auto"/>
                        <w:bottom w:val="none" w:sz="0" w:space="0" w:color="auto"/>
                        <w:right w:val="none" w:sz="0" w:space="0" w:color="auto"/>
                      </w:divBdr>
                    </w:div>
                  </w:divsChild>
                </w:div>
                <w:div w:id="90900341">
                  <w:marLeft w:val="0"/>
                  <w:marRight w:val="0"/>
                  <w:marTop w:val="0"/>
                  <w:marBottom w:val="0"/>
                  <w:divBdr>
                    <w:top w:val="none" w:sz="0" w:space="0" w:color="auto"/>
                    <w:left w:val="none" w:sz="0" w:space="0" w:color="auto"/>
                    <w:bottom w:val="none" w:sz="0" w:space="0" w:color="auto"/>
                    <w:right w:val="none" w:sz="0" w:space="0" w:color="auto"/>
                  </w:divBdr>
                  <w:divsChild>
                    <w:div w:id="85806239">
                      <w:marLeft w:val="0"/>
                      <w:marRight w:val="0"/>
                      <w:marTop w:val="0"/>
                      <w:marBottom w:val="0"/>
                      <w:divBdr>
                        <w:top w:val="none" w:sz="0" w:space="0" w:color="auto"/>
                        <w:left w:val="none" w:sz="0" w:space="0" w:color="auto"/>
                        <w:bottom w:val="none" w:sz="0" w:space="0" w:color="auto"/>
                        <w:right w:val="none" w:sz="0" w:space="0" w:color="auto"/>
                      </w:divBdr>
                    </w:div>
                  </w:divsChild>
                </w:div>
                <w:div w:id="102654150">
                  <w:marLeft w:val="0"/>
                  <w:marRight w:val="0"/>
                  <w:marTop w:val="0"/>
                  <w:marBottom w:val="0"/>
                  <w:divBdr>
                    <w:top w:val="none" w:sz="0" w:space="0" w:color="auto"/>
                    <w:left w:val="none" w:sz="0" w:space="0" w:color="auto"/>
                    <w:bottom w:val="none" w:sz="0" w:space="0" w:color="auto"/>
                    <w:right w:val="none" w:sz="0" w:space="0" w:color="auto"/>
                  </w:divBdr>
                  <w:divsChild>
                    <w:div w:id="632563905">
                      <w:marLeft w:val="0"/>
                      <w:marRight w:val="0"/>
                      <w:marTop w:val="0"/>
                      <w:marBottom w:val="0"/>
                      <w:divBdr>
                        <w:top w:val="none" w:sz="0" w:space="0" w:color="auto"/>
                        <w:left w:val="none" w:sz="0" w:space="0" w:color="auto"/>
                        <w:bottom w:val="none" w:sz="0" w:space="0" w:color="auto"/>
                        <w:right w:val="none" w:sz="0" w:space="0" w:color="auto"/>
                      </w:divBdr>
                    </w:div>
                  </w:divsChild>
                </w:div>
                <w:div w:id="103548327">
                  <w:marLeft w:val="0"/>
                  <w:marRight w:val="0"/>
                  <w:marTop w:val="0"/>
                  <w:marBottom w:val="0"/>
                  <w:divBdr>
                    <w:top w:val="none" w:sz="0" w:space="0" w:color="auto"/>
                    <w:left w:val="none" w:sz="0" w:space="0" w:color="auto"/>
                    <w:bottom w:val="none" w:sz="0" w:space="0" w:color="auto"/>
                    <w:right w:val="none" w:sz="0" w:space="0" w:color="auto"/>
                  </w:divBdr>
                  <w:divsChild>
                    <w:div w:id="1010717679">
                      <w:marLeft w:val="0"/>
                      <w:marRight w:val="0"/>
                      <w:marTop w:val="0"/>
                      <w:marBottom w:val="0"/>
                      <w:divBdr>
                        <w:top w:val="none" w:sz="0" w:space="0" w:color="auto"/>
                        <w:left w:val="none" w:sz="0" w:space="0" w:color="auto"/>
                        <w:bottom w:val="none" w:sz="0" w:space="0" w:color="auto"/>
                        <w:right w:val="none" w:sz="0" w:space="0" w:color="auto"/>
                      </w:divBdr>
                    </w:div>
                  </w:divsChild>
                </w:div>
                <w:div w:id="112870688">
                  <w:marLeft w:val="0"/>
                  <w:marRight w:val="0"/>
                  <w:marTop w:val="0"/>
                  <w:marBottom w:val="0"/>
                  <w:divBdr>
                    <w:top w:val="none" w:sz="0" w:space="0" w:color="auto"/>
                    <w:left w:val="none" w:sz="0" w:space="0" w:color="auto"/>
                    <w:bottom w:val="none" w:sz="0" w:space="0" w:color="auto"/>
                    <w:right w:val="none" w:sz="0" w:space="0" w:color="auto"/>
                  </w:divBdr>
                  <w:divsChild>
                    <w:div w:id="1155340410">
                      <w:marLeft w:val="0"/>
                      <w:marRight w:val="0"/>
                      <w:marTop w:val="0"/>
                      <w:marBottom w:val="0"/>
                      <w:divBdr>
                        <w:top w:val="none" w:sz="0" w:space="0" w:color="auto"/>
                        <w:left w:val="none" w:sz="0" w:space="0" w:color="auto"/>
                        <w:bottom w:val="none" w:sz="0" w:space="0" w:color="auto"/>
                        <w:right w:val="none" w:sz="0" w:space="0" w:color="auto"/>
                      </w:divBdr>
                    </w:div>
                  </w:divsChild>
                </w:div>
                <w:div w:id="130100243">
                  <w:marLeft w:val="0"/>
                  <w:marRight w:val="0"/>
                  <w:marTop w:val="0"/>
                  <w:marBottom w:val="0"/>
                  <w:divBdr>
                    <w:top w:val="none" w:sz="0" w:space="0" w:color="auto"/>
                    <w:left w:val="none" w:sz="0" w:space="0" w:color="auto"/>
                    <w:bottom w:val="none" w:sz="0" w:space="0" w:color="auto"/>
                    <w:right w:val="none" w:sz="0" w:space="0" w:color="auto"/>
                  </w:divBdr>
                  <w:divsChild>
                    <w:div w:id="304238331">
                      <w:marLeft w:val="0"/>
                      <w:marRight w:val="0"/>
                      <w:marTop w:val="0"/>
                      <w:marBottom w:val="0"/>
                      <w:divBdr>
                        <w:top w:val="none" w:sz="0" w:space="0" w:color="auto"/>
                        <w:left w:val="none" w:sz="0" w:space="0" w:color="auto"/>
                        <w:bottom w:val="none" w:sz="0" w:space="0" w:color="auto"/>
                        <w:right w:val="none" w:sz="0" w:space="0" w:color="auto"/>
                      </w:divBdr>
                    </w:div>
                  </w:divsChild>
                </w:div>
                <w:div w:id="139856943">
                  <w:marLeft w:val="0"/>
                  <w:marRight w:val="0"/>
                  <w:marTop w:val="0"/>
                  <w:marBottom w:val="0"/>
                  <w:divBdr>
                    <w:top w:val="none" w:sz="0" w:space="0" w:color="auto"/>
                    <w:left w:val="none" w:sz="0" w:space="0" w:color="auto"/>
                    <w:bottom w:val="none" w:sz="0" w:space="0" w:color="auto"/>
                    <w:right w:val="none" w:sz="0" w:space="0" w:color="auto"/>
                  </w:divBdr>
                  <w:divsChild>
                    <w:div w:id="1165315091">
                      <w:marLeft w:val="0"/>
                      <w:marRight w:val="0"/>
                      <w:marTop w:val="0"/>
                      <w:marBottom w:val="0"/>
                      <w:divBdr>
                        <w:top w:val="none" w:sz="0" w:space="0" w:color="auto"/>
                        <w:left w:val="none" w:sz="0" w:space="0" w:color="auto"/>
                        <w:bottom w:val="none" w:sz="0" w:space="0" w:color="auto"/>
                        <w:right w:val="none" w:sz="0" w:space="0" w:color="auto"/>
                      </w:divBdr>
                    </w:div>
                  </w:divsChild>
                </w:div>
                <w:div w:id="152841659">
                  <w:marLeft w:val="0"/>
                  <w:marRight w:val="0"/>
                  <w:marTop w:val="0"/>
                  <w:marBottom w:val="0"/>
                  <w:divBdr>
                    <w:top w:val="none" w:sz="0" w:space="0" w:color="auto"/>
                    <w:left w:val="none" w:sz="0" w:space="0" w:color="auto"/>
                    <w:bottom w:val="none" w:sz="0" w:space="0" w:color="auto"/>
                    <w:right w:val="none" w:sz="0" w:space="0" w:color="auto"/>
                  </w:divBdr>
                  <w:divsChild>
                    <w:div w:id="1027096581">
                      <w:marLeft w:val="0"/>
                      <w:marRight w:val="0"/>
                      <w:marTop w:val="0"/>
                      <w:marBottom w:val="0"/>
                      <w:divBdr>
                        <w:top w:val="none" w:sz="0" w:space="0" w:color="auto"/>
                        <w:left w:val="none" w:sz="0" w:space="0" w:color="auto"/>
                        <w:bottom w:val="none" w:sz="0" w:space="0" w:color="auto"/>
                        <w:right w:val="none" w:sz="0" w:space="0" w:color="auto"/>
                      </w:divBdr>
                    </w:div>
                  </w:divsChild>
                </w:div>
                <w:div w:id="164519740">
                  <w:marLeft w:val="0"/>
                  <w:marRight w:val="0"/>
                  <w:marTop w:val="0"/>
                  <w:marBottom w:val="0"/>
                  <w:divBdr>
                    <w:top w:val="none" w:sz="0" w:space="0" w:color="auto"/>
                    <w:left w:val="none" w:sz="0" w:space="0" w:color="auto"/>
                    <w:bottom w:val="none" w:sz="0" w:space="0" w:color="auto"/>
                    <w:right w:val="none" w:sz="0" w:space="0" w:color="auto"/>
                  </w:divBdr>
                  <w:divsChild>
                    <w:div w:id="647634599">
                      <w:marLeft w:val="0"/>
                      <w:marRight w:val="0"/>
                      <w:marTop w:val="0"/>
                      <w:marBottom w:val="0"/>
                      <w:divBdr>
                        <w:top w:val="none" w:sz="0" w:space="0" w:color="auto"/>
                        <w:left w:val="none" w:sz="0" w:space="0" w:color="auto"/>
                        <w:bottom w:val="none" w:sz="0" w:space="0" w:color="auto"/>
                        <w:right w:val="none" w:sz="0" w:space="0" w:color="auto"/>
                      </w:divBdr>
                    </w:div>
                  </w:divsChild>
                </w:div>
                <w:div w:id="169878559">
                  <w:marLeft w:val="0"/>
                  <w:marRight w:val="0"/>
                  <w:marTop w:val="0"/>
                  <w:marBottom w:val="0"/>
                  <w:divBdr>
                    <w:top w:val="none" w:sz="0" w:space="0" w:color="auto"/>
                    <w:left w:val="none" w:sz="0" w:space="0" w:color="auto"/>
                    <w:bottom w:val="none" w:sz="0" w:space="0" w:color="auto"/>
                    <w:right w:val="none" w:sz="0" w:space="0" w:color="auto"/>
                  </w:divBdr>
                  <w:divsChild>
                    <w:div w:id="1335256425">
                      <w:marLeft w:val="0"/>
                      <w:marRight w:val="0"/>
                      <w:marTop w:val="0"/>
                      <w:marBottom w:val="0"/>
                      <w:divBdr>
                        <w:top w:val="none" w:sz="0" w:space="0" w:color="auto"/>
                        <w:left w:val="none" w:sz="0" w:space="0" w:color="auto"/>
                        <w:bottom w:val="none" w:sz="0" w:space="0" w:color="auto"/>
                        <w:right w:val="none" w:sz="0" w:space="0" w:color="auto"/>
                      </w:divBdr>
                    </w:div>
                  </w:divsChild>
                </w:div>
                <w:div w:id="170263872">
                  <w:marLeft w:val="0"/>
                  <w:marRight w:val="0"/>
                  <w:marTop w:val="0"/>
                  <w:marBottom w:val="0"/>
                  <w:divBdr>
                    <w:top w:val="none" w:sz="0" w:space="0" w:color="auto"/>
                    <w:left w:val="none" w:sz="0" w:space="0" w:color="auto"/>
                    <w:bottom w:val="none" w:sz="0" w:space="0" w:color="auto"/>
                    <w:right w:val="none" w:sz="0" w:space="0" w:color="auto"/>
                  </w:divBdr>
                  <w:divsChild>
                    <w:div w:id="6492161">
                      <w:marLeft w:val="0"/>
                      <w:marRight w:val="0"/>
                      <w:marTop w:val="0"/>
                      <w:marBottom w:val="0"/>
                      <w:divBdr>
                        <w:top w:val="none" w:sz="0" w:space="0" w:color="auto"/>
                        <w:left w:val="none" w:sz="0" w:space="0" w:color="auto"/>
                        <w:bottom w:val="none" w:sz="0" w:space="0" w:color="auto"/>
                        <w:right w:val="none" w:sz="0" w:space="0" w:color="auto"/>
                      </w:divBdr>
                    </w:div>
                  </w:divsChild>
                </w:div>
                <w:div w:id="171382629">
                  <w:marLeft w:val="0"/>
                  <w:marRight w:val="0"/>
                  <w:marTop w:val="0"/>
                  <w:marBottom w:val="0"/>
                  <w:divBdr>
                    <w:top w:val="none" w:sz="0" w:space="0" w:color="auto"/>
                    <w:left w:val="none" w:sz="0" w:space="0" w:color="auto"/>
                    <w:bottom w:val="none" w:sz="0" w:space="0" w:color="auto"/>
                    <w:right w:val="none" w:sz="0" w:space="0" w:color="auto"/>
                  </w:divBdr>
                  <w:divsChild>
                    <w:div w:id="1172992976">
                      <w:marLeft w:val="0"/>
                      <w:marRight w:val="0"/>
                      <w:marTop w:val="0"/>
                      <w:marBottom w:val="0"/>
                      <w:divBdr>
                        <w:top w:val="none" w:sz="0" w:space="0" w:color="auto"/>
                        <w:left w:val="none" w:sz="0" w:space="0" w:color="auto"/>
                        <w:bottom w:val="none" w:sz="0" w:space="0" w:color="auto"/>
                        <w:right w:val="none" w:sz="0" w:space="0" w:color="auto"/>
                      </w:divBdr>
                    </w:div>
                  </w:divsChild>
                </w:div>
                <w:div w:id="187447756">
                  <w:marLeft w:val="0"/>
                  <w:marRight w:val="0"/>
                  <w:marTop w:val="0"/>
                  <w:marBottom w:val="0"/>
                  <w:divBdr>
                    <w:top w:val="none" w:sz="0" w:space="0" w:color="auto"/>
                    <w:left w:val="none" w:sz="0" w:space="0" w:color="auto"/>
                    <w:bottom w:val="none" w:sz="0" w:space="0" w:color="auto"/>
                    <w:right w:val="none" w:sz="0" w:space="0" w:color="auto"/>
                  </w:divBdr>
                  <w:divsChild>
                    <w:div w:id="894706080">
                      <w:marLeft w:val="0"/>
                      <w:marRight w:val="0"/>
                      <w:marTop w:val="0"/>
                      <w:marBottom w:val="0"/>
                      <w:divBdr>
                        <w:top w:val="none" w:sz="0" w:space="0" w:color="auto"/>
                        <w:left w:val="none" w:sz="0" w:space="0" w:color="auto"/>
                        <w:bottom w:val="none" w:sz="0" w:space="0" w:color="auto"/>
                        <w:right w:val="none" w:sz="0" w:space="0" w:color="auto"/>
                      </w:divBdr>
                    </w:div>
                  </w:divsChild>
                </w:div>
                <w:div w:id="193886454">
                  <w:marLeft w:val="0"/>
                  <w:marRight w:val="0"/>
                  <w:marTop w:val="0"/>
                  <w:marBottom w:val="0"/>
                  <w:divBdr>
                    <w:top w:val="none" w:sz="0" w:space="0" w:color="auto"/>
                    <w:left w:val="none" w:sz="0" w:space="0" w:color="auto"/>
                    <w:bottom w:val="none" w:sz="0" w:space="0" w:color="auto"/>
                    <w:right w:val="none" w:sz="0" w:space="0" w:color="auto"/>
                  </w:divBdr>
                  <w:divsChild>
                    <w:div w:id="2038039749">
                      <w:marLeft w:val="0"/>
                      <w:marRight w:val="0"/>
                      <w:marTop w:val="0"/>
                      <w:marBottom w:val="0"/>
                      <w:divBdr>
                        <w:top w:val="none" w:sz="0" w:space="0" w:color="auto"/>
                        <w:left w:val="none" w:sz="0" w:space="0" w:color="auto"/>
                        <w:bottom w:val="none" w:sz="0" w:space="0" w:color="auto"/>
                        <w:right w:val="none" w:sz="0" w:space="0" w:color="auto"/>
                      </w:divBdr>
                    </w:div>
                  </w:divsChild>
                </w:div>
                <w:div w:id="245697979">
                  <w:marLeft w:val="0"/>
                  <w:marRight w:val="0"/>
                  <w:marTop w:val="0"/>
                  <w:marBottom w:val="0"/>
                  <w:divBdr>
                    <w:top w:val="none" w:sz="0" w:space="0" w:color="auto"/>
                    <w:left w:val="none" w:sz="0" w:space="0" w:color="auto"/>
                    <w:bottom w:val="none" w:sz="0" w:space="0" w:color="auto"/>
                    <w:right w:val="none" w:sz="0" w:space="0" w:color="auto"/>
                  </w:divBdr>
                  <w:divsChild>
                    <w:div w:id="853958026">
                      <w:marLeft w:val="0"/>
                      <w:marRight w:val="0"/>
                      <w:marTop w:val="0"/>
                      <w:marBottom w:val="0"/>
                      <w:divBdr>
                        <w:top w:val="none" w:sz="0" w:space="0" w:color="auto"/>
                        <w:left w:val="none" w:sz="0" w:space="0" w:color="auto"/>
                        <w:bottom w:val="none" w:sz="0" w:space="0" w:color="auto"/>
                        <w:right w:val="none" w:sz="0" w:space="0" w:color="auto"/>
                      </w:divBdr>
                    </w:div>
                  </w:divsChild>
                </w:div>
                <w:div w:id="274754294">
                  <w:marLeft w:val="0"/>
                  <w:marRight w:val="0"/>
                  <w:marTop w:val="0"/>
                  <w:marBottom w:val="0"/>
                  <w:divBdr>
                    <w:top w:val="none" w:sz="0" w:space="0" w:color="auto"/>
                    <w:left w:val="none" w:sz="0" w:space="0" w:color="auto"/>
                    <w:bottom w:val="none" w:sz="0" w:space="0" w:color="auto"/>
                    <w:right w:val="none" w:sz="0" w:space="0" w:color="auto"/>
                  </w:divBdr>
                  <w:divsChild>
                    <w:div w:id="1905288356">
                      <w:marLeft w:val="0"/>
                      <w:marRight w:val="0"/>
                      <w:marTop w:val="0"/>
                      <w:marBottom w:val="0"/>
                      <w:divBdr>
                        <w:top w:val="none" w:sz="0" w:space="0" w:color="auto"/>
                        <w:left w:val="none" w:sz="0" w:space="0" w:color="auto"/>
                        <w:bottom w:val="none" w:sz="0" w:space="0" w:color="auto"/>
                        <w:right w:val="none" w:sz="0" w:space="0" w:color="auto"/>
                      </w:divBdr>
                    </w:div>
                  </w:divsChild>
                </w:div>
                <w:div w:id="333194636">
                  <w:marLeft w:val="0"/>
                  <w:marRight w:val="0"/>
                  <w:marTop w:val="0"/>
                  <w:marBottom w:val="0"/>
                  <w:divBdr>
                    <w:top w:val="none" w:sz="0" w:space="0" w:color="auto"/>
                    <w:left w:val="none" w:sz="0" w:space="0" w:color="auto"/>
                    <w:bottom w:val="none" w:sz="0" w:space="0" w:color="auto"/>
                    <w:right w:val="none" w:sz="0" w:space="0" w:color="auto"/>
                  </w:divBdr>
                  <w:divsChild>
                    <w:div w:id="1140730777">
                      <w:marLeft w:val="0"/>
                      <w:marRight w:val="0"/>
                      <w:marTop w:val="0"/>
                      <w:marBottom w:val="0"/>
                      <w:divBdr>
                        <w:top w:val="none" w:sz="0" w:space="0" w:color="auto"/>
                        <w:left w:val="none" w:sz="0" w:space="0" w:color="auto"/>
                        <w:bottom w:val="none" w:sz="0" w:space="0" w:color="auto"/>
                        <w:right w:val="none" w:sz="0" w:space="0" w:color="auto"/>
                      </w:divBdr>
                    </w:div>
                  </w:divsChild>
                </w:div>
                <w:div w:id="346835292">
                  <w:marLeft w:val="0"/>
                  <w:marRight w:val="0"/>
                  <w:marTop w:val="0"/>
                  <w:marBottom w:val="0"/>
                  <w:divBdr>
                    <w:top w:val="none" w:sz="0" w:space="0" w:color="auto"/>
                    <w:left w:val="none" w:sz="0" w:space="0" w:color="auto"/>
                    <w:bottom w:val="none" w:sz="0" w:space="0" w:color="auto"/>
                    <w:right w:val="none" w:sz="0" w:space="0" w:color="auto"/>
                  </w:divBdr>
                  <w:divsChild>
                    <w:div w:id="1371219948">
                      <w:marLeft w:val="0"/>
                      <w:marRight w:val="0"/>
                      <w:marTop w:val="0"/>
                      <w:marBottom w:val="0"/>
                      <w:divBdr>
                        <w:top w:val="none" w:sz="0" w:space="0" w:color="auto"/>
                        <w:left w:val="none" w:sz="0" w:space="0" w:color="auto"/>
                        <w:bottom w:val="none" w:sz="0" w:space="0" w:color="auto"/>
                        <w:right w:val="none" w:sz="0" w:space="0" w:color="auto"/>
                      </w:divBdr>
                    </w:div>
                  </w:divsChild>
                </w:div>
                <w:div w:id="354618342">
                  <w:marLeft w:val="0"/>
                  <w:marRight w:val="0"/>
                  <w:marTop w:val="0"/>
                  <w:marBottom w:val="0"/>
                  <w:divBdr>
                    <w:top w:val="none" w:sz="0" w:space="0" w:color="auto"/>
                    <w:left w:val="none" w:sz="0" w:space="0" w:color="auto"/>
                    <w:bottom w:val="none" w:sz="0" w:space="0" w:color="auto"/>
                    <w:right w:val="none" w:sz="0" w:space="0" w:color="auto"/>
                  </w:divBdr>
                  <w:divsChild>
                    <w:div w:id="1218974989">
                      <w:marLeft w:val="0"/>
                      <w:marRight w:val="0"/>
                      <w:marTop w:val="0"/>
                      <w:marBottom w:val="0"/>
                      <w:divBdr>
                        <w:top w:val="none" w:sz="0" w:space="0" w:color="auto"/>
                        <w:left w:val="none" w:sz="0" w:space="0" w:color="auto"/>
                        <w:bottom w:val="none" w:sz="0" w:space="0" w:color="auto"/>
                        <w:right w:val="none" w:sz="0" w:space="0" w:color="auto"/>
                      </w:divBdr>
                    </w:div>
                  </w:divsChild>
                </w:div>
                <w:div w:id="363410083">
                  <w:marLeft w:val="0"/>
                  <w:marRight w:val="0"/>
                  <w:marTop w:val="0"/>
                  <w:marBottom w:val="0"/>
                  <w:divBdr>
                    <w:top w:val="none" w:sz="0" w:space="0" w:color="auto"/>
                    <w:left w:val="none" w:sz="0" w:space="0" w:color="auto"/>
                    <w:bottom w:val="none" w:sz="0" w:space="0" w:color="auto"/>
                    <w:right w:val="none" w:sz="0" w:space="0" w:color="auto"/>
                  </w:divBdr>
                  <w:divsChild>
                    <w:div w:id="1954701336">
                      <w:marLeft w:val="0"/>
                      <w:marRight w:val="0"/>
                      <w:marTop w:val="0"/>
                      <w:marBottom w:val="0"/>
                      <w:divBdr>
                        <w:top w:val="none" w:sz="0" w:space="0" w:color="auto"/>
                        <w:left w:val="none" w:sz="0" w:space="0" w:color="auto"/>
                        <w:bottom w:val="none" w:sz="0" w:space="0" w:color="auto"/>
                        <w:right w:val="none" w:sz="0" w:space="0" w:color="auto"/>
                      </w:divBdr>
                    </w:div>
                  </w:divsChild>
                </w:div>
                <w:div w:id="369493969">
                  <w:marLeft w:val="0"/>
                  <w:marRight w:val="0"/>
                  <w:marTop w:val="0"/>
                  <w:marBottom w:val="0"/>
                  <w:divBdr>
                    <w:top w:val="none" w:sz="0" w:space="0" w:color="auto"/>
                    <w:left w:val="none" w:sz="0" w:space="0" w:color="auto"/>
                    <w:bottom w:val="none" w:sz="0" w:space="0" w:color="auto"/>
                    <w:right w:val="none" w:sz="0" w:space="0" w:color="auto"/>
                  </w:divBdr>
                  <w:divsChild>
                    <w:div w:id="992681860">
                      <w:marLeft w:val="0"/>
                      <w:marRight w:val="0"/>
                      <w:marTop w:val="0"/>
                      <w:marBottom w:val="0"/>
                      <w:divBdr>
                        <w:top w:val="none" w:sz="0" w:space="0" w:color="auto"/>
                        <w:left w:val="none" w:sz="0" w:space="0" w:color="auto"/>
                        <w:bottom w:val="none" w:sz="0" w:space="0" w:color="auto"/>
                        <w:right w:val="none" w:sz="0" w:space="0" w:color="auto"/>
                      </w:divBdr>
                    </w:div>
                  </w:divsChild>
                </w:div>
                <w:div w:id="387075928">
                  <w:marLeft w:val="0"/>
                  <w:marRight w:val="0"/>
                  <w:marTop w:val="0"/>
                  <w:marBottom w:val="0"/>
                  <w:divBdr>
                    <w:top w:val="none" w:sz="0" w:space="0" w:color="auto"/>
                    <w:left w:val="none" w:sz="0" w:space="0" w:color="auto"/>
                    <w:bottom w:val="none" w:sz="0" w:space="0" w:color="auto"/>
                    <w:right w:val="none" w:sz="0" w:space="0" w:color="auto"/>
                  </w:divBdr>
                  <w:divsChild>
                    <w:div w:id="777530879">
                      <w:marLeft w:val="0"/>
                      <w:marRight w:val="0"/>
                      <w:marTop w:val="0"/>
                      <w:marBottom w:val="0"/>
                      <w:divBdr>
                        <w:top w:val="none" w:sz="0" w:space="0" w:color="auto"/>
                        <w:left w:val="none" w:sz="0" w:space="0" w:color="auto"/>
                        <w:bottom w:val="none" w:sz="0" w:space="0" w:color="auto"/>
                        <w:right w:val="none" w:sz="0" w:space="0" w:color="auto"/>
                      </w:divBdr>
                    </w:div>
                  </w:divsChild>
                </w:div>
                <w:div w:id="387657412">
                  <w:marLeft w:val="0"/>
                  <w:marRight w:val="0"/>
                  <w:marTop w:val="0"/>
                  <w:marBottom w:val="0"/>
                  <w:divBdr>
                    <w:top w:val="none" w:sz="0" w:space="0" w:color="auto"/>
                    <w:left w:val="none" w:sz="0" w:space="0" w:color="auto"/>
                    <w:bottom w:val="none" w:sz="0" w:space="0" w:color="auto"/>
                    <w:right w:val="none" w:sz="0" w:space="0" w:color="auto"/>
                  </w:divBdr>
                  <w:divsChild>
                    <w:div w:id="1427340471">
                      <w:marLeft w:val="0"/>
                      <w:marRight w:val="0"/>
                      <w:marTop w:val="0"/>
                      <w:marBottom w:val="0"/>
                      <w:divBdr>
                        <w:top w:val="none" w:sz="0" w:space="0" w:color="auto"/>
                        <w:left w:val="none" w:sz="0" w:space="0" w:color="auto"/>
                        <w:bottom w:val="none" w:sz="0" w:space="0" w:color="auto"/>
                        <w:right w:val="none" w:sz="0" w:space="0" w:color="auto"/>
                      </w:divBdr>
                    </w:div>
                  </w:divsChild>
                </w:div>
                <w:div w:id="389310438">
                  <w:marLeft w:val="0"/>
                  <w:marRight w:val="0"/>
                  <w:marTop w:val="0"/>
                  <w:marBottom w:val="0"/>
                  <w:divBdr>
                    <w:top w:val="none" w:sz="0" w:space="0" w:color="auto"/>
                    <w:left w:val="none" w:sz="0" w:space="0" w:color="auto"/>
                    <w:bottom w:val="none" w:sz="0" w:space="0" w:color="auto"/>
                    <w:right w:val="none" w:sz="0" w:space="0" w:color="auto"/>
                  </w:divBdr>
                  <w:divsChild>
                    <w:div w:id="1968774850">
                      <w:marLeft w:val="0"/>
                      <w:marRight w:val="0"/>
                      <w:marTop w:val="0"/>
                      <w:marBottom w:val="0"/>
                      <w:divBdr>
                        <w:top w:val="none" w:sz="0" w:space="0" w:color="auto"/>
                        <w:left w:val="none" w:sz="0" w:space="0" w:color="auto"/>
                        <w:bottom w:val="none" w:sz="0" w:space="0" w:color="auto"/>
                        <w:right w:val="none" w:sz="0" w:space="0" w:color="auto"/>
                      </w:divBdr>
                    </w:div>
                  </w:divsChild>
                </w:div>
                <w:div w:id="418330770">
                  <w:marLeft w:val="0"/>
                  <w:marRight w:val="0"/>
                  <w:marTop w:val="0"/>
                  <w:marBottom w:val="0"/>
                  <w:divBdr>
                    <w:top w:val="none" w:sz="0" w:space="0" w:color="auto"/>
                    <w:left w:val="none" w:sz="0" w:space="0" w:color="auto"/>
                    <w:bottom w:val="none" w:sz="0" w:space="0" w:color="auto"/>
                    <w:right w:val="none" w:sz="0" w:space="0" w:color="auto"/>
                  </w:divBdr>
                  <w:divsChild>
                    <w:div w:id="1329822449">
                      <w:marLeft w:val="0"/>
                      <w:marRight w:val="0"/>
                      <w:marTop w:val="0"/>
                      <w:marBottom w:val="0"/>
                      <w:divBdr>
                        <w:top w:val="none" w:sz="0" w:space="0" w:color="auto"/>
                        <w:left w:val="none" w:sz="0" w:space="0" w:color="auto"/>
                        <w:bottom w:val="none" w:sz="0" w:space="0" w:color="auto"/>
                        <w:right w:val="none" w:sz="0" w:space="0" w:color="auto"/>
                      </w:divBdr>
                    </w:div>
                  </w:divsChild>
                </w:div>
                <w:div w:id="429861495">
                  <w:marLeft w:val="0"/>
                  <w:marRight w:val="0"/>
                  <w:marTop w:val="0"/>
                  <w:marBottom w:val="0"/>
                  <w:divBdr>
                    <w:top w:val="none" w:sz="0" w:space="0" w:color="auto"/>
                    <w:left w:val="none" w:sz="0" w:space="0" w:color="auto"/>
                    <w:bottom w:val="none" w:sz="0" w:space="0" w:color="auto"/>
                    <w:right w:val="none" w:sz="0" w:space="0" w:color="auto"/>
                  </w:divBdr>
                  <w:divsChild>
                    <w:div w:id="179202343">
                      <w:marLeft w:val="0"/>
                      <w:marRight w:val="0"/>
                      <w:marTop w:val="0"/>
                      <w:marBottom w:val="0"/>
                      <w:divBdr>
                        <w:top w:val="none" w:sz="0" w:space="0" w:color="auto"/>
                        <w:left w:val="none" w:sz="0" w:space="0" w:color="auto"/>
                        <w:bottom w:val="none" w:sz="0" w:space="0" w:color="auto"/>
                        <w:right w:val="none" w:sz="0" w:space="0" w:color="auto"/>
                      </w:divBdr>
                    </w:div>
                  </w:divsChild>
                </w:div>
                <w:div w:id="463741918">
                  <w:marLeft w:val="0"/>
                  <w:marRight w:val="0"/>
                  <w:marTop w:val="0"/>
                  <w:marBottom w:val="0"/>
                  <w:divBdr>
                    <w:top w:val="none" w:sz="0" w:space="0" w:color="auto"/>
                    <w:left w:val="none" w:sz="0" w:space="0" w:color="auto"/>
                    <w:bottom w:val="none" w:sz="0" w:space="0" w:color="auto"/>
                    <w:right w:val="none" w:sz="0" w:space="0" w:color="auto"/>
                  </w:divBdr>
                  <w:divsChild>
                    <w:div w:id="320932285">
                      <w:marLeft w:val="0"/>
                      <w:marRight w:val="0"/>
                      <w:marTop w:val="0"/>
                      <w:marBottom w:val="0"/>
                      <w:divBdr>
                        <w:top w:val="none" w:sz="0" w:space="0" w:color="auto"/>
                        <w:left w:val="none" w:sz="0" w:space="0" w:color="auto"/>
                        <w:bottom w:val="none" w:sz="0" w:space="0" w:color="auto"/>
                        <w:right w:val="none" w:sz="0" w:space="0" w:color="auto"/>
                      </w:divBdr>
                    </w:div>
                  </w:divsChild>
                </w:div>
                <w:div w:id="485711853">
                  <w:marLeft w:val="0"/>
                  <w:marRight w:val="0"/>
                  <w:marTop w:val="0"/>
                  <w:marBottom w:val="0"/>
                  <w:divBdr>
                    <w:top w:val="none" w:sz="0" w:space="0" w:color="auto"/>
                    <w:left w:val="none" w:sz="0" w:space="0" w:color="auto"/>
                    <w:bottom w:val="none" w:sz="0" w:space="0" w:color="auto"/>
                    <w:right w:val="none" w:sz="0" w:space="0" w:color="auto"/>
                  </w:divBdr>
                  <w:divsChild>
                    <w:div w:id="1515268380">
                      <w:marLeft w:val="0"/>
                      <w:marRight w:val="0"/>
                      <w:marTop w:val="0"/>
                      <w:marBottom w:val="0"/>
                      <w:divBdr>
                        <w:top w:val="none" w:sz="0" w:space="0" w:color="auto"/>
                        <w:left w:val="none" w:sz="0" w:space="0" w:color="auto"/>
                        <w:bottom w:val="none" w:sz="0" w:space="0" w:color="auto"/>
                        <w:right w:val="none" w:sz="0" w:space="0" w:color="auto"/>
                      </w:divBdr>
                    </w:div>
                  </w:divsChild>
                </w:div>
                <w:div w:id="496849631">
                  <w:marLeft w:val="0"/>
                  <w:marRight w:val="0"/>
                  <w:marTop w:val="0"/>
                  <w:marBottom w:val="0"/>
                  <w:divBdr>
                    <w:top w:val="none" w:sz="0" w:space="0" w:color="auto"/>
                    <w:left w:val="none" w:sz="0" w:space="0" w:color="auto"/>
                    <w:bottom w:val="none" w:sz="0" w:space="0" w:color="auto"/>
                    <w:right w:val="none" w:sz="0" w:space="0" w:color="auto"/>
                  </w:divBdr>
                  <w:divsChild>
                    <w:div w:id="1153302769">
                      <w:marLeft w:val="0"/>
                      <w:marRight w:val="0"/>
                      <w:marTop w:val="0"/>
                      <w:marBottom w:val="0"/>
                      <w:divBdr>
                        <w:top w:val="none" w:sz="0" w:space="0" w:color="auto"/>
                        <w:left w:val="none" w:sz="0" w:space="0" w:color="auto"/>
                        <w:bottom w:val="none" w:sz="0" w:space="0" w:color="auto"/>
                        <w:right w:val="none" w:sz="0" w:space="0" w:color="auto"/>
                      </w:divBdr>
                    </w:div>
                  </w:divsChild>
                </w:div>
                <w:div w:id="501940519">
                  <w:marLeft w:val="0"/>
                  <w:marRight w:val="0"/>
                  <w:marTop w:val="0"/>
                  <w:marBottom w:val="0"/>
                  <w:divBdr>
                    <w:top w:val="none" w:sz="0" w:space="0" w:color="auto"/>
                    <w:left w:val="none" w:sz="0" w:space="0" w:color="auto"/>
                    <w:bottom w:val="none" w:sz="0" w:space="0" w:color="auto"/>
                    <w:right w:val="none" w:sz="0" w:space="0" w:color="auto"/>
                  </w:divBdr>
                  <w:divsChild>
                    <w:div w:id="1335451665">
                      <w:marLeft w:val="0"/>
                      <w:marRight w:val="0"/>
                      <w:marTop w:val="0"/>
                      <w:marBottom w:val="0"/>
                      <w:divBdr>
                        <w:top w:val="none" w:sz="0" w:space="0" w:color="auto"/>
                        <w:left w:val="none" w:sz="0" w:space="0" w:color="auto"/>
                        <w:bottom w:val="none" w:sz="0" w:space="0" w:color="auto"/>
                        <w:right w:val="none" w:sz="0" w:space="0" w:color="auto"/>
                      </w:divBdr>
                    </w:div>
                  </w:divsChild>
                </w:div>
                <w:div w:id="507912672">
                  <w:marLeft w:val="0"/>
                  <w:marRight w:val="0"/>
                  <w:marTop w:val="0"/>
                  <w:marBottom w:val="0"/>
                  <w:divBdr>
                    <w:top w:val="none" w:sz="0" w:space="0" w:color="auto"/>
                    <w:left w:val="none" w:sz="0" w:space="0" w:color="auto"/>
                    <w:bottom w:val="none" w:sz="0" w:space="0" w:color="auto"/>
                    <w:right w:val="none" w:sz="0" w:space="0" w:color="auto"/>
                  </w:divBdr>
                  <w:divsChild>
                    <w:div w:id="290404320">
                      <w:marLeft w:val="0"/>
                      <w:marRight w:val="0"/>
                      <w:marTop w:val="0"/>
                      <w:marBottom w:val="0"/>
                      <w:divBdr>
                        <w:top w:val="none" w:sz="0" w:space="0" w:color="auto"/>
                        <w:left w:val="none" w:sz="0" w:space="0" w:color="auto"/>
                        <w:bottom w:val="none" w:sz="0" w:space="0" w:color="auto"/>
                        <w:right w:val="none" w:sz="0" w:space="0" w:color="auto"/>
                      </w:divBdr>
                    </w:div>
                  </w:divsChild>
                </w:div>
                <w:div w:id="509098659">
                  <w:marLeft w:val="0"/>
                  <w:marRight w:val="0"/>
                  <w:marTop w:val="0"/>
                  <w:marBottom w:val="0"/>
                  <w:divBdr>
                    <w:top w:val="none" w:sz="0" w:space="0" w:color="auto"/>
                    <w:left w:val="none" w:sz="0" w:space="0" w:color="auto"/>
                    <w:bottom w:val="none" w:sz="0" w:space="0" w:color="auto"/>
                    <w:right w:val="none" w:sz="0" w:space="0" w:color="auto"/>
                  </w:divBdr>
                  <w:divsChild>
                    <w:div w:id="262501004">
                      <w:marLeft w:val="0"/>
                      <w:marRight w:val="0"/>
                      <w:marTop w:val="0"/>
                      <w:marBottom w:val="0"/>
                      <w:divBdr>
                        <w:top w:val="none" w:sz="0" w:space="0" w:color="auto"/>
                        <w:left w:val="none" w:sz="0" w:space="0" w:color="auto"/>
                        <w:bottom w:val="none" w:sz="0" w:space="0" w:color="auto"/>
                        <w:right w:val="none" w:sz="0" w:space="0" w:color="auto"/>
                      </w:divBdr>
                    </w:div>
                  </w:divsChild>
                </w:div>
                <w:div w:id="539976127">
                  <w:marLeft w:val="0"/>
                  <w:marRight w:val="0"/>
                  <w:marTop w:val="0"/>
                  <w:marBottom w:val="0"/>
                  <w:divBdr>
                    <w:top w:val="none" w:sz="0" w:space="0" w:color="auto"/>
                    <w:left w:val="none" w:sz="0" w:space="0" w:color="auto"/>
                    <w:bottom w:val="none" w:sz="0" w:space="0" w:color="auto"/>
                    <w:right w:val="none" w:sz="0" w:space="0" w:color="auto"/>
                  </w:divBdr>
                  <w:divsChild>
                    <w:div w:id="1973823101">
                      <w:marLeft w:val="0"/>
                      <w:marRight w:val="0"/>
                      <w:marTop w:val="0"/>
                      <w:marBottom w:val="0"/>
                      <w:divBdr>
                        <w:top w:val="none" w:sz="0" w:space="0" w:color="auto"/>
                        <w:left w:val="none" w:sz="0" w:space="0" w:color="auto"/>
                        <w:bottom w:val="none" w:sz="0" w:space="0" w:color="auto"/>
                        <w:right w:val="none" w:sz="0" w:space="0" w:color="auto"/>
                      </w:divBdr>
                    </w:div>
                  </w:divsChild>
                </w:div>
                <w:div w:id="557057418">
                  <w:marLeft w:val="0"/>
                  <w:marRight w:val="0"/>
                  <w:marTop w:val="0"/>
                  <w:marBottom w:val="0"/>
                  <w:divBdr>
                    <w:top w:val="none" w:sz="0" w:space="0" w:color="auto"/>
                    <w:left w:val="none" w:sz="0" w:space="0" w:color="auto"/>
                    <w:bottom w:val="none" w:sz="0" w:space="0" w:color="auto"/>
                    <w:right w:val="none" w:sz="0" w:space="0" w:color="auto"/>
                  </w:divBdr>
                  <w:divsChild>
                    <w:div w:id="640574272">
                      <w:marLeft w:val="0"/>
                      <w:marRight w:val="0"/>
                      <w:marTop w:val="0"/>
                      <w:marBottom w:val="0"/>
                      <w:divBdr>
                        <w:top w:val="none" w:sz="0" w:space="0" w:color="auto"/>
                        <w:left w:val="none" w:sz="0" w:space="0" w:color="auto"/>
                        <w:bottom w:val="none" w:sz="0" w:space="0" w:color="auto"/>
                        <w:right w:val="none" w:sz="0" w:space="0" w:color="auto"/>
                      </w:divBdr>
                    </w:div>
                  </w:divsChild>
                </w:div>
                <w:div w:id="561019110">
                  <w:marLeft w:val="0"/>
                  <w:marRight w:val="0"/>
                  <w:marTop w:val="0"/>
                  <w:marBottom w:val="0"/>
                  <w:divBdr>
                    <w:top w:val="none" w:sz="0" w:space="0" w:color="auto"/>
                    <w:left w:val="none" w:sz="0" w:space="0" w:color="auto"/>
                    <w:bottom w:val="none" w:sz="0" w:space="0" w:color="auto"/>
                    <w:right w:val="none" w:sz="0" w:space="0" w:color="auto"/>
                  </w:divBdr>
                  <w:divsChild>
                    <w:div w:id="1846285961">
                      <w:marLeft w:val="0"/>
                      <w:marRight w:val="0"/>
                      <w:marTop w:val="0"/>
                      <w:marBottom w:val="0"/>
                      <w:divBdr>
                        <w:top w:val="none" w:sz="0" w:space="0" w:color="auto"/>
                        <w:left w:val="none" w:sz="0" w:space="0" w:color="auto"/>
                        <w:bottom w:val="none" w:sz="0" w:space="0" w:color="auto"/>
                        <w:right w:val="none" w:sz="0" w:space="0" w:color="auto"/>
                      </w:divBdr>
                    </w:div>
                  </w:divsChild>
                </w:div>
                <w:div w:id="577372668">
                  <w:marLeft w:val="0"/>
                  <w:marRight w:val="0"/>
                  <w:marTop w:val="0"/>
                  <w:marBottom w:val="0"/>
                  <w:divBdr>
                    <w:top w:val="none" w:sz="0" w:space="0" w:color="auto"/>
                    <w:left w:val="none" w:sz="0" w:space="0" w:color="auto"/>
                    <w:bottom w:val="none" w:sz="0" w:space="0" w:color="auto"/>
                    <w:right w:val="none" w:sz="0" w:space="0" w:color="auto"/>
                  </w:divBdr>
                  <w:divsChild>
                    <w:div w:id="1022315796">
                      <w:marLeft w:val="0"/>
                      <w:marRight w:val="0"/>
                      <w:marTop w:val="0"/>
                      <w:marBottom w:val="0"/>
                      <w:divBdr>
                        <w:top w:val="none" w:sz="0" w:space="0" w:color="auto"/>
                        <w:left w:val="none" w:sz="0" w:space="0" w:color="auto"/>
                        <w:bottom w:val="none" w:sz="0" w:space="0" w:color="auto"/>
                        <w:right w:val="none" w:sz="0" w:space="0" w:color="auto"/>
                      </w:divBdr>
                    </w:div>
                  </w:divsChild>
                </w:div>
                <w:div w:id="585768403">
                  <w:marLeft w:val="0"/>
                  <w:marRight w:val="0"/>
                  <w:marTop w:val="0"/>
                  <w:marBottom w:val="0"/>
                  <w:divBdr>
                    <w:top w:val="none" w:sz="0" w:space="0" w:color="auto"/>
                    <w:left w:val="none" w:sz="0" w:space="0" w:color="auto"/>
                    <w:bottom w:val="none" w:sz="0" w:space="0" w:color="auto"/>
                    <w:right w:val="none" w:sz="0" w:space="0" w:color="auto"/>
                  </w:divBdr>
                  <w:divsChild>
                    <w:div w:id="1960525726">
                      <w:marLeft w:val="0"/>
                      <w:marRight w:val="0"/>
                      <w:marTop w:val="0"/>
                      <w:marBottom w:val="0"/>
                      <w:divBdr>
                        <w:top w:val="none" w:sz="0" w:space="0" w:color="auto"/>
                        <w:left w:val="none" w:sz="0" w:space="0" w:color="auto"/>
                        <w:bottom w:val="none" w:sz="0" w:space="0" w:color="auto"/>
                        <w:right w:val="none" w:sz="0" w:space="0" w:color="auto"/>
                      </w:divBdr>
                    </w:div>
                  </w:divsChild>
                </w:div>
                <w:div w:id="641694589">
                  <w:marLeft w:val="0"/>
                  <w:marRight w:val="0"/>
                  <w:marTop w:val="0"/>
                  <w:marBottom w:val="0"/>
                  <w:divBdr>
                    <w:top w:val="none" w:sz="0" w:space="0" w:color="auto"/>
                    <w:left w:val="none" w:sz="0" w:space="0" w:color="auto"/>
                    <w:bottom w:val="none" w:sz="0" w:space="0" w:color="auto"/>
                    <w:right w:val="none" w:sz="0" w:space="0" w:color="auto"/>
                  </w:divBdr>
                  <w:divsChild>
                    <w:div w:id="1600871381">
                      <w:marLeft w:val="0"/>
                      <w:marRight w:val="0"/>
                      <w:marTop w:val="0"/>
                      <w:marBottom w:val="0"/>
                      <w:divBdr>
                        <w:top w:val="none" w:sz="0" w:space="0" w:color="auto"/>
                        <w:left w:val="none" w:sz="0" w:space="0" w:color="auto"/>
                        <w:bottom w:val="none" w:sz="0" w:space="0" w:color="auto"/>
                        <w:right w:val="none" w:sz="0" w:space="0" w:color="auto"/>
                      </w:divBdr>
                    </w:div>
                  </w:divsChild>
                </w:div>
                <w:div w:id="653410544">
                  <w:marLeft w:val="0"/>
                  <w:marRight w:val="0"/>
                  <w:marTop w:val="0"/>
                  <w:marBottom w:val="0"/>
                  <w:divBdr>
                    <w:top w:val="none" w:sz="0" w:space="0" w:color="auto"/>
                    <w:left w:val="none" w:sz="0" w:space="0" w:color="auto"/>
                    <w:bottom w:val="none" w:sz="0" w:space="0" w:color="auto"/>
                    <w:right w:val="none" w:sz="0" w:space="0" w:color="auto"/>
                  </w:divBdr>
                  <w:divsChild>
                    <w:div w:id="409351740">
                      <w:marLeft w:val="0"/>
                      <w:marRight w:val="0"/>
                      <w:marTop w:val="0"/>
                      <w:marBottom w:val="0"/>
                      <w:divBdr>
                        <w:top w:val="none" w:sz="0" w:space="0" w:color="auto"/>
                        <w:left w:val="none" w:sz="0" w:space="0" w:color="auto"/>
                        <w:bottom w:val="none" w:sz="0" w:space="0" w:color="auto"/>
                        <w:right w:val="none" w:sz="0" w:space="0" w:color="auto"/>
                      </w:divBdr>
                    </w:div>
                  </w:divsChild>
                </w:div>
                <w:div w:id="659700509">
                  <w:marLeft w:val="0"/>
                  <w:marRight w:val="0"/>
                  <w:marTop w:val="0"/>
                  <w:marBottom w:val="0"/>
                  <w:divBdr>
                    <w:top w:val="none" w:sz="0" w:space="0" w:color="auto"/>
                    <w:left w:val="none" w:sz="0" w:space="0" w:color="auto"/>
                    <w:bottom w:val="none" w:sz="0" w:space="0" w:color="auto"/>
                    <w:right w:val="none" w:sz="0" w:space="0" w:color="auto"/>
                  </w:divBdr>
                  <w:divsChild>
                    <w:div w:id="783303812">
                      <w:marLeft w:val="0"/>
                      <w:marRight w:val="0"/>
                      <w:marTop w:val="0"/>
                      <w:marBottom w:val="0"/>
                      <w:divBdr>
                        <w:top w:val="none" w:sz="0" w:space="0" w:color="auto"/>
                        <w:left w:val="none" w:sz="0" w:space="0" w:color="auto"/>
                        <w:bottom w:val="none" w:sz="0" w:space="0" w:color="auto"/>
                        <w:right w:val="none" w:sz="0" w:space="0" w:color="auto"/>
                      </w:divBdr>
                    </w:div>
                  </w:divsChild>
                </w:div>
                <w:div w:id="737165558">
                  <w:marLeft w:val="0"/>
                  <w:marRight w:val="0"/>
                  <w:marTop w:val="0"/>
                  <w:marBottom w:val="0"/>
                  <w:divBdr>
                    <w:top w:val="none" w:sz="0" w:space="0" w:color="auto"/>
                    <w:left w:val="none" w:sz="0" w:space="0" w:color="auto"/>
                    <w:bottom w:val="none" w:sz="0" w:space="0" w:color="auto"/>
                    <w:right w:val="none" w:sz="0" w:space="0" w:color="auto"/>
                  </w:divBdr>
                  <w:divsChild>
                    <w:div w:id="815612460">
                      <w:marLeft w:val="0"/>
                      <w:marRight w:val="0"/>
                      <w:marTop w:val="0"/>
                      <w:marBottom w:val="0"/>
                      <w:divBdr>
                        <w:top w:val="none" w:sz="0" w:space="0" w:color="auto"/>
                        <w:left w:val="none" w:sz="0" w:space="0" w:color="auto"/>
                        <w:bottom w:val="none" w:sz="0" w:space="0" w:color="auto"/>
                        <w:right w:val="none" w:sz="0" w:space="0" w:color="auto"/>
                      </w:divBdr>
                    </w:div>
                  </w:divsChild>
                </w:div>
                <w:div w:id="740375699">
                  <w:marLeft w:val="0"/>
                  <w:marRight w:val="0"/>
                  <w:marTop w:val="0"/>
                  <w:marBottom w:val="0"/>
                  <w:divBdr>
                    <w:top w:val="none" w:sz="0" w:space="0" w:color="auto"/>
                    <w:left w:val="none" w:sz="0" w:space="0" w:color="auto"/>
                    <w:bottom w:val="none" w:sz="0" w:space="0" w:color="auto"/>
                    <w:right w:val="none" w:sz="0" w:space="0" w:color="auto"/>
                  </w:divBdr>
                  <w:divsChild>
                    <w:div w:id="1194659131">
                      <w:marLeft w:val="0"/>
                      <w:marRight w:val="0"/>
                      <w:marTop w:val="0"/>
                      <w:marBottom w:val="0"/>
                      <w:divBdr>
                        <w:top w:val="none" w:sz="0" w:space="0" w:color="auto"/>
                        <w:left w:val="none" w:sz="0" w:space="0" w:color="auto"/>
                        <w:bottom w:val="none" w:sz="0" w:space="0" w:color="auto"/>
                        <w:right w:val="none" w:sz="0" w:space="0" w:color="auto"/>
                      </w:divBdr>
                    </w:div>
                  </w:divsChild>
                </w:div>
                <w:div w:id="752897655">
                  <w:marLeft w:val="0"/>
                  <w:marRight w:val="0"/>
                  <w:marTop w:val="0"/>
                  <w:marBottom w:val="0"/>
                  <w:divBdr>
                    <w:top w:val="none" w:sz="0" w:space="0" w:color="auto"/>
                    <w:left w:val="none" w:sz="0" w:space="0" w:color="auto"/>
                    <w:bottom w:val="none" w:sz="0" w:space="0" w:color="auto"/>
                    <w:right w:val="none" w:sz="0" w:space="0" w:color="auto"/>
                  </w:divBdr>
                  <w:divsChild>
                    <w:div w:id="768888915">
                      <w:marLeft w:val="0"/>
                      <w:marRight w:val="0"/>
                      <w:marTop w:val="0"/>
                      <w:marBottom w:val="0"/>
                      <w:divBdr>
                        <w:top w:val="none" w:sz="0" w:space="0" w:color="auto"/>
                        <w:left w:val="none" w:sz="0" w:space="0" w:color="auto"/>
                        <w:bottom w:val="none" w:sz="0" w:space="0" w:color="auto"/>
                        <w:right w:val="none" w:sz="0" w:space="0" w:color="auto"/>
                      </w:divBdr>
                    </w:div>
                  </w:divsChild>
                </w:div>
                <w:div w:id="770590544">
                  <w:marLeft w:val="0"/>
                  <w:marRight w:val="0"/>
                  <w:marTop w:val="0"/>
                  <w:marBottom w:val="0"/>
                  <w:divBdr>
                    <w:top w:val="none" w:sz="0" w:space="0" w:color="auto"/>
                    <w:left w:val="none" w:sz="0" w:space="0" w:color="auto"/>
                    <w:bottom w:val="none" w:sz="0" w:space="0" w:color="auto"/>
                    <w:right w:val="none" w:sz="0" w:space="0" w:color="auto"/>
                  </w:divBdr>
                  <w:divsChild>
                    <w:div w:id="164517148">
                      <w:marLeft w:val="0"/>
                      <w:marRight w:val="0"/>
                      <w:marTop w:val="0"/>
                      <w:marBottom w:val="0"/>
                      <w:divBdr>
                        <w:top w:val="none" w:sz="0" w:space="0" w:color="auto"/>
                        <w:left w:val="none" w:sz="0" w:space="0" w:color="auto"/>
                        <w:bottom w:val="none" w:sz="0" w:space="0" w:color="auto"/>
                        <w:right w:val="none" w:sz="0" w:space="0" w:color="auto"/>
                      </w:divBdr>
                    </w:div>
                  </w:divsChild>
                </w:div>
                <w:div w:id="772435905">
                  <w:marLeft w:val="0"/>
                  <w:marRight w:val="0"/>
                  <w:marTop w:val="0"/>
                  <w:marBottom w:val="0"/>
                  <w:divBdr>
                    <w:top w:val="none" w:sz="0" w:space="0" w:color="auto"/>
                    <w:left w:val="none" w:sz="0" w:space="0" w:color="auto"/>
                    <w:bottom w:val="none" w:sz="0" w:space="0" w:color="auto"/>
                    <w:right w:val="none" w:sz="0" w:space="0" w:color="auto"/>
                  </w:divBdr>
                  <w:divsChild>
                    <w:div w:id="2046514356">
                      <w:marLeft w:val="0"/>
                      <w:marRight w:val="0"/>
                      <w:marTop w:val="0"/>
                      <w:marBottom w:val="0"/>
                      <w:divBdr>
                        <w:top w:val="none" w:sz="0" w:space="0" w:color="auto"/>
                        <w:left w:val="none" w:sz="0" w:space="0" w:color="auto"/>
                        <w:bottom w:val="none" w:sz="0" w:space="0" w:color="auto"/>
                        <w:right w:val="none" w:sz="0" w:space="0" w:color="auto"/>
                      </w:divBdr>
                    </w:div>
                  </w:divsChild>
                </w:div>
                <w:div w:id="780762837">
                  <w:marLeft w:val="0"/>
                  <w:marRight w:val="0"/>
                  <w:marTop w:val="0"/>
                  <w:marBottom w:val="0"/>
                  <w:divBdr>
                    <w:top w:val="none" w:sz="0" w:space="0" w:color="auto"/>
                    <w:left w:val="none" w:sz="0" w:space="0" w:color="auto"/>
                    <w:bottom w:val="none" w:sz="0" w:space="0" w:color="auto"/>
                    <w:right w:val="none" w:sz="0" w:space="0" w:color="auto"/>
                  </w:divBdr>
                  <w:divsChild>
                    <w:div w:id="1647928929">
                      <w:marLeft w:val="0"/>
                      <w:marRight w:val="0"/>
                      <w:marTop w:val="0"/>
                      <w:marBottom w:val="0"/>
                      <w:divBdr>
                        <w:top w:val="none" w:sz="0" w:space="0" w:color="auto"/>
                        <w:left w:val="none" w:sz="0" w:space="0" w:color="auto"/>
                        <w:bottom w:val="none" w:sz="0" w:space="0" w:color="auto"/>
                        <w:right w:val="none" w:sz="0" w:space="0" w:color="auto"/>
                      </w:divBdr>
                    </w:div>
                  </w:divsChild>
                </w:div>
                <w:div w:id="799497197">
                  <w:marLeft w:val="0"/>
                  <w:marRight w:val="0"/>
                  <w:marTop w:val="0"/>
                  <w:marBottom w:val="0"/>
                  <w:divBdr>
                    <w:top w:val="none" w:sz="0" w:space="0" w:color="auto"/>
                    <w:left w:val="none" w:sz="0" w:space="0" w:color="auto"/>
                    <w:bottom w:val="none" w:sz="0" w:space="0" w:color="auto"/>
                    <w:right w:val="none" w:sz="0" w:space="0" w:color="auto"/>
                  </w:divBdr>
                  <w:divsChild>
                    <w:div w:id="446045507">
                      <w:marLeft w:val="0"/>
                      <w:marRight w:val="0"/>
                      <w:marTop w:val="0"/>
                      <w:marBottom w:val="0"/>
                      <w:divBdr>
                        <w:top w:val="none" w:sz="0" w:space="0" w:color="auto"/>
                        <w:left w:val="none" w:sz="0" w:space="0" w:color="auto"/>
                        <w:bottom w:val="none" w:sz="0" w:space="0" w:color="auto"/>
                        <w:right w:val="none" w:sz="0" w:space="0" w:color="auto"/>
                      </w:divBdr>
                    </w:div>
                  </w:divsChild>
                </w:div>
                <w:div w:id="806355359">
                  <w:marLeft w:val="0"/>
                  <w:marRight w:val="0"/>
                  <w:marTop w:val="0"/>
                  <w:marBottom w:val="0"/>
                  <w:divBdr>
                    <w:top w:val="none" w:sz="0" w:space="0" w:color="auto"/>
                    <w:left w:val="none" w:sz="0" w:space="0" w:color="auto"/>
                    <w:bottom w:val="none" w:sz="0" w:space="0" w:color="auto"/>
                    <w:right w:val="none" w:sz="0" w:space="0" w:color="auto"/>
                  </w:divBdr>
                  <w:divsChild>
                    <w:div w:id="521554580">
                      <w:marLeft w:val="0"/>
                      <w:marRight w:val="0"/>
                      <w:marTop w:val="0"/>
                      <w:marBottom w:val="0"/>
                      <w:divBdr>
                        <w:top w:val="none" w:sz="0" w:space="0" w:color="auto"/>
                        <w:left w:val="none" w:sz="0" w:space="0" w:color="auto"/>
                        <w:bottom w:val="none" w:sz="0" w:space="0" w:color="auto"/>
                        <w:right w:val="none" w:sz="0" w:space="0" w:color="auto"/>
                      </w:divBdr>
                    </w:div>
                  </w:divsChild>
                </w:div>
                <w:div w:id="821656028">
                  <w:marLeft w:val="0"/>
                  <w:marRight w:val="0"/>
                  <w:marTop w:val="0"/>
                  <w:marBottom w:val="0"/>
                  <w:divBdr>
                    <w:top w:val="none" w:sz="0" w:space="0" w:color="auto"/>
                    <w:left w:val="none" w:sz="0" w:space="0" w:color="auto"/>
                    <w:bottom w:val="none" w:sz="0" w:space="0" w:color="auto"/>
                    <w:right w:val="none" w:sz="0" w:space="0" w:color="auto"/>
                  </w:divBdr>
                  <w:divsChild>
                    <w:div w:id="979766467">
                      <w:marLeft w:val="0"/>
                      <w:marRight w:val="0"/>
                      <w:marTop w:val="0"/>
                      <w:marBottom w:val="0"/>
                      <w:divBdr>
                        <w:top w:val="none" w:sz="0" w:space="0" w:color="auto"/>
                        <w:left w:val="none" w:sz="0" w:space="0" w:color="auto"/>
                        <w:bottom w:val="none" w:sz="0" w:space="0" w:color="auto"/>
                        <w:right w:val="none" w:sz="0" w:space="0" w:color="auto"/>
                      </w:divBdr>
                    </w:div>
                  </w:divsChild>
                </w:div>
                <w:div w:id="832717698">
                  <w:marLeft w:val="0"/>
                  <w:marRight w:val="0"/>
                  <w:marTop w:val="0"/>
                  <w:marBottom w:val="0"/>
                  <w:divBdr>
                    <w:top w:val="none" w:sz="0" w:space="0" w:color="auto"/>
                    <w:left w:val="none" w:sz="0" w:space="0" w:color="auto"/>
                    <w:bottom w:val="none" w:sz="0" w:space="0" w:color="auto"/>
                    <w:right w:val="none" w:sz="0" w:space="0" w:color="auto"/>
                  </w:divBdr>
                  <w:divsChild>
                    <w:div w:id="902910136">
                      <w:marLeft w:val="0"/>
                      <w:marRight w:val="0"/>
                      <w:marTop w:val="0"/>
                      <w:marBottom w:val="0"/>
                      <w:divBdr>
                        <w:top w:val="none" w:sz="0" w:space="0" w:color="auto"/>
                        <w:left w:val="none" w:sz="0" w:space="0" w:color="auto"/>
                        <w:bottom w:val="none" w:sz="0" w:space="0" w:color="auto"/>
                        <w:right w:val="none" w:sz="0" w:space="0" w:color="auto"/>
                      </w:divBdr>
                    </w:div>
                  </w:divsChild>
                </w:div>
                <w:div w:id="851723883">
                  <w:marLeft w:val="0"/>
                  <w:marRight w:val="0"/>
                  <w:marTop w:val="0"/>
                  <w:marBottom w:val="0"/>
                  <w:divBdr>
                    <w:top w:val="none" w:sz="0" w:space="0" w:color="auto"/>
                    <w:left w:val="none" w:sz="0" w:space="0" w:color="auto"/>
                    <w:bottom w:val="none" w:sz="0" w:space="0" w:color="auto"/>
                    <w:right w:val="none" w:sz="0" w:space="0" w:color="auto"/>
                  </w:divBdr>
                  <w:divsChild>
                    <w:div w:id="1495956049">
                      <w:marLeft w:val="0"/>
                      <w:marRight w:val="0"/>
                      <w:marTop w:val="0"/>
                      <w:marBottom w:val="0"/>
                      <w:divBdr>
                        <w:top w:val="none" w:sz="0" w:space="0" w:color="auto"/>
                        <w:left w:val="none" w:sz="0" w:space="0" w:color="auto"/>
                        <w:bottom w:val="none" w:sz="0" w:space="0" w:color="auto"/>
                        <w:right w:val="none" w:sz="0" w:space="0" w:color="auto"/>
                      </w:divBdr>
                    </w:div>
                  </w:divsChild>
                </w:div>
                <w:div w:id="854852570">
                  <w:marLeft w:val="0"/>
                  <w:marRight w:val="0"/>
                  <w:marTop w:val="0"/>
                  <w:marBottom w:val="0"/>
                  <w:divBdr>
                    <w:top w:val="none" w:sz="0" w:space="0" w:color="auto"/>
                    <w:left w:val="none" w:sz="0" w:space="0" w:color="auto"/>
                    <w:bottom w:val="none" w:sz="0" w:space="0" w:color="auto"/>
                    <w:right w:val="none" w:sz="0" w:space="0" w:color="auto"/>
                  </w:divBdr>
                  <w:divsChild>
                    <w:div w:id="1072970584">
                      <w:marLeft w:val="0"/>
                      <w:marRight w:val="0"/>
                      <w:marTop w:val="0"/>
                      <w:marBottom w:val="0"/>
                      <w:divBdr>
                        <w:top w:val="none" w:sz="0" w:space="0" w:color="auto"/>
                        <w:left w:val="none" w:sz="0" w:space="0" w:color="auto"/>
                        <w:bottom w:val="none" w:sz="0" w:space="0" w:color="auto"/>
                        <w:right w:val="none" w:sz="0" w:space="0" w:color="auto"/>
                      </w:divBdr>
                    </w:div>
                  </w:divsChild>
                </w:div>
                <w:div w:id="857230612">
                  <w:marLeft w:val="0"/>
                  <w:marRight w:val="0"/>
                  <w:marTop w:val="0"/>
                  <w:marBottom w:val="0"/>
                  <w:divBdr>
                    <w:top w:val="none" w:sz="0" w:space="0" w:color="auto"/>
                    <w:left w:val="none" w:sz="0" w:space="0" w:color="auto"/>
                    <w:bottom w:val="none" w:sz="0" w:space="0" w:color="auto"/>
                    <w:right w:val="none" w:sz="0" w:space="0" w:color="auto"/>
                  </w:divBdr>
                  <w:divsChild>
                    <w:div w:id="857426437">
                      <w:marLeft w:val="0"/>
                      <w:marRight w:val="0"/>
                      <w:marTop w:val="0"/>
                      <w:marBottom w:val="0"/>
                      <w:divBdr>
                        <w:top w:val="none" w:sz="0" w:space="0" w:color="auto"/>
                        <w:left w:val="none" w:sz="0" w:space="0" w:color="auto"/>
                        <w:bottom w:val="none" w:sz="0" w:space="0" w:color="auto"/>
                        <w:right w:val="none" w:sz="0" w:space="0" w:color="auto"/>
                      </w:divBdr>
                    </w:div>
                  </w:divsChild>
                </w:div>
                <w:div w:id="867107284">
                  <w:marLeft w:val="0"/>
                  <w:marRight w:val="0"/>
                  <w:marTop w:val="0"/>
                  <w:marBottom w:val="0"/>
                  <w:divBdr>
                    <w:top w:val="none" w:sz="0" w:space="0" w:color="auto"/>
                    <w:left w:val="none" w:sz="0" w:space="0" w:color="auto"/>
                    <w:bottom w:val="none" w:sz="0" w:space="0" w:color="auto"/>
                    <w:right w:val="none" w:sz="0" w:space="0" w:color="auto"/>
                  </w:divBdr>
                  <w:divsChild>
                    <w:div w:id="275991248">
                      <w:marLeft w:val="0"/>
                      <w:marRight w:val="0"/>
                      <w:marTop w:val="0"/>
                      <w:marBottom w:val="0"/>
                      <w:divBdr>
                        <w:top w:val="none" w:sz="0" w:space="0" w:color="auto"/>
                        <w:left w:val="none" w:sz="0" w:space="0" w:color="auto"/>
                        <w:bottom w:val="none" w:sz="0" w:space="0" w:color="auto"/>
                        <w:right w:val="none" w:sz="0" w:space="0" w:color="auto"/>
                      </w:divBdr>
                    </w:div>
                  </w:divsChild>
                </w:div>
                <w:div w:id="915631620">
                  <w:marLeft w:val="0"/>
                  <w:marRight w:val="0"/>
                  <w:marTop w:val="0"/>
                  <w:marBottom w:val="0"/>
                  <w:divBdr>
                    <w:top w:val="none" w:sz="0" w:space="0" w:color="auto"/>
                    <w:left w:val="none" w:sz="0" w:space="0" w:color="auto"/>
                    <w:bottom w:val="none" w:sz="0" w:space="0" w:color="auto"/>
                    <w:right w:val="none" w:sz="0" w:space="0" w:color="auto"/>
                  </w:divBdr>
                  <w:divsChild>
                    <w:div w:id="1852454620">
                      <w:marLeft w:val="0"/>
                      <w:marRight w:val="0"/>
                      <w:marTop w:val="0"/>
                      <w:marBottom w:val="0"/>
                      <w:divBdr>
                        <w:top w:val="none" w:sz="0" w:space="0" w:color="auto"/>
                        <w:left w:val="none" w:sz="0" w:space="0" w:color="auto"/>
                        <w:bottom w:val="none" w:sz="0" w:space="0" w:color="auto"/>
                        <w:right w:val="none" w:sz="0" w:space="0" w:color="auto"/>
                      </w:divBdr>
                    </w:div>
                  </w:divsChild>
                </w:div>
                <w:div w:id="931011652">
                  <w:marLeft w:val="0"/>
                  <w:marRight w:val="0"/>
                  <w:marTop w:val="0"/>
                  <w:marBottom w:val="0"/>
                  <w:divBdr>
                    <w:top w:val="none" w:sz="0" w:space="0" w:color="auto"/>
                    <w:left w:val="none" w:sz="0" w:space="0" w:color="auto"/>
                    <w:bottom w:val="none" w:sz="0" w:space="0" w:color="auto"/>
                    <w:right w:val="none" w:sz="0" w:space="0" w:color="auto"/>
                  </w:divBdr>
                  <w:divsChild>
                    <w:div w:id="759715000">
                      <w:marLeft w:val="0"/>
                      <w:marRight w:val="0"/>
                      <w:marTop w:val="0"/>
                      <w:marBottom w:val="0"/>
                      <w:divBdr>
                        <w:top w:val="none" w:sz="0" w:space="0" w:color="auto"/>
                        <w:left w:val="none" w:sz="0" w:space="0" w:color="auto"/>
                        <w:bottom w:val="none" w:sz="0" w:space="0" w:color="auto"/>
                        <w:right w:val="none" w:sz="0" w:space="0" w:color="auto"/>
                      </w:divBdr>
                    </w:div>
                  </w:divsChild>
                </w:div>
                <w:div w:id="969630964">
                  <w:marLeft w:val="0"/>
                  <w:marRight w:val="0"/>
                  <w:marTop w:val="0"/>
                  <w:marBottom w:val="0"/>
                  <w:divBdr>
                    <w:top w:val="none" w:sz="0" w:space="0" w:color="auto"/>
                    <w:left w:val="none" w:sz="0" w:space="0" w:color="auto"/>
                    <w:bottom w:val="none" w:sz="0" w:space="0" w:color="auto"/>
                    <w:right w:val="none" w:sz="0" w:space="0" w:color="auto"/>
                  </w:divBdr>
                  <w:divsChild>
                    <w:div w:id="758021921">
                      <w:marLeft w:val="0"/>
                      <w:marRight w:val="0"/>
                      <w:marTop w:val="0"/>
                      <w:marBottom w:val="0"/>
                      <w:divBdr>
                        <w:top w:val="none" w:sz="0" w:space="0" w:color="auto"/>
                        <w:left w:val="none" w:sz="0" w:space="0" w:color="auto"/>
                        <w:bottom w:val="none" w:sz="0" w:space="0" w:color="auto"/>
                        <w:right w:val="none" w:sz="0" w:space="0" w:color="auto"/>
                      </w:divBdr>
                    </w:div>
                  </w:divsChild>
                </w:div>
                <w:div w:id="997726360">
                  <w:marLeft w:val="0"/>
                  <w:marRight w:val="0"/>
                  <w:marTop w:val="0"/>
                  <w:marBottom w:val="0"/>
                  <w:divBdr>
                    <w:top w:val="none" w:sz="0" w:space="0" w:color="auto"/>
                    <w:left w:val="none" w:sz="0" w:space="0" w:color="auto"/>
                    <w:bottom w:val="none" w:sz="0" w:space="0" w:color="auto"/>
                    <w:right w:val="none" w:sz="0" w:space="0" w:color="auto"/>
                  </w:divBdr>
                  <w:divsChild>
                    <w:div w:id="1844587615">
                      <w:marLeft w:val="0"/>
                      <w:marRight w:val="0"/>
                      <w:marTop w:val="0"/>
                      <w:marBottom w:val="0"/>
                      <w:divBdr>
                        <w:top w:val="none" w:sz="0" w:space="0" w:color="auto"/>
                        <w:left w:val="none" w:sz="0" w:space="0" w:color="auto"/>
                        <w:bottom w:val="none" w:sz="0" w:space="0" w:color="auto"/>
                        <w:right w:val="none" w:sz="0" w:space="0" w:color="auto"/>
                      </w:divBdr>
                    </w:div>
                  </w:divsChild>
                </w:div>
                <w:div w:id="1020204389">
                  <w:marLeft w:val="0"/>
                  <w:marRight w:val="0"/>
                  <w:marTop w:val="0"/>
                  <w:marBottom w:val="0"/>
                  <w:divBdr>
                    <w:top w:val="none" w:sz="0" w:space="0" w:color="auto"/>
                    <w:left w:val="none" w:sz="0" w:space="0" w:color="auto"/>
                    <w:bottom w:val="none" w:sz="0" w:space="0" w:color="auto"/>
                    <w:right w:val="none" w:sz="0" w:space="0" w:color="auto"/>
                  </w:divBdr>
                  <w:divsChild>
                    <w:div w:id="332145621">
                      <w:marLeft w:val="0"/>
                      <w:marRight w:val="0"/>
                      <w:marTop w:val="0"/>
                      <w:marBottom w:val="0"/>
                      <w:divBdr>
                        <w:top w:val="none" w:sz="0" w:space="0" w:color="auto"/>
                        <w:left w:val="none" w:sz="0" w:space="0" w:color="auto"/>
                        <w:bottom w:val="none" w:sz="0" w:space="0" w:color="auto"/>
                        <w:right w:val="none" w:sz="0" w:space="0" w:color="auto"/>
                      </w:divBdr>
                    </w:div>
                  </w:divsChild>
                </w:div>
                <w:div w:id="1024985530">
                  <w:marLeft w:val="0"/>
                  <w:marRight w:val="0"/>
                  <w:marTop w:val="0"/>
                  <w:marBottom w:val="0"/>
                  <w:divBdr>
                    <w:top w:val="none" w:sz="0" w:space="0" w:color="auto"/>
                    <w:left w:val="none" w:sz="0" w:space="0" w:color="auto"/>
                    <w:bottom w:val="none" w:sz="0" w:space="0" w:color="auto"/>
                    <w:right w:val="none" w:sz="0" w:space="0" w:color="auto"/>
                  </w:divBdr>
                  <w:divsChild>
                    <w:div w:id="526262986">
                      <w:marLeft w:val="0"/>
                      <w:marRight w:val="0"/>
                      <w:marTop w:val="0"/>
                      <w:marBottom w:val="0"/>
                      <w:divBdr>
                        <w:top w:val="none" w:sz="0" w:space="0" w:color="auto"/>
                        <w:left w:val="none" w:sz="0" w:space="0" w:color="auto"/>
                        <w:bottom w:val="none" w:sz="0" w:space="0" w:color="auto"/>
                        <w:right w:val="none" w:sz="0" w:space="0" w:color="auto"/>
                      </w:divBdr>
                    </w:div>
                  </w:divsChild>
                </w:div>
                <w:div w:id="1038628976">
                  <w:marLeft w:val="0"/>
                  <w:marRight w:val="0"/>
                  <w:marTop w:val="0"/>
                  <w:marBottom w:val="0"/>
                  <w:divBdr>
                    <w:top w:val="none" w:sz="0" w:space="0" w:color="auto"/>
                    <w:left w:val="none" w:sz="0" w:space="0" w:color="auto"/>
                    <w:bottom w:val="none" w:sz="0" w:space="0" w:color="auto"/>
                    <w:right w:val="none" w:sz="0" w:space="0" w:color="auto"/>
                  </w:divBdr>
                  <w:divsChild>
                    <w:div w:id="496263647">
                      <w:marLeft w:val="0"/>
                      <w:marRight w:val="0"/>
                      <w:marTop w:val="0"/>
                      <w:marBottom w:val="0"/>
                      <w:divBdr>
                        <w:top w:val="none" w:sz="0" w:space="0" w:color="auto"/>
                        <w:left w:val="none" w:sz="0" w:space="0" w:color="auto"/>
                        <w:bottom w:val="none" w:sz="0" w:space="0" w:color="auto"/>
                        <w:right w:val="none" w:sz="0" w:space="0" w:color="auto"/>
                      </w:divBdr>
                    </w:div>
                  </w:divsChild>
                </w:div>
                <w:div w:id="1066532999">
                  <w:marLeft w:val="0"/>
                  <w:marRight w:val="0"/>
                  <w:marTop w:val="0"/>
                  <w:marBottom w:val="0"/>
                  <w:divBdr>
                    <w:top w:val="none" w:sz="0" w:space="0" w:color="auto"/>
                    <w:left w:val="none" w:sz="0" w:space="0" w:color="auto"/>
                    <w:bottom w:val="none" w:sz="0" w:space="0" w:color="auto"/>
                    <w:right w:val="none" w:sz="0" w:space="0" w:color="auto"/>
                  </w:divBdr>
                  <w:divsChild>
                    <w:div w:id="1083990855">
                      <w:marLeft w:val="0"/>
                      <w:marRight w:val="0"/>
                      <w:marTop w:val="0"/>
                      <w:marBottom w:val="0"/>
                      <w:divBdr>
                        <w:top w:val="none" w:sz="0" w:space="0" w:color="auto"/>
                        <w:left w:val="none" w:sz="0" w:space="0" w:color="auto"/>
                        <w:bottom w:val="none" w:sz="0" w:space="0" w:color="auto"/>
                        <w:right w:val="none" w:sz="0" w:space="0" w:color="auto"/>
                      </w:divBdr>
                    </w:div>
                  </w:divsChild>
                </w:div>
                <w:div w:id="1069766575">
                  <w:marLeft w:val="0"/>
                  <w:marRight w:val="0"/>
                  <w:marTop w:val="0"/>
                  <w:marBottom w:val="0"/>
                  <w:divBdr>
                    <w:top w:val="none" w:sz="0" w:space="0" w:color="auto"/>
                    <w:left w:val="none" w:sz="0" w:space="0" w:color="auto"/>
                    <w:bottom w:val="none" w:sz="0" w:space="0" w:color="auto"/>
                    <w:right w:val="none" w:sz="0" w:space="0" w:color="auto"/>
                  </w:divBdr>
                  <w:divsChild>
                    <w:div w:id="2102605139">
                      <w:marLeft w:val="0"/>
                      <w:marRight w:val="0"/>
                      <w:marTop w:val="0"/>
                      <w:marBottom w:val="0"/>
                      <w:divBdr>
                        <w:top w:val="none" w:sz="0" w:space="0" w:color="auto"/>
                        <w:left w:val="none" w:sz="0" w:space="0" w:color="auto"/>
                        <w:bottom w:val="none" w:sz="0" w:space="0" w:color="auto"/>
                        <w:right w:val="none" w:sz="0" w:space="0" w:color="auto"/>
                      </w:divBdr>
                    </w:div>
                  </w:divsChild>
                </w:div>
                <w:div w:id="1070419258">
                  <w:marLeft w:val="0"/>
                  <w:marRight w:val="0"/>
                  <w:marTop w:val="0"/>
                  <w:marBottom w:val="0"/>
                  <w:divBdr>
                    <w:top w:val="none" w:sz="0" w:space="0" w:color="auto"/>
                    <w:left w:val="none" w:sz="0" w:space="0" w:color="auto"/>
                    <w:bottom w:val="none" w:sz="0" w:space="0" w:color="auto"/>
                    <w:right w:val="none" w:sz="0" w:space="0" w:color="auto"/>
                  </w:divBdr>
                  <w:divsChild>
                    <w:div w:id="2112552978">
                      <w:marLeft w:val="0"/>
                      <w:marRight w:val="0"/>
                      <w:marTop w:val="0"/>
                      <w:marBottom w:val="0"/>
                      <w:divBdr>
                        <w:top w:val="none" w:sz="0" w:space="0" w:color="auto"/>
                        <w:left w:val="none" w:sz="0" w:space="0" w:color="auto"/>
                        <w:bottom w:val="none" w:sz="0" w:space="0" w:color="auto"/>
                        <w:right w:val="none" w:sz="0" w:space="0" w:color="auto"/>
                      </w:divBdr>
                    </w:div>
                  </w:divsChild>
                </w:div>
                <w:div w:id="1075592741">
                  <w:marLeft w:val="0"/>
                  <w:marRight w:val="0"/>
                  <w:marTop w:val="0"/>
                  <w:marBottom w:val="0"/>
                  <w:divBdr>
                    <w:top w:val="none" w:sz="0" w:space="0" w:color="auto"/>
                    <w:left w:val="none" w:sz="0" w:space="0" w:color="auto"/>
                    <w:bottom w:val="none" w:sz="0" w:space="0" w:color="auto"/>
                    <w:right w:val="none" w:sz="0" w:space="0" w:color="auto"/>
                  </w:divBdr>
                  <w:divsChild>
                    <w:div w:id="435977346">
                      <w:marLeft w:val="0"/>
                      <w:marRight w:val="0"/>
                      <w:marTop w:val="0"/>
                      <w:marBottom w:val="0"/>
                      <w:divBdr>
                        <w:top w:val="none" w:sz="0" w:space="0" w:color="auto"/>
                        <w:left w:val="none" w:sz="0" w:space="0" w:color="auto"/>
                        <w:bottom w:val="none" w:sz="0" w:space="0" w:color="auto"/>
                        <w:right w:val="none" w:sz="0" w:space="0" w:color="auto"/>
                      </w:divBdr>
                    </w:div>
                  </w:divsChild>
                </w:div>
                <w:div w:id="1088621234">
                  <w:marLeft w:val="0"/>
                  <w:marRight w:val="0"/>
                  <w:marTop w:val="0"/>
                  <w:marBottom w:val="0"/>
                  <w:divBdr>
                    <w:top w:val="none" w:sz="0" w:space="0" w:color="auto"/>
                    <w:left w:val="none" w:sz="0" w:space="0" w:color="auto"/>
                    <w:bottom w:val="none" w:sz="0" w:space="0" w:color="auto"/>
                    <w:right w:val="none" w:sz="0" w:space="0" w:color="auto"/>
                  </w:divBdr>
                  <w:divsChild>
                    <w:div w:id="855466156">
                      <w:marLeft w:val="0"/>
                      <w:marRight w:val="0"/>
                      <w:marTop w:val="0"/>
                      <w:marBottom w:val="0"/>
                      <w:divBdr>
                        <w:top w:val="none" w:sz="0" w:space="0" w:color="auto"/>
                        <w:left w:val="none" w:sz="0" w:space="0" w:color="auto"/>
                        <w:bottom w:val="none" w:sz="0" w:space="0" w:color="auto"/>
                        <w:right w:val="none" w:sz="0" w:space="0" w:color="auto"/>
                      </w:divBdr>
                    </w:div>
                  </w:divsChild>
                </w:div>
                <w:div w:id="1093548660">
                  <w:marLeft w:val="0"/>
                  <w:marRight w:val="0"/>
                  <w:marTop w:val="0"/>
                  <w:marBottom w:val="0"/>
                  <w:divBdr>
                    <w:top w:val="none" w:sz="0" w:space="0" w:color="auto"/>
                    <w:left w:val="none" w:sz="0" w:space="0" w:color="auto"/>
                    <w:bottom w:val="none" w:sz="0" w:space="0" w:color="auto"/>
                    <w:right w:val="none" w:sz="0" w:space="0" w:color="auto"/>
                  </w:divBdr>
                  <w:divsChild>
                    <w:div w:id="1206403478">
                      <w:marLeft w:val="0"/>
                      <w:marRight w:val="0"/>
                      <w:marTop w:val="0"/>
                      <w:marBottom w:val="0"/>
                      <w:divBdr>
                        <w:top w:val="none" w:sz="0" w:space="0" w:color="auto"/>
                        <w:left w:val="none" w:sz="0" w:space="0" w:color="auto"/>
                        <w:bottom w:val="none" w:sz="0" w:space="0" w:color="auto"/>
                        <w:right w:val="none" w:sz="0" w:space="0" w:color="auto"/>
                      </w:divBdr>
                    </w:div>
                  </w:divsChild>
                </w:div>
                <w:div w:id="1096973925">
                  <w:marLeft w:val="0"/>
                  <w:marRight w:val="0"/>
                  <w:marTop w:val="0"/>
                  <w:marBottom w:val="0"/>
                  <w:divBdr>
                    <w:top w:val="none" w:sz="0" w:space="0" w:color="auto"/>
                    <w:left w:val="none" w:sz="0" w:space="0" w:color="auto"/>
                    <w:bottom w:val="none" w:sz="0" w:space="0" w:color="auto"/>
                    <w:right w:val="none" w:sz="0" w:space="0" w:color="auto"/>
                  </w:divBdr>
                  <w:divsChild>
                    <w:div w:id="1974408158">
                      <w:marLeft w:val="0"/>
                      <w:marRight w:val="0"/>
                      <w:marTop w:val="0"/>
                      <w:marBottom w:val="0"/>
                      <w:divBdr>
                        <w:top w:val="none" w:sz="0" w:space="0" w:color="auto"/>
                        <w:left w:val="none" w:sz="0" w:space="0" w:color="auto"/>
                        <w:bottom w:val="none" w:sz="0" w:space="0" w:color="auto"/>
                        <w:right w:val="none" w:sz="0" w:space="0" w:color="auto"/>
                      </w:divBdr>
                    </w:div>
                  </w:divsChild>
                </w:div>
                <w:div w:id="1100955741">
                  <w:marLeft w:val="0"/>
                  <w:marRight w:val="0"/>
                  <w:marTop w:val="0"/>
                  <w:marBottom w:val="0"/>
                  <w:divBdr>
                    <w:top w:val="none" w:sz="0" w:space="0" w:color="auto"/>
                    <w:left w:val="none" w:sz="0" w:space="0" w:color="auto"/>
                    <w:bottom w:val="none" w:sz="0" w:space="0" w:color="auto"/>
                    <w:right w:val="none" w:sz="0" w:space="0" w:color="auto"/>
                  </w:divBdr>
                  <w:divsChild>
                    <w:div w:id="997079806">
                      <w:marLeft w:val="0"/>
                      <w:marRight w:val="0"/>
                      <w:marTop w:val="0"/>
                      <w:marBottom w:val="0"/>
                      <w:divBdr>
                        <w:top w:val="none" w:sz="0" w:space="0" w:color="auto"/>
                        <w:left w:val="none" w:sz="0" w:space="0" w:color="auto"/>
                        <w:bottom w:val="none" w:sz="0" w:space="0" w:color="auto"/>
                        <w:right w:val="none" w:sz="0" w:space="0" w:color="auto"/>
                      </w:divBdr>
                    </w:div>
                  </w:divsChild>
                </w:div>
                <w:div w:id="1143473902">
                  <w:marLeft w:val="0"/>
                  <w:marRight w:val="0"/>
                  <w:marTop w:val="0"/>
                  <w:marBottom w:val="0"/>
                  <w:divBdr>
                    <w:top w:val="none" w:sz="0" w:space="0" w:color="auto"/>
                    <w:left w:val="none" w:sz="0" w:space="0" w:color="auto"/>
                    <w:bottom w:val="none" w:sz="0" w:space="0" w:color="auto"/>
                    <w:right w:val="none" w:sz="0" w:space="0" w:color="auto"/>
                  </w:divBdr>
                  <w:divsChild>
                    <w:div w:id="206837960">
                      <w:marLeft w:val="0"/>
                      <w:marRight w:val="0"/>
                      <w:marTop w:val="0"/>
                      <w:marBottom w:val="0"/>
                      <w:divBdr>
                        <w:top w:val="none" w:sz="0" w:space="0" w:color="auto"/>
                        <w:left w:val="none" w:sz="0" w:space="0" w:color="auto"/>
                        <w:bottom w:val="none" w:sz="0" w:space="0" w:color="auto"/>
                        <w:right w:val="none" w:sz="0" w:space="0" w:color="auto"/>
                      </w:divBdr>
                    </w:div>
                  </w:divsChild>
                </w:div>
                <w:div w:id="1166821344">
                  <w:marLeft w:val="0"/>
                  <w:marRight w:val="0"/>
                  <w:marTop w:val="0"/>
                  <w:marBottom w:val="0"/>
                  <w:divBdr>
                    <w:top w:val="none" w:sz="0" w:space="0" w:color="auto"/>
                    <w:left w:val="none" w:sz="0" w:space="0" w:color="auto"/>
                    <w:bottom w:val="none" w:sz="0" w:space="0" w:color="auto"/>
                    <w:right w:val="none" w:sz="0" w:space="0" w:color="auto"/>
                  </w:divBdr>
                  <w:divsChild>
                    <w:div w:id="43918117">
                      <w:marLeft w:val="0"/>
                      <w:marRight w:val="0"/>
                      <w:marTop w:val="0"/>
                      <w:marBottom w:val="0"/>
                      <w:divBdr>
                        <w:top w:val="none" w:sz="0" w:space="0" w:color="auto"/>
                        <w:left w:val="none" w:sz="0" w:space="0" w:color="auto"/>
                        <w:bottom w:val="none" w:sz="0" w:space="0" w:color="auto"/>
                        <w:right w:val="none" w:sz="0" w:space="0" w:color="auto"/>
                      </w:divBdr>
                    </w:div>
                  </w:divsChild>
                </w:div>
                <w:div w:id="1184439388">
                  <w:marLeft w:val="0"/>
                  <w:marRight w:val="0"/>
                  <w:marTop w:val="0"/>
                  <w:marBottom w:val="0"/>
                  <w:divBdr>
                    <w:top w:val="none" w:sz="0" w:space="0" w:color="auto"/>
                    <w:left w:val="none" w:sz="0" w:space="0" w:color="auto"/>
                    <w:bottom w:val="none" w:sz="0" w:space="0" w:color="auto"/>
                    <w:right w:val="none" w:sz="0" w:space="0" w:color="auto"/>
                  </w:divBdr>
                  <w:divsChild>
                    <w:div w:id="1633290169">
                      <w:marLeft w:val="0"/>
                      <w:marRight w:val="0"/>
                      <w:marTop w:val="0"/>
                      <w:marBottom w:val="0"/>
                      <w:divBdr>
                        <w:top w:val="none" w:sz="0" w:space="0" w:color="auto"/>
                        <w:left w:val="none" w:sz="0" w:space="0" w:color="auto"/>
                        <w:bottom w:val="none" w:sz="0" w:space="0" w:color="auto"/>
                        <w:right w:val="none" w:sz="0" w:space="0" w:color="auto"/>
                      </w:divBdr>
                    </w:div>
                  </w:divsChild>
                </w:div>
                <w:div w:id="1193298819">
                  <w:marLeft w:val="0"/>
                  <w:marRight w:val="0"/>
                  <w:marTop w:val="0"/>
                  <w:marBottom w:val="0"/>
                  <w:divBdr>
                    <w:top w:val="none" w:sz="0" w:space="0" w:color="auto"/>
                    <w:left w:val="none" w:sz="0" w:space="0" w:color="auto"/>
                    <w:bottom w:val="none" w:sz="0" w:space="0" w:color="auto"/>
                    <w:right w:val="none" w:sz="0" w:space="0" w:color="auto"/>
                  </w:divBdr>
                  <w:divsChild>
                    <w:div w:id="846286799">
                      <w:marLeft w:val="0"/>
                      <w:marRight w:val="0"/>
                      <w:marTop w:val="0"/>
                      <w:marBottom w:val="0"/>
                      <w:divBdr>
                        <w:top w:val="none" w:sz="0" w:space="0" w:color="auto"/>
                        <w:left w:val="none" w:sz="0" w:space="0" w:color="auto"/>
                        <w:bottom w:val="none" w:sz="0" w:space="0" w:color="auto"/>
                        <w:right w:val="none" w:sz="0" w:space="0" w:color="auto"/>
                      </w:divBdr>
                    </w:div>
                  </w:divsChild>
                </w:div>
                <w:div w:id="1215922118">
                  <w:marLeft w:val="0"/>
                  <w:marRight w:val="0"/>
                  <w:marTop w:val="0"/>
                  <w:marBottom w:val="0"/>
                  <w:divBdr>
                    <w:top w:val="none" w:sz="0" w:space="0" w:color="auto"/>
                    <w:left w:val="none" w:sz="0" w:space="0" w:color="auto"/>
                    <w:bottom w:val="none" w:sz="0" w:space="0" w:color="auto"/>
                    <w:right w:val="none" w:sz="0" w:space="0" w:color="auto"/>
                  </w:divBdr>
                  <w:divsChild>
                    <w:div w:id="1609922824">
                      <w:marLeft w:val="0"/>
                      <w:marRight w:val="0"/>
                      <w:marTop w:val="0"/>
                      <w:marBottom w:val="0"/>
                      <w:divBdr>
                        <w:top w:val="none" w:sz="0" w:space="0" w:color="auto"/>
                        <w:left w:val="none" w:sz="0" w:space="0" w:color="auto"/>
                        <w:bottom w:val="none" w:sz="0" w:space="0" w:color="auto"/>
                        <w:right w:val="none" w:sz="0" w:space="0" w:color="auto"/>
                      </w:divBdr>
                    </w:div>
                  </w:divsChild>
                </w:div>
                <w:div w:id="1240139907">
                  <w:marLeft w:val="0"/>
                  <w:marRight w:val="0"/>
                  <w:marTop w:val="0"/>
                  <w:marBottom w:val="0"/>
                  <w:divBdr>
                    <w:top w:val="none" w:sz="0" w:space="0" w:color="auto"/>
                    <w:left w:val="none" w:sz="0" w:space="0" w:color="auto"/>
                    <w:bottom w:val="none" w:sz="0" w:space="0" w:color="auto"/>
                    <w:right w:val="none" w:sz="0" w:space="0" w:color="auto"/>
                  </w:divBdr>
                  <w:divsChild>
                    <w:div w:id="630288107">
                      <w:marLeft w:val="0"/>
                      <w:marRight w:val="0"/>
                      <w:marTop w:val="0"/>
                      <w:marBottom w:val="0"/>
                      <w:divBdr>
                        <w:top w:val="none" w:sz="0" w:space="0" w:color="auto"/>
                        <w:left w:val="none" w:sz="0" w:space="0" w:color="auto"/>
                        <w:bottom w:val="none" w:sz="0" w:space="0" w:color="auto"/>
                        <w:right w:val="none" w:sz="0" w:space="0" w:color="auto"/>
                      </w:divBdr>
                    </w:div>
                  </w:divsChild>
                </w:div>
                <w:div w:id="1287347520">
                  <w:marLeft w:val="0"/>
                  <w:marRight w:val="0"/>
                  <w:marTop w:val="0"/>
                  <w:marBottom w:val="0"/>
                  <w:divBdr>
                    <w:top w:val="none" w:sz="0" w:space="0" w:color="auto"/>
                    <w:left w:val="none" w:sz="0" w:space="0" w:color="auto"/>
                    <w:bottom w:val="none" w:sz="0" w:space="0" w:color="auto"/>
                    <w:right w:val="none" w:sz="0" w:space="0" w:color="auto"/>
                  </w:divBdr>
                  <w:divsChild>
                    <w:div w:id="246773563">
                      <w:marLeft w:val="0"/>
                      <w:marRight w:val="0"/>
                      <w:marTop w:val="0"/>
                      <w:marBottom w:val="0"/>
                      <w:divBdr>
                        <w:top w:val="none" w:sz="0" w:space="0" w:color="auto"/>
                        <w:left w:val="none" w:sz="0" w:space="0" w:color="auto"/>
                        <w:bottom w:val="none" w:sz="0" w:space="0" w:color="auto"/>
                        <w:right w:val="none" w:sz="0" w:space="0" w:color="auto"/>
                      </w:divBdr>
                    </w:div>
                  </w:divsChild>
                </w:div>
                <w:div w:id="1296133305">
                  <w:marLeft w:val="0"/>
                  <w:marRight w:val="0"/>
                  <w:marTop w:val="0"/>
                  <w:marBottom w:val="0"/>
                  <w:divBdr>
                    <w:top w:val="none" w:sz="0" w:space="0" w:color="auto"/>
                    <w:left w:val="none" w:sz="0" w:space="0" w:color="auto"/>
                    <w:bottom w:val="none" w:sz="0" w:space="0" w:color="auto"/>
                    <w:right w:val="none" w:sz="0" w:space="0" w:color="auto"/>
                  </w:divBdr>
                  <w:divsChild>
                    <w:div w:id="1118990663">
                      <w:marLeft w:val="0"/>
                      <w:marRight w:val="0"/>
                      <w:marTop w:val="0"/>
                      <w:marBottom w:val="0"/>
                      <w:divBdr>
                        <w:top w:val="none" w:sz="0" w:space="0" w:color="auto"/>
                        <w:left w:val="none" w:sz="0" w:space="0" w:color="auto"/>
                        <w:bottom w:val="none" w:sz="0" w:space="0" w:color="auto"/>
                        <w:right w:val="none" w:sz="0" w:space="0" w:color="auto"/>
                      </w:divBdr>
                    </w:div>
                  </w:divsChild>
                </w:div>
                <w:div w:id="1333799164">
                  <w:marLeft w:val="0"/>
                  <w:marRight w:val="0"/>
                  <w:marTop w:val="0"/>
                  <w:marBottom w:val="0"/>
                  <w:divBdr>
                    <w:top w:val="none" w:sz="0" w:space="0" w:color="auto"/>
                    <w:left w:val="none" w:sz="0" w:space="0" w:color="auto"/>
                    <w:bottom w:val="none" w:sz="0" w:space="0" w:color="auto"/>
                    <w:right w:val="none" w:sz="0" w:space="0" w:color="auto"/>
                  </w:divBdr>
                  <w:divsChild>
                    <w:div w:id="1097822451">
                      <w:marLeft w:val="0"/>
                      <w:marRight w:val="0"/>
                      <w:marTop w:val="0"/>
                      <w:marBottom w:val="0"/>
                      <w:divBdr>
                        <w:top w:val="none" w:sz="0" w:space="0" w:color="auto"/>
                        <w:left w:val="none" w:sz="0" w:space="0" w:color="auto"/>
                        <w:bottom w:val="none" w:sz="0" w:space="0" w:color="auto"/>
                        <w:right w:val="none" w:sz="0" w:space="0" w:color="auto"/>
                      </w:divBdr>
                    </w:div>
                  </w:divsChild>
                </w:div>
                <w:div w:id="1346446680">
                  <w:marLeft w:val="0"/>
                  <w:marRight w:val="0"/>
                  <w:marTop w:val="0"/>
                  <w:marBottom w:val="0"/>
                  <w:divBdr>
                    <w:top w:val="none" w:sz="0" w:space="0" w:color="auto"/>
                    <w:left w:val="none" w:sz="0" w:space="0" w:color="auto"/>
                    <w:bottom w:val="none" w:sz="0" w:space="0" w:color="auto"/>
                    <w:right w:val="none" w:sz="0" w:space="0" w:color="auto"/>
                  </w:divBdr>
                  <w:divsChild>
                    <w:div w:id="2027900025">
                      <w:marLeft w:val="0"/>
                      <w:marRight w:val="0"/>
                      <w:marTop w:val="0"/>
                      <w:marBottom w:val="0"/>
                      <w:divBdr>
                        <w:top w:val="none" w:sz="0" w:space="0" w:color="auto"/>
                        <w:left w:val="none" w:sz="0" w:space="0" w:color="auto"/>
                        <w:bottom w:val="none" w:sz="0" w:space="0" w:color="auto"/>
                        <w:right w:val="none" w:sz="0" w:space="0" w:color="auto"/>
                      </w:divBdr>
                    </w:div>
                  </w:divsChild>
                </w:div>
                <w:div w:id="1362589194">
                  <w:marLeft w:val="0"/>
                  <w:marRight w:val="0"/>
                  <w:marTop w:val="0"/>
                  <w:marBottom w:val="0"/>
                  <w:divBdr>
                    <w:top w:val="none" w:sz="0" w:space="0" w:color="auto"/>
                    <w:left w:val="none" w:sz="0" w:space="0" w:color="auto"/>
                    <w:bottom w:val="none" w:sz="0" w:space="0" w:color="auto"/>
                    <w:right w:val="none" w:sz="0" w:space="0" w:color="auto"/>
                  </w:divBdr>
                  <w:divsChild>
                    <w:div w:id="1819032455">
                      <w:marLeft w:val="0"/>
                      <w:marRight w:val="0"/>
                      <w:marTop w:val="0"/>
                      <w:marBottom w:val="0"/>
                      <w:divBdr>
                        <w:top w:val="none" w:sz="0" w:space="0" w:color="auto"/>
                        <w:left w:val="none" w:sz="0" w:space="0" w:color="auto"/>
                        <w:bottom w:val="none" w:sz="0" w:space="0" w:color="auto"/>
                        <w:right w:val="none" w:sz="0" w:space="0" w:color="auto"/>
                      </w:divBdr>
                    </w:div>
                  </w:divsChild>
                </w:div>
                <w:div w:id="1372992362">
                  <w:marLeft w:val="0"/>
                  <w:marRight w:val="0"/>
                  <w:marTop w:val="0"/>
                  <w:marBottom w:val="0"/>
                  <w:divBdr>
                    <w:top w:val="none" w:sz="0" w:space="0" w:color="auto"/>
                    <w:left w:val="none" w:sz="0" w:space="0" w:color="auto"/>
                    <w:bottom w:val="none" w:sz="0" w:space="0" w:color="auto"/>
                    <w:right w:val="none" w:sz="0" w:space="0" w:color="auto"/>
                  </w:divBdr>
                  <w:divsChild>
                    <w:div w:id="918370390">
                      <w:marLeft w:val="0"/>
                      <w:marRight w:val="0"/>
                      <w:marTop w:val="0"/>
                      <w:marBottom w:val="0"/>
                      <w:divBdr>
                        <w:top w:val="none" w:sz="0" w:space="0" w:color="auto"/>
                        <w:left w:val="none" w:sz="0" w:space="0" w:color="auto"/>
                        <w:bottom w:val="none" w:sz="0" w:space="0" w:color="auto"/>
                        <w:right w:val="none" w:sz="0" w:space="0" w:color="auto"/>
                      </w:divBdr>
                    </w:div>
                  </w:divsChild>
                </w:div>
                <w:div w:id="1376929304">
                  <w:marLeft w:val="0"/>
                  <w:marRight w:val="0"/>
                  <w:marTop w:val="0"/>
                  <w:marBottom w:val="0"/>
                  <w:divBdr>
                    <w:top w:val="none" w:sz="0" w:space="0" w:color="auto"/>
                    <w:left w:val="none" w:sz="0" w:space="0" w:color="auto"/>
                    <w:bottom w:val="none" w:sz="0" w:space="0" w:color="auto"/>
                    <w:right w:val="none" w:sz="0" w:space="0" w:color="auto"/>
                  </w:divBdr>
                  <w:divsChild>
                    <w:div w:id="1018577616">
                      <w:marLeft w:val="0"/>
                      <w:marRight w:val="0"/>
                      <w:marTop w:val="0"/>
                      <w:marBottom w:val="0"/>
                      <w:divBdr>
                        <w:top w:val="none" w:sz="0" w:space="0" w:color="auto"/>
                        <w:left w:val="none" w:sz="0" w:space="0" w:color="auto"/>
                        <w:bottom w:val="none" w:sz="0" w:space="0" w:color="auto"/>
                        <w:right w:val="none" w:sz="0" w:space="0" w:color="auto"/>
                      </w:divBdr>
                    </w:div>
                  </w:divsChild>
                </w:div>
                <w:div w:id="1379012343">
                  <w:marLeft w:val="0"/>
                  <w:marRight w:val="0"/>
                  <w:marTop w:val="0"/>
                  <w:marBottom w:val="0"/>
                  <w:divBdr>
                    <w:top w:val="none" w:sz="0" w:space="0" w:color="auto"/>
                    <w:left w:val="none" w:sz="0" w:space="0" w:color="auto"/>
                    <w:bottom w:val="none" w:sz="0" w:space="0" w:color="auto"/>
                    <w:right w:val="none" w:sz="0" w:space="0" w:color="auto"/>
                  </w:divBdr>
                  <w:divsChild>
                    <w:div w:id="1755323312">
                      <w:marLeft w:val="0"/>
                      <w:marRight w:val="0"/>
                      <w:marTop w:val="0"/>
                      <w:marBottom w:val="0"/>
                      <w:divBdr>
                        <w:top w:val="none" w:sz="0" w:space="0" w:color="auto"/>
                        <w:left w:val="none" w:sz="0" w:space="0" w:color="auto"/>
                        <w:bottom w:val="none" w:sz="0" w:space="0" w:color="auto"/>
                        <w:right w:val="none" w:sz="0" w:space="0" w:color="auto"/>
                      </w:divBdr>
                    </w:div>
                  </w:divsChild>
                </w:div>
                <w:div w:id="1381129249">
                  <w:marLeft w:val="0"/>
                  <w:marRight w:val="0"/>
                  <w:marTop w:val="0"/>
                  <w:marBottom w:val="0"/>
                  <w:divBdr>
                    <w:top w:val="none" w:sz="0" w:space="0" w:color="auto"/>
                    <w:left w:val="none" w:sz="0" w:space="0" w:color="auto"/>
                    <w:bottom w:val="none" w:sz="0" w:space="0" w:color="auto"/>
                    <w:right w:val="none" w:sz="0" w:space="0" w:color="auto"/>
                  </w:divBdr>
                  <w:divsChild>
                    <w:div w:id="654340716">
                      <w:marLeft w:val="0"/>
                      <w:marRight w:val="0"/>
                      <w:marTop w:val="0"/>
                      <w:marBottom w:val="0"/>
                      <w:divBdr>
                        <w:top w:val="none" w:sz="0" w:space="0" w:color="auto"/>
                        <w:left w:val="none" w:sz="0" w:space="0" w:color="auto"/>
                        <w:bottom w:val="none" w:sz="0" w:space="0" w:color="auto"/>
                        <w:right w:val="none" w:sz="0" w:space="0" w:color="auto"/>
                      </w:divBdr>
                    </w:div>
                  </w:divsChild>
                </w:div>
                <w:div w:id="1400784466">
                  <w:marLeft w:val="0"/>
                  <w:marRight w:val="0"/>
                  <w:marTop w:val="0"/>
                  <w:marBottom w:val="0"/>
                  <w:divBdr>
                    <w:top w:val="none" w:sz="0" w:space="0" w:color="auto"/>
                    <w:left w:val="none" w:sz="0" w:space="0" w:color="auto"/>
                    <w:bottom w:val="none" w:sz="0" w:space="0" w:color="auto"/>
                    <w:right w:val="none" w:sz="0" w:space="0" w:color="auto"/>
                  </w:divBdr>
                  <w:divsChild>
                    <w:div w:id="56366821">
                      <w:marLeft w:val="0"/>
                      <w:marRight w:val="0"/>
                      <w:marTop w:val="0"/>
                      <w:marBottom w:val="0"/>
                      <w:divBdr>
                        <w:top w:val="none" w:sz="0" w:space="0" w:color="auto"/>
                        <w:left w:val="none" w:sz="0" w:space="0" w:color="auto"/>
                        <w:bottom w:val="none" w:sz="0" w:space="0" w:color="auto"/>
                        <w:right w:val="none" w:sz="0" w:space="0" w:color="auto"/>
                      </w:divBdr>
                    </w:div>
                  </w:divsChild>
                </w:div>
                <w:div w:id="1402287559">
                  <w:marLeft w:val="0"/>
                  <w:marRight w:val="0"/>
                  <w:marTop w:val="0"/>
                  <w:marBottom w:val="0"/>
                  <w:divBdr>
                    <w:top w:val="none" w:sz="0" w:space="0" w:color="auto"/>
                    <w:left w:val="none" w:sz="0" w:space="0" w:color="auto"/>
                    <w:bottom w:val="none" w:sz="0" w:space="0" w:color="auto"/>
                    <w:right w:val="none" w:sz="0" w:space="0" w:color="auto"/>
                  </w:divBdr>
                  <w:divsChild>
                    <w:div w:id="677269772">
                      <w:marLeft w:val="0"/>
                      <w:marRight w:val="0"/>
                      <w:marTop w:val="0"/>
                      <w:marBottom w:val="0"/>
                      <w:divBdr>
                        <w:top w:val="none" w:sz="0" w:space="0" w:color="auto"/>
                        <w:left w:val="none" w:sz="0" w:space="0" w:color="auto"/>
                        <w:bottom w:val="none" w:sz="0" w:space="0" w:color="auto"/>
                        <w:right w:val="none" w:sz="0" w:space="0" w:color="auto"/>
                      </w:divBdr>
                    </w:div>
                  </w:divsChild>
                </w:div>
                <w:div w:id="1428499577">
                  <w:marLeft w:val="0"/>
                  <w:marRight w:val="0"/>
                  <w:marTop w:val="0"/>
                  <w:marBottom w:val="0"/>
                  <w:divBdr>
                    <w:top w:val="none" w:sz="0" w:space="0" w:color="auto"/>
                    <w:left w:val="none" w:sz="0" w:space="0" w:color="auto"/>
                    <w:bottom w:val="none" w:sz="0" w:space="0" w:color="auto"/>
                    <w:right w:val="none" w:sz="0" w:space="0" w:color="auto"/>
                  </w:divBdr>
                  <w:divsChild>
                    <w:div w:id="156770325">
                      <w:marLeft w:val="0"/>
                      <w:marRight w:val="0"/>
                      <w:marTop w:val="0"/>
                      <w:marBottom w:val="0"/>
                      <w:divBdr>
                        <w:top w:val="none" w:sz="0" w:space="0" w:color="auto"/>
                        <w:left w:val="none" w:sz="0" w:space="0" w:color="auto"/>
                        <w:bottom w:val="none" w:sz="0" w:space="0" w:color="auto"/>
                        <w:right w:val="none" w:sz="0" w:space="0" w:color="auto"/>
                      </w:divBdr>
                    </w:div>
                  </w:divsChild>
                </w:div>
                <w:div w:id="1438020259">
                  <w:marLeft w:val="0"/>
                  <w:marRight w:val="0"/>
                  <w:marTop w:val="0"/>
                  <w:marBottom w:val="0"/>
                  <w:divBdr>
                    <w:top w:val="none" w:sz="0" w:space="0" w:color="auto"/>
                    <w:left w:val="none" w:sz="0" w:space="0" w:color="auto"/>
                    <w:bottom w:val="none" w:sz="0" w:space="0" w:color="auto"/>
                    <w:right w:val="none" w:sz="0" w:space="0" w:color="auto"/>
                  </w:divBdr>
                  <w:divsChild>
                    <w:div w:id="1796216672">
                      <w:marLeft w:val="0"/>
                      <w:marRight w:val="0"/>
                      <w:marTop w:val="0"/>
                      <w:marBottom w:val="0"/>
                      <w:divBdr>
                        <w:top w:val="none" w:sz="0" w:space="0" w:color="auto"/>
                        <w:left w:val="none" w:sz="0" w:space="0" w:color="auto"/>
                        <w:bottom w:val="none" w:sz="0" w:space="0" w:color="auto"/>
                        <w:right w:val="none" w:sz="0" w:space="0" w:color="auto"/>
                      </w:divBdr>
                    </w:div>
                  </w:divsChild>
                </w:div>
                <w:div w:id="1455516351">
                  <w:marLeft w:val="0"/>
                  <w:marRight w:val="0"/>
                  <w:marTop w:val="0"/>
                  <w:marBottom w:val="0"/>
                  <w:divBdr>
                    <w:top w:val="none" w:sz="0" w:space="0" w:color="auto"/>
                    <w:left w:val="none" w:sz="0" w:space="0" w:color="auto"/>
                    <w:bottom w:val="none" w:sz="0" w:space="0" w:color="auto"/>
                    <w:right w:val="none" w:sz="0" w:space="0" w:color="auto"/>
                  </w:divBdr>
                  <w:divsChild>
                    <w:div w:id="167985449">
                      <w:marLeft w:val="0"/>
                      <w:marRight w:val="0"/>
                      <w:marTop w:val="0"/>
                      <w:marBottom w:val="0"/>
                      <w:divBdr>
                        <w:top w:val="none" w:sz="0" w:space="0" w:color="auto"/>
                        <w:left w:val="none" w:sz="0" w:space="0" w:color="auto"/>
                        <w:bottom w:val="none" w:sz="0" w:space="0" w:color="auto"/>
                        <w:right w:val="none" w:sz="0" w:space="0" w:color="auto"/>
                      </w:divBdr>
                    </w:div>
                  </w:divsChild>
                </w:div>
                <w:div w:id="1471552419">
                  <w:marLeft w:val="0"/>
                  <w:marRight w:val="0"/>
                  <w:marTop w:val="0"/>
                  <w:marBottom w:val="0"/>
                  <w:divBdr>
                    <w:top w:val="none" w:sz="0" w:space="0" w:color="auto"/>
                    <w:left w:val="none" w:sz="0" w:space="0" w:color="auto"/>
                    <w:bottom w:val="none" w:sz="0" w:space="0" w:color="auto"/>
                    <w:right w:val="none" w:sz="0" w:space="0" w:color="auto"/>
                  </w:divBdr>
                  <w:divsChild>
                    <w:div w:id="1268655876">
                      <w:marLeft w:val="0"/>
                      <w:marRight w:val="0"/>
                      <w:marTop w:val="0"/>
                      <w:marBottom w:val="0"/>
                      <w:divBdr>
                        <w:top w:val="none" w:sz="0" w:space="0" w:color="auto"/>
                        <w:left w:val="none" w:sz="0" w:space="0" w:color="auto"/>
                        <w:bottom w:val="none" w:sz="0" w:space="0" w:color="auto"/>
                        <w:right w:val="none" w:sz="0" w:space="0" w:color="auto"/>
                      </w:divBdr>
                    </w:div>
                  </w:divsChild>
                </w:div>
                <w:div w:id="1478065880">
                  <w:marLeft w:val="0"/>
                  <w:marRight w:val="0"/>
                  <w:marTop w:val="0"/>
                  <w:marBottom w:val="0"/>
                  <w:divBdr>
                    <w:top w:val="none" w:sz="0" w:space="0" w:color="auto"/>
                    <w:left w:val="none" w:sz="0" w:space="0" w:color="auto"/>
                    <w:bottom w:val="none" w:sz="0" w:space="0" w:color="auto"/>
                    <w:right w:val="none" w:sz="0" w:space="0" w:color="auto"/>
                  </w:divBdr>
                  <w:divsChild>
                    <w:div w:id="1888099899">
                      <w:marLeft w:val="0"/>
                      <w:marRight w:val="0"/>
                      <w:marTop w:val="0"/>
                      <w:marBottom w:val="0"/>
                      <w:divBdr>
                        <w:top w:val="none" w:sz="0" w:space="0" w:color="auto"/>
                        <w:left w:val="none" w:sz="0" w:space="0" w:color="auto"/>
                        <w:bottom w:val="none" w:sz="0" w:space="0" w:color="auto"/>
                        <w:right w:val="none" w:sz="0" w:space="0" w:color="auto"/>
                      </w:divBdr>
                    </w:div>
                  </w:divsChild>
                </w:div>
                <w:div w:id="1489442278">
                  <w:marLeft w:val="0"/>
                  <w:marRight w:val="0"/>
                  <w:marTop w:val="0"/>
                  <w:marBottom w:val="0"/>
                  <w:divBdr>
                    <w:top w:val="none" w:sz="0" w:space="0" w:color="auto"/>
                    <w:left w:val="none" w:sz="0" w:space="0" w:color="auto"/>
                    <w:bottom w:val="none" w:sz="0" w:space="0" w:color="auto"/>
                    <w:right w:val="none" w:sz="0" w:space="0" w:color="auto"/>
                  </w:divBdr>
                  <w:divsChild>
                    <w:div w:id="2143307670">
                      <w:marLeft w:val="0"/>
                      <w:marRight w:val="0"/>
                      <w:marTop w:val="0"/>
                      <w:marBottom w:val="0"/>
                      <w:divBdr>
                        <w:top w:val="none" w:sz="0" w:space="0" w:color="auto"/>
                        <w:left w:val="none" w:sz="0" w:space="0" w:color="auto"/>
                        <w:bottom w:val="none" w:sz="0" w:space="0" w:color="auto"/>
                        <w:right w:val="none" w:sz="0" w:space="0" w:color="auto"/>
                      </w:divBdr>
                    </w:div>
                  </w:divsChild>
                </w:div>
                <w:div w:id="1505903036">
                  <w:marLeft w:val="0"/>
                  <w:marRight w:val="0"/>
                  <w:marTop w:val="0"/>
                  <w:marBottom w:val="0"/>
                  <w:divBdr>
                    <w:top w:val="none" w:sz="0" w:space="0" w:color="auto"/>
                    <w:left w:val="none" w:sz="0" w:space="0" w:color="auto"/>
                    <w:bottom w:val="none" w:sz="0" w:space="0" w:color="auto"/>
                    <w:right w:val="none" w:sz="0" w:space="0" w:color="auto"/>
                  </w:divBdr>
                  <w:divsChild>
                    <w:div w:id="307125537">
                      <w:marLeft w:val="0"/>
                      <w:marRight w:val="0"/>
                      <w:marTop w:val="0"/>
                      <w:marBottom w:val="0"/>
                      <w:divBdr>
                        <w:top w:val="none" w:sz="0" w:space="0" w:color="auto"/>
                        <w:left w:val="none" w:sz="0" w:space="0" w:color="auto"/>
                        <w:bottom w:val="none" w:sz="0" w:space="0" w:color="auto"/>
                        <w:right w:val="none" w:sz="0" w:space="0" w:color="auto"/>
                      </w:divBdr>
                    </w:div>
                  </w:divsChild>
                </w:div>
                <w:div w:id="1541282313">
                  <w:marLeft w:val="0"/>
                  <w:marRight w:val="0"/>
                  <w:marTop w:val="0"/>
                  <w:marBottom w:val="0"/>
                  <w:divBdr>
                    <w:top w:val="none" w:sz="0" w:space="0" w:color="auto"/>
                    <w:left w:val="none" w:sz="0" w:space="0" w:color="auto"/>
                    <w:bottom w:val="none" w:sz="0" w:space="0" w:color="auto"/>
                    <w:right w:val="none" w:sz="0" w:space="0" w:color="auto"/>
                  </w:divBdr>
                  <w:divsChild>
                    <w:div w:id="1342702144">
                      <w:marLeft w:val="0"/>
                      <w:marRight w:val="0"/>
                      <w:marTop w:val="0"/>
                      <w:marBottom w:val="0"/>
                      <w:divBdr>
                        <w:top w:val="none" w:sz="0" w:space="0" w:color="auto"/>
                        <w:left w:val="none" w:sz="0" w:space="0" w:color="auto"/>
                        <w:bottom w:val="none" w:sz="0" w:space="0" w:color="auto"/>
                        <w:right w:val="none" w:sz="0" w:space="0" w:color="auto"/>
                      </w:divBdr>
                    </w:div>
                  </w:divsChild>
                </w:div>
                <w:div w:id="1551333830">
                  <w:marLeft w:val="0"/>
                  <w:marRight w:val="0"/>
                  <w:marTop w:val="0"/>
                  <w:marBottom w:val="0"/>
                  <w:divBdr>
                    <w:top w:val="none" w:sz="0" w:space="0" w:color="auto"/>
                    <w:left w:val="none" w:sz="0" w:space="0" w:color="auto"/>
                    <w:bottom w:val="none" w:sz="0" w:space="0" w:color="auto"/>
                    <w:right w:val="none" w:sz="0" w:space="0" w:color="auto"/>
                  </w:divBdr>
                  <w:divsChild>
                    <w:div w:id="1173568508">
                      <w:marLeft w:val="0"/>
                      <w:marRight w:val="0"/>
                      <w:marTop w:val="0"/>
                      <w:marBottom w:val="0"/>
                      <w:divBdr>
                        <w:top w:val="none" w:sz="0" w:space="0" w:color="auto"/>
                        <w:left w:val="none" w:sz="0" w:space="0" w:color="auto"/>
                        <w:bottom w:val="none" w:sz="0" w:space="0" w:color="auto"/>
                        <w:right w:val="none" w:sz="0" w:space="0" w:color="auto"/>
                      </w:divBdr>
                    </w:div>
                  </w:divsChild>
                </w:div>
                <w:div w:id="1553730564">
                  <w:marLeft w:val="0"/>
                  <w:marRight w:val="0"/>
                  <w:marTop w:val="0"/>
                  <w:marBottom w:val="0"/>
                  <w:divBdr>
                    <w:top w:val="none" w:sz="0" w:space="0" w:color="auto"/>
                    <w:left w:val="none" w:sz="0" w:space="0" w:color="auto"/>
                    <w:bottom w:val="none" w:sz="0" w:space="0" w:color="auto"/>
                    <w:right w:val="none" w:sz="0" w:space="0" w:color="auto"/>
                  </w:divBdr>
                  <w:divsChild>
                    <w:div w:id="808787879">
                      <w:marLeft w:val="0"/>
                      <w:marRight w:val="0"/>
                      <w:marTop w:val="0"/>
                      <w:marBottom w:val="0"/>
                      <w:divBdr>
                        <w:top w:val="none" w:sz="0" w:space="0" w:color="auto"/>
                        <w:left w:val="none" w:sz="0" w:space="0" w:color="auto"/>
                        <w:bottom w:val="none" w:sz="0" w:space="0" w:color="auto"/>
                        <w:right w:val="none" w:sz="0" w:space="0" w:color="auto"/>
                      </w:divBdr>
                    </w:div>
                  </w:divsChild>
                </w:div>
                <w:div w:id="1572347015">
                  <w:marLeft w:val="0"/>
                  <w:marRight w:val="0"/>
                  <w:marTop w:val="0"/>
                  <w:marBottom w:val="0"/>
                  <w:divBdr>
                    <w:top w:val="none" w:sz="0" w:space="0" w:color="auto"/>
                    <w:left w:val="none" w:sz="0" w:space="0" w:color="auto"/>
                    <w:bottom w:val="none" w:sz="0" w:space="0" w:color="auto"/>
                    <w:right w:val="none" w:sz="0" w:space="0" w:color="auto"/>
                  </w:divBdr>
                  <w:divsChild>
                    <w:div w:id="793065765">
                      <w:marLeft w:val="0"/>
                      <w:marRight w:val="0"/>
                      <w:marTop w:val="0"/>
                      <w:marBottom w:val="0"/>
                      <w:divBdr>
                        <w:top w:val="none" w:sz="0" w:space="0" w:color="auto"/>
                        <w:left w:val="none" w:sz="0" w:space="0" w:color="auto"/>
                        <w:bottom w:val="none" w:sz="0" w:space="0" w:color="auto"/>
                        <w:right w:val="none" w:sz="0" w:space="0" w:color="auto"/>
                      </w:divBdr>
                    </w:div>
                  </w:divsChild>
                </w:div>
                <w:div w:id="1579899616">
                  <w:marLeft w:val="0"/>
                  <w:marRight w:val="0"/>
                  <w:marTop w:val="0"/>
                  <w:marBottom w:val="0"/>
                  <w:divBdr>
                    <w:top w:val="none" w:sz="0" w:space="0" w:color="auto"/>
                    <w:left w:val="none" w:sz="0" w:space="0" w:color="auto"/>
                    <w:bottom w:val="none" w:sz="0" w:space="0" w:color="auto"/>
                    <w:right w:val="none" w:sz="0" w:space="0" w:color="auto"/>
                  </w:divBdr>
                  <w:divsChild>
                    <w:div w:id="827552181">
                      <w:marLeft w:val="0"/>
                      <w:marRight w:val="0"/>
                      <w:marTop w:val="0"/>
                      <w:marBottom w:val="0"/>
                      <w:divBdr>
                        <w:top w:val="none" w:sz="0" w:space="0" w:color="auto"/>
                        <w:left w:val="none" w:sz="0" w:space="0" w:color="auto"/>
                        <w:bottom w:val="none" w:sz="0" w:space="0" w:color="auto"/>
                        <w:right w:val="none" w:sz="0" w:space="0" w:color="auto"/>
                      </w:divBdr>
                    </w:div>
                  </w:divsChild>
                </w:div>
                <w:div w:id="1643803613">
                  <w:marLeft w:val="0"/>
                  <w:marRight w:val="0"/>
                  <w:marTop w:val="0"/>
                  <w:marBottom w:val="0"/>
                  <w:divBdr>
                    <w:top w:val="none" w:sz="0" w:space="0" w:color="auto"/>
                    <w:left w:val="none" w:sz="0" w:space="0" w:color="auto"/>
                    <w:bottom w:val="none" w:sz="0" w:space="0" w:color="auto"/>
                    <w:right w:val="none" w:sz="0" w:space="0" w:color="auto"/>
                  </w:divBdr>
                  <w:divsChild>
                    <w:div w:id="1540045547">
                      <w:marLeft w:val="0"/>
                      <w:marRight w:val="0"/>
                      <w:marTop w:val="0"/>
                      <w:marBottom w:val="0"/>
                      <w:divBdr>
                        <w:top w:val="none" w:sz="0" w:space="0" w:color="auto"/>
                        <w:left w:val="none" w:sz="0" w:space="0" w:color="auto"/>
                        <w:bottom w:val="none" w:sz="0" w:space="0" w:color="auto"/>
                        <w:right w:val="none" w:sz="0" w:space="0" w:color="auto"/>
                      </w:divBdr>
                    </w:div>
                  </w:divsChild>
                </w:div>
                <w:div w:id="1674802238">
                  <w:marLeft w:val="0"/>
                  <w:marRight w:val="0"/>
                  <w:marTop w:val="0"/>
                  <w:marBottom w:val="0"/>
                  <w:divBdr>
                    <w:top w:val="none" w:sz="0" w:space="0" w:color="auto"/>
                    <w:left w:val="none" w:sz="0" w:space="0" w:color="auto"/>
                    <w:bottom w:val="none" w:sz="0" w:space="0" w:color="auto"/>
                    <w:right w:val="none" w:sz="0" w:space="0" w:color="auto"/>
                  </w:divBdr>
                  <w:divsChild>
                    <w:div w:id="219676865">
                      <w:marLeft w:val="0"/>
                      <w:marRight w:val="0"/>
                      <w:marTop w:val="0"/>
                      <w:marBottom w:val="0"/>
                      <w:divBdr>
                        <w:top w:val="none" w:sz="0" w:space="0" w:color="auto"/>
                        <w:left w:val="none" w:sz="0" w:space="0" w:color="auto"/>
                        <w:bottom w:val="none" w:sz="0" w:space="0" w:color="auto"/>
                        <w:right w:val="none" w:sz="0" w:space="0" w:color="auto"/>
                      </w:divBdr>
                    </w:div>
                  </w:divsChild>
                </w:div>
                <w:div w:id="1691174642">
                  <w:marLeft w:val="0"/>
                  <w:marRight w:val="0"/>
                  <w:marTop w:val="0"/>
                  <w:marBottom w:val="0"/>
                  <w:divBdr>
                    <w:top w:val="none" w:sz="0" w:space="0" w:color="auto"/>
                    <w:left w:val="none" w:sz="0" w:space="0" w:color="auto"/>
                    <w:bottom w:val="none" w:sz="0" w:space="0" w:color="auto"/>
                    <w:right w:val="none" w:sz="0" w:space="0" w:color="auto"/>
                  </w:divBdr>
                  <w:divsChild>
                    <w:div w:id="71969681">
                      <w:marLeft w:val="0"/>
                      <w:marRight w:val="0"/>
                      <w:marTop w:val="0"/>
                      <w:marBottom w:val="0"/>
                      <w:divBdr>
                        <w:top w:val="none" w:sz="0" w:space="0" w:color="auto"/>
                        <w:left w:val="none" w:sz="0" w:space="0" w:color="auto"/>
                        <w:bottom w:val="none" w:sz="0" w:space="0" w:color="auto"/>
                        <w:right w:val="none" w:sz="0" w:space="0" w:color="auto"/>
                      </w:divBdr>
                    </w:div>
                  </w:divsChild>
                </w:div>
                <w:div w:id="1730424592">
                  <w:marLeft w:val="0"/>
                  <w:marRight w:val="0"/>
                  <w:marTop w:val="0"/>
                  <w:marBottom w:val="0"/>
                  <w:divBdr>
                    <w:top w:val="none" w:sz="0" w:space="0" w:color="auto"/>
                    <w:left w:val="none" w:sz="0" w:space="0" w:color="auto"/>
                    <w:bottom w:val="none" w:sz="0" w:space="0" w:color="auto"/>
                    <w:right w:val="none" w:sz="0" w:space="0" w:color="auto"/>
                  </w:divBdr>
                  <w:divsChild>
                    <w:div w:id="395127804">
                      <w:marLeft w:val="0"/>
                      <w:marRight w:val="0"/>
                      <w:marTop w:val="0"/>
                      <w:marBottom w:val="0"/>
                      <w:divBdr>
                        <w:top w:val="none" w:sz="0" w:space="0" w:color="auto"/>
                        <w:left w:val="none" w:sz="0" w:space="0" w:color="auto"/>
                        <w:bottom w:val="none" w:sz="0" w:space="0" w:color="auto"/>
                        <w:right w:val="none" w:sz="0" w:space="0" w:color="auto"/>
                      </w:divBdr>
                    </w:div>
                  </w:divsChild>
                </w:div>
                <w:div w:id="1748990738">
                  <w:marLeft w:val="0"/>
                  <w:marRight w:val="0"/>
                  <w:marTop w:val="0"/>
                  <w:marBottom w:val="0"/>
                  <w:divBdr>
                    <w:top w:val="none" w:sz="0" w:space="0" w:color="auto"/>
                    <w:left w:val="none" w:sz="0" w:space="0" w:color="auto"/>
                    <w:bottom w:val="none" w:sz="0" w:space="0" w:color="auto"/>
                    <w:right w:val="none" w:sz="0" w:space="0" w:color="auto"/>
                  </w:divBdr>
                  <w:divsChild>
                    <w:div w:id="408160046">
                      <w:marLeft w:val="0"/>
                      <w:marRight w:val="0"/>
                      <w:marTop w:val="0"/>
                      <w:marBottom w:val="0"/>
                      <w:divBdr>
                        <w:top w:val="none" w:sz="0" w:space="0" w:color="auto"/>
                        <w:left w:val="none" w:sz="0" w:space="0" w:color="auto"/>
                        <w:bottom w:val="none" w:sz="0" w:space="0" w:color="auto"/>
                        <w:right w:val="none" w:sz="0" w:space="0" w:color="auto"/>
                      </w:divBdr>
                    </w:div>
                  </w:divsChild>
                </w:div>
                <w:div w:id="1772430406">
                  <w:marLeft w:val="0"/>
                  <w:marRight w:val="0"/>
                  <w:marTop w:val="0"/>
                  <w:marBottom w:val="0"/>
                  <w:divBdr>
                    <w:top w:val="none" w:sz="0" w:space="0" w:color="auto"/>
                    <w:left w:val="none" w:sz="0" w:space="0" w:color="auto"/>
                    <w:bottom w:val="none" w:sz="0" w:space="0" w:color="auto"/>
                    <w:right w:val="none" w:sz="0" w:space="0" w:color="auto"/>
                  </w:divBdr>
                  <w:divsChild>
                    <w:div w:id="1940483799">
                      <w:marLeft w:val="0"/>
                      <w:marRight w:val="0"/>
                      <w:marTop w:val="0"/>
                      <w:marBottom w:val="0"/>
                      <w:divBdr>
                        <w:top w:val="none" w:sz="0" w:space="0" w:color="auto"/>
                        <w:left w:val="none" w:sz="0" w:space="0" w:color="auto"/>
                        <w:bottom w:val="none" w:sz="0" w:space="0" w:color="auto"/>
                        <w:right w:val="none" w:sz="0" w:space="0" w:color="auto"/>
                      </w:divBdr>
                    </w:div>
                  </w:divsChild>
                </w:div>
                <w:div w:id="1787432032">
                  <w:marLeft w:val="0"/>
                  <w:marRight w:val="0"/>
                  <w:marTop w:val="0"/>
                  <w:marBottom w:val="0"/>
                  <w:divBdr>
                    <w:top w:val="none" w:sz="0" w:space="0" w:color="auto"/>
                    <w:left w:val="none" w:sz="0" w:space="0" w:color="auto"/>
                    <w:bottom w:val="none" w:sz="0" w:space="0" w:color="auto"/>
                    <w:right w:val="none" w:sz="0" w:space="0" w:color="auto"/>
                  </w:divBdr>
                  <w:divsChild>
                    <w:div w:id="2007128593">
                      <w:marLeft w:val="0"/>
                      <w:marRight w:val="0"/>
                      <w:marTop w:val="0"/>
                      <w:marBottom w:val="0"/>
                      <w:divBdr>
                        <w:top w:val="none" w:sz="0" w:space="0" w:color="auto"/>
                        <w:left w:val="none" w:sz="0" w:space="0" w:color="auto"/>
                        <w:bottom w:val="none" w:sz="0" w:space="0" w:color="auto"/>
                        <w:right w:val="none" w:sz="0" w:space="0" w:color="auto"/>
                      </w:divBdr>
                    </w:div>
                  </w:divsChild>
                </w:div>
                <w:div w:id="1793089938">
                  <w:marLeft w:val="0"/>
                  <w:marRight w:val="0"/>
                  <w:marTop w:val="0"/>
                  <w:marBottom w:val="0"/>
                  <w:divBdr>
                    <w:top w:val="none" w:sz="0" w:space="0" w:color="auto"/>
                    <w:left w:val="none" w:sz="0" w:space="0" w:color="auto"/>
                    <w:bottom w:val="none" w:sz="0" w:space="0" w:color="auto"/>
                    <w:right w:val="none" w:sz="0" w:space="0" w:color="auto"/>
                  </w:divBdr>
                  <w:divsChild>
                    <w:div w:id="1947761475">
                      <w:marLeft w:val="0"/>
                      <w:marRight w:val="0"/>
                      <w:marTop w:val="0"/>
                      <w:marBottom w:val="0"/>
                      <w:divBdr>
                        <w:top w:val="none" w:sz="0" w:space="0" w:color="auto"/>
                        <w:left w:val="none" w:sz="0" w:space="0" w:color="auto"/>
                        <w:bottom w:val="none" w:sz="0" w:space="0" w:color="auto"/>
                        <w:right w:val="none" w:sz="0" w:space="0" w:color="auto"/>
                      </w:divBdr>
                    </w:div>
                  </w:divsChild>
                </w:div>
                <w:div w:id="1798638831">
                  <w:marLeft w:val="0"/>
                  <w:marRight w:val="0"/>
                  <w:marTop w:val="0"/>
                  <w:marBottom w:val="0"/>
                  <w:divBdr>
                    <w:top w:val="none" w:sz="0" w:space="0" w:color="auto"/>
                    <w:left w:val="none" w:sz="0" w:space="0" w:color="auto"/>
                    <w:bottom w:val="none" w:sz="0" w:space="0" w:color="auto"/>
                    <w:right w:val="none" w:sz="0" w:space="0" w:color="auto"/>
                  </w:divBdr>
                  <w:divsChild>
                    <w:div w:id="403530858">
                      <w:marLeft w:val="0"/>
                      <w:marRight w:val="0"/>
                      <w:marTop w:val="0"/>
                      <w:marBottom w:val="0"/>
                      <w:divBdr>
                        <w:top w:val="none" w:sz="0" w:space="0" w:color="auto"/>
                        <w:left w:val="none" w:sz="0" w:space="0" w:color="auto"/>
                        <w:bottom w:val="none" w:sz="0" w:space="0" w:color="auto"/>
                        <w:right w:val="none" w:sz="0" w:space="0" w:color="auto"/>
                      </w:divBdr>
                    </w:div>
                  </w:divsChild>
                </w:div>
                <w:div w:id="1808547325">
                  <w:marLeft w:val="0"/>
                  <w:marRight w:val="0"/>
                  <w:marTop w:val="0"/>
                  <w:marBottom w:val="0"/>
                  <w:divBdr>
                    <w:top w:val="none" w:sz="0" w:space="0" w:color="auto"/>
                    <w:left w:val="none" w:sz="0" w:space="0" w:color="auto"/>
                    <w:bottom w:val="none" w:sz="0" w:space="0" w:color="auto"/>
                    <w:right w:val="none" w:sz="0" w:space="0" w:color="auto"/>
                  </w:divBdr>
                  <w:divsChild>
                    <w:div w:id="703868310">
                      <w:marLeft w:val="0"/>
                      <w:marRight w:val="0"/>
                      <w:marTop w:val="0"/>
                      <w:marBottom w:val="0"/>
                      <w:divBdr>
                        <w:top w:val="none" w:sz="0" w:space="0" w:color="auto"/>
                        <w:left w:val="none" w:sz="0" w:space="0" w:color="auto"/>
                        <w:bottom w:val="none" w:sz="0" w:space="0" w:color="auto"/>
                        <w:right w:val="none" w:sz="0" w:space="0" w:color="auto"/>
                      </w:divBdr>
                    </w:div>
                  </w:divsChild>
                </w:div>
                <w:div w:id="1816336568">
                  <w:marLeft w:val="0"/>
                  <w:marRight w:val="0"/>
                  <w:marTop w:val="0"/>
                  <w:marBottom w:val="0"/>
                  <w:divBdr>
                    <w:top w:val="none" w:sz="0" w:space="0" w:color="auto"/>
                    <w:left w:val="none" w:sz="0" w:space="0" w:color="auto"/>
                    <w:bottom w:val="none" w:sz="0" w:space="0" w:color="auto"/>
                    <w:right w:val="none" w:sz="0" w:space="0" w:color="auto"/>
                  </w:divBdr>
                  <w:divsChild>
                    <w:div w:id="1232279243">
                      <w:marLeft w:val="0"/>
                      <w:marRight w:val="0"/>
                      <w:marTop w:val="0"/>
                      <w:marBottom w:val="0"/>
                      <w:divBdr>
                        <w:top w:val="none" w:sz="0" w:space="0" w:color="auto"/>
                        <w:left w:val="none" w:sz="0" w:space="0" w:color="auto"/>
                        <w:bottom w:val="none" w:sz="0" w:space="0" w:color="auto"/>
                        <w:right w:val="none" w:sz="0" w:space="0" w:color="auto"/>
                      </w:divBdr>
                    </w:div>
                  </w:divsChild>
                </w:div>
                <w:div w:id="1846361516">
                  <w:marLeft w:val="0"/>
                  <w:marRight w:val="0"/>
                  <w:marTop w:val="0"/>
                  <w:marBottom w:val="0"/>
                  <w:divBdr>
                    <w:top w:val="none" w:sz="0" w:space="0" w:color="auto"/>
                    <w:left w:val="none" w:sz="0" w:space="0" w:color="auto"/>
                    <w:bottom w:val="none" w:sz="0" w:space="0" w:color="auto"/>
                    <w:right w:val="none" w:sz="0" w:space="0" w:color="auto"/>
                  </w:divBdr>
                  <w:divsChild>
                    <w:div w:id="1955332793">
                      <w:marLeft w:val="0"/>
                      <w:marRight w:val="0"/>
                      <w:marTop w:val="0"/>
                      <w:marBottom w:val="0"/>
                      <w:divBdr>
                        <w:top w:val="none" w:sz="0" w:space="0" w:color="auto"/>
                        <w:left w:val="none" w:sz="0" w:space="0" w:color="auto"/>
                        <w:bottom w:val="none" w:sz="0" w:space="0" w:color="auto"/>
                        <w:right w:val="none" w:sz="0" w:space="0" w:color="auto"/>
                      </w:divBdr>
                    </w:div>
                  </w:divsChild>
                </w:div>
                <w:div w:id="1861385374">
                  <w:marLeft w:val="0"/>
                  <w:marRight w:val="0"/>
                  <w:marTop w:val="0"/>
                  <w:marBottom w:val="0"/>
                  <w:divBdr>
                    <w:top w:val="none" w:sz="0" w:space="0" w:color="auto"/>
                    <w:left w:val="none" w:sz="0" w:space="0" w:color="auto"/>
                    <w:bottom w:val="none" w:sz="0" w:space="0" w:color="auto"/>
                    <w:right w:val="none" w:sz="0" w:space="0" w:color="auto"/>
                  </w:divBdr>
                  <w:divsChild>
                    <w:div w:id="1939675277">
                      <w:marLeft w:val="0"/>
                      <w:marRight w:val="0"/>
                      <w:marTop w:val="0"/>
                      <w:marBottom w:val="0"/>
                      <w:divBdr>
                        <w:top w:val="none" w:sz="0" w:space="0" w:color="auto"/>
                        <w:left w:val="none" w:sz="0" w:space="0" w:color="auto"/>
                        <w:bottom w:val="none" w:sz="0" w:space="0" w:color="auto"/>
                        <w:right w:val="none" w:sz="0" w:space="0" w:color="auto"/>
                      </w:divBdr>
                    </w:div>
                  </w:divsChild>
                </w:div>
                <w:div w:id="1882861404">
                  <w:marLeft w:val="0"/>
                  <w:marRight w:val="0"/>
                  <w:marTop w:val="0"/>
                  <w:marBottom w:val="0"/>
                  <w:divBdr>
                    <w:top w:val="none" w:sz="0" w:space="0" w:color="auto"/>
                    <w:left w:val="none" w:sz="0" w:space="0" w:color="auto"/>
                    <w:bottom w:val="none" w:sz="0" w:space="0" w:color="auto"/>
                    <w:right w:val="none" w:sz="0" w:space="0" w:color="auto"/>
                  </w:divBdr>
                  <w:divsChild>
                    <w:div w:id="183521051">
                      <w:marLeft w:val="0"/>
                      <w:marRight w:val="0"/>
                      <w:marTop w:val="0"/>
                      <w:marBottom w:val="0"/>
                      <w:divBdr>
                        <w:top w:val="none" w:sz="0" w:space="0" w:color="auto"/>
                        <w:left w:val="none" w:sz="0" w:space="0" w:color="auto"/>
                        <w:bottom w:val="none" w:sz="0" w:space="0" w:color="auto"/>
                        <w:right w:val="none" w:sz="0" w:space="0" w:color="auto"/>
                      </w:divBdr>
                    </w:div>
                  </w:divsChild>
                </w:div>
                <w:div w:id="1908371606">
                  <w:marLeft w:val="0"/>
                  <w:marRight w:val="0"/>
                  <w:marTop w:val="0"/>
                  <w:marBottom w:val="0"/>
                  <w:divBdr>
                    <w:top w:val="none" w:sz="0" w:space="0" w:color="auto"/>
                    <w:left w:val="none" w:sz="0" w:space="0" w:color="auto"/>
                    <w:bottom w:val="none" w:sz="0" w:space="0" w:color="auto"/>
                    <w:right w:val="none" w:sz="0" w:space="0" w:color="auto"/>
                  </w:divBdr>
                  <w:divsChild>
                    <w:div w:id="1728992088">
                      <w:marLeft w:val="0"/>
                      <w:marRight w:val="0"/>
                      <w:marTop w:val="0"/>
                      <w:marBottom w:val="0"/>
                      <w:divBdr>
                        <w:top w:val="none" w:sz="0" w:space="0" w:color="auto"/>
                        <w:left w:val="none" w:sz="0" w:space="0" w:color="auto"/>
                        <w:bottom w:val="none" w:sz="0" w:space="0" w:color="auto"/>
                        <w:right w:val="none" w:sz="0" w:space="0" w:color="auto"/>
                      </w:divBdr>
                    </w:div>
                  </w:divsChild>
                </w:div>
                <w:div w:id="1941142409">
                  <w:marLeft w:val="0"/>
                  <w:marRight w:val="0"/>
                  <w:marTop w:val="0"/>
                  <w:marBottom w:val="0"/>
                  <w:divBdr>
                    <w:top w:val="none" w:sz="0" w:space="0" w:color="auto"/>
                    <w:left w:val="none" w:sz="0" w:space="0" w:color="auto"/>
                    <w:bottom w:val="none" w:sz="0" w:space="0" w:color="auto"/>
                    <w:right w:val="none" w:sz="0" w:space="0" w:color="auto"/>
                  </w:divBdr>
                  <w:divsChild>
                    <w:div w:id="1700813166">
                      <w:marLeft w:val="0"/>
                      <w:marRight w:val="0"/>
                      <w:marTop w:val="0"/>
                      <w:marBottom w:val="0"/>
                      <w:divBdr>
                        <w:top w:val="none" w:sz="0" w:space="0" w:color="auto"/>
                        <w:left w:val="none" w:sz="0" w:space="0" w:color="auto"/>
                        <w:bottom w:val="none" w:sz="0" w:space="0" w:color="auto"/>
                        <w:right w:val="none" w:sz="0" w:space="0" w:color="auto"/>
                      </w:divBdr>
                    </w:div>
                  </w:divsChild>
                </w:div>
                <w:div w:id="1961952919">
                  <w:marLeft w:val="0"/>
                  <w:marRight w:val="0"/>
                  <w:marTop w:val="0"/>
                  <w:marBottom w:val="0"/>
                  <w:divBdr>
                    <w:top w:val="none" w:sz="0" w:space="0" w:color="auto"/>
                    <w:left w:val="none" w:sz="0" w:space="0" w:color="auto"/>
                    <w:bottom w:val="none" w:sz="0" w:space="0" w:color="auto"/>
                    <w:right w:val="none" w:sz="0" w:space="0" w:color="auto"/>
                  </w:divBdr>
                  <w:divsChild>
                    <w:div w:id="1129981924">
                      <w:marLeft w:val="0"/>
                      <w:marRight w:val="0"/>
                      <w:marTop w:val="0"/>
                      <w:marBottom w:val="0"/>
                      <w:divBdr>
                        <w:top w:val="none" w:sz="0" w:space="0" w:color="auto"/>
                        <w:left w:val="none" w:sz="0" w:space="0" w:color="auto"/>
                        <w:bottom w:val="none" w:sz="0" w:space="0" w:color="auto"/>
                        <w:right w:val="none" w:sz="0" w:space="0" w:color="auto"/>
                      </w:divBdr>
                    </w:div>
                  </w:divsChild>
                </w:div>
                <w:div w:id="1975329314">
                  <w:marLeft w:val="0"/>
                  <w:marRight w:val="0"/>
                  <w:marTop w:val="0"/>
                  <w:marBottom w:val="0"/>
                  <w:divBdr>
                    <w:top w:val="none" w:sz="0" w:space="0" w:color="auto"/>
                    <w:left w:val="none" w:sz="0" w:space="0" w:color="auto"/>
                    <w:bottom w:val="none" w:sz="0" w:space="0" w:color="auto"/>
                    <w:right w:val="none" w:sz="0" w:space="0" w:color="auto"/>
                  </w:divBdr>
                  <w:divsChild>
                    <w:div w:id="1213154982">
                      <w:marLeft w:val="0"/>
                      <w:marRight w:val="0"/>
                      <w:marTop w:val="0"/>
                      <w:marBottom w:val="0"/>
                      <w:divBdr>
                        <w:top w:val="none" w:sz="0" w:space="0" w:color="auto"/>
                        <w:left w:val="none" w:sz="0" w:space="0" w:color="auto"/>
                        <w:bottom w:val="none" w:sz="0" w:space="0" w:color="auto"/>
                        <w:right w:val="none" w:sz="0" w:space="0" w:color="auto"/>
                      </w:divBdr>
                    </w:div>
                  </w:divsChild>
                </w:div>
                <w:div w:id="1982537538">
                  <w:marLeft w:val="0"/>
                  <w:marRight w:val="0"/>
                  <w:marTop w:val="0"/>
                  <w:marBottom w:val="0"/>
                  <w:divBdr>
                    <w:top w:val="none" w:sz="0" w:space="0" w:color="auto"/>
                    <w:left w:val="none" w:sz="0" w:space="0" w:color="auto"/>
                    <w:bottom w:val="none" w:sz="0" w:space="0" w:color="auto"/>
                    <w:right w:val="none" w:sz="0" w:space="0" w:color="auto"/>
                  </w:divBdr>
                  <w:divsChild>
                    <w:div w:id="848760943">
                      <w:marLeft w:val="0"/>
                      <w:marRight w:val="0"/>
                      <w:marTop w:val="0"/>
                      <w:marBottom w:val="0"/>
                      <w:divBdr>
                        <w:top w:val="none" w:sz="0" w:space="0" w:color="auto"/>
                        <w:left w:val="none" w:sz="0" w:space="0" w:color="auto"/>
                        <w:bottom w:val="none" w:sz="0" w:space="0" w:color="auto"/>
                        <w:right w:val="none" w:sz="0" w:space="0" w:color="auto"/>
                      </w:divBdr>
                    </w:div>
                  </w:divsChild>
                </w:div>
                <w:div w:id="2009405033">
                  <w:marLeft w:val="0"/>
                  <w:marRight w:val="0"/>
                  <w:marTop w:val="0"/>
                  <w:marBottom w:val="0"/>
                  <w:divBdr>
                    <w:top w:val="none" w:sz="0" w:space="0" w:color="auto"/>
                    <w:left w:val="none" w:sz="0" w:space="0" w:color="auto"/>
                    <w:bottom w:val="none" w:sz="0" w:space="0" w:color="auto"/>
                    <w:right w:val="none" w:sz="0" w:space="0" w:color="auto"/>
                  </w:divBdr>
                  <w:divsChild>
                    <w:div w:id="377050084">
                      <w:marLeft w:val="0"/>
                      <w:marRight w:val="0"/>
                      <w:marTop w:val="0"/>
                      <w:marBottom w:val="0"/>
                      <w:divBdr>
                        <w:top w:val="none" w:sz="0" w:space="0" w:color="auto"/>
                        <w:left w:val="none" w:sz="0" w:space="0" w:color="auto"/>
                        <w:bottom w:val="none" w:sz="0" w:space="0" w:color="auto"/>
                        <w:right w:val="none" w:sz="0" w:space="0" w:color="auto"/>
                      </w:divBdr>
                    </w:div>
                  </w:divsChild>
                </w:div>
                <w:div w:id="2013143217">
                  <w:marLeft w:val="0"/>
                  <w:marRight w:val="0"/>
                  <w:marTop w:val="0"/>
                  <w:marBottom w:val="0"/>
                  <w:divBdr>
                    <w:top w:val="none" w:sz="0" w:space="0" w:color="auto"/>
                    <w:left w:val="none" w:sz="0" w:space="0" w:color="auto"/>
                    <w:bottom w:val="none" w:sz="0" w:space="0" w:color="auto"/>
                    <w:right w:val="none" w:sz="0" w:space="0" w:color="auto"/>
                  </w:divBdr>
                  <w:divsChild>
                    <w:div w:id="1066294014">
                      <w:marLeft w:val="0"/>
                      <w:marRight w:val="0"/>
                      <w:marTop w:val="0"/>
                      <w:marBottom w:val="0"/>
                      <w:divBdr>
                        <w:top w:val="none" w:sz="0" w:space="0" w:color="auto"/>
                        <w:left w:val="none" w:sz="0" w:space="0" w:color="auto"/>
                        <w:bottom w:val="none" w:sz="0" w:space="0" w:color="auto"/>
                        <w:right w:val="none" w:sz="0" w:space="0" w:color="auto"/>
                      </w:divBdr>
                    </w:div>
                  </w:divsChild>
                </w:div>
                <w:div w:id="2022704449">
                  <w:marLeft w:val="0"/>
                  <w:marRight w:val="0"/>
                  <w:marTop w:val="0"/>
                  <w:marBottom w:val="0"/>
                  <w:divBdr>
                    <w:top w:val="none" w:sz="0" w:space="0" w:color="auto"/>
                    <w:left w:val="none" w:sz="0" w:space="0" w:color="auto"/>
                    <w:bottom w:val="none" w:sz="0" w:space="0" w:color="auto"/>
                    <w:right w:val="none" w:sz="0" w:space="0" w:color="auto"/>
                  </w:divBdr>
                  <w:divsChild>
                    <w:div w:id="1695417834">
                      <w:marLeft w:val="0"/>
                      <w:marRight w:val="0"/>
                      <w:marTop w:val="0"/>
                      <w:marBottom w:val="0"/>
                      <w:divBdr>
                        <w:top w:val="none" w:sz="0" w:space="0" w:color="auto"/>
                        <w:left w:val="none" w:sz="0" w:space="0" w:color="auto"/>
                        <w:bottom w:val="none" w:sz="0" w:space="0" w:color="auto"/>
                        <w:right w:val="none" w:sz="0" w:space="0" w:color="auto"/>
                      </w:divBdr>
                    </w:div>
                  </w:divsChild>
                </w:div>
                <w:div w:id="2076049845">
                  <w:marLeft w:val="0"/>
                  <w:marRight w:val="0"/>
                  <w:marTop w:val="0"/>
                  <w:marBottom w:val="0"/>
                  <w:divBdr>
                    <w:top w:val="none" w:sz="0" w:space="0" w:color="auto"/>
                    <w:left w:val="none" w:sz="0" w:space="0" w:color="auto"/>
                    <w:bottom w:val="none" w:sz="0" w:space="0" w:color="auto"/>
                    <w:right w:val="none" w:sz="0" w:space="0" w:color="auto"/>
                  </w:divBdr>
                  <w:divsChild>
                    <w:div w:id="473180463">
                      <w:marLeft w:val="0"/>
                      <w:marRight w:val="0"/>
                      <w:marTop w:val="0"/>
                      <w:marBottom w:val="0"/>
                      <w:divBdr>
                        <w:top w:val="none" w:sz="0" w:space="0" w:color="auto"/>
                        <w:left w:val="none" w:sz="0" w:space="0" w:color="auto"/>
                        <w:bottom w:val="none" w:sz="0" w:space="0" w:color="auto"/>
                        <w:right w:val="none" w:sz="0" w:space="0" w:color="auto"/>
                      </w:divBdr>
                    </w:div>
                  </w:divsChild>
                </w:div>
                <w:div w:id="2118214110">
                  <w:marLeft w:val="0"/>
                  <w:marRight w:val="0"/>
                  <w:marTop w:val="0"/>
                  <w:marBottom w:val="0"/>
                  <w:divBdr>
                    <w:top w:val="none" w:sz="0" w:space="0" w:color="auto"/>
                    <w:left w:val="none" w:sz="0" w:space="0" w:color="auto"/>
                    <w:bottom w:val="none" w:sz="0" w:space="0" w:color="auto"/>
                    <w:right w:val="none" w:sz="0" w:space="0" w:color="auto"/>
                  </w:divBdr>
                  <w:divsChild>
                    <w:div w:id="1552839775">
                      <w:marLeft w:val="0"/>
                      <w:marRight w:val="0"/>
                      <w:marTop w:val="0"/>
                      <w:marBottom w:val="0"/>
                      <w:divBdr>
                        <w:top w:val="none" w:sz="0" w:space="0" w:color="auto"/>
                        <w:left w:val="none" w:sz="0" w:space="0" w:color="auto"/>
                        <w:bottom w:val="none" w:sz="0" w:space="0" w:color="auto"/>
                        <w:right w:val="none" w:sz="0" w:space="0" w:color="auto"/>
                      </w:divBdr>
                    </w:div>
                  </w:divsChild>
                </w:div>
                <w:div w:id="2138066673">
                  <w:marLeft w:val="0"/>
                  <w:marRight w:val="0"/>
                  <w:marTop w:val="0"/>
                  <w:marBottom w:val="0"/>
                  <w:divBdr>
                    <w:top w:val="none" w:sz="0" w:space="0" w:color="auto"/>
                    <w:left w:val="none" w:sz="0" w:space="0" w:color="auto"/>
                    <w:bottom w:val="none" w:sz="0" w:space="0" w:color="auto"/>
                    <w:right w:val="none" w:sz="0" w:space="0" w:color="auto"/>
                  </w:divBdr>
                  <w:divsChild>
                    <w:div w:id="861288412">
                      <w:marLeft w:val="0"/>
                      <w:marRight w:val="0"/>
                      <w:marTop w:val="0"/>
                      <w:marBottom w:val="0"/>
                      <w:divBdr>
                        <w:top w:val="none" w:sz="0" w:space="0" w:color="auto"/>
                        <w:left w:val="none" w:sz="0" w:space="0" w:color="auto"/>
                        <w:bottom w:val="none" w:sz="0" w:space="0" w:color="auto"/>
                        <w:right w:val="none" w:sz="0" w:space="0" w:color="auto"/>
                      </w:divBdr>
                    </w:div>
                  </w:divsChild>
                </w:div>
                <w:div w:id="2141652116">
                  <w:marLeft w:val="0"/>
                  <w:marRight w:val="0"/>
                  <w:marTop w:val="0"/>
                  <w:marBottom w:val="0"/>
                  <w:divBdr>
                    <w:top w:val="none" w:sz="0" w:space="0" w:color="auto"/>
                    <w:left w:val="none" w:sz="0" w:space="0" w:color="auto"/>
                    <w:bottom w:val="none" w:sz="0" w:space="0" w:color="auto"/>
                    <w:right w:val="none" w:sz="0" w:space="0" w:color="auto"/>
                  </w:divBdr>
                  <w:divsChild>
                    <w:div w:id="67074276">
                      <w:marLeft w:val="0"/>
                      <w:marRight w:val="0"/>
                      <w:marTop w:val="0"/>
                      <w:marBottom w:val="0"/>
                      <w:divBdr>
                        <w:top w:val="none" w:sz="0" w:space="0" w:color="auto"/>
                        <w:left w:val="none" w:sz="0" w:space="0" w:color="auto"/>
                        <w:bottom w:val="none" w:sz="0" w:space="0" w:color="auto"/>
                        <w:right w:val="none" w:sz="0" w:space="0" w:color="auto"/>
                      </w:divBdr>
                    </w:div>
                  </w:divsChild>
                </w:div>
                <w:div w:id="2144693118">
                  <w:marLeft w:val="0"/>
                  <w:marRight w:val="0"/>
                  <w:marTop w:val="0"/>
                  <w:marBottom w:val="0"/>
                  <w:divBdr>
                    <w:top w:val="none" w:sz="0" w:space="0" w:color="auto"/>
                    <w:left w:val="none" w:sz="0" w:space="0" w:color="auto"/>
                    <w:bottom w:val="none" w:sz="0" w:space="0" w:color="auto"/>
                    <w:right w:val="none" w:sz="0" w:space="0" w:color="auto"/>
                  </w:divBdr>
                  <w:divsChild>
                    <w:div w:id="130785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968732">
          <w:marLeft w:val="0"/>
          <w:marRight w:val="0"/>
          <w:marTop w:val="0"/>
          <w:marBottom w:val="0"/>
          <w:divBdr>
            <w:top w:val="none" w:sz="0" w:space="0" w:color="auto"/>
            <w:left w:val="none" w:sz="0" w:space="0" w:color="auto"/>
            <w:bottom w:val="none" w:sz="0" w:space="0" w:color="auto"/>
            <w:right w:val="none" w:sz="0" w:space="0" w:color="auto"/>
          </w:divBdr>
          <w:divsChild>
            <w:div w:id="2009939735">
              <w:marLeft w:val="-75"/>
              <w:marRight w:val="0"/>
              <w:marTop w:val="30"/>
              <w:marBottom w:val="30"/>
              <w:divBdr>
                <w:top w:val="none" w:sz="0" w:space="0" w:color="auto"/>
                <w:left w:val="none" w:sz="0" w:space="0" w:color="auto"/>
                <w:bottom w:val="none" w:sz="0" w:space="0" w:color="auto"/>
                <w:right w:val="none" w:sz="0" w:space="0" w:color="auto"/>
              </w:divBdr>
              <w:divsChild>
                <w:div w:id="12264602">
                  <w:marLeft w:val="0"/>
                  <w:marRight w:val="0"/>
                  <w:marTop w:val="0"/>
                  <w:marBottom w:val="0"/>
                  <w:divBdr>
                    <w:top w:val="none" w:sz="0" w:space="0" w:color="auto"/>
                    <w:left w:val="none" w:sz="0" w:space="0" w:color="auto"/>
                    <w:bottom w:val="none" w:sz="0" w:space="0" w:color="auto"/>
                    <w:right w:val="none" w:sz="0" w:space="0" w:color="auto"/>
                  </w:divBdr>
                  <w:divsChild>
                    <w:div w:id="78798514">
                      <w:marLeft w:val="0"/>
                      <w:marRight w:val="0"/>
                      <w:marTop w:val="0"/>
                      <w:marBottom w:val="0"/>
                      <w:divBdr>
                        <w:top w:val="none" w:sz="0" w:space="0" w:color="auto"/>
                        <w:left w:val="none" w:sz="0" w:space="0" w:color="auto"/>
                        <w:bottom w:val="none" w:sz="0" w:space="0" w:color="auto"/>
                        <w:right w:val="none" w:sz="0" w:space="0" w:color="auto"/>
                      </w:divBdr>
                    </w:div>
                  </w:divsChild>
                </w:div>
                <w:div w:id="49502915">
                  <w:marLeft w:val="0"/>
                  <w:marRight w:val="0"/>
                  <w:marTop w:val="0"/>
                  <w:marBottom w:val="0"/>
                  <w:divBdr>
                    <w:top w:val="none" w:sz="0" w:space="0" w:color="auto"/>
                    <w:left w:val="none" w:sz="0" w:space="0" w:color="auto"/>
                    <w:bottom w:val="none" w:sz="0" w:space="0" w:color="auto"/>
                    <w:right w:val="none" w:sz="0" w:space="0" w:color="auto"/>
                  </w:divBdr>
                  <w:divsChild>
                    <w:div w:id="564418953">
                      <w:marLeft w:val="0"/>
                      <w:marRight w:val="0"/>
                      <w:marTop w:val="0"/>
                      <w:marBottom w:val="0"/>
                      <w:divBdr>
                        <w:top w:val="none" w:sz="0" w:space="0" w:color="auto"/>
                        <w:left w:val="none" w:sz="0" w:space="0" w:color="auto"/>
                        <w:bottom w:val="none" w:sz="0" w:space="0" w:color="auto"/>
                        <w:right w:val="none" w:sz="0" w:space="0" w:color="auto"/>
                      </w:divBdr>
                    </w:div>
                  </w:divsChild>
                </w:div>
                <w:div w:id="56706218">
                  <w:marLeft w:val="0"/>
                  <w:marRight w:val="0"/>
                  <w:marTop w:val="0"/>
                  <w:marBottom w:val="0"/>
                  <w:divBdr>
                    <w:top w:val="none" w:sz="0" w:space="0" w:color="auto"/>
                    <w:left w:val="none" w:sz="0" w:space="0" w:color="auto"/>
                    <w:bottom w:val="none" w:sz="0" w:space="0" w:color="auto"/>
                    <w:right w:val="none" w:sz="0" w:space="0" w:color="auto"/>
                  </w:divBdr>
                  <w:divsChild>
                    <w:div w:id="1494176687">
                      <w:marLeft w:val="0"/>
                      <w:marRight w:val="0"/>
                      <w:marTop w:val="0"/>
                      <w:marBottom w:val="0"/>
                      <w:divBdr>
                        <w:top w:val="none" w:sz="0" w:space="0" w:color="auto"/>
                        <w:left w:val="none" w:sz="0" w:space="0" w:color="auto"/>
                        <w:bottom w:val="none" w:sz="0" w:space="0" w:color="auto"/>
                        <w:right w:val="none" w:sz="0" w:space="0" w:color="auto"/>
                      </w:divBdr>
                    </w:div>
                  </w:divsChild>
                </w:div>
                <w:div w:id="59718917">
                  <w:marLeft w:val="0"/>
                  <w:marRight w:val="0"/>
                  <w:marTop w:val="0"/>
                  <w:marBottom w:val="0"/>
                  <w:divBdr>
                    <w:top w:val="none" w:sz="0" w:space="0" w:color="auto"/>
                    <w:left w:val="none" w:sz="0" w:space="0" w:color="auto"/>
                    <w:bottom w:val="none" w:sz="0" w:space="0" w:color="auto"/>
                    <w:right w:val="none" w:sz="0" w:space="0" w:color="auto"/>
                  </w:divBdr>
                  <w:divsChild>
                    <w:div w:id="66417395">
                      <w:marLeft w:val="0"/>
                      <w:marRight w:val="0"/>
                      <w:marTop w:val="0"/>
                      <w:marBottom w:val="0"/>
                      <w:divBdr>
                        <w:top w:val="none" w:sz="0" w:space="0" w:color="auto"/>
                        <w:left w:val="none" w:sz="0" w:space="0" w:color="auto"/>
                        <w:bottom w:val="none" w:sz="0" w:space="0" w:color="auto"/>
                        <w:right w:val="none" w:sz="0" w:space="0" w:color="auto"/>
                      </w:divBdr>
                    </w:div>
                  </w:divsChild>
                </w:div>
                <w:div w:id="82148205">
                  <w:marLeft w:val="0"/>
                  <w:marRight w:val="0"/>
                  <w:marTop w:val="0"/>
                  <w:marBottom w:val="0"/>
                  <w:divBdr>
                    <w:top w:val="none" w:sz="0" w:space="0" w:color="auto"/>
                    <w:left w:val="none" w:sz="0" w:space="0" w:color="auto"/>
                    <w:bottom w:val="none" w:sz="0" w:space="0" w:color="auto"/>
                    <w:right w:val="none" w:sz="0" w:space="0" w:color="auto"/>
                  </w:divBdr>
                  <w:divsChild>
                    <w:div w:id="1264993849">
                      <w:marLeft w:val="0"/>
                      <w:marRight w:val="0"/>
                      <w:marTop w:val="0"/>
                      <w:marBottom w:val="0"/>
                      <w:divBdr>
                        <w:top w:val="none" w:sz="0" w:space="0" w:color="auto"/>
                        <w:left w:val="none" w:sz="0" w:space="0" w:color="auto"/>
                        <w:bottom w:val="none" w:sz="0" w:space="0" w:color="auto"/>
                        <w:right w:val="none" w:sz="0" w:space="0" w:color="auto"/>
                      </w:divBdr>
                    </w:div>
                  </w:divsChild>
                </w:div>
                <w:div w:id="89744414">
                  <w:marLeft w:val="0"/>
                  <w:marRight w:val="0"/>
                  <w:marTop w:val="0"/>
                  <w:marBottom w:val="0"/>
                  <w:divBdr>
                    <w:top w:val="none" w:sz="0" w:space="0" w:color="auto"/>
                    <w:left w:val="none" w:sz="0" w:space="0" w:color="auto"/>
                    <w:bottom w:val="none" w:sz="0" w:space="0" w:color="auto"/>
                    <w:right w:val="none" w:sz="0" w:space="0" w:color="auto"/>
                  </w:divBdr>
                  <w:divsChild>
                    <w:div w:id="518589671">
                      <w:marLeft w:val="0"/>
                      <w:marRight w:val="0"/>
                      <w:marTop w:val="0"/>
                      <w:marBottom w:val="0"/>
                      <w:divBdr>
                        <w:top w:val="none" w:sz="0" w:space="0" w:color="auto"/>
                        <w:left w:val="none" w:sz="0" w:space="0" w:color="auto"/>
                        <w:bottom w:val="none" w:sz="0" w:space="0" w:color="auto"/>
                        <w:right w:val="none" w:sz="0" w:space="0" w:color="auto"/>
                      </w:divBdr>
                    </w:div>
                  </w:divsChild>
                </w:div>
                <w:div w:id="98331728">
                  <w:marLeft w:val="0"/>
                  <w:marRight w:val="0"/>
                  <w:marTop w:val="0"/>
                  <w:marBottom w:val="0"/>
                  <w:divBdr>
                    <w:top w:val="none" w:sz="0" w:space="0" w:color="auto"/>
                    <w:left w:val="none" w:sz="0" w:space="0" w:color="auto"/>
                    <w:bottom w:val="none" w:sz="0" w:space="0" w:color="auto"/>
                    <w:right w:val="none" w:sz="0" w:space="0" w:color="auto"/>
                  </w:divBdr>
                  <w:divsChild>
                    <w:div w:id="140385719">
                      <w:marLeft w:val="0"/>
                      <w:marRight w:val="0"/>
                      <w:marTop w:val="0"/>
                      <w:marBottom w:val="0"/>
                      <w:divBdr>
                        <w:top w:val="none" w:sz="0" w:space="0" w:color="auto"/>
                        <w:left w:val="none" w:sz="0" w:space="0" w:color="auto"/>
                        <w:bottom w:val="none" w:sz="0" w:space="0" w:color="auto"/>
                        <w:right w:val="none" w:sz="0" w:space="0" w:color="auto"/>
                      </w:divBdr>
                    </w:div>
                  </w:divsChild>
                </w:div>
                <w:div w:id="144128076">
                  <w:marLeft w:val="0"/>
                  <w:marRight w:val="0"/>
                  <w:marTop w:val="0"/>
                  <w:marBottom w:val="0"/>
                  <w:divBdr>
                    <w:top w:val="none" w:sz="0" w:space="0" w:color="auto"/>
                    <w:left w:val="none" w:sz="0" w:space="0" w:color="auto"/>
                    <w:bottom w:val="none" w:sz="0" w:space="0" w:color="auto"/>
                    <w:right w:val="none" w:sz="0" w:space="0" w:color="auto"/>
                  </w:divBdr>
                  <w:divsChild>
                    <w:div w:id="66850817">
                      <w:marLeft w:val="0"/>
                      <w:marRight w:val="0"/>
                      <w:marTop w:val="0"/>
                      <w:marBottom w:val="0"/>
                      <w:divBdr>
                        <w:top w:val="none" w:sz="0" w:space="0" w:color="auto"/>
                        <w:left w:val="none" w:sz="0" w:space="0" w:color="auto"/>
                        <w:bottom w:val="none" w:sz="0" w:space="0" w:color="auto"/>
                        <w:right w:val="none" w:sz="0" w:space="0" w:color="auto"/>
                      </w:divBdr>
                    </w:div>
                  </w:divsChild>
                </w:div>
                <w:div w:id="144205849">
                  <w:marLeft w:val="0"/>
                  <w:marRight w:val="0"/>
                  <w:marTop w:val="0"/>
                  <w:marBottom w:val="0"/>
                  <w:divBdr>
                    <w:top w:val="none" w:sz="0" w:space="0" w:color="auto"/>
                    <w:left w:val="none" w:sz="0" w:space="0" w:color="auto"/>
                    <w:bottom w:val="none" w:sz="0" w:space="0" w:color="auto"/>
                    <w:right w:val="none" w:sz="0" w:space="0" w:color="auto"/>
                  </w:divBdr>
                  <w:divsChild>
                    <w:div w:id="1279676178">
                      <w:marLeft w:val="0"/>
                      <w:marRight w:val="0"/>
                      <w:marTop w:val="0"/>
                      <w:marBottom w:val="0"/>
                      <w:divBdr>
                        <w:top w:val="none" w:sz="0" w:space="0" w:color="auto"/>
                        <w:left w:val="none" w:sz="0" w:space="0" w:color="auto"/>
                        <w:bottom w:val="none" w:sz="0" w:space="0" w:color="auto"/>
                        <w:right w:val="none" w:sz="0" w:space="0" w:color="auto"/>
                      </w:divBdr>
                    </w:div>
                  </w:divsChild>
                </w:div>
                <w:div w:id="144442579">
                  <w:marLeft w:val="0"/>
                  <w:marRight w:val="0"/>
                  <w:marTop w:val="0"/>
                  <w:marBottom w:val="0"/>
                  <w:divBdr>
                    <w:top w:val="none" w:sz="0" w:space="0" w:color="auto"/>
                    <w:left w:val="none" w:sz="0" w:space="0" w:color="auto"/>
                    <w:bottom w:val="none" w:sz="0" w:space="0" w:color="auto"/>
                    <w:right w:val="none" w:sz="0" w:space="0" w:color="auto"/>
                  </w:divBdr>
                  <w:divsChild>
                    <w:div w:id="2122868980">
                      <w:marLeft w:val="0"/>
                      <w:marRight w:val="0"/>
                      <w:marTop w:val="0"/>
                      <w:marBottom w:val="0"/>
                      <w:divBdr>
                        <w:top w:val="none" w:sz="0" w:space="0" w:color="auto"/>
                        <w:left w:val="none" w:sz="0" w:space="0" w:color="auto"/>
                        <w:bottom w:val="none" w:sz="0" w:space="0" w:color="auto"/>
                        <w:right w:val="none" w:sz="0" w:space="0" w:color="auto"/>
                      </w:divBdr>
                    </w:div>
                  </w:divsChild>
                </w:div>
                <w:div w:id="156728090">
                  <w:marLeft w:val="0"/>
                  <w:marRight w:val="0"/>
                  <w:marTop w:val="0"/>
                  <w:marBottom w:val="0"/>
                  <w:divBdr>
                    <w:top w:val="none" w:sz="0" w:space="0" w:color="auto"/>
                    <w:left w:val="none" w:sz="0" w:space="0" w:color="auto"/>
                    <w:bottom w:val="none" w:sz="0" w:space="0" w:color="auto"/>
                    <w:right w:val="none" w:sz="0" w:space="0" w:color="auto"/>
                  </w:divBdr>
                  <w:divsChild>
                    <w:div w:id="1512067318">
                      <w:marLeft w:val="0"/>
                      <w:marRight w:val="0"/>
                      <w:marTop w:val="0"/>
                      <w:marBottom w:val="0"/>
                      <w:divBdr>
                        <w:top w:val="none" w:sz="0" w:space="0" w:color="auto"/>
                        <w:left w:val="none" w:sz="0" w:space="0" w:color="auto"/>
                        <w:bottom w:val="none" w:sz="0" w:space="0" w:color="auto"/>
                        <w:right w:val="none" w:sz="0" w:space="0" w:color="auto"/>
                      </w:divBdr>
                    </w:div>
                  </w:divsChild>
                </w:div>
                <w:div w:id="162749280">
                  <w:marLeft w:val="0"/>
                  <w:marRight w:val="0"/>
                  <w:marTop w:val="0"/>
                  <w:marBottom w:val="0"/>
                  <w:divBdr>
                    <w:top w:val="none" w:sz="0" w:space="0" w:color="auto"/>
                    <w:left w:val="none" w:sz="0" w:space="0" w:color="auto"/>
                    <w:bottom w:val="none" w:sz="0" w:space="0" w:color="auto"/>
                    <w:right w:val="none" w:sz="0" w:space="0" w:color="auto"/>
                  </w:divBdr>
                  <w:divsChild>
                    <w:div w:id="1003901167">
                      <w:marLeft w:val="0"/>
                      <w:marRight w:val="0"/>
                      <w:marTop w:val="0"/>
                      <w:marBottom w:val="0"/>
                      <w:divBdr>
                        <w:top w:val="none" w:sz="0" w:space="0" w:color="auto"/>
                        <w:left w:val="none" w:sz="0" w:space="0" w:color="auto"/>
                        <w:bottom w:val="none" w:sz="0" w:space="0" w:color="auto"/>
                        <w:right w:val="none" w:sz="0" w:space="0" w:color="auto"/>
                      </w:divBdr>
                    </w:div>
                  </w:divsChild>
                </w:div>
                <w:div w:id="173110294">
                  <w:marLeft w:val="0"/>
                  <w:marRight w:val="0"/>
                  <w:marTop w:val="0"/>
                  <w:marBottom w:val="0"/>
                  <w:divBdr>
                    <w:top w:val="none" w:sz="0" w:space="0" w:color="auto"/>
                    <w:left w:val="none" w:sz="0" w:space="0" w:color="auto"/>
                    <w:bottom w:val="none" w:sz="0" w:space="0" w:color="auto"/>
                    <w:right w:val="none" w:sz="0" w:space="0" w:color="auto"/>
                  </w:divBdr>
                  <w:divsChild>
                    <w:div w:id="504637800">
                      <w:marLeft w:val="0"/>
                      <w:marRight w:val="0"/>
                      <w:marTop w:val="0"/>
                      <w:marBottom w:val="0"/>
                      <w:divBdr>
                        <w:top w:val="none" w:sz="0" w:space="0" w:color="auto"/>
                        <w:left w:val="none" w:sz="0" w:space="0" w:color="auto"/>
                        <w:bottom w:val="none" w:sz="0" w:space="0" w:color="auto"/>
                        <w:right w:val="none" w:sz="0" w:space="0" w:color="auto"/>
                      </w:divBdr>
                    </w:div>
                  </w:divsChild>
                </w:div>
                <w:div w:id="193081170">
                  <w:marLeft w:val="0"/>
                  <w:marRight w:val="0"/>
                  <w:marTop w:val="0"/>
                  <w:marBottom w:val="0"/>
                  <w:divBdr>
                    <w:top w:val="none" w:sz="0" w:space="0" w:color="auto"/>
                    <w:left w:val="none" w:sz="0" w:space="0" w:color="auto"/>
                    <w:bottom w:val="none" w:sz="0" w:space="0" w:color="auto"/>
                    <w:right w:val="none" w:sz="0" w:space="0" w:color="auto"/>
                  </w:divBdr>
                  <w:divsChild>
                    <w:div w:id="2146926364">
                      <w:marLeft w:val="0"/>
                      <w:marRight w:val="0"/>
                      <w:marTop w:val="0"/>
                      <w:marBottom w:val="0"/>
                      <w:divBdr>
                        <w:top w:val="none" w:sz="0" w:space="0" w:color="auto"/>
                        <w:left w:val="none" w:sz="0" w:space="0" w:color="auto"/>
                        <w:bottom w:val="none" w:sz="0" w:space="0" w:color="auto"/>
                        <w:right w:val="none" w:sz="0" w:space="0" w:color="auto"/>
                      </w:divBdr>
                    </w:div>
                  </w:divsChild>
                </w:div>
                <w:div w:id="208612119">
                  <w:marLeft w:val="0"/>
                  <w:marRight w:val="0"/>
                  <w:marTop w:val="0"/>
                  <w:marBottom w:val="0"/>
                  <w:divBdr>
                    <w:top w:val="none" w:sz="0" w:space="0" w:color="auto"/>
                    <w:left w:val="none" w:sz="0" w:space="0" w:color="auto"/>
                    <w:bottom w:val="none" w:sz="0" w:space="0" w:color="auto"/>
                    <w:right w:val="none" w:sz="0" w:space="0" w:color="auto"/>
                  </w:divBdr>
                  <w:divsChild>
                    <w:div w:id="1058548866">
                      <w:marLeft w:val="0"/>
                      <w:marRight w:val="0"/>
                      <w:marTop w:val="0"/>
                      <w:marBottom w:val="0"/>
                      <w:divBdr>
                        <w:top w:val="none" w:sz="0" w:space="0" w:color="auto"/>
                        <w:left w:val="none" w:sz="0" w:space="0" w:color="auto"/>
                        <w:bottom w:val="none" w:sz="0" w:space="0" w:color="auto"/>
                        <w:right w:val="none" w:sz="0" w:space="0" w:color="auto"/>
                      </w:divBdr>
                    </w:div>
                  </w:divsChild>
                </w:div>
                <w:div w:id="241374378">
                  <w:marLeft w:val="0"/>
                  <w:marRight w:val="0"/>
                  <w:marTop w:val="0"/>
                  <w:marBottom w:val="0"/>
                  <w:divBdr>
                    <w:top w:val="none" w:sz="0" w:space="0" w:color="auto"/>
                    <w:left w:val="none" w:sz="0" w:space="0" w:color="auto"/>
                    <w:bottom w:val="none" w:sz="0" w:space="0" w:color="auto"/>
                    <w:right w:val="none" w:sz="0" w:space="0" w:color="auto"/>
                  </w:divBdr>
                  <w:divsChild>
                    <w:div w:id="1102719860">
                      <w:marLeft w:val="0"/>
                      <w:marRight w:val="0"/>
                      <w:marTop w:val="0"/>
                      <w:marBottom w:val="0"/>
                      <w:divBdr>
                        <w:top w:val="none" w:sz="0" w:space="0" w:color="auto"/>
                        <w:left w:val="none" w:sz="0" w:space="0" w:color="auto"/>
                        <w:bottom w:val="none" w:sz="0" w:space="0" w:color="auto"/>
                        <w:right w:val="none" w:sz="0" w:space="0" w:color="auto"/>
                      </w:divBdr>
                    </w:div>
                  </w:divsChild>
                </w:div>
                <w:div w:id="243032535">
                  <w:marLeft w:val="0"/>
                  <w:marRight w:val="0"/>
                  <w:marTop w:val="0"/>
                  <w:marBottom w:val="0"/>
                  <w:divBdr>
                    <w:top w:val="none" w:sz="0" w:space="0" w:color="auto"/>
                    <w:left w:val="none" w:sz="0" w:space="0" w:color="auto"/>
                    <w:bottom w:val="none" w:sz="0" w:space="0" w:color="auto"/>
                    <w:right w:val="none" w:sz="0" w:space="0" w:color="auto"/>
                  </w:divBdr>
                  <w:divsChild>
                    <w:div w:id="78259039">
                      <w:marLeft w:val="0"/>
                      <w:marRight w:val="0"/>
                      <w:marTop w:val="0"/>
                      <w:marBottom w:val="0"/>
                      <w:divBdr>
                        <w:top w:val="none" w:sz="0" w:space="0" w:color="auto"/>
                        <w:left w:val="none" w:sz="0" w:space="0" w:color="auto"/>
                        <w:bottom w:val="none" w:sz="0" w:space="0" w:color="auto"/>
                        <w:right w:val="none" w:sz="0" w:space="0" w:color="auto"/>
                      </w:divBdr>
                    </w:div>
                  </w:divsChild>
                </w:div>
                <w:div w:id="258802744">
                  <w:marLeft w:val="0"/>
                  <w:marRight w:val="0"/>
                  <w:marTop w:val="0"/>
                  <w:marBottom w:val="0"/>
                  <w:divBdr>
                    <w:top w:val="none" w:sz="0" w:space="0" w:color="auto"/>
                    <w:left w:val="none" w:sz="0" w:space="0" w:color="auto"/>
                    <w:bottom w:val="none" w:sz="0" w:space="0" w:color="auto"/>
                    <w:right w:val="none" w:sz="0" w:space="0" w:color="auto"/>
                  </w:divBdr>
                  <w:divsChild>
                    <w:div w:id="70548526">
                      <w:marLeft w:val="0"/>
                      <w:marRight w:val="0"/>
                      <w:marTop w:val="0"/>
                      <w:marBottom w:val="0"/>
                      <w:divBdr>
                        <w:top w:val="none" w:sz="0" w:space="0" w:color="auto"/>
                        <w:left w:val="none" w:sz="0" w:space="0" w:color="auto"/>
                        <w:bottom w:val="none" w:sz="0" w:space="0" w:color="auto"/>
                        <w:right w:val="none" w:sz="0" w:space="0" w:color="auto"/>
                      </w:divBdr>
                    </w:div>
                  </w:divsChild>
                </w:div>
                <w:div w:id="284586581">
                  <w:marLeft w:val="0"/>
                  <w:marRight w:val="0"/>
                  <w:marTop w:val="0"/>
                  <w:marBottom w:val="0"/>
                  <w:divBdr>
                    <w:top w:val="none" w:sz="0" w:space="0" w:color="auto"/>
                    <w:left w:val="none" w:sz="0" w:space="0" w:color="auto"/>
                    <w:bottom w:val="none" w:sz="0" w:space="0" w:color="auto"/>
                    <w:right w:val="none" w:sz="0" w:space="0" w:color="auto"/>
                  </w:divBdr>
                  <w:divsChild>
                    <w:div w:id="908661601">
                      <w:marLeft w:val="0"/>
                      <w:marRight w:val="0"/>
                      <w:marTop w:val="0"/>
                      <w:marBottom w:val="0"/>
                      <w:divBdr>
                        <w:top w:val="none" w:sz="0" w:space="0" w:color="auto"/>
                        <w:left w:val="none" w:sz="0" w:space="0" w:color="auto"/>
                        <w:bottom w:val="none" w:sz="0" w:space="0" w:color="auto"/>
                        <w:right w:val="none" w:sz="0" w:space="0" w:color="auto"/>
                      </w:divBdr>
                    </w:div>
                  </w:divsChild>
                </w:div>
                <w:div w:id="288516939">
                  <w:marLeft w:val="0"/>
                  <w:marRight w:val="0"/>
                  <w:marTop w:val="0"/>
                  <w:marBottom w:val="0"/>
                  <w:divBdr>
                    <w:top w:val="none" w:sz="0" w:space="0" w:color="auto"/>
                    <w:left w:val="none" w:sz="0" w:space="0" w:color="auto"/>
                    <w:bottom w:val="none" w:sz="0" w:space="0" w:color="auto"/>
                    <w:right w:val="none" w:sz="0" w:space="0" w:color="auto"/>
                  </w:divBdr>
                  <w:divsChild>
                    <w:div w:id="1710178375">
                      <w:marLeft w:val="0"/>
                      <w:marRight w:val="0"/>
                      <w:marTop w:val="0"/>
                      <w:marBottom w:val="0"/>
                      <w:divBdr>
                        <w:top w:val="none" w:sz="0" w:space="0" w:color="auto"/>
                        <w:left w:val="none" w:sz="0" w:space="0" w:color="auto"/>
                        <w:bottom w:val="none" w:sz="0" w:space="0" w:color="auto"/>
                        <w:right w:val="none" w:sz="0" w:space="0" w:color="auto"/>
                      </w:divBdr>
                    </w:div>
                  </w:divsChild>
                </w:div>
                <w:div w:id="289366439">
                  <w:marLeft w:val="0"/>
                  <w:marRight w:val="0"/>
                  <w:marTop w:val="0"/>
                  <w:marBottom w:val="0"/>
                  <w:divBdr>
                    <w:top w:val="none" w:sz="0" w:space="0" w:color="auto"/>
                    <w:left w:val="none" w:sz="0" w:space="0" w:color="auto"/>
                    <w:bottom w:val="none" w:sz="0" w:space="0" w:color="auto"/>
                    <w:right w:val="none" w:sz="0" w:space="0" w:color="auto"/>
                  </w:divBdr>
                  <w:divsChild>
                    <w:div w:id="1138449542">
                      <w:marLeft w:val="0"/>
                      <w:marRight w:val="0"/>
                      <w:marTop w:val="0"/>
                      <w:marBottom w:val="0"/>
                      <w:divBdr>
                        <w:top w:val="none" w:sz="0" w:space="0" w:color="auto"/>
                        <w:left w:val="none" w:sz="0" w:space="0" w:color="auto"/>
                        <w:bottom w:val="none" w:sz="0" w:space="0" w:color="auto"/>
                        <w:right w:val="none" w:sz="0" w:space="0" w:color="auto"/>
                      </w:divBdr>
                    </w:div>
                  </w:divsChild>
                </w:div>
                <w:div w:id="294607297">
                  <w:marLeft w:val="0"/>
                  <w:marRight w:val="0"/>
                  <w:marTop w:val="0"/>
                  <w:marBottom w:val="0"/>
                  <w:divBdr>
                    <w:top w:val="none" w:sz="0" w:space="0" w:color="auto"/>
                    <w:left w:val="none" w:sz="0" w:space="0" w:color="auto"/>
                    <w:bottom w:val="none" w:sz="0" w:space="0" w:color="auto"/>
                    <w:right w:val="none" w:sz="0" w:space="0" w:color="auto"/>
                  </w:divBdr>
                  <w:divsChild>
                    <w:div w:id="382410691">
                      <w:marLeft w:val="0"/>
                      <w:marRight w:val="0"/>
                      <w:marTop w:val="0"/>
                      <w:marBottom w:val="0"/>
                      <w:divBdr>
                        <w:top w:val="none" w:sz="0" w:space="0" w:color="auto"/>
                        <w:left w:val="none" w:sz="0" w:space="0" w:color="auto"/>
                        <w:bottom w:val="none" w:sz="0" w:space="0" w:color="auto"/>
                        <w:right w:val="none" w:sz="0" w:space="0" w:color="auto"/>
                      </w:divBdr>
                    </w:div>
                  </w:divsChild>
                </w:div>
                <w:div w:id="305861866">
                  <w:marLeft w:val="0"/>
                  <w:marRight w:val="0"/>
                  <w:marTop w:val="0"/>
                  <w:marBottom w:val="0"/>
                  <w:divBdr>
                    <w:top w:val="none" w:sz="0" w:space="0" w:color="auto"/>
                    <w:left w:val="none" w:sz="0" w:space="0" w:color="auto"/>
                    <w:bottom w:val="none" w:sz="0" w:space="0" w:color="auto"/>
                    <w:right w:val="none" w:sz="0" w:space="0" w:color="auto"/>
                  </w:divBdr>
                  <w:divsChild>
                    <w:div w:id="980843496">
                      <w:marLeft w:val="0"/>
                      <w:marRight w:val="0"/>
                      <w:marTop w:val="0"/>
                      <w:marBottom w:val="0"/>
                      <w:divBdr>
                        <w:top w:val="none" w:sz="0" w:space="0" w:color="auto"/>
                        <w:left w:val="none" w:sz="0" w:space="0" w:color="auto"/>
                        <w:bottom w:val="none" w:sz="0" w:space="0" w:color="auto"/>
                        <w:right w:val="none" w:sz="0" w:space="0" w:color="auto"/>
                      </w:divBdr>
                    </w:div>
                  </w:divsChild>
                </w:div>
                <w:div w:id="308554693">
                  <w:marLeft w:val="0"/>
                  <w:marRight w:val="0"/>
                  <w:marTop w:val="0"/>
                  <w:marBottom w:val="0"/>
                  <w:divBdr>
                    <w:top w:val="none" w:sz="0" w:space="0" w:color="auto"/>
                    <w:left w:val="none" w:sz="0" w:space="0" w:color="auto"/>
                    <w:bottom w:val="none" w:sz="0" w:space="0" w:color="auto"/>
                    <w:right w:val="none" w:sz="0" w:space="0" w:color="auto"/>
                  </w:divBdr>
                  <w:divsChild>
                    <w:div w:id="808353751">
                      <w:marLeft w:val="0"/>
                      <w:marRight w:val="0"/>
                      <w:marTop w:val="0"/>
                      <w:marBottom w:val="0"/>
                      <w:divBdr>
                        <w:top w:val="none" w:sz="0" w:space="0" w:color="auto"/>
                        <w:left w:val="none" w:sz="0" w:space="0" w:color="auto"/>
                        <w:bottom w:val="none" w:sz="0" w:space="0" w:color="auto"/>
                        <w:right w:val="none" w:sz="0" w:space="0" w:color="auto"/>
                      </w:divBdr>
                    </w:div>
                  </w:divsChild>
                </w:div>
                <w:div w:id="360056156">
                  <w:marLeft w:val="0"/>
                  <w:marRight w:val="0"/>
                  <w:marTop w:val="0"/>
                  <w:marBottom w:val="0"/>
                  <w:divBdr>
                    <w:top w:val="none" w:sz="0" w:space="0" w:color="auto"/>
                    <w:left w:val="none" w:sz="0" w:space="0" w:color="auto"/>
                    <w:bottom w:val="none" w:sz="0" w:space="0" w:color="auto"/>
                    <w:right w:val="none" w:sz="0" w:space="0" w:color="auto"/>
                  </w:divBdr>
                  <w:divsChild>
                    <w:div w:id="674721817">
                      <w:marLeft w:val="0"/>
                      <w:marRight w:val="0"/>
                      <w:marTop w:val="0"/>
                      <w:marBottom w:val="0"/>
                      <w:divBdr>
                        <w:top w:val="none" w:sz="0" w:space="0" w:color="auto"/>
                        <w:left w:val="none" w:sz="0" w:space="0" w:color="auto"/>
                        <w:bottom w:val="none" w:sz="0" w:space="0" w:color="auto"/>
                        <w:right w:val="none" w:sz="0" w:space="0" w:color="auto"/>
                      </w:divBdr>
                    </w:div>
                  </w:divsChild>
                </w:div>
                <w:div w:id="368115929">
                  <w:marLeft w:val="0"/>
                  <w:marRight w:val="0"/>
                  <w:marTop w:val="0"/>
                  <w:marBottom w:val="0"/>
                  <w:divBdr>
                    <w:top w:val="none" w:sz="0" w:space="0" w:color="auto"/>
                    <w:left w:val="none" w:sz="0" w:space="0" w:color="auto"/>
                    <w:bottom w:val="none" w:sz="0" w:space="0" w:color="auto"/>
                    <w:right w:val="none" w:sz="0" w:space="0" w:color="auto"/>
                  </w:divBdr>
                  <w:divsChild>
                    <w:div w:id="917641111">
                      <w:marLeft w:val="0"/>
                      <w:marRight w:val="0"/>
                      <w:marTop w:val="0"/>
                      <w:marBottom w:val="0"/>
                      <w:divBdr>
                        <w:top w:val="none" w:sz="0" w:space="0" w:color="auto"/>
                        <w:left w:val="none" w:sz="0" w:space="0" w:color="auto"/>
                        <w:bottom w:val="none" w:sz="0" w:space="0" w:color="auto"/>
                        <w:right w:val="none" w:sz="0" w:space="0" w:color="auto"/>
                      </w:divBdr>
                    </w:div>
                  </w:divsChild>
                </w:div>
                <w:div w:id="378868759">
                  <w:marLeft w:val="0"/>
                  <w:marRight w:val="0"/>
                  <w:marTop w:val="0"/>
                  <w:marBottom w:val="0"/>
                  <w:divBdr>
                    <w:top w:val="none" w:sz="0" w:space="0" w:color="auto"/>
                    <w:left w:val="none" w:sz="0" w:space="0" w:color="auto"/>
                    <w:bottom w:val="none" w:sz="0" w:space="0" w:color="auto"/>
                    <w:right w:val="none" w:sz="0" w:space="0" w:color="auto"/>
                  </w:divBdr>
                  <w:divsChild>
                    <w:div w:id="1799958005">
                      <w:marLeft w:val="0"/>
                      <w:marRight w:val="0"/>
                      <w:marTop w:val="0"/>
                      <w:marBottom w:val="0"/>
                      <w:divBdr>
                        <w:top w:val="none" w:sz="0" w:space="0" w:color="auto"/>
                        <w:left w:val="none" w:sz="0" w:space="0" w:color="auto"/>
                        <w:bottom w:val="none" w:sz="0" w:space="0" w:color="auto"/>
                        <w:right w:val="none" w:sz="0" w:space="0" w:color="auto"/>
                      </w:divBdr>
                    </w:div>
                  </w:divsChild>
                </w:div>
                <w:div w:id="392654179">
                  <w:marLeft w:val="0"/>
                  <w:marRight w:val="0"/>
                  <w:marTop w:val="0"/>
                  <w:marBottom w:val="0"/>
                  <w:divBdr>
                    <w:top w:val="none" w:sz="0" w:space="0" w:color="auto"/>
                    <w:left w:val="none" w:sz="0" w:space="0" w:color="auto"/>
                    <w:bottom w:val="none" w:sz="0" w:space="0" w:color="auto"/>
                    <w:right w:val="none" w:sz="0" w:space="0" w:color="auto"/>
                  </w:divBdr>
                  <w:divsChild>
                    <w:div w:id="572205276">
                      <w:marLeft w:val="0"/>
                      <w:marRight w:val="0"/>
                      <w:marTop w:val="0"/>
                      <w:marBottom w:val="0"/>
                      <w:divBdr>
                        <w:top w:val="none" w:sz="0" w:space="0" w:color="auto"/>
                        <w:left w:val="none" w:sz="0" w:space="0" w:color="auto"/>
                        <w:bottom w:val="none" w:sz="0" w:space="0" w:color="auto"/>
                        <w:right w:val="none" w:sz="0" w:space="0" w:color="auto"/>
                      </w:divBdr>
                    </w:div>
                  </w:divsChild>
                </w:div>
                <w:div w:id="411583931">
                  <w:marLeft w:val="0"/>
                  <w:marRight w:val="0"/>
                  <w:marTop w:val="0"/>
                  <w:marBottom w:val="0"/>
                  <w:divBdr>
                    <w:top w:val="none" w:sz="0" w:space="0" w:color="auto"/>
                    <w:left w:val="none" w:sz="0" w:space="0" w:color="auto"/>
                    <w:bottom w:val="none" w:sz="0" w:space="0" w:color="auto"/>
                    <w:right w:val="none" w:sz="0" w:space="0" w:color="auto"/>
                  </w:divBdr>
                  <w:divsChild>
                    <w:div w:id="323511300">
                      <w:marLeft w:val="0"/>
                      <w:marRight w:val="0"/>
                      <w:marTop w:val="0"/>
                      <w:marBottom w:val="0"/>
                      <w:divBdr>
                        <w:top w:val="none" w:sz="0" w:space="0" w:color="auto"/>
                        <w:left w:val="none" w:sz="0" w:space="0" w:color="auto"/>
                        <w:bottom w:val="none" w:sz="0" w:space="0" w:color="auto"/>
                        <w:right w:val="none" w:sz="0" w:space="0" w:color="auto"/>
                      </w:divBdr>
                    </w:div>
                  </w:divsChild>
                </w:div>
                <w:div w:id="462693533">
                  <w:marLeft w:val="0"/>
                  <w:marRight w:val="0"/>
                  <w:marTop w:val="0"/>
                  <w:marBottom w:val="0"/>
                  <w:divBdr>
                    <w:top w:val="none" w:sz="0" w:space="0" w:color="auto"/>
                    <w:left w:val="none" w:sz="0" w:space="0" w:color="auto"/>
                    <w:bottom w:val="none" w:sz="0" w:space="0" w:color="auto"/>
                    <w:right w:val="none" w:sz="0" w:space="0" w:color="auto"/>
                  </w:divBdr>
                  <w:divsChild>
                    <w:div w:id="677925467">
                      <w:marLeft w:val="0"/>
                      <w:marRight w:val="0"/>
                      <w:marTop w:val="0"/>
                      <w:marBottom w:val="0"/>
                      <w:divBdr>
                        <w:top w:val="none" w:sz="0" w:space="0" w:color="auto"/>
                        <w:left w:val="none" w:sz="0" w:space="0" w:color="auto"/>
                        <w:bottom w:val="none" w:sz="0" w:space="0" w:color="auto"/>
                        <w:right w:val="none" w:sz="0" w:space="0" w:color="auto"/>
                      </w:divBdr>
                    </w:div>
                  </w:divsChild>
                </w:div>
                <w:div w:id="486017245">
                  <w:marLeft w:val="0"/>
                  <w:marRight w:val="0"/>
                  <w:marTop w:val="0"/>
                  <w:marBottom w:val="0"/>
                  <w:divBdr>
                    <w:top w:val="none" w:sz="0" w:space="0" w:color="auto"/>
                    <w:left w:val="none" w:sz="0" w:space="0" w:color="auto"/>
                    <w:bottom w:val="none" w:sz="0" w:space="0" w:color="auto"/>
                    <w:right w:val="none" w:sz="0" w:space="0" w:color="auto"/>
                  </w:divBdr>
                  <w:divsChild>
                    <w:div w:id="1845780798">
                      <w:marLeft w:val="0"/>
                      <w:marRight w:val="0"/>
                      <w:marTop w:val="0"/>
                      <w:marBottom w:val="0"/>
                      <w:divBdr>
                        <w:top w:val="none" w:sz="0" w:space="0" w:color="auto"/>
                        <w:left w:val="none" w:sz="0" w:space="0" w:color="auto"/>
                        <w:bottom w:val="none" w:sz="0" w:space="0" w:color="auto"/>
                        <w:right w:val="none" w:sz="0" w:space="0" w:color="auto"/>
                      </w:divBdr>
                    </w:div>
                  </w:divsChild>
                </w:div>
                <w:div w:id="493957526">
                  <w:marLeft w:val="0"/>
                  <w:marRight w:val="0"/>
                  <w:marTop w:val="0"/>
                  <w:marBottom w:val="0"/>
                  <w:divBdr>
                    <w:top w:val="none" w:sz="0" w:space="0" w:color="auto"/>
                    <w:left w:val="none" w:sz="0" w:space="0" w:color="auto"/>
                    <w:bottom w:val="none" w:sz="0" w:space="0" w:color="auto"/>
                    <w:right w:val="none" w:sz="0" w:space="0" w:color="auto"/>
                  </w:divBdr>
                  <w:divsChild>
                    <w:div w:id="1259824826">
                      <w:marLeft w:val="0"/>
                      <w:marRight w:val="0"/>
                      <w:marTop w:val="0"/>
                      <w:marBottom w:val="0"/>
                      <w:divBdr>
                        <w:top w:val="none" w:sz="0" w:space="0" w:color="auto"/>
                        <w:left w:val="none" w:sz="0" w:space="0" w:color="auto"/>
                        <w:bottom w:val="none" w:sz="0" w:space="0" w:color="auto"/>
                        <w:right w:val="none" w:sz="0" w:space="0" w:color="auto"/>
                      </w:divBdr>
                    </w:div>
                  </w:divsChild>
                </w:div>
                <w:div w:id="497581133">
                  <w:marLeft w:val="0"/>
                  <w:marRight w:val="0"/>
                  <w:marTop w:val="0"/>
                  <w:marBottom w:val="0"/>
                  <w:divBdr>
                    <w:top w:val="none" w:sz="0" w:space="0" w:color="auto"/>
                    <w:left w:val="none" w:sz="0" w:space="0" w:color="auto"/>
                    <w:bottom w:val="none" w:sz="0" w:space="0" w:color="auto"/>
                    <w:right w:val="none" w:sz="0" w:space="0" w:color="auto"/>
                  </w:divBdr>
                  <w:divsChild>
                    <w:div w:id="1539392087">
                      <w:marLeft w:val="0"/>
                      <w:marRight w:val="0"/>
                      <w:marTop w:val="0"/>
                      <w:marBottom w:val="0"/>
                      <w:divBdr>
                        <w:top w:val="none" w:sz="0" w:space="0" w:color="auto"/>
                        <w:left w:val="none" w:sz="0" w:space="0" w:color="auto"/>
                        <w:bottom w:val="none" w:sz="0" w:space="0" w:color="auto"/>
                        <w:right w:val="none" w:sz="0" w:space="0" w:color="auto"/>
                      </w:divBdr>
                    </w:div>
                  </w:divsChild>
                </w:div>
                <w:div w:id="520514108">
                  <w:marLeft w:val="0"/>
                  <w:marRight w:val="0"/>
                  <w:marTop w:val="0"/>
                  <w:marBottom w:val="0"/>
                  <w:divBdr>
                    <w:top w:val="none" w:sz="0" w:space="0" w:color="auto"/>
                    <w:left w:val="none" w:sz="0" w:space="0" w:color="auto"/>
                    <w:bottom w:val="none" w:sz="0" w:space="0" w:color="auto"/>
                    <w:right w:val="none" w:sz="0" w:space="0" w:color="auto"/>
                  </w:divBdr>
                  <w:divsChild>
                    <w:div w:id="196816903">
                      <w:marLeft w:val="0"/>
                      <w:marRight w:val="0"/>
                      <w:marTop w:val="0"/>
                      <w:marBottom w:val="0"/>
                      <w:divBdr>
                        <w:top w:val="none" w:sz="0" w:space="0" w:color="auto"/>
                        <w:left w:val="none" w:sz="0" w:space="0" w:color="auto"/>
                        <w:bottom w:val="none" w:sz="0" w:space="0" w:color="auto"/>
                        <w:right w:val="none" w:sz="0" w:space="0" w:color="auto"/>
                      </w:divBdr>
                    </w:div>
                  </w:divsChild>
                </w:div>
                <w:div w:id="523593895">
                  <w:marLeft w:val="0"/>
                  <w:marRight w:val="0"/>
                  <w:marTop w:val="0"/>
                  <w:marBottom w:val="0"/>
                  <w:divBdr>
                    <w:top w:val="none" w:sz="0" w:space="0" w:color="auto"/>
                    <w:left w:val="none" w:sz="0" w:space="0" w:color="auto"/>
                    <w:bottom w:val="none" w:sz="0" w:space="0" w:color="auto"/>
                    <w:right w:val="none" w:sz="0" w:space="0" w:color="auto"/>
                  </w:divBdr>
                  <w:divsChild>
                    <w:div w:id="1374958573">
                      <w:marLeft w:val="0"/>
                      <w:marRight w:val="0"/>
                      <w:marTop w:val="0"/>
                      <w:marBottom w:val="0"/>
                      <w:divBdr>
                        <w:top w:val="none" w:sz="0" w:space="0" w:color="auto"/>
                        <w:left w:val="none" w:sz="0" w:space="0" w:color="auto"/>
                        <w:bottom w:val="none" w:sz="0" w:space="0" w:color="auto"/>
                        <w:right w:val="none" w:sz="0" w:space="0" w:color="auto"/>
                      </w:divBdr>
                    </w:div>
                  </w:divsChild>
                </w:div>
                <w:div w:id="554119318">
                  <w:marLeft w:val="0"/>
                  <w:marRight w:val="0"/>
                  <w:marTop w:val="0"/>
                  <w:marBottom w:val="0"/>
                  <w:divBdr>
                    <w:top w:val="none" w:sz="0" w:space="0" w:color="auto"/>
                    <w:left w:val="none" w:sz="0" w:space="0" w:color="auto"/>
                    <w:bottom w:val="none" w:sz="0" w:space="0" w:color="auto"/>
                    <w:right w:val="none" w:sz="0" w:space="0" w:color="auto"/>
                  </w:divBdr>
                  <w:divsChild>
                    <w:div w:id="1919365978">
                      <w:marLeft w:val="0"/>
                      <w:marRight w:val="0"/>
                      <w:marTop w:val="0"/>
                      <w:marBottom w:val="0"/>
                      <w:divBdr>
                        <w:top w:val="none" w:sz="0" w:space="0" w:color="auto"/>
                        <w:left w:val="none" w:sz="0" w:space="0" w:color="auto"/>
                        <w:bottom w:val="none" w:sz="0" w:space="0" w:color="auto"/>
                        <w:right w:val="none" w:sz="0" w:space="0" w:color="auto"/>
                      </w:divBdr>
                    </w:div>
                  </w:divsChild>
                </w:div>
                <w:div w:id="591864913">
                  <w:marLeft w:val="0"/>
                  <w:marRight w:val="0"/>
                  <w:marTop w:val="0"/>
                  <w:marBottom w:val="0"/>
                  <w:divBdr>
                    <w:top w:val="none" w:sz="0" w:space="0" w:color="auto"/>
                    <w:left w:val="none" w:sz="0" w:space="0" w:color="auto"/>
                    <w:bottom w:val="none" w:sz="0" w:space="0" w:color="auto"/>
                    <w:right w:val="none" w:sz="0" w:space="0" w:color="auto"/>
                  </w:divBdr>
                  <w:divsChild>
                    <w:div w:id="925041762">
                      <w:marLeft w:val="0"/>
                      <w:marRight w:val="0"/>
                      <w:marTop w:val="0"/>
                      <w:marBottom w:val="0"/>
                      <w:divBdr>
                        <w:top w:val="none" w:sz="0" w:space="0" w:color="auto"/>
                        <w:left w:val="none" w:sz="0" w:space="0" w:color="auto"/>
                        <w:bottom w:val="none" w:sz="0" w:space="0" w:color="auto"/>
                        <w:right w:val="none" w:sz="0" w:space="0" w:color="auto"/>
                      </w:divBdr>
                    </w:div>
                  </w:divsChild>
                </w:div>
                <w:div w:id="610745758">
                  <w:marLeft w:val="0"/>
                  <w:marRight w:val="0"/>
                  <w:marTop w:val="0"/>
                  <w:marBottom w:val="0"/>
                  <w:divBdr>
                    <w:top w:val="none" w:sz="0" w:space="0" w:color="auto"/>
                    <w:left w:val="none" w:sz="0" w:space="0" w:color="auto"/>
                    <w:bottom w:val="none" w:sz="0" w:space="0" w:color="auto"/>
                    <w:right w:val="none" w:sz="0" w:space="0" w:color="auto"/>
                  </w:divBdr>
                  <w:divsChild>
                    <w:div w:id="190806796">
                      <w:marLeft w:val="0"/>
                      <w:marRight w:val="0"/>
                      <w:marTop w:val="0"/>
                      <w:marBottom w:val="0"/>
                      <w:divBdr>
                        <w:top w:val="none" w:sz="0" w:space="0" w:color="auto"/>
                        <w:left w:val="none" w:sz="0" w:space="0" w:color="auto"/>
                        <w:bottom w:val="none" w:sz="0" w:space="0" w:color="auto"/>
                        <w:right w:val="none" w:sz="0" w:space="0" w:color="auto"/>
                      </w:divBdr>
                    </w:div>
                  </w:divsChild>
                </w:div>
                <w:div w:id="612708698">
                  <w:marLeft w:val="0"/>
                  <w:marRight w:val="0"/>
                  <w:marTop w:val="0"/>
                  <w:marBottom w:val="0"/>
                  <w:divBdr>
                    <w:top w:val="none" w:sz="0" w:space="0" w:color="auto"/>
                    <w:left w:val="none" w:sz="0" w:space="0" w:color="auto"/>
                    <w:bottom w:val="none" w:sz="0" w:space="0" w:color="auto"/>
                    <w:right w:val="none" w:sz="0" w:space="0" w:color="auto"/>
                  </w:divBdr>
                  <w:divsChild>
                    <w:div w:id="1400442919">
                      <w:marLeft w:val="0"/>
                      <w:marRight w:val="0"/>
                      <w:marTop w:val="0"/>
                      <w:marBottom w:val="0"/>
                      <w:divBdr>
                        <w:top w:val="none" w:sz="0" w:space="0" w:color="auto"/>
                        <w:left w:val="none" w:sz="0" w:space="0" w:color="auto"/>
                        <w:bottom w:val="none" w:sz="0" w:space="0" w:color="auto"/>
                        <w:right w:val="none" w:sz="0" w:space="0" w:color="auto"/>
                      </w:divBdr>
                    </w:div>
                  </w:divsChild>
                </w:div>
                <w:div w:id="632716146">
                  <w:marLeft w:val="0"/>
                  <w:marRight w:val="0"/>
                  <w:marTop w:val="0"/>
                  <w:marBottom w:val="0"/>
                  <w:divBdr>
                    <w:top w:val="none" w:sz="0" w:space="0" w:color="auto"/>
                    <w:left w:val="none" w:sz="0" w:space="0" w:color="auto"/>
                    <w:bottom w:val="none" w:sz="0" w:space="0" w:color="auto"/>
                    <w:right w:val="none" w:sz="0" w:space="0" w:color="auto"/>
                  </w:divBdr>
                  <w:divsChild>
                    <w:div w:id="1319655184">
                      <w:marLeft w:val="0"/>
                      <w:marRight w:val="0"/>
                      <w:marTop w:val="0"/>
                      <w:marBottom w:val="0"/>
                      <w:divBdr>
                        <w:top w:val="none" w:sz="0" w:space="0" w:color="auto"/>
                        <w:left w:val="none" w:sz="0" w:space="0" w:color="auto"/>
                        <w:bottom w:val="none" w:sz="0" w:space="0" w:color="auto"/>
                        <w:right w:val="none" w:sz="0" w:space="0" w:color="auto"/>
                      </w:divBdr>
                    </w:div>
                  </w:divsChild>
                </w:div>
                <w:div w:id="649478859">
                  <w:marLeft w:val="0"/>
                  <w:marRight w:val="0"/>
                  <w:marTop w:val="0"/>
                  <w:marBottom w:val="0"/>
                  <w:divBdr>
                    <w:top w:val="none" w:sz="0" w:space="0" w:color="auto"/>
                    <w:left w:val="none" w:sz="0" w:space="0" w:color="auto"/>
                    <w:bottom w:val="none" w:sz="0" w:space="0" w:color="auto"/>
                    <w:right w:val="none" w:sz="0" w:space="0" w:color="auto"/>
                  </w:divBdr>
                  <w:divsChild>
                    <w:div w:id="1377511107">
                      <w:marLeft w:val="0"/>
                      <w:marRight w:val="0"/>
                      <w:marTop w:val="0"/>
                      <w:marBottom w:val="0"/>
                      <w:divBdr>
                        <w:top w:val="none" w:sz="0" w:space="0" w:color="auto"/>
                        <w:left w:val="none" w:sz="0" w:space="0" w:color="auto"/>
                        <w:bottom w:val="none" w:sz="0" w:space="0" w:color="auto"/>
                        <w:right w:val="none" w:sz="0" w:space="0" w:color="auto"/>
                      </w:divBdr>
                    </w:div>
                  </w:divsChild>
                </w:div>
                <w:div w:id="658315292">
                  <w:marLeft w:val="0"/>
                  <w:marRight w:val="0"/>
                  <w:marTop w:val="0"/>
                  <w:marBottom w:val="0"/>
                  <w:divBdr>
                    <w:top w:val="none" w:sz="0" w:space="0" w:color="auto"/>
                    <w:left w:val="none" w:sz="0" w:space="0" w:color="auto"/>
                    <w:bottom w:val="none" w:sz="0" w:space="0" w:color="auto"/>
                    <w:right w:val="none" w:sz="0" w:space="0" w:color="auto"/>
                  </w:divBdr>
                  <w:divsChild>
                    <w:div w:id="152257712">
                      <w:marLeft w:val="0"/>
                      <w:marRight w:val="0"/>
                      <w:marTop w:val="0"/>
                      <w:marBottom w:val="0"/>
                      <w:divBdr>
                        <w:top w:val="none" w:sz="0" w:space="0" w:color="auto"/>
                        <w:left w:val="none" w:sz="0" w:space="0" w:color="auto"/>
                        <w:bottom w:val="none" w:sz="0" w:space="0" w:color="auto"/>
                        <w:right w:val="none" w:sz="0" w:space="0" w:color="auto"/>
                      </w:divBdr>
                    </w:div>
                  </w:divsChild>
                </w:div>
                <w:div w:id="678894512">
                  <w:marLeft w:val="0"/>
                  <w:marRight w:val="0"/>
                  <w:marTop w:val="0"/>
                  <w:marBottom w:val="0"/>
                  <w:divBdr>
                    <w:top w:val="none" w:sz="0" w:space="0" w:color="auto"/>
                    <w:left w:val="none" w:sz="0" w:space="0" w:color="auto"/>
                    <w:bottom w:val="none" w:sz="0" w:space="0" w:color="auto"/>
                    <w:right w:val="none" w:sz="0" w:space="0" w:color="auto"/>
                  </w:divBdr>
                  <w:divsChild>
                    <w:div w:id="1376347291">
                      <w:marLeft w:val="0"/>
                      <w:marRight w:val="0"/>
                      <w:marTop w:val="0"/>
                      <w:marBottom w:val="0"/>
                      <w:divBdr>
                        <w:top w:val="none" w:sz="0" w:space="0" w:color="auto"/>
                        <w:left w:val="none" w:sz="0" w:space="0" w:color="auto"/>
                        <w:bottom w:val="none" w:sz="0" w:space="0" w:color="auto"/>
                        <w:right w:val="none" w:sz="0" w:space="0" w:color="auto"/>
                      </w:divBdr>
                    </w:div>
                  </w:divsChild>
                </w:div>
                <w:div w:id="680619762">
                  <w:marLeft w:val="0"/>
                  <w:marRight w:val="0"/>
                  <w:marTop w:val="0"/>
                  <w:marBottom w:val="0"/>
                  <w:divBdr>
                    <w:top w:val="none" w:sz="0" w:space="0" w:color="auto"/>
                    <w:left w:val="none" w:sz="0" w:space="0" w:color="auto"/>
                    <w:bottom w:val="none" w:sz="0" w:space="0" w:color="auto"/>
                    <w:right w:val="none" w:sz="0" w:space="0" w:color="auto"/>
                  </w:divBdr>
                  <w:divsChild>
                    <w:div w:id="1927762724">
                      <w:marLeft w:val="0"/>
                      <w:marRight w:val="0"/>
                      <w:marTop w:val="0"/>
                      <w:marBottom w:val="0"/>
                      <w:divBdr>
                        <w:top w:val="none" w:sz="0" w:space="0" w:color="auto"/>
                        <w:left w:val="none" w:sz="0" w:space="0" w:color="auto"/>
                        <w:bottom w:val="none" w:sz="0" w:space="0" w:color="auto"/>
                        <w:right w:val="none" w:sz="0" w:space="0" w:color="auto"/>
                      </w:divBdr>
                    </w:div>
                  </w:divsChild>
                </w:div>
                <w:div w:id="693650757">
                  <w:marLeft w:val="0"/>
                  <w:marRight w:val="0"/>
                  <w:marTop w:val="0"/>
                  <w:marBottom w:val="0"/>
                  <w:divBdr>
                    <w:top w:val="none" w:sz="0" w:space="0" w:color="auto"/>
                    <w:left w:val="none" w:sz="0" w:space="0" w:color="auto"/>
                    <w:bottom w:val="none" w:sz="0" w:space="0" w:color="auto"/>
                    <w:right w:val="none" w:sz="0" w:space="0" w:color="auto"/>
                  </w:divBdr>
                  <w:divsChild>
                    <w:div w:id="392630744">
                      <w:marLeft w:val="0"/>
                      <w:marRight w:val="0"/>
                      <w:marTop w:val="0"/>
                      <w:marBottom w:val="0"/>
                      <w:divBdr>
                        <w:top w:val="none" w:sz="0" w:space="0" w:color="auto"/>
                        <w:left w:val="none" w:sz="0" w:space="0" w:color="auto"/>
                        <w:bottom w:val="none" w:sz="0" w:space="0" w:color="auto"/>
                        <w:right w:val="none" w:sz="0" w:space="0" w:color="auto"/>
                      </w:divBdr>
                    </w:div>
                  </w:divsChild>
                </w:div>
                <w:div w:id="701706757">
                  <w:marLeft w:val="0"/>
                  <w:marRight w:val="0"/>
                  <w:marTop w:val="0"/>
                  <w:marBottom w:val="0"/>
                  <w:divBdr>
                    <w:top w:val="none" w:sz="0" w:space="0" w:color="auto"/>
                    <w:left w:val="none" w:sz="0" w:space="0" w:color="auto"/>
                    <w:bottom w:val="none" w:sz="0" w:space="0" w:color="auto"/>
                    <w:right w:val="none" w:sz="0" w:space="0" w:color="auto"/>
                  </w:divBdr>
                  <w:divsChild>
                    <w:div w:id="1656177560">
                      <w:marLeft w:val="0"/>
                      <w:marRight w:val="0"/>
                      <w:marTop w:val="0"/>
                      <w:marBottom w:val="0"/>
                      <w:divBdr>
                        <w:top w:val="none" w:sz="0" w:space="0" w:color="auto"/>
                        <w:left w:val="none" w:sz="0" w:space="0" w:color="auto"/>
                        <w:bottom w:val="none" w:sz="0" w:space="0" w:color="auto"/>
                        <w:right w:val="none" w:sz="0" w:space="0" w:color="auto"/>
                      </w:divBdr>
                    </w:div>
                  </w:divsChild>
                </w:div>
                <w:div w:id="762844118">
                  <w:marLeft w:val="0"/>
                  <w:marRight w:val="0"/>
                  <w:marTop w:val="0"/>
                  <w:marBottom w:val="0"/>
                  <w:divBdr>
                    <w:top w:val="none" w:sz="0" w:space="0" w:color="auto"/>
                    <w:left w:val="none" w:sz="0" w:space="0" w:color="auto"/>
                    <w:bottom w:val="none" w:sz="0" w:space="0" w:color="auto"/>
                    <w:right w:val="none" w:sz="0" w:space="0" w:color="auto"/>
                  </w:divBdr>
                  <w:divsChild>
                    <w:div w:id="342971966">
                      <w:marLeft w:val="0"/>
                      <w:marRight w:val="0"/>
                      <w:marTop w:val="0"/>
                      <w:marBottom w:val="0"/>
                      <w:divBdr>
                        <w:top w:val="none" w:sz="0" w:space="0" w:color="auto"/>
                        <w:left w:val="none" w:sz="0" w:space="0" w:color="auto"/>
                        <w:bottom w:val="none" w:sz="0" w:space="0" w:color="auto"/>
                        <w:right w:val="none" w:sz="0" w:space="0" w:color="auto"/>
                      </w:divBdr>
                    </w:div>
                  </w:divsChild>
                </w:div>
                <w:div w:id="775104913">
                  <w:marLeft w:val="0"/>
                  <w:marRight w:val="0"/>
                  <w:marTop w:val="0"/>
                  <w:marBottom w:val="0"/>
                  <w:divBdr>
                    <w:top w:val="none" w:sz="0" w:space="0" w:color="auto"/>
                    <w:left w:val="none" w:sz="0" w:space="0" w:color="auto"/>
                    <w:bottom w:val="none" w:sz="0" w:space="0" w:color="auto"/>
                    <w:right w:val="none" w:sz="0" w:space="0" w:color="auto"/>
                  </w:divBdr>
                  <w:divsChild>
                    <w:div w:id="918369365">
                      <w:marLeft w:val="0"/>
                      <w:marRight w:val="0"/>
                      <w:marTop w:val="0"/>
                      <w:marBottom w:val="0"/>
                      <w:divBdr>
                        <w:top w:val="none" w:sz="0" w:space="0" w:color="auto"/>
                        <w:left w:val="none" w:sz="0" w:space="0" w:color="auto"/>
                        <w:bottom w:val="none" w:sz="0" w:space="0" w:color="auto"/>
                        <w:right w:val="none" w:sz="0" w:space="0" w:color="auto"/>
                      </w:divBdr>
                    </w:div>
                  </w:divsChild>
                </w:div>
                <w:div w:id="777064181">
                  <w:marLeft w:val="0"/>
                  <w:marRight w:val="0"/>
                  <w:marTop w:val="0"/>
                  <w:marBottom w:val="0"/>
                  <w:divBdr>
                    <w:top w:val="none" w:sz="0" w:space="0" w:color="auto"/>
                    <w:left w:val="none" w:sz="0" w:space="0" w:color="auto"/>
                    <w:bottom w:val="none" w:sz="0" w:space="0" w:color="auto"/>
                    <w:right w:val="none" w:sz="0" w:space="0" w:color="auto"/>
                  </w:divBdr>
                  <w:divsChild>
                    <w:div w:id="705522153">
                      <w:marLeft w:val="0"/>
                      <w:marRight w:val="0"/>
                      <w:marTop w:val="0"/>
                      <w:marBottom w:val="0"/>
                      <w:divBdr>
                        <w:top w:val="none" w:sz="0" w:space="0" w:color="auto"/>
                        <w:left w:val="none" w:sz="0" w:space="0" w:color="auto"/>
                        <w:bottom w:val="none" w:sz="0" w:space="0" w:color="auto"/>
                        <w:right w:val="none" w:sz="0" w:space="0" w:color="auto"/>
                      </w:divBdr>
                    </w:div>
                  </w:divsChild>
                </w:div>
                <w:div w:id="810102408">
                  <w:marLeft w:val="0"/>
                  <w:marRight w:val="0"/>
                  <w:marTop w:val="0"/>
                  <w:marBottom w:val="0"/>
                  <w:divBdr>
                    <w:top w:val="none" w:sz="0" w:space="0" w:color="auto"/>
                    <w:left w:val="none" w:sz="0" w:space="0" w:color="auto"/>
                    <w:bottom w:val="none" w:sz="0" w:space="0" w:color="auto"/>
                    <w:right w:val="none" w:sz="0" w:space="0" w:color="auto"/>
                  </w:divBdr>
                  <w:divsChild>
                    <w:div w:id="1355424528">
                      <w:marLeft w:val="0"/>
                      <w:marRight w:val="0"/>
                      <w:marTop w:val="0"/>
                      <w:marBottom w:val="0"/>
                      <w:divBdr>
                        <w:top w:val="none" w:sz="0" w:space="0" w:color="auto"/>
                        <w:left w:val="none" w:sz="0" w:space="0" w:color="auto"/>
                        <w:bottom w:val="none" w:sz="0" w:space="0" w:color="auto"/>
                        <w:right w:val="none" w:sz="0" w:space="0" w:color="auto"/>
                      </w:divBdr>
                    </w:div>
                  </w:divsChild>
                </w:div>
                <w:div w:id="842744521">
                  <w:marLeft w:val="0"/>
                  <w:marRight w:val="0"/>
                  <w:marTop w:val="0"/>
                  <w:marBottom w:val="0"/>
                  <w:divBdr>
                    <w:top w:val="none" w:sz="0" w:space="0" w:color="auto"/>
                    <w:left w:val="none" w:sz="0" w:space="0" w:color="auto"/>
                    <w:bottom w:val="none" w:sz="0" w:space="0" w:color="auto"/>
                    <w:right w:val="none" w:sz="0" w:space="0" w:color="auto"/>
                  </w:divBdr>
                  <w:divsChild>
                    <w:div w:id="1963267999">
                      <w:marLeft w:val="0"/>
                      <w:marRight w:val="0"/>
                      <w:marTop w:val="0"/>
                      <w:marBottom w:val="0"/>
                      <w:divBdr>
                        <w:top w:val="none" w:sz="0" w:space="0" w:color="auto"/>
                        <w:left w:val="none" w:sz="0" w:space="0" w:color="auto"/>
                        <w:bottom w:val="none" w:sz="0" w:space="0" w:color="auto"/>
                        <w:right w:val="none" w:sz="0" w:space="0" w:color="auto"/>
                      </w:divBdr>
                    </w:div>
                  </w:divsChild>
                </w:div>
                <w:div w:id="847984427">
                  <w:marLeft w:val="0"/>
                  <w:marRight w:val="0"/>
                  <w:marTop w:val="0"/>
                  <w:marBottom w:val="0"/>
                  <w:divBdr>
                    <w:top w:val="none" w:sz="0" w:space="0" w:color="auto"/>
                    <w:left w:val="none" w:sz="0" w:space="0" w:color="auto"/>
                    <w:bottom w:val="none" w:sz="0" w:space="0" w:color="auto"/>
                    <w:right w:val="none" w:sz="0" w:space="0" w:color="auto"/>
                  </w:divBdr>
                  <w:divsChild>
                    <w:div w:id="1494489962">
                      <w:marLeft w:val="0"/>
                      <w:marRight w:val="0"/>
                      <w:marTop w:val="0"/>
                      <w:marBottom w:val="0"/>
                      <w:divBdr>
                        <w:top w:val="none" w:sz="0" w:space="0" w:color="auto"/>
                        <w:left w:val="none" w:sz="0" w:space="0" w:color="auto"/>
                        <w:bottom w:val="none" w:sz="0" w:space="0" w:color="auto"/>
                        <w:right w:val="none" w:sz="0" w:space="0" w:color="auto"/>
                      </w:divBdr>
                    </w:div>
                  </w:divsChild>
                </w:div>
                <w:div w:id="866454635">
                  <w:marLeft w:val="0"/>
                  <w:marRight w:val="0"/>
                  <w:marTop w:val="0"/>
                  <w:marBottom w:val="0"/>
                  <w:divBdr>
                    <w:top w:val="none" w:sz="0" w:space="0" w:color="auto"/>
                    <w:left w:val="none" w:sz="0" w:space="0" w:color="auto"/>
                    <w:bottom w:val="none" w:sz="0" w:space="0" w:color="auto"/>
                    <w:right w:val="none" w:sz="0" w:space="0" w:color="auto"/>
                  </w:divBdr>
                  <w:divsChild>
                    <w:div w:id="1786851870">
                      <w:marLeft w:val="0"/>
                      <w:marRight w:val="0"/>
                      <w:marTop w:val="0"/>
                      <w:marBottom w:val="0"/>
                      <w:divBdr>
                        <w:top w:val="none" w:sz="0" w:space="0" w:color="auto"/>
                        <w:left w:val="none" w:sz="0" w:space="0" w:color="auto"/>
                        <w:bottom w:val="none" w:sz="0" w:space="0" w:color="auto"/>
                        <w:right w:val="none" w:sz="0" w:space="0" w:color="auto"/>
                      </w:divBdr>
                    </w:div>
                  </w:divsChild>
                </w:div>
                <w:div w:id="936444477">
                  <w:marLeft w:val="0"/>
                  <w:marRight w:val="0"/>
                  <w:marTop w:val="0"/>
                  <w:marBottom w:val="0"/>
                  <w:divBdr>
                    <w:top w:val="none" w:sz="0" w:space="0" w:color="auto"/>
                    <w:left w:val="none" w:sz="0" w:space="0" w:color="auto"/>
                    <w:bottom w:val="none" w:sz="0" w:space="0" w:color="auto"/>
                    <w:right w:val="none" w:sz="0" w:space="0" w:color="auto"/>
                  </w:divBdr>
                  <w:divsChild>
                    <w:div w:id="2137136668">
                      <w:marLeft w:val="0"/>
                      <w:marRight w:val="0"/>
                      <w:marTop w:val="0"/>
                      <w:marBottom w:val="0"/>
                      <w:divBdr>
                        <w:top w:val="none" w:sz="0" w:space="0" w:color="auto"/>
                        <w:left w:val="none" w:sz="0" w:space="0" w:color="auto"/>
                        <w:bottom w:val="none" w:sz="0" w:space="0" w:color="auto"/>
                        <w:right w:val="none" w:sz="0" w:space="0" w:color="auto"/>
                      </w:divBdr>
                    </w:div>
                  </w:divsChild>
                </w:div>
                <w:div w:id="951935997">
                  <w:marLeft w:val="0"/>
                  <w:marRight w:val="0"/>
                  <w:marTop w:val="0"/>
                  <w:marBottom w:val="0"/>
                  <w:divBdr>
                    <w:top w:val="none" w:sz="0" w:space="0" w:color="auto"/>
                    <w:left w:val="none" w:sz="0" w:space="0" w:color="auto"/>
                    <w:bottom w:val="none" w:sz="0" w:space="0" w:color="auto"/>
                    <w:right w:val="none" w:sz="0" w:space="0" w:color="auto"/>
                  </w:divBdr>
                  <w:divsChild>
                    <w:div w:id="681973853">
                      <w:marLeft w:val="0"/>
                      <w:marRight w:val="0"/>
                      <w:marTop w:val="0"/>
                      <w:marBottom w:val="0"/>
                      <w:divBdr>
                        <w:top w:val="none" w:sz="0" w:space="0" w:color="auto"/>
                        <w:left w:val="none" w:sz="0" w:space="0" w:color="auto"/>
                        <w:bottom w:val="none" w:sz="0" w:space="0" w:color="auto"/>
                        <w:right w:val="none" w:sz="0" w:space="0" w:color="auto"/>
                      </w:divBdr>
                    </w:div>
                  </w:divsChild>
                </w:div>
                <w:div w:id="977566049">
                  <w:marLeft w:val="0"/>
                  <w:marRight w:val="0"/>
                  <w:marTop w:val="0"/>
                  <w:marBottom w:val="0"/>
                  <w:divBdr>
                    <w:top w:val="none" w:sz="0" w:space="0" w:color="auto"/>
                    <w:left w:val="none" w:sz="0" w:space="0" w:color="auto"/>
                    <w:bottom w:val="none" w:sz="0" w:space="0" w:color="auto"/>
                    <w:right w:val="none" w:sz="0" w:space="0" w:color="auto"/>
                  </w:divBdr>
                  <w:divsChild>
                    <w:div w:id="485977020">
                      <w:marLeft w:val="0"/>
                      <w:marRight w:val="0"/>
                      <w:marTop w:val="0"/>
                      <w:marBottom w:val="0"/>
                      <w:divBdr>
                        <w:top w:val="none" w:sz="0" w:space="0" w:color="auto"/>
                        <w:left w:val="none" w:sz="0" w:space="0" w:color="auto"/>
                        <w:bottom w:val="none" w:sz="0" w:space="0" w:color="auto"/>
                        <w:right w:val="none" w:sz="0" w:space="0" w:color="auto"/>
                      </w:divBdr>
                    </w:div>
                  </w:divsChild>
                </w:div>
                <w:div w:id="1032879181">
                  <w:marLeft w:val="0"/>
                  <w:marRight w:val="0"/>
                  <w:marTop w:val="0"/>
                  <w:marBottom w:val="0"/>
                  <w:divBdr>
                    <w:top w:val="none" w:sz="0" w:space="0" w:color="auto"/>
                    <w:left w:val="none" w:sz="0" w:space="0" w:color="auto"/>
                    <w:bottom w:val="none" w:sz="0" w:space="0" w:color="auto"/>
                    <w:right w:val="none" w:sz="0" w:space="0" w:color="auto"/>
                  </w:divBdr>
                  <w:divsChild>
                    <w:div w:id="831946192">
                      <w:marLeft w:val="0"/>
                      <w:marRight w:val="0"/>
                      <w:marTop w:val="0"/>
                      <w:marBottom w:val="0"/>
                      <w:divBdr>
                        <w:top w:val="none" w:sz="0" w:space="0" w:color="auto"/>
                        <w:left w:val="none" w:sz="0" w:space="0" w:color="auto"/>
                        <w:bottom w:val="none" w:sz="0" w:space="0" w:color="auto"/>
                        <w:right w:val="none" w:sz="0" w:space="0" w:color="auto"/>
                      </w:divBdr>
                    </w:div>
                  </w:divsChild>
                </w:div>
                <w:div w:id="1045448872">
                  <w:marLeft w:val="0"/>
                  <w:marRight w:val="0"/>
                  <w:marTop w:val="0"/>
                  <w:marBottom w:val="0"/>
                  <w:divBdr>
                    <w:top w:val="none" w:sz="0" w:space="0" w:color="auto"/>
                    <w:left w:val="none" w:sz="0" w:space="0" w:color="auto"/>
                    <w:bottom w:val="none" w:sz="0" w:space="0" w:color="auto"/>
                    <w:right w:val="none" w:sz="0" w:space="0" w:color="auto"/>
                  </w:divBdr>
                  <w:divsChild>
                    <w:div w:id="1014653236">
                      <w:marLeft w:val="0"/>
                      <w:marRight w:val="0"/>
                      <w:marTop w:val="0"/>
                      <w:marBottom w:val="0"/>
                      <w:divBdr>
                        <w:top w:val="none" w:sz="0" w:space="0" w:color="auto"/>
                        <w:left w:val="none" w:sz="0" w:space="0" w:color="auto"/>
                        <w:bottom w:val="none" w:sz="0" w:space="0" w:color="auto"/>
                        <w:right w:val="none" w:sz="0" w:space="0" w:color="auto"/>
                      </w:divBdr>
                    </w:div>
                  </w:divsChild>
                </w:div>
                <w:div w:id="1048605431">
                  <w:marLeft w:val="0"/>
                  <w:marRight w:val="0"/>
                  <w:marTop w:val="0"/>
                  <w:marBottom w:val="0"/>
                  <w:divBdr>
                    <w:top w:val="none" w:sz="0" w:space="0" w:color="auto"/>
                    <w:left w:val="none" w:sz="0" w:space="0" w:color="auto"/>
                    <w:bottom w:val="none" w:sz="0" w:space="0" w:color="auto"/>
                    <w:right w:val="none" w:sz="0" w:space="0" w:color="auto"/>
                  </w:divBdr>
                  <w:divsChild>
                    <w:div w:id="1648973498">
                      <w:marLeft w:val="0"/>
                      <w:marRight w:val="0"/>
                      <w:marTop w:val="0"/>
                      <w:marBottom w:val="0"/>
                      <w:divBdr>
                        <w:top w:val="none" w:sz="0" w:space="0" w:color="auto"/>
                        <w:left w:val="none" w:sz="0" w:space="0" w:color="auto"/>
                        <w:bottom w:val="none" w:sz="0" w:space="0" w:color="auto"/>
                        <w:right w:val="none" w:sz="0" w:space="0" w:color="auto"/>
                      </w:divBdr>
                    </w:div>
                  </w:divsChild>
                </w:div>
                <w:div w:id="1051920284">
                  <w:marLeft w:val="0"/>
                  <w:marRight w:val="0"/>
                  <w:marTop w:val="0"/>
                  <w:marBottom w:val="0"/>
                  <w:divBdr>
                    <w:top w:val="none" w:sz="0" w:space="0" w:color="auto"/>
                    <w:left w:val="none" w:sz="0" w:space="0" w:color="auto"/>
                    <w:bottom w:val="none" w:sz="0" w:space="0" w:color="auto"/>
                    <w:right w:val="none" w:sz="0" w:space="0" w:color="auto"/>
                  </w:divBdr>
                  <w:divsChild>
                    <w:div w:id="961812924">
                      <w:marLeft w:val="0"/>
                      <w:marRight w:val="0"/>
                      <w:marTop w:val="0"/>
                      <w:marBottom w:val="0"/>
                      <w:divBdr>
                        <w:top w:val="none" w:sz="0" w:space="0" w:color="auto"/>
                        <w:left w:val="none" w:sz="0" w:space="0" w:color="auto"/>
                        <w:bottom w:val="none" w:sz="0" w:space="0" w:color="auto"/>
                        <w:right w:val="none" w:sz="0" w:space="0" w:color="auto"/>
                      </w:divBdr>
                    </w:div>
                  </w:divsChild>
                </w:div>
                <w:div w:id="1071731210">
                  <w:marLeft w:val="0"/>
                  <w:marRight w:val="0"/>
                  <w:marTop w:val="0"/>
                  <w:marBottom w:val="0"/>
                  <w:divBdr>
                    <w:top w:val="none" w:sz="0" w:space="0" w:color="auto"/>
                    <w:left w:val="none" w:sz="0" w:space="0" w:color="auto"/>
                    <w:bottom w:val="none" w:sz="0" w:space="0" w:color="auto"/>
                    <w:right w:val="none" w:sz="0" w:space="0" w:color="auto"/>
                  </w:divBdr>
                  <w:divsChild>
                    <w:div w:id="1292126952">
                      <w:marLeft w:val="0"/>
                      <w:marRight w:val="0"/>
                      <w:marTop w:val="0"/>
                      <w:marBottom w:val="0"/>
                      <w:divBdr>
                        <w:top w:val="none" w:sz="0" w:space="0" w:color="auto"/>
                        <w:left w:val="none" w:sz="0" w:space="0" w:color="auto"/>
                        <w:bottom w:val="none" w:sz="0" w:space="0" w:color="auto"/>
                        <w:right w:val="none" w:sz="0" w:space="0" w:color="auto"/>
                      </w:divBdr>
                    </w:div>
                  </w:divsChild>
                </w:div>
                <w:div w:id="1083843095">
                  <w:marLeft w:val="0"/>
                  <w:marRight w:val="0"/>
                  <w:marTop w:val="0"/>
                  <w:marBottom w:val="0"/>
                  <w:divBdr>
                    <w:top w:val="none" w:sz="0" w:space="0" w:color="auto"/>
                    <w:left w:val="none" w:sz="0" w:space="0" w:color="auto"/>
                    <w:bottom w:val="none" w:sz="0" w:space="0" w:color="auto"/>
                    <w:right w:val="none" w:sz="0" w:space="0" w:color="auto"/>
                  </w:divBdr>
                  <w:divsChild>
                    <w:div w:id="968514621">
                      <w:marLeft w:val="0"/>
                      <w:marRight w:val="0"/>
                      <w:marTop w:val="0"/>
                      <w:marBottom w:val="0"/>
                      <w:divBdr>
                        <w:top w:val="none" w:sz="0" w:space="0" w:color="auto"/>
                        <w:left w:val="none" w:sz="0" w:space="0" w:color="auto"/>
                        <w:bottom w:val="none" w:sz="0" w:space="0" w:color="auto"/>
                        <w:right w:val="none" w:sz="0" w:space="0" w:color="auto"/>
                      </w:divBdr>
                    </w:div>
                  </w:divsChild>
                </w:div>
                <w:div w:id="1084305304">
                  <w:marLeft w:val="0"/>
                  <w:marRight w:val="0"/>
                  <w:marTop w:val="0"/>
                  <w:marBottom w:val="0"/>
                  <w:divBdr>
                    <w:top w:val="none" w:sz="0" w:space="0" w:color="auto"/>
                    <w:left w:val="none" w:sz="0" w:space="0" w:color="auto"/>
                    <w:bottom w:val="none" w:sz="0" w:space="0" w:color="auto"/>
                    <w:right w:val="none" w:sz="0" w:space="0" w:color="auto"/>
                  </w:divBdr>
                  <w:divsChild>
                    <w:div w:id="379983315">
                      <w:marLeft w:val="0"/>
                      <w:marRight w:val="0"/>
                      <w:marTop w:val="0"/>
                      <w:marBottom w:val="0"/>
                      <w:divBdr>
                        <w:top w:val="none" w:sz="0" w:space="0" w:color="auto"/>
                        <w:left w:val="none" w:sz="0" w:space="0" w:color="auto"/>
                        <w:bottom w:val="none" w:sz="0" w:space="0" w:color="auto"/>
                        <w:right w:val="none" w:sz="0" w:space="0" w:color="auto"/>
                      </w:divBdr>
                    </w:div>
                  </w:divsChild>
                </w:div>
                <w:div w:id="1087649295">
                  <w:marLeft w:val="0"/>
                  <w:marRight w:val="0"/>
                  <w:marTop w:val="0"/>
                  <w:marBottom w:val="0"/>
                  <w:divBdr>
                    <w:top w:val="none" w:sz="0" w:space="0" w:color="auto"/>
                    <w:left w:val="none" w:sz="0" w:space="0" w:color="auto"/>
                    <w:bottom w:val="none" w:sz="0" w:space="0" w:color="auto"/>
                    <w:right w:val="none" w:sz="0" w:space="0" w:color="auto"/>
                  </w:divBdr>
                  <w:divsChild>
                    <w:div w:id="1523785361">
                      <w:marLeft w:val="0"/>
                      <w:marRight w:val="0"/>
                      <w:marTop w:val="0"/>
                      <w:marBottom w:val="0"/>
                      <w:divBdr>
                        <w:top w:val="none" w:sz="0" w:space="0" w:color="auto"/>
                        <w:left w:val="none" w:sz="0" w:space="0" w:color="auto"/>
                        <w:bottom w:val="none" w:sz="0" w:space="0" w:color="auto"/>
                        <w:right w:val="none" w:sz="0" w:space="0" w:color="auto"/>
                      </w:divBdr>
                    </w:div>
                  </w:divsChild>
                </w:div>
                <w:div w:id="1100755802">
                  <w:marLeft w:val="0"/>
                  <w:marRight w:val="0"/>
                  <w:marTop w:val="0"/>
                  <w:marBottom w:val="0"/>
                  <w:divBdr>
                    <w:top w:val="none" w:sz="0" w:space="0" w:color="auto"/>
                    <w:left w:val="none" w:sz="0" w:space="0" w:color="auto"/>
                    <w:bottom w:val="none" w:sz="0" w:space="0" w:color="auto"/>
                    <w:right w:val="none" w:sz="0" w:space="0" w:color="auto"/>
                  </w:divBdr>
                  <w:divsChild>
                    <w:div w:id="1989629066">
                      <w:marLeft w:val="0"/>
                      <w:marRight w:val="0"/>
                      <w:marTop w:val="0"/>
                      <w:marBottom w:val="0"/>
                      <w:divBdr>
                        <w:top w:val="none" w:sz="0" w:space="0" w:color="auto"/>
                        <w:left w:val="none" w:sz="0" w:space="0" w:color="auto"/>
                        <w:bottom w:val="none" w:sz="0" w:space="0" w:color="auto"/>
                        <w:right w:val="none" w:sz="0" w:space="0" w:color="auto"/>
                      </w:divBdr>
                    </w:div>
                  </w:divsChild>
                </w:div>
                <w:div w:id="1104614657">
                  <w:marLeft w:val="0"/>
                  <w:marRight w:val="0"/>
                  <w:marTop w:val="0"/>
                  <w:marBottom w:val="0"/>
                  <w:divBdr>
                    <w:top w:val="none" w:sz="0" w:space="0" w:color="auto"/>
                    <w:left w:val="none" w:sz="0" w:space="0" w:color="auto"/>
                    <w:bottom w:val="none" w:sz="0" w:space="0" w:color="auto"/>
                    <w:right w:val="none" w:sz="0" w:space="0" w:color="auto"/>
                  </w:divBdr>
                  <w:divsChild>
                    <w:div w:id="618729001">
                      <w:marLeft w:val="0"/>
                      <w:marRight w:val="0"/>
                      <w:marTop w:val="0"/>
                      <w:marBottom w:val="0"/>
                      <w:divBdr>
                        <w:top w:val="none" w:sz="0" w:space="0" w:color="auto"/>
                        <w:left w:val="none" w:sz="0" w:space="0" w:color="auto"/>
                        <w:bottom w:val="none" w:sz="0" w:space="0" w:color="auto"/>
                        <w:right w:val="none" w:sz="0" w:space="0" w:color="auto"/>
                      </w:divBdr>
                    </w:div>
                  </w:divsChild>
                </w:div>
                <w:div w:id="1129931176">
                  <w:marLeft w:val="0"/>
                  <w:marRight w:val="0"/>
                  <w:marTop w:val="0"/>
                  <w:marBottom w:val="0"/>
                  <w:divBdr>
                    <w:top w:val="none" w:sz="0" w:space="0" w:color="auto"/>
                    <w:left w:val="none" w:sz="0" w:space="0" w:color="auto"/>
                    <w:bottom w:val="none" w:sz="0" w:space="0" w:color="auto"/>
                    <w:right w:val="none" w:sz="0" w:space="0" w:color="auto"/>
                  </w:divBdr>
                  <w:divsChild>
                    <w:div w:id="802581456">
                      <w:marLeft w:val="0"/>
                      <w:marRight w:val="0"/>
                      <w:marTop w:val="0"/>
                      <w:marBottom w:val="0"/>
                      <w:divBdr>
                        <w:top w:val="none" w:sz="0" w:space="0" w:color="auto"/>
                        <w:left w:val="none" w:sz="0" w:space="0" w:color="auto"/>
                        <w:bottom w:val="none" w:sz="0" w:space="0" w:color="auto"/>
                        <w:right w:val="none" w:sz="0" w:space="0" w:color="auto"/>
                      </w:divBdr>
                    </w:div>
                  </w:divsChild>
                </w:div>
                <w:div w:id="1168448862">
                  <w:marLeft w:val="0"/>
                  <w:marRight w:val="0"/>
                  <w:marTop w:val="0"/>
                  <w:marBottom w:val="0"/>
                  <w:divBdr>
                    <w:top w:val="none" w:sz="0" w:space="0" w:color="auto"/>
                    <w:left w:val="none" w:sz="0" w:space="0" w:color="auto"/>
                    <w:bottom w:val="none" w:sz="0" w:space="0" w:color="auto"/>
                    <w:right w:val="none" w:sz="0" w:space="0" w:color="auto"/>
                  </w:divBdr>
                  <w:divsChild>
                    <w:div w:id="1068454649">
                      <w:marLeft w:val="0"/>
                      <w:marRight w:val="0"/>
                      <w:marTop w:val="0"/>
                      <w:marBottom w:val="0"/>
                      <w:divBdr>
                        <w:top w:val="none" w:sz="0" w:space="0" w:color="auto"/>
                        <w:left w:val="none" w:sz="0" w:space="0" w:color="auto"/>
                        <w:bottom w:val="none" w:sz="0" w:space="0" w:color="auto"/>
                        <w:right w:val="none" w:sz="0" w:space="0" w:color="auto"/>
                      </w:divBdr>
                    </w:div>
                  </w:divsChild>
                </w:div>
                <w:div w:id="1183132212">
                  <w:marLeft w:val="0"/>
                  <w:marRight w:val="0"/>
                  <w:marTop w:val="0"/>
                  <w:marBottom w:val="0"/>
                  <w:divBdr>
                    <w:top w:val="none" w:sz="0" w:space="0" w:color="auto"/>
                    <w:left w:val="none" w:sz="0" w:space="0" w:color="auto"/>
                    <w:bottom w:val="none" w:sz="0" w:space="0" w:color="auto"/>
                    <w:right w:val="none" w:sz="0" w:space="0" w:color="auto"/>
                  </w:divBdr>
                  <w:divsChild>
                    <w:div w:id="425463804">
                      <w:marLeft w:val="0"/>
                      <w:marRight w:val="0"/>
                      <w:marTop w:val="0"/>
                      <w:marBottom w:val="0"/>
                      <w:divBdr>
                        <w:top w:val="none" w:sz="0" w:space="0" w:color="auto"/>
                        <w:left w:val="none" w:sz="0" w:space="0" w:color="auto"/>
                        <w:bottom w:val="none" w:sz="0" w:space="0" w:color="auto"/>
                        <w:right w:val="none" w:sz="0" w:space="0" w:color="auto"/>
                      </w:divBdr>
                    </w:div>
                  </w:divsChild>
                </w:div>
                <w:div w:id="1205025476">
                  <w:marLeft w:val="0"/>
                  <w:marRight w:val="0"/>
                  <w:marTop w:val="0"/>
                  <w:marBottom w:val="0"/>
                  <w:divBdr>
                    <w:top w:val="none" w:sz="0" w:space="0" w:color="auto"/>
                    <w:left w:val="none" w:sz="0" w:space="0" w:color="auto"/>
                    <w:bottom w:val="none" w:sz="0" w:space="0" w:color="auto"/>
                    <w:right w:val="none" w:sz="0" w:space="0" w:color="auto"/>
                  </w:divBdr>
                  <w:divsChild>
                    <w:div w:id="2102026025">
                      <w:marLeft w:val="0"/>
                      <w:marRight w:val="0"/>
                      <w:marTop w:val="0"/>
                      <w:marBottom w:val="0"/>
                      <w:divBdr>
                        <w:top w:val="none" w:sz="0" w:space="0" w:color="auto"/>
                        <w:left w:val="none" w:sz="0" w:space="0" w:color="auto"/>
                        <w:bottom w:val="none" w:sz="0" w:space="0" w:color="auto"/>
                        <w:right w:val="none" w:sz="0" w:space="0" w:color="auto"/>
                      </w:divBdr>
                    </w:div>
                  </w:divsChild>
                </w:div>
                <w:div w:id="1223174630">
                  <w:marLeft w:val="0"/>
                  <w:marRight w:val="0"/>
                  <w:marTop w:val="0"/>
                  <w:marBottom w:val="0"/>
                  <w:divBdr>
                    <w:top w:val="none" w:sz="0" w:space="0" w:color="auto"/>
                    <w:left w:val="none" w:sz="0" w:space="0" w:color="auto"/>
                    <w:bottom w:val="none" w:sz="0" w:space="0" w:color="auto"/>
                    <w:right w:val="none" w:sz="0" w:space="0" w:color="auto"/>
                  </w:divBdr>
                  <w:divsChild>
                    <w:div w:id="2128162211">
                      <w:marLeft w:val="0"/>
                      <w:marRight w:val="0"/>
                      <w:marTop w:val="0"/>
                      <w:marBottom w:val="0"/>
                      <w:divBdr>
                        <w:top w:val="none" w:sz="0" w:space="0" w:color="auto"/>
                        <w:left w:val="none" w:sz="0" w:space="0" w:color="auto"/>
                        <w:bottom w:val="none" w:sz="0" w:space="0" w:color="auto"/>
                        <w:right w:val="none" w:sz="0" w:space="0" w:color="auto"/>
                      </w:divBdr>
                    </w:div>
                  </w:divsChild>
                </w:div>
                <w:div w:id="1240673341">
                  <w:marLeft w:val="0"/>
                  <w:marRight w:val="0"/>
                  <w:marTop w:val="0"/>
                  <w:marBottom w:val="0"/>
                  <w:divBdr>
                    <w:top w:val="none" w:sz="0" w:space="0" w:color="auto"/>
                    <w:left w:val="none" w:sz="0" w:space="0" w:color="auto"/>
                    <w:bottom w:val="none" w:sz="0" w:space="0" w:color="auto"/>
                    <w:right w:val="none" w:sz="0" w:space="0" w:color="auto"/>
                  </w:divBdr>
                  <w:divsChild>
                    <w:div w:id="384139151">
                      <w:marLeft w:val="0"/>
                      <w:marRight w:val="0"/>
                      <w:marTop w:val="0"/>
                      <w:marBottom w:val="0"/>
                      <w:divBdr>
                        <w:top w:val="none" w:sz="0" w:space="0" w:color="auto"/>
                        <w:left w:val="none" w:sz="0" w:space="0" w:color="auto"/>
                        <w:bottom w:val="none" w:sz="0" w:space="0" w:color="auto"/>
                        <w:right w:val="none" w:sz="0" w:space="0" w:color="auto"/>
                      </w:divBdr>
                    </w:div>
                  </w:divsChild>
                </w:div>
                <w:div w:id="1266502701">
                  <w:marLeft w:val="0"/>
                  <w:marRight w:val="0"/>
                  <w:marTop w:val="0"/>
                  <w:marBottom w:val="0"/>
                  <w:divBdr>
                    <w:top w:val="none" w:sz="0" w:space="0" w:color="auto"/>
                    <w:left w:val="none" w:sz="0" w:space="0" w:color="auto"/>
                    <w:bottom w:val="none" w:sz="0" w:space="0" w:color="auto"/>
                    <w:right w:val="none" w:sz="0" w:space="0" w:color="auto"/>
                  </w:divBdr>
                  <w:divsChild>
                    <w:div w:id="926042646">
                      <w:marLeft w:val="0"/>
                      <w:marRight w:val="0"/>
                      <w:marTop w:val="0"/>
                      <w:marBottom w:val="0"/>
                      <w:divBdr>
                        <w:top w:val="none" w:sz="0" w:space="0" w:color="auto"/>
                        <w:left w:val="none" w:sz="0" w:space="0" w:color="auto"/>
                        <w:bottom w:val="none" w:sz="0" w:space="0" w:color="auto"/>
                        <w:right w:val="none" w:sz="0" w:space="0" w:color="auto"/>
                      </w:divBdr>
                    </w:div>
                  </w:divsChild>
                </w:div>
                <w:div w:id="1298683254">
                  <w:marLeft w:val="0"/>
                  <w:marRight w:val="0"/>
                  <w:marTop w:val="0"/>
                  <w:marBottom w:val="0"/>
                  <w:divBdr>
                    <w:top w:val="none" w:sz="0" w:space="0" w:color="auto"/>
                    <w:left w:val="none" w:sz="0" w:space="0" w:color="auto"/>
                    <w:bottom w:val="none" w:sz="0" w:space="0" w:color="auto"/>
                    <w:right w:val="none" w:sz="0" w:space="0" w:color="auto"/>
                  </w:divBdr>
                  <w:divsChild>
                    <w:div w:id="638802695">
                      <w:marLeft w:val="0"/>
                      <w:marRight w:val="0"/>
                      <w:marTop w:val="0"/>
                      <w:marBottom w:val="0"/>
                      <w:divBdr>
                        <w:top w:val="none" w:sz="0" w:space="0" w:color="auto"/>
                        <w:left w:val="none" w:sz="0" w:space="0" w:color="auto"/>
                        <w:bottom w:val="none" w:sz="0" w:space="0" w:color="auto"/>
                        <w:right w:val="none" w:sz="0" w:space="0" w:color="auto"/>
                      </w:divBdr>
                    </w:div>
                  </w:divsChild>
                </w:div>
                <w:div w:id="1312249661">
                  <w:marLeft w:val="0"/>
                  <w:marRight w:val="0"/>
                  <w:marTop w:val="0"/>
                  <w:marBottom w:val="0"/>
                  <w:divBdr>
                    <w:top w:val="none" w:sz="0" w:space="0" w:color="auto"/>
                    <w:left w:val="none" w:sz="0" w:space="0" w:color="auto"/>
                    <w:bottom w:val="none" w:sz="0" w:space="0" w:color="auto"/>
                    <w:right w:val="none" w:sz="0" w:space="0" w:color="auto"/>
                  </w:divBdr>
                  <w:divsChild>
                    <w:div w:id="1142381536">
                      <w:marLeft w:val="0"/>
                      <w:marRight w:val="0"/>
                      <w:marTop w:val="0"/>
                      <w:marBottom w:val="0"/>
                      <w:divBdr>
                        <w:top w:val="none" w:sz="0" w:space="0" w:color="auto"/>
                        <w:left w:val="none" w:sz="0" w:space="0" w:color="auto"/>
                        <w:bottom w:val="none" w:sz="0" w:space="0" w:color="auto"/>
                        <w:right w:val="none" w:sz="0" w:space="0" w:color="auto"/>
                      </w:divBdr>
                    </w:div>
                  </w:divsChild>
                </w:div>
                <w:div w:id="1313019952">
                  <w:marLeft w:val="0"/>
                  <w:marRight w:val="0"/>
                  <w:marTop w:val="0"/>
                  <w:marBottom w:val="0"/>
                  <w:divBdr>
                    <w:top w:val="none" w:sz="0" w:space="0" w:color="auto"/>
                    <w:left w:val="none" w:sz="0" w:space="0" w:color="auto"/>
                    <w:bottom w:val="none" w:sz="0" w:space="0" w:color="auto"/>
                    <w:right w:val="none" w:sz="0" w:space="0" w:color="auto"/>
                  </w:divBdr>
                  <w:divsChild>
                    <w:div w:id="695614367">
                      <w:marLeft w:val="0"/>
                      <w:marRight w:val="0"/>
                      <w:marTop w:val="0"/>
                      <w:marBottom w:val="0"/>
                      <w:divBdr>
                        <w:top w:val="none" w:sz="0" w:space="0" w:color="auto"/>
                        <w:left w:val="none" w:sz="0" w:space="0" w:color="auto"/>
                        <w:bottom w:val="none" w:sz="0" w:space="0" w:color="auto"/>
                        <w:right w:val="none" w:sz="0" w:space="0" w:color="auto"/>
                      </w:divBdr>
                    </w:div>
                  </w:divsChild>
                </w:div>
                <w:div w:id="1351491526">
                  <w:marLeft w:val="0"/>
                  <w:marRight w:val="0"/>
                  <w:marTop w:val="0"/>
                  <w:marBottom w:val="0"/>
                  <w:divBdr>
                    <w:top w:val="none" w:sz="0" w:space="0" w:color="auto"/>
                    <w:left w:val="none" w:sz="0" w:space="0" w:color="auto"/>
                    <w:bottom w:val="none" w:sz="0" w:space="0" w:color="auto"/>
                    <w:right w:val="none" w:sz="0" w:space="0" w:color="auto"/>
                  </w:divBdr>
                  <w:divsChild>
                    <w:div w:id="839588708">
                      <w:marLeft w:val="0"/>
                      <w:marRight w:val="0"/>
                      <w:marTop w:val="0"/>
                      <w:marBottom w:val="0"/>
                      <w:divBdr>
                        <w:top w:val="none" w:sz="0" w:space="0" w:color="auto"/>
                        <w:left w:val="none" w:sz="0" w:space="0" w:color="auto"/>
                        <w:bottom w:val="none" w:sz="0" w:space="0" w:color="auto"/>
                        <w:right w:val="none" w:sz="0" w:space="0" w:color="auto"/>
                      </w:divBdr>
                    </w:div>
                  </w:divsChild>
                </w:div>
                <w:div w:id="1359697959">
                  <w:marLeft w:val="0"/>
                  <w:marRight w:val="0"/>
                  <w:marTop w:val="0"/>
                  <w:marBottom w:val="0"/>
                  <w:divBdr>
                    <w:top w:val="none" w:sz="0" w:space="0" w:color="auto"/>
                    <w:left w:val="none" w:sz="0" w:space="0" w:color="auto"/>
                    <w:bottom w:val="none" w:sz="0" w:space="0" w:color="auto"/>
                    <w:right w:val="none" w:sz="0" w:space="0" w:color="auto"/>
                  </w:divBdr>
                  <w:divsChild>
                    <w:div w:id="444933568">
                      <w:marLeft w:val="0"/>
                      <w:marRight w:val="0"/>
                      <w:marTop w:val="0"/>
                      <w:marBottom w:val="0"/>
                      <w:divBdr>
                        <w:top w:val="none" w:sz="0" w:space="0" w:color="auto"/>
                        <w:left w:val="none" w:sz="0" w:space="0" w:color="auto"/>
                        <w:bottom w:val="none" w:sz="0" w:space="0" w:color="auto"/>
                        <w:right w:val="none" w:sz="0" w:space="0" w:color="auto"/>
                      </w:divBdr>
                    </w:div>
                  </w:divsChild>
                </w:div>
                <w:div w:id="1365984889">
                  <w:marLeft w:val="0"/>
                  <w:marRight w:val="0"/>
                  <w:marTop w:val="0"/>
                  <w:marBottom w:val="0"/>
                  <w:divBdr>
                    <w:top w:val="none" w:sz="0" w:space="0" w:color="auto"/>
                    <w:left w:val="none" w:sz="0" w:space="0" w:color="auto"/>
                    <w:bottom w:val="none" w:sz="0" w:space="0" w:color="auto"/>
                    <w:right w:val="none" w:sz="0" w:space="0" w:color="auto"/>
                  </w:divBdr>
                  <w:divsChild>
                    <w:div w:id="152257393">
                      <w:marLeft w:val="0"/>
                      <w:marRight w:val="0"/>
                      <w:marTop w:val="0"/>
                      <w:marBottom w:val="0"/>
                      <w:divBdr>
                        <w:top w:val="none" w:sz="0" w:space="0" w:color="auto"/>
                        <w:left w:val="none" w:sz="0" w:space="0" w:color="auto"/>
                        <w:bottom w:val="none" w:sz="0" w:space="0" w:color="auto"/>
                        <w:right w:val="none" w:sz="0" w:space="0" w:color="auto"/>
                      </w:divBdr>
                    </w:div>
                  </w:divsChild>
                </w:div>
                <w:div w:id="1417635518">
                  <w:marLeft w:val="0"/>
                  <w:marRight w:val="0"/>
                  <w:marTop w:val="0"/>
                  <w:marBottom w:val="0"/>
                  <w:divBdr>
                    <w:top w:val="none" w:sz="0" w:space="0" w:color="auto"/>
                    <w:left w:val="none" w:sz="0" w:space="0" w:color="auto"/>
                    <w:bottom w:val="none" w:sz="0" w:space="0" w:color="auto"/>
                    <w:right w:val="none" w:sz="0" w:space="0" w:color="auto"/>
                  </w:divBdr>
                  <w:divsChild>
                    <w:div w:id="1639189830">
                      <w:marLeft w:val="0"/>
                      <w:marRight w:val="0"/>
                      <w:marTop w:val="0"/>
                      <w:marBottom w:val="0"/>
                      <w:divBdr>
                        <w:top w:val="none" w:sz="0" w:space="0" w:color="auto"/>
                        <w:left w:val="none" w:sz="0" w:space="0" w:color="auto"/>
                        <w:bottom w:val="none" w:sz="0" w:space="0" w:color="auto"/>
                        <w:right w:val="none" w:sz="0" w:space="0" w:color="auto"/>
                      </w:divBdr>
                    </w:div>
                  </w:divsChild>
                </w:div>
                <w:div w:id="1419906224">
                  <w:marLeft w:val="0"/>
                  <w:marRight w:val="0"/>
                  <w:marTop w:val="0"/>
                  <w:marBottom w:val="0"/>
                  <w:divBdr>
                    <w:top w:val="none" w:sz="0" w:space="0" w:color="auto"/>
                    <w:left w:val="none" w:sz="0" w:space="0" w:color="auto"/>
                    <w:bottom w:val="none" w:sz="0" w:space="0" w:color="auto"/>
                    <w:right w:val="none" w:sz="0" w:space="0" w:color="auto"/>
                  </w:divBdr>
                  <w:divsChild>
                    <w:div w:id="1666084287">
                      <w:marLeft w:val="0"/>
                      <w:marRight w:val="0"/>
                      <w:marTop w:val="0"/>
                      <w:marBottom w:val="0"/>
                      <w:divBdr>
                        <w:top w:val="none" w:sz="0" w:space="0" w:color="auto"/>
                        <w:left w:val="none" w:sz="0" w:space="0" w:color="auto"/>
                        <w:bottom w:val="none" w:sz="0" w:space="0" w:color="auto"/>
                        <w:right w:val="none" w:sz="0" w:space="0" w:color="auto"/>
                      </w:divBdr>
                    </w:div>
                  </w:divsChild>
                </w:div>
                <w:div w:id="1430931424">
                  <w:marLeft w:val="0"/>
                  <w:marRight w:val="0"/>
                  <w:marTop w:val="0"/>
                  <w:marBottom w:val="0"/>
                  <w:divBdr>
                    <w:top w:val="none" w:sz="0" w:space="0" w:color="auto"/>
                    <w:left w:val="none" w:sz="0" w:space="0" w:color="auto"/>
                    <w:bottom w:val="none" w:sz="0" w:space="0" w:color="auto"/>
                    <w:right w:val="none" w:sz="0" w:space="0" w:color="auto"/>
                  </w:divBdr>
                  <w:divsChild>
                    <w:div w:id="1923297145">
                      <w:marLeft w:val="0"/>
                      <w:marRight w:val="0"/>
                      <w:marTop w:val="0"/>
                      <w:marBottom w:val="0"/>
                      <w:divBdr>
                        <w:top w:val="none" w:sz="0" w:space="0" w:color="auto"/>
                        <w:left w:val="none" w:sz="0" w:space="0" w:color="auto"/>
                        <w:bottom w:val="none" w:sz="0" w:space="0" w:color="auto"/>
                        <w:right w:val="none" w:sz="0" w:space="0" w:color="auto"/>
                      </w:divBdr>
                    </w:div>
                  </w:divsChild>
                </w:div>
                <w:div w:id="1438019504">
                  <w:marLeft w:val="0"/>
                  <w:marRight w:val="0"/>
                  <w:marTop w:val="0"/>
                  <w:marBottom w:val="0"/>
                  <w:divBdr>
                    <w:top w:val="none" w:sz="0" w:space="0" w:color="auto"/>
                    <w:left w:val="none" w:sz="0" w:space="0" w:color="auto"/>
                    <w:bottom w:val="none" w:sz="0" w:space="0" w:color="auto"/>
                    <w:right w:val="none" w:sz="0" w:space="0" w:color="auto"/>
                  </w:divBdr>
                  <w:divsChild>
                    <w:div w:id="595358510">
                      <w:marLeft w:val="0"/>
                      <w:marRight w:val="0"/>
                      <w:marTop w:val="0"/>
                      <w:marBottom w:val="0"/>
                      <w:divBdr>
                        <w:top w:val="none" w:sz="0" w:space="0" w:color="auto"/>
                        <w:left w:val="none" w:sz="0" w:space="0" w:color="auto"/>
                        <w:bottom w:val="none" w:sz="0" w:space="0" w:color="auto"/>
                        <w:right w:val="none" w:sz="0" w:space="0" w:color="auto"/>
                      </w:divBdr>
                    </w:div>
                  </w:divsChild>
                </w:div>
                <w:div w:id="1449204416">
                  <w:marLeft w:val="0"/>
                  <w:marRight w:val="0"/>
                  <w:marTop w:val="0"/>
                  <w:marBottom w:val="0"/>
                  <w:divBdr>
                    <w:top w:val="none" w:sz="0" w:space="0" w:color="auto"/>
                    <w:left w:val="none" w:sz="0" w:space="0" w:color="auto"/>
                    <w:bottom w:val="none" w:sz="0" w:space="0" w:color="auto"/>
                    <w:right w:val="none" w:sz="0" w:space="0" w:color="auto"/>
                  </w:divBdr>
                  <w:divsChild>
                    <w:div w:id="620646181">
                      <w:marLeft w:val="0"/>
                      <w:marRight w:val="0"/>
                      <w:marTop w:val="0"/>
                      <w:marBottom w:val="0"/>
                      <w:divBdr>
                        <w:top w:val="none" w:sz="0" w:space="0" w:color="auto"/>
                        <w:left w:val="none" w:sz="0" w:space="0" w:color="auto"/>
                        <w:bottom w:val="none" w:sz="0" w:space="0" w:color="auto"/>
                        <w:right w:val="none" w:sz="0" w:space="0" w:color="auto"/>
                      </w:divBdr>
                    </w:div>
                  </w:divsChild>
                </w:div>
                <w:div w:id="1452820631">
                  <w:marLeft w:val="0"/>
                  <w:marRight w:val="0"/>
                  <w:marTop w:val="0"/>
                  <w:marBottom w:val="0"/>
                  <w:divBdr>
                    <w:top w:val="none" w:sz="0" w:space="0" w:color="auto"/>
                    <w:left w:val="none" w:sz="0" w:space="0" w:color="auto"/>
                    <w:bottom w:val="none" w:sz="0" w:space="0" w:color="auto"/>
                    <w:right w:val="none" w:sz="0" w:space="0" w:color="auto"/>
                  </w:divBdr>
                  <w:divsChild>
                    <w:div w:id="816992527">
                      <w:marLeft w:val="0"/>
                      <w:marRight w:val="0"/>
                      <w:marTop w:val="0"/>
                      <w:marBottom w:val="0"/>
                      <w:divBdr>
                        <w:top w:val="none" w:sz="0" w:space="0" w:color="auto"/>
                        <w:left w:val="none" w:sz="0" w:space="0" w:color="auto"/>
                        <w:bottom w:val="none" w:sz="0" w:space="0" w:color="auto"/>
                        <w:right w:val="none" w:sz="0" w:space="0" w:color="auto"/>
                      </w:divBdr>
                    </w:div>
                  </w:divsChild>
                </w:div>
                <w:div w:id="1466269569">
                  <w:marLeft w:val="0"/>
                  <w:marRight w:val="0"/>
                  <w:marTop w:val="0"/>
                  <w:marBottom w:val="0"/>
                  <w:divBdr>
                    <w:top w:val="none" w:sz="0" w:space="0" w:color="auto"/>
                    <w:left w:val="none" w:sz="0" w:space="0" w:color="auto"/>
                    <w:bottom w:val="none" w:sz="0" w:space="0" w:color="auto"/>
                    <w:right w:val="none" w:sz="0" w:space="0" w:color="auto"/>
                  </w:divBdr>
                  <w:divsChild>
                    <w:div w:id="482938843">
                      <w:marLeft w:val="0"/>
                      <w:marRight w:val="0"/>
                      <w:marTop w:val="0"/>
                      <w:marBottom w:val="0"/>
                      <w:divBdr>
                        <w:top w:val="none" w:sz="0" w:space="0" w:color="auto"/>
                        <w:left w:val="none" w:sz="0" w:space="0" w:color="auto"/>
                        <w:bottom w:val="none" w:sz="0" w:space="0" w:color="auto"/>
                        <w:right w:val="none" w:sz="0" w:space="0" w:color="auto"/>
                      </w:divBdr>
                    </w:div>
                  </w:divsChild>
                </w:div>
                <w:div w:id="1470828142">
                  <w:marLeft w:val="0"/>
                  <w:marRight w:val="0"/>
                  <w:marTop w:val="0"/>
                  <w:marBottom w:val="0"/>
                  <w:divBdr>
                    <w:top w:val="none" w:sz="0" w:space="0" w:color="auto"/>
                    <w:left w:val="none" w:sz="0" w:space="0" w:color="auto"/>
                    <w:bottom w:val="none" w:sz="0" w:space="0" w:color="auto"/>
                    <w:right w:val="none" w:sz="0" w:space="0" w:color="auto"/>
                  </w:divBdr>
                  <w:divsChild>
                    <w:div w:id="1259604384">
                      <w:marLeft w:val="0"/>
                      <w:marRight w:val="0"/>
                      <w:marTop w:val="0"/>
                      <w:marBottom w:val="0"/>
                      <w:divBdr>
                        <w:top w:val="none" w:sz="0" w:space="0" w:color="auto"/>
                        <w:left w:val="none" w:sz="0" w:space="0" w:color="auto"/>
                        <w:bottom w:val="none" w:sz="0" w:space="0" w:color="auto"/>
                        <w:right w:val="none" w:sz="0" w:space="0" w:color="auto"/>
                      </w:divBdr>
                    </w:div>
                  </w:divsChild>
                </w:div>
                <w:div w:id="1472285538">
                  <w:marLeft w:val="0"/>
                  <w:marRight w:val="0"/>
                  <w:marTop w:val="0"/>
                  <w:marBottom w:val="0"/>
                  <w:divBdr>
                    <w:top w:val="none" w:sz="0" w:space="0" w:color="auto"/>
                    <w:left w:val="none" w:sz="0" w:space="0" w:color="auto"/>
                    <w:bottom w:val="none" w:sz="0" w:space="0" w:color="auto"/>
                    <w:right w:val="none" w:sz="0" w:space="0" w:color="auto"/>
                  </w:divBdr>
                  <w:divsChild>
                    <w:div w:id="93207125">
                      <w:marLeft w:val="0"/>
                      <w:marRight w:val="0"/>
                      <w:marTop w:val="0"/>
                      <w:marBottom w:val="0"/>
                      <w:divBdr>
                        <w:top w:val="none" w:sz="0" w:space="0" w:color="auto"/>
                        <w:left w:val="none" w:sz="0" w:space="0" w:color="auto"/>
                        <w:bottom w:val="none" w:sz="0" w:space="0" w:color="auto"/>
                        <w:right w:val="none" w:sz="0" w:space="0" w:color="auto"/>
                      </w:divBdr>
                    </w:div>
                  </w:divsChild>
                </w:div>
                <w:div w:id="1476872626">
                  <w:marLeft w:val="0"/>
                  <w:marRight w:val="0"/>
                  <w:marTop w:val="0"/>
                  <w:marBottom w:val="0"/>
                  <w:divBdr>
                    <w:top w:val="none" w:sz="0" w:space="0" w:color="auto"/>
                    <w:left w:val="none" w:sz="0" w:space="0" w:color="auto"/>
                    <w:bottom w:val="none" w:sz="0" w:space="0" w:color="auto"/>
                    <w:right w:val="none" w:sz="0" w:space="0" w:color="auto"/>
                  </w:divBdr>
                  <w:divsChild>
                    <w:div w:id="810750159">
                      <w:marLeft w:val="0"/>
                      <w:marRight w:val="0"/>
                      <w:marTop w:val="0"/>
                      <w:marBottom w:val="0"/>
                      <w:divBdr>
                        <w:top w:val="none" w:sz="0" w:space="0" w:color="auto"/>
                        <w:left w:val="none" w:sz="0" w:space="0" w:color="auto"/>
                        <w:bottom w:val="none" w:sz="0" w:space="0" w:color="auto"/>
                        <w:right w:val="none" w:sz="0" w:space="0" w:color="auto"/>
                      </w:divBdr>
                    </w:div>
                  </w:divsChild>
                </w:div>
                <w:div w:id="1520201370">
                  <w:marLeft w:val="0"/>
                  <w:marRight w:val="0"/>
                  <w:marTop w:val="0"/>
                  <w:marBottom w:val="0"/>
                  <w:divBdr>
                    <w:top w:val="none" w:sz="0" w:space="0" w:color="auto"/>
                    <w:left w:val="none" w:sz="0" w:space="0" w:color="auto"/>
                    <w:bottom w:val="none" w:sz="0" w:space="0" w:color="auto"/>
                    <w:right w:val="none" w:sz="0" w:space="0" w:color="auto"/>
                  </w:divBdr>
                  <w:divsChild>
                    <w:div w:id="1159342422">
                      <w:marLeft w:val="0"/>
                      <w:marRight w:val="0"/>
                      <w:marTop w:val="0"/>
                      <w:marBottom w:val="0"/>
                      <w:divBdr>
                        <w:top w:val="none" w:sz="0" w:space="0" w:color="auto"/>
                        <w:left w:val="none" w:sz="0" w:space="0" w:color="auto"/>
                        <w:bottom w:val="none" w:sz="0" w:space="0" w:color="auto"/>
                        <w:right w:val="none" w:sz="0" w:space="0" w:color="auto"/>
                      </w:divBdr>
                    </w:div>
                  </w:divsChild>
                </w:div>
                <w:div w:id="1532955020">
                  <w:marLeft w:val="0"/>
                  <w:marRight w:val="0"/>
                  <w:marTop w:val="0"/>
                  <w:marBottom w:val="0"/>
                  <w:divBdr>
                    <w:top w:val="none" w:sz="0" w:space="0" w:color="auto"/>
                    <w:left w:val="none" w:sz="0" w:space="0" w:color="auto"/>
                    <w:bottom w:val="none" w:sz="0" w:space="0" w:color="auto"/>
                    <w:right w:val="none" w:sz="0" w:space="0" w:color="auto"/>
                  </w:divBdr>
                  <w:divsChild>
                    <w:div w:id="1283879139">
                      <w:marLeft w:val="0"/>
                      <w:marRight w:val="0"/>
                      <w:marTop w:val="0"/>
                      <w:marBottom w:val="0"/>
                      <w:divBdr>
                        <w:top w:val="none" w:sz="0" w:space="0" w:color="auto"/>
                        <w:left w:val="none" w:sz="0" w:space="0" w:color="auto"/>
                        <w:bottom w:val="none" w:sz="0" w:space="0" w:color="auto"/>
                        <w:right w:val="none" w:sz="0" w:space="0" w:color="auto"/>
                      </w:divBdr>
                    </w:div>
                  </w:divsChild>
                </w:div>
                <w:div w:id="1537426185">
                  <w:marLeft w:val="0"/>
                  <w:marRight w:val="0"/>
                  <w:marTop w:val="0"/>
                  <w:marBottom w:val="0"/>
                  <w:divBdr>
                    <w:top w:val="none" w:sz="0" w:space="0" w:color="auto"/>
                    <w:left w:val="none" w:sz="0" w:space="0" w:color="auto"/>
                    <w:bottom w:val="none" w:sz="0" w:space="0" w:color="auto"/>
                    <w:right w:val="none" w:sz="0" w:space="0" w:color="auto"/>
                  </w:divBdr>
                  <w:divsChild>
                    <w:div w:id="1341471417">
                      <w:marLeft w:val="0"/>
                      <w:marRight w:val="0"/>
                      <w:marTop w:val="0"/>
                      <w:marBottom w:val="0"/>
                      <w:divBdr>
                        <w:top w:val="none" w:sz="0" w:space="0" w:color="auto"/>
                        <w:left w:val="none" w:sz="0" w:space="0" w:color="auto"/>
                        <w:bottom w:val="none" w:sz="0" w:space="0" w:color="auto"/>
                        <w:right w:val="none" w:sz="0" w:space="0" w:color="auto"/>
                      </w:divBdr>
                    </w:div>
                  </w:divsChild>
                </w:div>
                <w:div w:id="1542673389">
                  <w:marLeft w:val="0"/>
                  <w:marRight w:val="0"/>
                  <w:marTop w:val="0"/>
                  <w:marBottom w:val="0"/>
                  <w:divBdr>
                    <w:top w:val="none" w:sz="0" w:space="0" w:color="auto"/>
                    <w:left w:val="none" w:sz="0" w:space="0" w:color="auto"/>
                    <w:bottom w:val="none" w:sz="0" w:space="0" w:color="auto"/>
                    <w:right w:val="none" w:sz="0" w:space="0" w:color="auto"/>
                  </w:divBdr>
                  <w:divsChild>
                    <w:div w:id="220990834">
                      <w:marLeft w:val="0"/>
                      <w:marRight w:val="0"/>
                      <w:marTop w:val="0"/>
                      <w:marBottom w:val="0"/>
                      <w:divBdr>
                        <w:top w:val="none" w:sz="0" w:space="0" w:color="auto"/>
                        <w:left w:val="none" w:sz="0" w:space="0" w:color="auto"/>
                        <w:bottom w:val="none" w:sz="0" w:space="0" w:color="auto"/>
                        <w:right w:val="none" w:sz="0" w:space="0" w:color="auto"/>
                      </w:divBdr>
                    </w:div>
                  </w:divsChild>
                </w:div>
                <w:div w:id="1582904818">
                  <w:marLeft w:val="0"/>
                  <w:marRight w:val="0"/>
                  <w:marTop w:val="0"/>
                  <w:marBottom w:val="0"/>
                  <w:divBdr>
                    <w:top w:val="none" w:sz="0" w:space="0" w:color="auto"/>
                    <w:left w:val="none" w:sz="0" w:space="0" w:color="auto"/>
                    <w:bottom w:val="none" w:sz="0" w:space="0" w:color="auto"/>
                    <w:right w:val="none" w:sz="0" w:space="0" w:color="auto"/>
                  </w:divBdr>
                  <w:divsChild>
                    <w:div w:id="1654407522">
                      <w:marLeft w:val="0"/>
                      <w:marRight w:val="0"/>
                      <w:marTop w:val="0"/>
                      <w:marBottom w:val="0"/>
                      <w:divBdr>
                        <w:top w:val="none" w:sz="0" w:space="0" w:color="auto"/>
                        <w:left w:val="none" w:sz="0" w:space="0" w:color="auto"/>
                        <w:bottom w:val="none" w:sz="0" w:space="0" w:color="auto"/>
                        <w:right w:val="none" w:sz="0" w:space="0" w:color="auto"/>
                      </w:divBdr>
                    </w:div>
                  </w:divsChild>
                </w:div>
                <w:div w:id="1596093862">
                  <w:marLeft w:val="0"/>
                  <w:marRight w:val="0"/>
                  <w:marTop w:val="0"/>
                  <w:marBottom w:val="0"/>
                  <w:divBdr>
                    <w:top w:val="none" w:sz="0" w:space="0" w:color="auto"/>
                    <w:left w:val="none" w:sz="0" w:space="0" w:color="auto"/>
                    <w:bottom w:val="none" w:sz="0" w:space="0" w:color="auto"/>
                    <w:right w:val="none" w:sz="0" w:space="0" w:color="auto"/>
                  </w:divBdr>
                  <w:divsChild>
                    <w:div w:id="705525971">
                      <w:marLeft w:val="0"/>
                      <w:marRight w:val="0"/>
                      <w:marTop w:val="0"/>
                      <w:marBottom w:val="0"/>
                      <w:divBdr>
                        <w:top w:val="none" w:sz="0" w:space="0" w:color="auto"/>
                        <w:left w:val="none" w:sz="0" w:space="0" w:color="auto"/>
                        <w:bottom w:val="none" w:sz="0" w:space="0" w:color="auto"/>
                        <w:right w:val="none" w:sz="0" w:space="0" w:color="auto"/>
                      </w:divBdr>
                    </w:div>
                  </w:divsChild>
                </w:div>
                <w:div w:id="1598362686">
                  <w:marLeft w:val="0"/>
                  <w:marRight w:val="0"/>
                  <w:marTop w:val="0"/>
                  <w:marBottom w:val="0"/>
                  <w:divBdr>
                    <w:top w:val="none" w:sz="0" w:space="0" w:color="auto"/>
                    <w:left w:val="none" w:sz="0" w:space="0" w:color="auto"/>
                    <w:bottom w:val="none" w:sz="0" w:space="0" w:color="auto"/>
                    <w:right w:val="none" w:sz="0" w:space="0" w:color="auto"/>
                  </w:divBdr>
                  <w:divsChild>
                    <w:div w:id="1192567653">
                      <w:marLeft w:val="0"/>
                      <w:marRight w:val="0"/>
                      <w:marTop w:val="0"/>
                      <w:marBottom w:val="0"/>
                      <w:divBdr>
                        <w:top w:val="none" w:sz="0" w:space="0" w:color="auto"/>
                        <w:left w:val="none" w:sz="0" w:space="0" w:color="auto"/>
                        <w:bottom w:val="none" w:sz="0" w:space="0" w:color="auto"/>
                        <w:right w:val="none" w:sz="0" w:space="0" w:color="auto"/>
                      </w:divBdr>
                    </w:div>
                  </w:divsChild>
                </w:div>
                <w:div w:id="1611086738">
                  <w:marLeft w:val="0"/>
                  <w:marRight w:val="0"/>
                  <w:marTop w:val="0"/>
                  <w:marBottom w:val="0"/>
                  <w:divBdr>
                    <w:top w:val="none" w:sz="0" w:space="0" w:color="auto"/>
                    <w:left w:val="none" w:sz="0" w:space="0" w:color="auto"/>
                    <w:bottom w:val="none" w:sz="0" w:space="0" w:color="auto"/>
                    <w:right w:val="none" w:sz="0" w:space="0" w:color="auto"/>
                  </w:divBdr>
                  <w:divsChild>
                    <w:div w:id="1874923884">
                      <w:marLeft w:val="0"/>
                      <w:marRight w:val="0"/>
                      <w:marTop w:val="0"/>
                      <w:marBottom w:val="0"/>
                      <w:divBdr>
                        <w:top w:val="none" w:sz="0" w:space="0" w:color="auto"/>
                        <w:left w:val="none" w:sz="0" w:space="0" w:color="auto"/>
                        <w:bottom w:val="none" w:sz="0" w:space="0" w:color="auto"/>
                        <w:right w:val="none" w:sz="0" w:space="0" w:color="auto"/>
                      </w:divBdr>
                    </w:div>
                  </w:divsChild>
                </w:div>
                <w:div w:id="1624965345">
                  <w:marLeft w:val="0"/>
                  <w:marRight w:val="0"/>
                  <w:marTop w:val="0"/>
                  <w:marBottom w:val="0"/>
                  <w:divBdr>
                    <w:top w:val="none" w:sz="0" w:space="0" w:color="auto"/>
                    <w:left w:val="none" w:sz="0" w:space="0" w:color="auto"/>
                    <w:bottom w:val="none" w:sz="0" w:space="0" w:color="auto"/>
                    <w:right w:val="none" w:sz="0" w:space="0" w:color="auto"/>
                  </w:divBdr>
                  <w:divsChild>
                    <w:div w:id="444813627">
                      <w:marLeft w:val="0"/>
                      <w:marRight w:val="0"/>
                      <w:marTop w:val="0"/>
                      <w:marBottom w:val="0"/>
                      <w:divBdr>
                        <w:top w:val="none" w:sz="0" w:space="0" w:color="auto"/>
                        <w:left w:val="none" w:sz="0" w:space="0" w:color="auto"/>
                        <w:bottom w:val="none" w:sz="0" w:space="0" w:color="auto"/>
                        <w:right w:val="none" w:sz="0" w:space="0" w:color="auto"/>
                      </w:divBdr>
                    </w:div>
                  </w:divsChild>
                </w:div>
                <w:div w:id="1684353809">
                  <w:marLeft w:val="0"/>
                  <w:marRight w:val="0"/>
                  <w:marTop w:val="0"/>
                  <w:marBottom w:val="0"/>
                  <w:divBdr>
                    <w:top w:val="none" w:sz="0" w:space="0" w:color="auto"/>
                    <w:left w:val="none" w:sz="0" w:space="0" w:color="auto"/>
                    <w:bottom w:val="none" w:sz="0" w:space="0" w:color="auto"/>
                    <w:right w:val="none" w:sz="0" w:space="0" w:color="auto"/>
                  </w:divBdr>
                  <w:divsChild>
                    <w:div w:id="447895674">
                      <w:marLeft w:val="0"/>
                      <w:marRight w:val="0"/>
                      <w:marTop w:val="0"/>
                      <w:marBottom w:val="0"/>
                      <w:divBdr>
                        <w:top w:val="none" w:sz="0" w:space="0" w:color="auto"/>
                        <w:left w:val="none" w:sz="0" w:space="0" w:color="auto"/>
                        <w:bottom w:val="none" w:sz="0" w:space="0" w:color="auto"/>
                        <w:right w:val="none" w:sz="0" w:space="0" w:color="auto"/>
                      </w:divBdr>
                    </w:div>
                  </w:divsChild>
                </w:div>
                <w:div w:id="1685590937">
                  <w:marLeft w:val="0"/>
                  <w:marRight w:val="0"/>
                  <w:marTop w:val="0"/>
                  <w:marBottom w:val="0"/>
                  <w:divBdr>
                    <w:top w:val="none" w:sz="0" w:space="0" w:color="auto"/>
                    <w:left w:val="none" w:sz="0" w:space="0" w:color="auto"/>
                    <w:bottom w:val="none" w:sz="0" w:space="0" w:color="auto"/>
                    <w:right w:val="none" w:sz="0" w:space="0" w:color="auto"/>
                  </w:divBdr>
                  <w:divsChild>
                    <w:div w:id="1807041066">
                      <w:marLeft w:val="0"/>
                      <w:marRight w:val="0"/>
                      <w:marTop w:val="0"/>
                      <w:marBottom w:val="0"/>
                      <w:divBdr>
                        <w:top w:val="none" w:sz="0" w:space="0" w:color="auto"/>
                        <w:left w:val="none" w:sz="0" w:space="0" w:color="auto"/>
                        <w:bottom w:val="none" w:sz="0" w:space="0" w:color="auto"/>
                        <w:right w:val="none" w:sz="0" w:space="0" w:color="auto"/>
                      </w:divBdr>
                    </w:div>
                  </w:divsChild>
                </w:div>
                <w:div w:id="1686445743">
                  <w:marLeft w:val="0"/>
                  <w:marRight w:val="0"/>
                  <w:marTop w:val="0"/>
                  <w:marBottom w:val="0"/>
                  <w:divBdr>
                    <w:top w:val="none" w:sz="0" w:space="0" w:color="auto"/>
                    <w:left w:val="none" w:sz="0" w:space="0" w:color="auto"/>
                    <w:bottom w:val="none" w:sz="0" w:space="0" w:color="auto"/>
                    <w:right w:val="none" w:sz="0" w:space="0" w:color="auto"/>
                  </w:divBdr>
                  <w:divsChild>
                    <w:div w:id="43189000">
                      <w:marLeft w:val="0"/>
                      <w:marRight w:val="0"/>
                      <w:marTop w:val="0"/>
                      <w:marBottom w:val="0"/>
                      <w:divBdr>
                        <w:top w:val="none" w:sz="0" w:space="0" w:color="auto"/>
                        <w:left w:val="none" w:sz="0" w:space="0" w:color="auto"/>
                        <w:bottom w:val="none" w:sz="0" w:space="0" w:color="auto"/>
                        <w:right w:val="none" w:sz="0" w:space="0" w:color="auto"/>
                      </w:divBdr>
                    </w:div>
                  </w:divsChild>
                </w:div>
                <w:div w:id="1710185050">
                  <w:marLeft w:val="0"/>
                  <w:marRight w:val="0"/>
                  <w:marTop w:val="0"/>
                  <w:marBottom w:val="0"/>
                  <w:divBdr>
                    <w:top w:val="none" w:sz="0" w:space="0" w:color="auto"/>
                    <w:left w:val="none" w:sz="0" w:space="0" w:color="auto"/>
                    <w:bottom w:val="none" w:sz="0" w:space="0" w:color="auto"/>
                    <w:right w:val="none" w:sz="0" w:space="0" w:color="auto"/>
                  </w:divBdr>
                  <w:divsChild>
                    <w:div w:id="264853399">
                      <w:marLeft w:val="0"/>
                      <w:marRight w:val="0"/>
                      <w:marTop w:val="0"/>
                      <w:marBottom w:val="0"/>
                      <w:divBdr>
                        <w:top w:val="none" w:sz="0" w:space="0" w:color="auto"/>
                        <w:left w:val="none" w:sz="0" w:space="0" w:color="auto"/>
                        <w:bottom w:val="none" w:sz="0" w:space="0" w:color="auto"/>
                        <w:right w:val="none" w:sz="0" w:space="0" w:color="auto"/>
                      </w:divBdr>
                    </w:div>
                  </w:divsChild>
                </w:div>
                <w:div w:id="1716081863">
                  <w:marLeft w:val="0"/>
                  <w:marRight w:val="0"/>
                  <w:marTop w:val="0"/>
                  <w:marBottom w:val="0"/>
                  <w:divBdr>
                    <w:top w:val="none" w:sz="0" w:space="0" w:color="auto"/>
                    <w:left w:val="none" w:sz="0" w:space="0" w:color="auto"/>
                    <w:bottom w:val="none" w:sz="0" w:space="0" w:color="auto"/>
                    <w:right w:val="none" w:sz="0" w:space="0" w:color="auto"/>
                  </w:divBdr>
                  <w:divsChild>
                    <w:div w:id="2004581270">
                      <w:marLeft w:val="0"/>
                      <w:marRight w:val="0"/>
                      <w:marTop w:val="0"/>
                      <w:marBottom w:val="0"/>
                      <w:divBdr>
                        <w:top w:val="none" w:sz="0" w:space="0" w:color="auto"/>
                        <w:left w:val="none" w:sz="0" w:space="0" w:color="auto"/>
                        <w:bottom w:val="none" w:sz="0" w:space="0" w:color="auto"/>
                        <w:right w:val="none" w:sz="0" w:space="0" w:color="auto"/>
                      </w:divBdr>
                    </w:div>
                  </w:divsChild>
                </w:div>
                <w:div w:id="1722048936">
                  <w:marLeft w:val="0"/>
                  <w:marRight w:val="0"/>
                  <w:marTop w:val="0"/>
                  <w:marBottom w:val="0"/>
                  <w:divBdr>
                    <w:top w:val="none" w:sz="0" w:space="0" w:color="auto"/>
                    <w:left w:val="none" w:sz="0" w:space="0" w:color="auto"/>
                    <w:bottom w:val="none" w:sz="0" w:space="0" w:color="auto"/>
                    <w:right w:val="none" w:sz="0" w:space="0" w:color="auto"/>
                  </w:divBdr>
                  <w:divsChild>
                    <w:div w:id="300961877">
                      <w:marLeft w:val="0"/>
                      <w:marRight w:val="0"/>
                      <w:marTop w:val="0"/>
                      <w:marBottom w:val="0"/>
                      <w:divBdr>
                        <w:top w:val="none" w:sz="0" w:space="0" w:color="auto"/>
                        <w:left w:val="none" w:sz="0" w:space="0" w:color="auto"/>
                        <w:bottom w:val="none" w:sz="0" w:space="0" w:color="auto"/>
                        <w:right w:val="none" w:sz="0" w:space="0" w:color="auto"/>
                      </w:divBdr>
                    </w:div>
                  </w:divsChild>
                </w:div>
                <w:div w:id="1740904575">
                  <w:marLeft w:val="0"/>
                  <w:marRight w:val="0"/>
                  <w:marTop w:val="0"/>
                  <w:marBottom w:val="0"/>
                  <w:divBdr>
                    <w:top w:val="none" w:sz="0" w:space="0" w:color="auto"/>
                    <w:left w:val="none" w:sz="0" w:space="0" w:color="auto"/>
                    <w:bottom w:val="none" w:sz="0" w:space="0" w:color="auto"/>
                    <w:right w:val="none" w:sz="0" w:space="0" w:color="auto"/>
                  </w:divBdr>
                  <w:divsChild>
                    <w:div w:id="2091802880">
                      <w:marLeft w:val="0"/>
                      <w:marRight w:val="0"/>
                      <w:marTop w:val="0"/>
                      <w:marBottom w:val="0"/>
                      <w:divBdr>
                        <w:top w:val="none" w:sz="0" w:space="0" w:color="auto"/>
                        <w:left w:val="none" w:sz="0" w:space="0" w:color="auto"/>
                        <w:bottom w:val="none" w:sz="0" w:space="0" w:color="auto"/>
                        <w:right w:val="none" w:sz="0" w:space="0" w:color="auto"/>
                      </w:divBdr>
                    </w:div>
                  </w:divsChild>
                </w:div>
                <w:div w:id="1742829888">
                  <w:marLeft w:val="0"/>
                  <w:marRight w:val="0"/>
                  <w:marTop w:val="0"/>
                  <w:marBottom w:val="0"/>
                  <w:divBdr>
                    <w:top w:val="none" w:sz="0" w:space="0" w:color="auto"/>
                    <w:left w:val="none" w:sz="0" w:space="0" w:color="auto"/>
                    <w:bottom w:val="none" w:sz="0" w:space="0" w:color="auto"/>
                    <w:right w:val="none" w:sz="0" w:space="0" w:color="auto"/>
                  </w:divBdr>
                  <w:divsChild>
                    <w:div w:id="293562388">
                      <w:marLeft w:val="0"/>
                      <w:marRight w:val="0"/>
                      <w:marTop w:val="0"/>
                      <w:marBottom w:val="0"/>
                      <w:divBdr>
                        <w:top w:val="none" w:sz="0" w:space="0" w:color="auto"/>
                        <w:left w:val="none" w:sz="0" w:space="0" w:color="auto"/>
                        <w:bottom w:val="none" w:sz="0" w:space="0" w:color="auto"/>
                        <w:right w:val="none" w:sz="0" w:space="0" w:color="auto"/>
                      </w:divBdr>
                    </w:div>
                  </w:divsChild>
                </w:div>
                <w:div w:id="1748768740">
                  <w:marLeft w:val="0"/>
                  <w:marRight w:val="0"/>
                  <w:marTop w:val="0"/>
                  <w:marBottom w:val="0"/>
                  <w:divBdr>
                    <w:top w:val="none" w:sz="0" w:space="0" w:color="auto"/>
                    <w:left w:val="none" w:sz="0" w:space="0" w:color="auto"/>
                    <w:bottom w:val="none" w:sz="0" w:space="0" w:color="auto"/>
                    <w:right w:val="none" w:sz="0" w:space="0" w:color="auto"/>
                  </w:divBdr>
                  <w:divsChild>
                    <w:div w:id="1290628089">
                      <w:marLeft w:val="0"/>
                      <w:marRight w:val="0"/>
                      <w:marTop w:val="0"/>
                      <w:marBottom w:val="0"/>
                      <w:divBdr>
                        <w:top w:val="none" w:sz="0" w:space="0" w:color="auto"/>
                        <w:left w:val="none" w:sz="0" w:space="0" w:color="auto"/>
                        <w:bottom w:val="none" w:sz="0" w:space="0" w:color="auto"/>
                        <w:right w:val="none" w:sz="0" w:space="0" w:color="auto"/>
                      </w:divBdr>
                    </w:div>
                  </w:divsChild>
                </w:div>
                <w:div w:id="1774132971">
                  <w:marLeft w:val="0"/>
                  <w:marRight w:val="0"/>
                  <w:marTop w:val="0"/>
                  <w:marBottom w:val="0"/>
                  <w:divBdr>
                    <w:top w:val="none" w:sz="0" w:space="0" w:color="auto"/>
                    <w:left w:val="none" w:sz="0" w:space="0" w:color="auto"/>
                    <w:bottom w:val="none" w:sz="0" w:space="0" w:color="auto"/>
                    <w:right w:val="none" w:sz="0" w:space="0" w:color="auto"/>
                  </w:divBdr>
                  <w:divsChild>
                    <w:div w:id="1857838983">
                      <w:marLeft w:val="0"/>
                      <w:marRight w:val="0"/>
                      <w:marTop w:val="0"/>
                      <w:marBottom w:val="0"/>
                      <w:divBdr>
                        <w:top w:val="none" w:sz="0" w:space="0" w:color="auto"/>
                        <w:left w:val="none" w:sz="0" w:space="0" w:color="auto"/>
                        <w:bottom w:val="none" w:sz="0" w:space="0" w:color="auto"/>
                        <w:right w:val="none" w:sz="0" w:space="0" w:color="auto"/>
                      </w:divBdr>
                    </w:div>
                  </w:divsChild>
                </w:div>
                <w:div w:id="1795519389">
                  <w:marLeft w:val="0"/>
                  <w:marRight w:val="0"/>
                  <w:marTop w:val="0"/>
                  <w:marBottom w:val="0"/>
                  <w:divBdr>
                    <w:top w:val="none" w:sz="0" w:space="0" w:color="auto"/>
                    <w:left w:val="none" w:sz="0" w:space="0" w:color="auto"/>
                    <w:bottom w:val="none" w:sz="0" w:space="0" w:color="auto"/>
                    <w:right w:val="none" w:sz="0" w:space="0" w:color="auto"/>
                  </w:divBdr>
                  <w:divsChild>
                    <w:div w:id="790827389">
                      <w:marLeft w:val="0"/>
                      <w:marRight w:val="0"/>
                      <w:marTop w:val="0"/>
                      <w:marBottom w:val="0"/>
                      <w:divBdr>
                        <w:top w:val="none" w:sz="0" w:space="0" w:color="auto"/>
                        <w:left w:val="none" w:sz="0" w:space="0" w:color="auto"/>
                        <w:bottom w:val="none" w:sz="0" w:space="0" w:color="auto"/>
                        <w:right w:val="none" w:sz="0" w:space="0" w:color="auto"/>
                      </w:divBdr>
                    </w:div>
                  </w:divsChild>
                </w:div>
                <w:div w:id="1808353793">
                  <w:marLeft w:val="0"/>
                  <w:marRight w:val="0"/>
                  <w:marTop w:val="0"/>
                  <w:marBottom w:val="0"/>
                  <w:divBdr>
                    <w:top w:val="none" w:sz="0" w:space="0" w:color="auto"/>
                    <w:left w:val="none" w:sz="0" w:space="0" w:color="auto"/>
                    <w:bottom w:val="none" w:sz="0" w:space="0" w:color="auto"/>
                    <w:right w:val="none" w:sz="0" w:space="0" w:color="auto"/>
                  </w:divBdr>
                  <w:divsChild>
                    <w:div w:id="1762221839">
                      <w:marLeft w:val="0"/>
                      <w:marRight w:val="0"/>
                      <w:marTop w:val="0"/>
                      <w:marBottom w:val="0"/>
                      <w:divBdr>
                        <w:top w:val="none" w:sz="0" w:space="0" w:color="auto"/>
                        <w:left w:val="none" w:sz="0" w:space="0" w:color="auto"/>
                        <w:bottom w:val="none" w:sz="0" w:space="0" w:color="auto"/>
                        <w:right w:val="none" w:sz="0" w:space="0" w:color="auto"/>
                      </w:divBdr>
                    </w:div>
                  </w:divsChild>
                </w:div>
                <w:div w:id="1814365623">
                  <w:marLeft w:val="0"/>
                  <w:marRight w:val="0"/>
                  <w:marTop w:val="0"/>
                  <w:marBottom w:val="0"/>
                  <w:divBdr>
                    <w:top w:val="none" w:sz="0" w:space="0" w:color="auto"/>
                    <w:left w:val="none" w:sz="0" w:space="0" w:color="auto"/>
                    <w:bottom w:val="none" w:sz="0" w:space="0" w:color="auto"/>
                    <w:right w:val="none" w:sz="0" w:space="0" w:color="auto"/>
                  </w:divBdr>
                  <w:divsChild>
                    <w:div w:id="1668899366">
                      <w:marLeft w:val="0"/>
                      <w:marRight w:val="0"/>
                      <w:marTop w:val="0"/>
                      <w:marBottom w:val="0"/>
                      <w:divBdr>
                        <w:top w:val="none" w:sz="0" w:space="0" w:color="auto"/>
                        <w:left w:val="none" w:sz="0" w:space="0" w:color="auto"/>
                        <w:bottom w:val="none" w:sz="0" w:space="0" w:color="auto"/>
                        <w:right w:val="none" w:sz="0" w:space="0" w:color="auto"/>
                      </w:divBdr>
                    </w:div>
                  </w:divsChild>
                </w:div>
                <w:div w:id="1823157712">
                  <w:marLeft w:val="0"/>
                  <w:marRight w:val="0"/>
                  <w:marTop w:val="0"/>
                  <w:marBottom w:val="0"/>
                  <w:divBdr>
                    <w:top w:val="none" w:sz="0" w:space="0" w:color="auto"/>
                    <w:left w:val="none" w:sz="0" w:space="0" w:color="auto"/>
                    <w:bottom w:val="none" w:sz="0" w:space="0" w:color="auto"/>
                    <w:right w:val="none" w:sz="0" w:space="0" w:color="auto"/>
                  </w:divBdr>
                  <w:divsChild>
                    <w:div w:id="1361398465">
                      <w:marLeft w:val="0"/>
                      <w:marRight w:val="0"/>
                      <w:marTop w:val="0"/>
                      <w:marBottom w:val="0"/>
                      <w:divBdr>
                        <w:top w:val="none" w:sz="0" w:space="0" w:color="auto"/>
                        <w:left w:val="none" w:sz="0" w:space="0" w:color="auto"/>
                        <w:bottom w:val="none" w:sz="0" w:space="0" w:color="auto"/>
                        <w:right w:val="none" w:sz="0" w:space="0" w:color="auto"/>
                      </w:divBdr>
                    </w:div>
                  </w:divsChild>
                </w:div>
                <w:div w:id="1848592587">
                  <w:marLeft w:val="0"/>
                  <w:marRight w:val="0"/>
                  <w:marTop w:val="0"/>
                  <w:marBottom w:val="0"/>
                  <w:divBdr>
                    <w:top w:val="none" w:sz="0" w:space="0" w:color="auto"/>
                    <w:left w:val="none" w:sz="0" w:space="0" w:color="auto"/>
                    <w:bottom w:val="none" w:sz="0" w:space="0" w:color="auto"/>
                    <w:right w:val="none" w:sz="0" w:space="0" w:color="auto"/>
                  </w:divBdr>
                  <w:divsChild>
                    <w:div w:id="1451392749">
                      <w:marLeft w:val="0"/>
                      <w:marRight w:val="0"/>
                      <w:marTop w:val="0"/>
                      <w:marBottom w:val="0"/>
                      <w:divBdr>
                        <w:top w:val="none" w:sz="0" w:space="0" w:color="auto"/>
                        <w:left w:val="none" w:sz="0" w:space="0" w:color="auto"/>
                        <w:bottom w:val="none" w:sz="0" w:space="0" w:color="auto"/>
                        <w:right w:val="none" w:sz="0" w:space="0" w:color="auto"/>
                      </w:divBdr>
                    </w:div>
                  </w:divsChild>
                </w:div>
                <w:div w:id="1860846428">
                  <w:marLeft w:val="0"/>
                  <w:marRight w:val="0"/>
                  <w:marTop w:val="0"/>
                  <w:marBottom w:val="0"/>
                  <w:divBdr>
                    <w:top w:val="none" w:sz="0" w:space="0" w:color="auto"/>
                    <w:left w:val="none" w:sz="0" w:space="0" w:color="auto"/>
                    <w:bottom w:val="none" w:sz="0" w:space="0" w:color="auto"/>
                    <w:right w:val="none" w:sz="0" w:space="0" w:color="auto"/>
                  </w:divBdr>
                  <w:divsChild>
                    <w:div w:id="1816145209">
                      <w:marLeft w:val="0"/>
                      <w:marRight w:val="0"/>
                      <w:marTop w:val="0"/>
                      <w:marBottom w:val="0"/>
                      <w:divBdr>
                        <w:top w:val="none" w:sz="0" w:space="0" w:color="auto"/>
                        <w:left w:val="none" w:sz="0" w:space="0" w:color="auto"/>
                        <w:bottom w:val="none" w:sz="0" w:space="0" w:color="auto"/>
                        <w:right w:val="none" w:sz="0" w:space="0" w:color="auto"/>
                      </w:divBdr>
                    </w:div>
                  </w:divsChild>
                </w:div>
                <w:div w:id="1867518765">
                  <w:marLeft w:val="0"/>
                  <w:marRight w:val="0"/>
                  <w:marTop w:val="0"/>
                  <w:marBottom w:val="0"/>
                  <w:divBdr>
                    <w:top w:val="none" w:sz="0" w:space="0" w:color="auto"/>
                    <w:left w:val="none" w:sz="0" w:space="0" w:color="auto"/>
                    <w:bottom w:val="none" w:sz="0" w:space="0" w:color="auto"/>
                    <w:right w:val="none" w:sz="0" w:space="0" w:color="auto"/>
                  </w:divBdr>
                  <w:divsChild>
                    <w:div w:id="104081420">
                      <w:marLeft w:val="0"/>
                      <w:marRight w:val="0"/>
                      <w:marTop w:val="0"/>
                      <w:marBottom w:val="0"/>
                      <w:divBdr>
                        <w:top w:val="none" w:sz="0" w:space="0" w:color="auto"/>
                        <w:left w:val="none" w:sz="0" w:space="0" w:color="auto"/>
                        <w:bottom w:val="none" w:sz="0" w:space="0" w:color="auto"/>
                        <w:right w:val="none" w:sz="0" w:space="0" w:color="auto"/>
                      </w:divBdr>
                    </w:div>
                  </w:divsChild>
                </w:div>
                <w:div w:id="1867794800">
                  <w:marLeft w:val="0"/>
                  <w:marRight w:val="0"/>
                  <w:marTop w:val="0"/>
                  <w:marBottom w:val="0"/>
                  <w:divBdr>
                    <w:top w:val="none" w:sz="0" w:space="0" w:color="auto"/>
                    <w:left w:val="none" w:sz="0" w:space="0" w:color="auto"/>
                    <w:bottom w:val="none" w:sz="0" w:space="0" w:color="auto"/>
                    <w:right w:val="none" w:sz="0" w:space="0" w:color="auto"/>
                  </w:divBdr>
                  <w:divsChild>
                    <w:div w:id="837960021">
                      <w:marLeft w:val="0"/>
                      <w:marRight w:val="0"/>
                      <w:marTop w:val="0"/>
                      <w:marBottom w:val="0"/>
                      <w:divBdr>
                        <w:top w:val="none" w:sz="0" w:space="0" w:color="auto"/>
                        <w:left w:val="none" w:sz="0" w:space="0" w:color="auto"/>
                        <w:bottom w:val="none" w:sz="0" w:space="0" w:color="auto"/>
                        <w:right w:val="none" w:sz="0" w:space="0" w:color="auto"/>
                      </w:divBdr>
                    </w:div>
                  </w:divsChild>
                </w:div>
                <w:div w:id="1874222743">
                  <w:marLeft w:val="0"/>
                  <w:marRight w:val="0"/>
                  <w:marTop w:val="0"/>
                  <w:marBottom w:val="0"/>
                  <w:divBdr>
                    <w:top w:val="none" w:sz="0" w:space="0" w:color="auto"/>
                    <w:left w:val="none" w:sz="0" w:space="0" w:color="auto"/>
                    <w:bottom w:val="none" w:sz="0" w:space="0" w:color="auto"/>
                    <w:right w:val="none" w:sz="0" w:space="0" w:color="auto"/>
                  </w:divBdr>
                  <w:divsChild>
                    <w:div w:id="503057375">
                      <w:marLeft w:val="0"/>
                      <w:marRight w:val="0"/>
                      <w:marTop w:val="0"/>
                      <w:marBottom w:val="0"/>
                      <w:divBdr>
                        <w:top w:val="none" w:sz="0" w:space="0" w:color="auto"/>
                        <w:left w:val="none" w:sz="0" w:space="0" w:color="auto"/>
                        <w:bottom w:val="none" w:sz="0" w:space="0" w:color="auto"/>
                        <w:right w:val="none" w:sz="0" w:space="0" w:color="auto"/>
                      </w:divBdr>
                    </w:div>
                  </w:divsChild>
                </w:div>
                <w:div w:id="1876042599">
                  <w:marLeft w:val="0"/>
                  <w:marRight w:val="0"/>
                  <w:marTop w:val="0"/>
                  <w:marBottom w:val="0"/>
                  <w:divBdr>
                    <w:top w:val="none" w:sz="0" w:space="0" w:color="auto"/>
                    <w:left w:val="none" w:sz="0" w:space="0" w:color="auto"/>
                    <w:bottom w:val="none" w:sz="0" w:space="0" w:color="auto"/>
                    <w:right w:val="none" w:sz="0" w:space="0" w:color="auto"/>
                  </w:divBdr>
                  <w:divsChild>
                    <w:div w:id="1353874614">
                      <w:marLeft w:val="0"/>
                      <w:marRight w:val="0"/>
                      <w:marTop w:val="0"/>
                      <w:marBottom w:val="0"/>
                      <w:divBdr>
                        <w:top w:val="none" w:sz="0" w:space="0" w:color="auto"/>
                        <w:left w:val="none" w:sz="0" w:space="0" w:color="auto"/>
                        <w:bottom w:val="none" w:sz="0" w:space="0" w:color="auto"/>
                        <w:right w:val="none" w:sz="0" w:space="0" w:color="auto"/>
                      </w:divBdr>
                    </w:div>
                  </w:divsChild>
                </w:div>
                <w:div w:id="1923635911">
                  <w:marLeft w:val="0"/>
                  <w:marRight w:val="0"/>
                  <w:marTop w:val="0"/>
                  <w:marBottom w:val="0"/>
                  <w:divBdr>
                    <w:top w:val="none" w:sz="0" w:space="0" w:color="auto"/>
                    <w:left w:val="none" w:sz="0" w:space="0" w:color="auto"/>
                    <w:bottom w:val="none" w:sz="0" w:space="0" w:color="auto"/>
                    <w:right w:val="none" w:sz="0" w:space="0" w:color="auto"/>
                  </w:divBdr>
                  <w:divsChild>
                    <w:div w:id="856624098">
                      <w:marLeft w:val="0"/>
                      <w:marRight w:val="0"/>
                      <w:marTop w:val="0"/>
                      <w:marBottom w:val="0"/>
                      <w:divBdr>
                        <w:top w:val="none" w:sz="0" w:space="0" w:color="auto"/>
                        <w:left w:val="none" w:sz="0" w:space="0" w:color="auto"/>
                        <w:bottom w:val="none" w:sz="0" w:space="0" w:color="auto"/>
                        <w:right w:val="none" w:sz="0" w:space="0" w:color="auto"/>
                      </w:divBdr>
                    </w:div>
                  </w:divsChild>
                </w:div>
                <w:div w:id="1927374347">
                  <w:marLeft w:val="0"/>
                  <w:marRight w:val="0"/>
                  <w:marTop w:val="0"/>
                  <w:marBottom w:val="0"/>
                  <w:divBdr>
                    <w:top w:val="none" w:sz="0" w:space="0" w:color="auto"/>
                    <w:left w:val="none" w:sz="0" w:space="0" w:color="auto"/>
                    <w:bottom w:val="none" w:sz="0" w:space="0" w:color="auto"/>
                    <w:right w:val="none" w:sz="0" w:space="0" w:color="auto"/>
                  </w:divBdr>
                  <w:divsChild>
                    <w:div w:id="1328292733">
                      <w:marLeft w:val="0"/>
                      <w:marRight w:val="0"/>
                      <w:marTop w:val="0"/>
                      <w:marBottom w:val="0"/>
                      <w:divBdr>
                        <w:top w:val="none" w:sz="0" w:space="0" w:color="auto"/>
                        <w:left w:val="none" w:sz="0" w:space="0" w:color="auto"/>
                        <w:bottom w:val="none" w:sz="0" w:space="0" w:color="auto"/>
                        <w:right w:val="none" w:sz="0" w:space="0" w:color="auto"/>
                      </w:divBdr>
                    </w:div>
                  </w:divsChild>
                </w:div>
                <w:div w:id="1928266700">
                  <w:marLeft w:val="0"/>
                  <w:marRight w:val="0"/>
                  <w:marTop w:val="0"/>
                  <w:marBottom w:val="0"/>
                  <w:divBdr>
                    <w:top w:val="none" w:sz="0" w:space="0" w:color="auto"/>
                    <w:left w:val="none" w:sz="0" w:space="0" w:color="auto"/>
                    <w:bottom w:val="none" w:sz="0" w:space="0" w:color="auto"/>
                    <w:right w:val="none" w:sz="0" w:space="0" w:color="auto"/>
                  </w:divBdr>
                  <w:divsChild>
                    <w:div w:id="611015926">
                      <w:marLeft w:val="0"/>
                      <w:marRight w:val="0"/>
                      <w:marTop w:val="0"/>
                      <w:marBottom w:val="0"/>
                      <w:divBdr>
                        <w:top w:val="none" w:sz="0" w:space="0" w:color="auto"/>
                        <w:left w:val="none" w:sz="0" w:space="0" w:color="auto"/>
                        <w:bottom w:val="none" w:sz="0" w:space="0" w:color="auto"/>
                        <w:right w:val="none" w:sz="0" w:space="0" w:color="auto"/>
                      </w:divBdr>
                    </w:div>
                  </w:divsChild>
                </w:div>
                <w:div w:id="1932276627">
                  <w:marLeft w:val="0"/>
                  <w:marRight w:val="0"/>
                  <w:marTop w:val="0"/>
                  <w:marBottom w:val="0"/>
                  <w:divBdr>
                    <w:top w:val="none" w:sz="0" w:space="0" w:color="auto"/>
                    <w:left w:val="none" w:sz="0" w:space="0" w:color="auto"/>
                    <w:bottom w:val="none" w:sz="0" w:space="0" w:color="auto"/>
                    <w:right w:val="none" w:sz="0" w:space="0" w:color="auto"/>
                  </w:divBdr>
                  <w:divsChild>
                    <w:div w:id="59989532">
                      <w:marLeft w:val="0"/>
                      <w:marRight w:val="0"/>
                      <w:marTop w:val="0"/>
                      <w:marBottom w:val="0"/>
                      <w:divBdr>
                        <w:top w:val="none" w:sz="0" w:space="0" w:color="auto"/>
                        <w:left w:val="none" w:sz="0" w:space="0" w:color="auto"/>
                        <w:bottom w:val="none" w:sz="0" w:space="0" w:color="auto"/>
                        <w:right w:val="none" w:sz="0" w:space="0" w:color="auto"/>
                      </w:divBdr>
                    </w:div>
                  </w:divsChild>
                </w:div>
                <w:div w:id="1941838547">
                  <w:marLeft w:val="0"/>
                  <w:marRight w:val="0"/>
                  <w:marTop w:val="0"/>
                  <w:marBottom w:val="0"/>
                  <w:divBdr>
                    <w:top w:val="none" w:sz="0" w:space="0" w:color="auto"/>
                    <w:left w:val="none" w:sz="0" w:space="0" w:color="auto"/>
                    <w:bottom w:val="none" w:sz="0" w:space="0" w:color="auto"/>
                    <w:right w:val="none" w:sz="0" w:space="0" w:color="auto"/>
                  </w:divBdr>
                  <w:divsChild>
                    <w:div w:id="1695886309">
                      <w:marLeft w:val="0"/>
                      <w:marRight w:val="0"/>
                      <w:marTop w:val="0"/>
                      <w:marBottom w:val="0"/>
                      <w:divBdr>
                        <w:top w:val="none" w:sz="0" w:space="0" w:color="auto"/>
                        <w:left w:val="none" w:sz="0" w:space="0" w:color="auto"/>
                        <w:bottom w:val="none" w:sz="0" w:space="0" w:color="auto"/>
                        <w:right w:val="none" w:sz="0" w:space="0" w:color="auto"/>
                      </w:divBdr>
                    </w:div>
                  </w:divsChild>
                </w:div>
                <w:div w:id="1951427868">
                  <w:marLeft w:val="0"/>
                  <w:marRight w:val="0"/>
                  <w:marTop w:val="0"/>
                  <w:marBottom w:val="0"/>
                  <w:divBdr>
                    <w:top w:val="none" w:sz="0" w:space="0" w:color="auto"/>
                    <w:left w:val="none" w:sz="0" w:space="0" w:color="auto"/>
                    <w:bottom w:val="none" w:sz="0" w:space="0" w:color="auto"/>
                    <w:right w:val="none" w:sz="0" w:space="0" w:color="auto"/>
                  </w:divBdr>
                  <w:divsChild>
                    <w:div w:id="282732133">
                      <w:marLeft w:val="0"/>
                      <w:marRight w:val="0"/>
                      <w:marTop w:val="0"/>
                      <w:marBottom w:val="0"/>
                      <w:divBdr>
                        <w:top w:val="none" w:sz="0" w:space="0" w:color="auto"/>
                        <w:left w:val="none" w:sz="0" w:space="0" w:color="auto"/>
                        <w:bottom w:val="none" w:sz="0" w:space="0" w:color="auto"/>
                        <w:right w:val="none" w:sz="0" w:space="0" w:color="auto"/>
                      </w:divBdr>
                    </w:div>
                  </w:divsChild>
                </w:div>
                <w:div w:id="1951861180">
                  <w:marLeft w:val="0"/>
                  <w:marRight w:val="0"/>
                  <w:marTop w:val="0"/>
                  <w:marBottom w:val="0"/>
                  <w:divBdr>
                    <w:top w:val="none" w:sz="0" w:space="0" w:color="auto"/>
                    <w:left w:val="none" w:sz="0" w:space="0" w:color="auto"/>
                    <w:bottom w:val="none" w:sz="0" w:space="0" w:color="auto"/>
                    <w:right w:val="none" w:sz="0" w:space="0" w:color="auto"/>
                  </w:divBdr>
                  <w:divsChild>
                    <w:div w:id="1655186624">
                      <w:marLeft w:val="0"/>
                      <w:marRight w:val="0"/>
                      <w:marTop w:val="0"/>
                      <w:marBottom w:val="0"/>
                      <w:divBdr>
                        <w:top w:val="none" w:sz="0" w:space="0" w:color="auto"/>
                        <w:left w:val="none" w:sz="0" w:space="0" w:color="auto"/>
                        <w:bottom w:val="none" w:sz="0" w:space="0" w:color="auto"/>
                        <w:right w:val="none" w:sz="0" w:space="0" w:color="auto"/>
                      </w:divBdr>
                    </w:div>
                  </w:divsChild>
                </w:div>
                <w:div w:id="1965500300">
                  <w:marLeft w:val="0"/>
                  <w:marRight w:val="0"/>
                  <w:marTop w:val="0"/>
                  <w:marBottom w:val="0"/>
                  <w:divBdr>
                    <w:top w:val="none" w:sz="0" w:space="0" w:color="auto"/>
                    <w:left w:val="none" w:sz="0" w:space="0" w:color="auto"/>
                    <w:bottom w:val="none" w:sz="0" w:space="0" w:color="auto"/>
                    <w:right w:val="none" w:sz="0" w:space="0" w:color="auto"/>
                  </w:divBdr>
                  <w:divsChild>
                    <w:div w:id="310065025">
                      <w:marLeft w:val="0"/>
                      <w:marRight w:val="0"/>
                      <w:marTop w:val="0"/>
                      <w:marBottom w:val="0"/>
                      <w:divBdr>
                        <w:top w:val="none" w:sz="0" w:space="0" w:color="auto"/>
                        <w:left w:val="none" w:sz="0" w:space="0" w:color="auto"/>
                        <w:bottom w:val="none" w:sz="0" w:space="0" w:color="auto"/>
                        <w:right w:val="none" w:sz="0" w:space="0" w:color="auto"/>
                      </w:divBdr>
                    </w:div>
                  </w:divsChild>
                </w:div>
                <w:div w:id="1967854791">
                  <w:marLeft w:val="0"/>
                  <w:marRight w:val="0"/>
                  <w:marTop w:val="0"/>
                  <w:marBottom w:val="0"/>
                  <w:divBdr>
                    <w:top w:val="none" w:sz="0" w:space="0" w:color="auto"/>
                    <w:left w:val="none" w:sz="0" w:space="0" w:color="auto"/>
                    <w:bottom w:val="none" w:sz="0" w:space="0" w:color="auto"/>
                    <w:right w:val="none" w:sz="0" w:space="0" w:color="auto"/>
                  </w:divBdr>
                  <w:divsChild>
                    <w:div w:id="1992903211">
                      <w:marLeft w:val="0"/>
                      <w:marRight w:val="0"/>
                      <w:marTop w:val="0"/>
                      <w:marBottom w:val="0"/>
                      <w:divBdr>
                        <w:top w:val="none" w:sz="0" w:space="0" w:color="auto"/>
                        <w:left w:val="none" w:sz="0" w:space="0" w:color="auto"/>
                        <w:bottom w:val="none" w:sz="0" w:space="0" w:color="auto"/>
                        <w:right w:val="none" w:sz="0" w:space="0" w:color="auto"/>
                      </w:divBdr>
                    </w:div>
                  </w:divsChild>
                </w:div>
                <w:div w:id="1980380389">
                  <w:marLeft w:val="0"/>
                  <w:marRight w:val="0"/>
                  <w:marTop w:val="0"/>
                  <w:marBottom w:val="0"/>
                  <w:divBdr>
                    <w:top w:val="none" w:sz="0" w:space="0" w:color="auto"/>
                    <w:left w:val="none" w:sz="0" w:space="0" w:color="auto"/>
                    <w:bottom w:val="none" w:sz="0" w:space="0" w:color="auto"/>
                    <w:right w:val="none" w:sz="0" w:space="0" w:color="auto"/>
                  </w:divBdr>
                  <w:divsChild>
                    <w:div w:id="430860081">
                      <w:marLeft w:val="0"/>
                      <w:marRight w:val="0"/>
                      <w:marTop w:val="0"/>
                      <w:marBottom w:val="0"/>
                      <w:divBdr>
                        <w:top w:val="none" w:sz="0" w:space="0" w:color="auto"/>
                        <w:left w:val="none" w:sz="0" w:space="0" w:color="auto"/>
                        <w:bottom w:val="none" w:sz="0" w:space="0" w:color="auto"/>
                        <w:right w:val="none" w:sz="0" w:space="0" w:color="auto"/>
                      </w:divBdr>
                    </w:div>
                  </w:divsChild>
                </w:div>
                <w:div w:id="1982925609">
                  <w:marLeft w:val="0"/>
                  <w:marRight w:val="0"/>
                  <w:marTop w:val="0"/>
                  <w:marBottom w:val="0"/>
                  <w:divBdr>
                    <w:top w:val="none" w:sz="0" w:space="0" w:color="auto"/>
                    <w:left w:val="none" w:sz="0" w:space="0" w:color="auto"/>
                    <w:bottom w:val="none" w:sz="0" w:space="0" w:color="auto"/>
                    <w:right w:val="none" w:sz="0" w:space="0" w:color="auto"/>
                  </w:divBdr>
                  <w:divsChild>
                    <w:div w:id="347365899">
                      <w:marLeft w:val="0"/>
                      <w:marRight w:val="0"/>
                      <w:marTop w:val="0"/>
                      <w:marBottom w:val="0"/>
                      <w:divBdr>
                        <w:top w:val="none" w:sz="0" w:space="0" w:color="auto"/>
                        <w:left w:val="none" w:sz="0" w:space="0" w:color="auto"/>
                        <w:bottom w:val="none" w:sz="0" w:space="0" w:color="auto"/>
                        <w:right w:val="none" w:sz="0" w:space="0" w:color="auto"/>
                      </w:divBdr>
                    </w:div>
                  </w:divsChild>
                </w:div>
                <w:div w:id="1983190357">
                  <w:marLeft w:val="0"/>
                  <w:marRight w:val="0"/>
                  <w:marTop w:val="0"/>
                  <w:marBottom w:val="0"/>
                  <w:divBdr>
                    <w:top w:val="none" w:sz="0" w:space="0" w:color="auto"/>
                    <w:left w:val="none" w:sz="0" w:space="0" w:color="auto"/>
                    <w:bottom w:val="none" w:sz="0" w:space="0" w:color="auto"/>
                    <w:right w:val="none" w:sz="0" w:space="0" w:color="auto"/>
                  </w:divBdr>
                  <w:divsChild>
                    <w:div w:id="914434921">
                      <w:marLeft w:val="0"/>
                      <w:marRight w:val="0"/>
                      <w:marTop w:val="0"/>
                      <w:marBottom w:val="0"/>
                      <w:divBdr>
                        <w:top w:val="none" w:sz="0" w:space="0" w:color="auto"/>
                        <w:left w:val="none" w:sz="0" w:space="0" w:color="auto"/>
                        <w:bottom w:val="none" w:sz="0" w:space="0" w:color="auto"/>
                        <w:right w:val="none" w:sz="0" w:space="0" w:color="auto"/>
                      </w:divBdr>
                    </w:div>
                  </w:divsChild>
                </w:div>
                <w:div w:id="1988702731">
                  <w:marLeft w:val="0"/>
                  <w:marRight w:val="0"/>
                  <w:marTop w:val="0"/>
                  <w:marBottom w:val="0"/>
                  <w:divBdr>
                    <w:top w:val="none" w:sz="0" w:space="0" w:color="auto"/>
                    <w:left w:val="none" w:sz="0" w:space="0" w:color="auto"/>
                    <w:bottom w:val="none" w:sz="0" w:space="0" w:color="auto"/>
                    <w:right w:val="none" w:sz="0" w:space="0" w:color="auto"/>
                  </w:divBdr>
                  <w:divsChild>
                    <w:div w:id="198667965">
                      <w:marLeft w:val="0"/>
                      <w:marRight w:val="0"/>
                      <w:marTop w:val="0"/>
                      <w:marBottom w:val="0"/>
                      <w:divBdr>
                        <w:top w:val="none" w:sz="0" w:space="0" w:color="auto"/>
                        <w:left w:val="none" w:sz="0" w:space="0" w:color="auto"/>
                        <w:bottom w:val="none" w:sz="0" w:space="0" w:color="auto"/>
                        <w:right w:val="none" w:sz="0" w:space="0" w:color="auto"/>
                      </w:divBdr>
                    </w:div>
                  </w:divsChild>
                </w:div>
                <w:div w:id="1989162917">
                  <w:marLeft w:val="0"/>
                  <w:marRight w:val="0"/>
                  <w:marTop w:val="0"/>
                  <w:marBottom w:val="0"/>
                  <w:divBdr>
                    <w:top w:val="none" w:sz="0" w:space="0" w:color="auto"/>
                    <w:left w:val="none" w:sz="0" w:space="0" w:color="auto"/>
                    <w:bottom w:val="none" w:sz="0" w:space="0" w:color="auto"/>
                    <w:right w:val="none" w:sz="0" w:space="0" w:color="auto"/>
                  </w:divBdr>
                  <w:divsChild>
                    <w:div w:id="1791703721">
                      <w:marLeft w:val="0"/>
                      <w:marRight w:val="0"/>
                      <w:marTop w:val="0"/>
                      <w:marBottom w:val="0"/>
                      <w:divBdr>
                        <w:top w:val="none" w:sz="0" w:space="0" w:color="auto"/>
                        <w:left w:val="none" w:sz="0" w:space="0" w:color="auto"/>
                        <w:bottom w:val="none" w:sz="0" w:space="0" w:color="auto"/>
                        <w:right w:val="none" w:sz="0" w:space="0" w:color="auto"/>
                      </w:divBdr>
                    </w:div>
                  </w:divsChild>
                </w:div>
                <w:div w:id="2007705459">
                  <w:marLeft w:val="0"/>
                  <w:marRight w:val="0"/>
                  <w:marTop w:val="0"/>
                  <w:marBottom w:val="0"/>
                  <w:divBdr>
                    <w:top w:val="none" w:sz="0" w:space="0" w:color="auto"/>
                    <w:left w:val="none" w:sz="0" w:space="0" w:color="auto"/>
                    <w:bottom w:val="none" w:sz="0" w:space="0" w:color="auto"/>
                    <w:right w:val="none" w:sz="0" w:space="0" w:color="auto"/>
                  </w:divBdr>
                  <w:divsChild>
                    <w:div w:id="1776945376">
                      <w:marLeft w:val="0"/>
                      <w:marRight w:val="0"/>
                      <w:marTop w:val="0"/>
                      <w:marBottom w:val="0"/>
                      <w:divBdr>
                        <w:top w:val="none" w:sz="0" w:space="0" w:color="auto"/>
                        <w:left w:val="none" w:sz="0" w:space="0" w:color="auto"/>
                        <w:bottom w:val="none" w:sz="0" w:space="0" w:color="auto"/>
                        <w:right w:val="none" w:sz="0" w:space="0" w:color="auto"/>
                      </w:divBdr>
                    </w:div>
                  </w:divsChild>
                </w:div>
                <w:div w:id="2021197734">
                  <w:marLeft w:val="0"/>
                  <w:marRight w:val="0"/>
                  <w:marTop w:val="0"/>
                  <w:marBottom w:val="0"/>
                  <w:divBdr>
                    <w:top w:val="none" w:sz="0" w:space="0" w:color="auto"/>
                    <w:left w:val="none" w:sz="0" w:space="0" w:color="auto"/>
                    <w:bottom w:val="none" w:sz="0" w:space="0" w:color="auto"/>
                    <w:right w:val="none" w:sz="0" w:space="0" w:color="auto"/>
                  </w:divBdr>
                  <w:divsChild>
                    <w:div w:id="1033845907">
                      <w:marLeft w:val="0"/>
                      <w:marRight w:val="0"/>
                      <w:marTop w:val="0"/>
                      <w:marBottom w:val="0"/>
                      <w:divBdr>
                        <w:top w:val="none" w:sz="0" w:space="0" w:color="auto"/>
                        <w:left w:val="none" w:sz="0" w:space="0" w:color="auto"/>
                        <w:bottom w:val="none" w:sz="0" w:space="0" w:color="auto"/>
                        <w:right w:val="none" w:sz="0" w:space="0" w:color="auto"/>
                      </w:divBdr>
                    </w:div>
                  </w:divsChild>
                </w:div>
                <w:div w:id="2030789312">
                  <w:marLeft w:val="0"/>
                  <w:marRight w:val="0"/>
                  <w:marTop w:val="0"/>
                  <w:marBottom w:val="0"/>
                  <w:divBdr>
                    <w:top w:val="none" w:sz="0" w:space="0" w:color="auto"/>
                    <w:left w:val="none" w:sz="0" w:space="0" w:color="auto"/>
                    <w:bottom w:val="none" w:sz="0" w:space="0" w:color="auto"/>
                    <w:right w:val="none" w:sz="0" w:space="0" w:color="auto"/>
                  </w:divBdr>
                  <w:divsChild>
                    <w:div w:id="1793476316">
                      <w:marLeft w:val="0"/>
                      <w:marRight w:val="0"/>
                      <w:marTop w:val="0"/>
                      <w:marBottom w:val="0"/>
                      <w:divBdr>
                        <w:top w:val="none" w:sz="0" w:space="0" w:color="auto"/>
                        <w:left w:val="none" w:sz="0" w:space="0" w:color="auto"/>
                        <w:bottom w:val="none" w:sz="0" w:space="0" w:color="auto"/>
                        <w:right w:val="none" w:sz="0" w:space="0" w:color="auto"/>
                      </w:divBdr>
                    </w:div>
                  </w:divsChild>
                </w:div>
                <w:div w:id="2054574429">
                  <w:marLeft w:val="0"/>
                  <w:marRight w:val="0"/>
                  <w:marTop w:val="0"/>
                  <w:marBottom w:val="0"/>
                  <w:divBdr>
                    <w:top w:val="none" w:sz="0" w:space="0" w:color="auto"/>
                    <w:left w:val="none" w:sz="0" w:space="0" w:color="auto"/>
                    <w:bottom w:val="none" w:sz="0" w:space="0" w:color="auto"/>
                    <w:right w:val="none" w:sz="0" w:space="0" w:color="auto"/>
                  </w:divBdr>
                  <w:divsChild>
                    <w:div w:id="2022194260">
                      <w:marLeft w:val="0"/>
                      <w:marRight w:val="0"/>
                      <w:marTop w:val="0"/>
                      <w:marBottom w:val="0"/>
                      <w:divBdr>
                        <w:top w:val="none" w:sz="0" w:space="0" w:color="auto"/>
                        <w:left w:val="none" w:sz="0" w:space="0" w:color="auto"/>
                        <w:bottom w:val="none" w:sz="0" w:space="0" w:color="auto"/>
                        <w:right w:val="none" w:sz="0" w:space="0" w:color="auto"/>
                      </w:divBdr>
                    </w:div>
                  </w:divsChild>
                </w:div>
                <w:div w:id="2063868780">
                  <w:marLeft w:val="0"/>
                  <w:marRight w:val="0"/>
                  <w:marTop w:val="0"/>
                  <w:marBottom w:val="0"/>
                  <w:divBdr>
                    <w:top w:val="none" w:sz="0" w:space="0" w:color="auto"/>
                    <w:left w:val="none" w:sz="0" w:space="0" w:color="auto"/>
                    <w:bottom w:val="none" w:sz="0" w:space="0" w:color="auto"/>
                    <w:right w:val="none" w:sz="0" w:space="0" w:color="auto"/>
                  </w:divBdr>
                  <w:divsChild>
                    <w:div w:id="171841287">
                      <w:marLeft w:val="0"/>
                      <w:marRight w:val="0"/>
                      <w:marTop w:val="0"/>
                      <w:marBottom w:val="0"/>
                      <w:divBdr>
                        <w:top w:val="none" w:sz="0" w:space="0" w:color="auto"/>
                        <w:left w:val="none" w:sz="0" w:space="0" w:color="auto"/>
                        <w:bottom w:val="none" w:sz="0" w:space="0" w:color="auto"/>
                        <w:right w:val="none" w:sz="0" w:space="0" w:color="auto"/>
                      </w:divBdr>
                    </w:div>
                  </w:divsChild>
                </w:div>
                <w:div w:id="2069642041">
                  <w:marLeft w:val="0"/>
                  <w:marRight w:val="0"/>
                  <w:marTop w:val="0"/>
                  <w:marBottom w:val="0"/>
                  <w:divBdr>
                    <w:top w:val="none" w:sz="0" w:space="0" w:color="auto"/>
                    <w:left w:val="none" w:sz="0" w:space="0" w:color="auto"/>
                    <w:bottom w:val="none" w:sz="0" w:space="0" w:color="auto"/>
                    <w:right w:val="none" w:sz="0" w:space="0" w:color="auto"/>
                  </w:divBdr>
                  <w:divsChild>
                    <w:div w:id="1774013935">
                      <w:marLeft w:val="0"/>
                      <w:marRight w:val="0"/>
                      <w:marTop w:val="0"/>
                      <w:marBottom w:val="0"/>
                      <w:divBdr>
                        <w:top w:val="none" w:sz="0" w:space="0" w:color="auto"/>
                        <w:left w:val="none" w:sz="0" w:space="0" w:color="auto"/>
                        <w:bottom w:val="none" w:sz="0" w:space="0" w:color="auto"/>
                        <w:right w:val="none" w:sz="0" w:space="0" w:color="auto"/>
                      </w:divBdr>
                    </w:div>
                  </w:divsChild>
                </w:div>
                <w:div w:id="2073237357">
                  <w:marLeft w:val="0"/>
                  <w:marRight w:val="0"/>
                  <w:marTop w:val="0"/>
                  <w:marBottom w:val="0"/>
                  <w:divBdr>
                    <w:top w:val="none" w:sz="0" w:space="0" w:color="auto"/>
                    <w:left w:val="none" w:sz="0" w:space="0" w:color="auto"/>
                    <w:bottom w:val="none" w:sz="0" w:space="0" w:color="auto"/>
                    <w:right w:val="none" w:sz="0" w:space="0" w:color="auto"/>
                  </w:divBdr>
                  <w:divsChild>
                    <w:div w:id="52897631">
                      <w:marLeft w:val="0"/>
                      <w:marRight w:val="0"/>
                      <w:marTop w:val="0"/>
                      <w:marBottom w:val="0"/>
                      <w:divBdr>
                        <w:top w:val="none" w:sz="0" w:space="0" w:color="auto"/>
                        <w:left w:val="none" w:sz="0" w:space="0" w:color="auto"/>
                        <w:bottom w:val="none" w:sz="0" w:space="0" w:color="auto"/>
                        <w:right w:val="none" w:sz="0" w:space="0" w:color="auto"/>
                      </w:divBdr>
                    </w:div>
                  </w:divsChild>
                </w:div>
                <w:div w:id="2091922987">
                  <w:marLeft w:val="0"/>
                  <w:marRight w:val="0"/>
                  <w:marTop w:val="0"/>
                  <w:marBottom w:val="0"/>
                  <w:divBdr>
                    <w:top w:val="none" w:sz="0" w:space="0" w:color="auto"/>
                    <w:left w:val="none" w:sz="0" w:space="0" w:color="auto"/>
                    <w:bottom w:val="none" w:sz="0" w:space="0" w:color="auto"/>
                    <w:right w:val="none" w:sz="0" w:space="0" w:color="auto"/>
                  </w:divBdr>
                  <w:divsChild>
                    <w:div w:id="1263605431">
                      <w:marLeft w:val="0"/>
                      <w:marRight w:val="0"/>
                      <w:marTop w:val="0"/>
                      <w:marBottom w:val="0"/>
                      <w:divBdr>
                        <w:top w:val="none" w:sz="0" w:space="0" w:color="auto"/>
                        <w:left w:val="none" w:sz="0" w:space="0" w:color="auto"/>
                        <w:bottom w:val="none" w:sz="0" w:space="0" w:color="auto"/>
                        <w:right w:val="none" w:sz="0" w:space="0" w:color="auto"/>
                      </w:divBdr>
                    </w:div>
                  </w:divsChild>
                </w:div>
                <w:div w:id="2094278631">
                  <w:marLeft w:val="0"/>
                  <w:marRight w:val="0"/>
                  <w:marTop w:val="0"/>
                  <w:marBottom w:val="0"/>
                  <w:divBdr>
                    <w:top w:val="none" w:sz="0" w:space="0" w:color="auto"/>
                    <w:left w:val="none" w:sz="0" w:space="0" w:color="auto"/>
                    <w:bottom w:val="none" w:sz="0" w:space="0" w:color="auto"/>
                    <w:right w:val="none" w:sz="0" w:space="0" w:color="auto"/>
                  </w:divBdr>
                  <w:divsChild>
                    <w:div w:id="328825694">
                      <w:marLeft w:val="0"/>
                      <w:marRight w:val="0"/>
                      <w:marTop w:val="0"/>
                      <w:marBottom w:val="0"/>
                      <w:divBdr>
                        <w:top w:val="none" w:sz="0" w:space="0" w:color="auto"/>
                        <w:left w:val="none" w:sz="0" w:space="0" w:color="auto"/>
                        <w:bottom w:val="none" w:sz="0" w:space="0" w:color="auto"/>
                        <w:right w:val="none" w:sz="0" w:space="0" w:color="auto"/>
                      </w:divBdr>
                    </w:div>
                  </w:divsChild>
                </w:div>
                <w:div w:id="2095273243">
                  <w:marLeft w:val="0"/>
                  <w:marRight w:val="0"/>
                  <w:marTop w:val="0"/>
                  <w:marBottom w:val="0"/>
                  <w:divBdr>
                    <w:top w:val="none" w:sz="0" w:space="0" w:color="auto"/>
                    <w:left w:val="none" w:sz="0" w:space="0" w:color="auto"/>
                    <w:bottom w:val="none" w:sz="0" w:space="0" w:color="auto"/>
                    <w:right w:val="none" w:sz="0" w:space="0" w:color="auto"/>
                  </w:divBdr>
                  <w:divsChild>
                    <w:div w:id="1033962753">
                      <w:marLeft w:val="0"/>
                      <w:marRight w:val="0"/>
                      <w:marTop w:val="0"/>
                      <w:marBottom w:val="0"/>
                      <w:divBdr>
                        <w:top w:val="none" w:sz="0" w:space="0" w:color="auto"/>
                        <w:left w:val="none" w:sz="0" w:space="0" w:color="auto"/>
                        <w:bottom w:val="none" w:sz="0" w:space="0" w:color="auto"/>
                        <w:right w:val="none" w:sz="0" w:space="0" w:color="auto"/>
                      </w:divBdr>
                    </w:div>
                  </w:divsChild>
                </w:div>
                <w:div w:id="2105951971">
                  <w:marLeft w:val="0"/>
                  <w:marRight w:val="0"/>
                  <w:marTop w:val="0"/>
                  <w:marBottom w:val="0"/>
                  <w:divBdr>
                    <w:top w:val="none" w:sz="0" w:space="0" w:color="auto"/>
                    <w:left w:val="none" w:sz="0" w:space="0" w:color="auto"/>
                    <w:bottom w:val="none" w:sz="0" w:space="0" w:color="auto"/>
                    <w:right w:val="none" w:sz="0" w:space="0" w:color="auto"/>
                  </w:divBdr>
                  <w:divsChild>
                    <w:div w:id="1669022694">
                      <w:marLeft w:val="0"/>
                      <w:marRight w:val="0"/>
                      <w:marTop w:val="0"/>
                      <w:marBottom w:val="0"/>
                      <w:divBdr>
                        <w:top w:val="none" w:sz="0" w:space="0" w:color="auto"/>
                        <w:left w:val="none" w:sz="0" w:space="0" w:color="auto"/>
                        <w:bottom w:val="none" w:sz="0" w:space="0" w:color="auto"/>
                        <w:right w:val="none" w:sz="0" w:space="0" w:color="auto"/>
                      </w:divBdr>
                    </w:div>
                  </w:divsChild>
                </w:div>
                <w:div w:id="2127919932">
                  <w:marLeft w:val="0"/>
                  <w:marRight w:val="0"/>
                  <w:marTop w:val="0"/>
                  <w:marBottom w:val="0"/>
                  <w:divBdr>
                    <w:top w:val="none" w:sz="0" w:space="0" w:color="auto"/>
                    <w:left w:val="none" w:sz="0" w:space="0" w:color="auto"/>
                    <w:bottom w:val="none" w:sz="0" w:space="0" w:color="auto"/>
                    <w:right w:val="none" w:sz="0" w:space="0" w:color="auto"/>
                  </w:divBdr>
                  <w:divsChild>
                    <w:div w:id="2115710422">
                      <w:marLeft w:val="0"/>
                      <w:marRight w:val="0"/>
                      <w:marTop w:val="0"/>
                      <w:marBottom w:val="0"/>
                      <w:divBdr>
                        <w:top w:val="none" w:sz="0" w:space="0" w:color="auto"/>
                        <w:left w:val="none" w:sz="0" w:space="0" w:color="auto"/>
                        <w:bottom w:val="none" w:sz="0" w:space="0" w:color="auto"/>
                        <w:right w:val="none" w:sz="0" w:space="0" w:color="auto"/>
                      </w:divBdr>
                    </w:div>
                  </w:divsChild>
                </w:div>
                <w:div w:id="2138908295">
                  <w:marLeft w:val="0"/>
                  <w:marRight w:val="0"/>
                  <w:marTop w:val="0"/>
                  <w:marBottom w:val="0"/>
                  <w:divBdr>
                    <w:top w:val="none" w:sz="0" w:space="0" w:color="auto"/>
                    <w:left w:val="none" w:sz="0" w:space="0" w:color="auto"/>
                    <w:bottom w:val="none" w:sz="0" w:space="0" w:color="auto"/>
                    <w:right w:val="none" w:sz="0" w:space="0" w:color="auto"/>
                  </w:divBdr>
                  <w:divsChild>
                    <w:div w:id="532496575">
                      <w:marLeft w:val="0"/>
                      <w:marRight w:val="0"/>
                      <w:marTop w:val="0"/>
                      <w:marBottom w:val="0"/>
                      <w:divBdr>
                        <w:top w:val="none" w:sz="0" w:space="0" w:color="auto"/>
                        <w:left w:val="none" w:sz="0" w:space="0" w:color="auto"/>
                        <w:bottom w:val="none" w:sz="0" w:space="0" w:color="auto"/>
                        <w:right w:val="none" w:sz="0" w:space="0" w:color="auto"/>
                      </w:divBdr>
                    </w:div>
                  </w:divsChild>
                </w:div>
                <w:div w:id="2139950219">
                  <w:marLeft w:val="0"/>
                  <w:marRight w:val="0"/>
                  <w:marTop w:val="0"/>
                  <w:marBottom w:val="0"/>
                  <w:divBdr>
                    <w:top w:val="none" w:sz="0" w:space="0" w:color="auto"/>
                    <w:left w:val="none" w:sz="0" w:space="0" w:color="auto"/>
                    <w:bottom w:val="none" w:sz="0" w:space="0" w:color="auto"/>
                    <w:right w:val="none" w:sz="0" w:space="0" w:color="auto"/>
                  </w:divBdr>
                  <w:divsChild>
                    <w:div w:id="948897699">
                      <w:marLeft w:val="0"/>
                      <w:marRight w:val="0"/>
                      <w:marTop w:val="0"/>
                      <w:marBottom w:val="0"/>
                      <w:divBdr>
                        <w:top w:val="none" w:sz="0" w:space="0" w:color="auto"/>
                        <w:left w:val="none" w:sz="0" w:space="0" w:color="auto"/>
                        <w:bottom w:val="none" w:sz="0" w:space="0" w:color="auto"/>
                        <w:right w:val="none" w:sz="0" w:space="0" w:color="auto"/>
                      </w:divBdr>
                    </w:div>
                  </w:divsChild>
                </w:div>
                <w:div w:id="2143889398">
                  <w:marLeft w:val="0"/>
                  <w:marRight w:val="0"/>
                  <w:marTop w:val="0"/>
                  <w:marBottom w:val="0"/>
                  <w:divBdr>
                    <w:top w:val="none" w:sz="0" w:space="0" w:color="auto"/>
                    <w:left w:val="none" w:sz="0" w:space="0" w:color="auto"/>
                    <w:bottom w:val="none" w:sz="0" w:space="0" w:color="auto"/>
                    <w:right w:val="none" w:sz="0" w:space="0" w:color="auto"/>
                  </w:divBdr>
                  <w:divsChild>
                    <w:div w:id="110700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553133">
      <w:bodyDiv w:val="1"/>
      <w:marLeft w:val="0"/>
      <w:marRight w:val="0"/>
      <w:marTop w:val="0"/>
      <w:marBottom w:val="0"/>
      <w:divBdr>
        <w:top w:val="none" w:sz="0" w:space="0" w:color="auto"/>
        <w:left w:val="none" w:sz="0" w:space="0" w:color="auto"/>
        <w:bottom w:val="none" w:sz="0" w:space="0" w:color="auto"/>
        <w:right w:val="none" w:sz="0" w:space="0" w:color="auto"/>
      </w:divBdr>
    </w:div>
    <w:div w:id="2024504048">
      <w:bodyDiv w:val="1"/>
      <w:marLeft w:val="0"/>
      <w:marRight w:val="0"/>
      <w:marTop w:val="0"/>
      <w:marBottom w:val="0"/>
      <w:divBdr>
        <w:top w:val="none" w:sz="0" w:space="0" w:color="auto"/>
        <w:left w:val="none" w:sz="0" w:space="0" w:color="auto"/>
        <w:bottom w:val="none" w:sz="0" w:space="0" w:color="auto"/>
        <w:right w:val="none" w:sz="0" w:space="0" w:color="auto"/>
      </w:divBdr>
      <w:divsChild>
        <w:div w:id="1592199996">
          <w:marLeft w:val="0"/>
          <w:marRight w:val="0"/>
          <w:marTop w:val="0"/>
          <w:marBottom w:val="0"/>
          <w:divBdr>
            <w:top w:val="none" w:sz="0" w:space="0" w:color="auto"/>
            <w:left w:val="none" w:sz="0" w:space="0" w:color="auto"/>
            <w:bottom w:val="none" w:sz="0" w:space="0" w:color="auto"/>
            <w:right w:val="none" w:sz="0" w:space="0" w:color="auto"/>
          </w:divBdr>
        </w:div>
      </w:divsChild>
    </w:div>
    <w:div w:id="2030911372">
      <w:bodyDiv w:val="1"/>
      <w:marLeft w:val="0"/>
      <w:marRight w:val="0"/>
      <w:marTop w:val="0"/>
      <w:marBottom w:val="0"/>
      <w:divBdr>
        <w:top w:val="none" w:sz="0" w:space="0" w:color="auto"/>
        <w:left w:val="none" w:sz="0" w:space="0" w:color="auto"/>
        <w:bottom w:val="none" w:sz="0" w:space="0" w:color="auto"/>
        <w:right w:val="none" w:sz="0" w:space="0" w:color="auto"/>
      </w:divBdr>
      <w:divsChild>
        <w:div w:id="2093502339">
          <w:marLeft w:val="0"/>
          <w:marRight w:val="0"/>
          <w:marTop w:val="0"/>
          <w:marBottom w:val="0"/>
          <w:divBdr>
            <w:top w:val="none" w:sz="0" w:space="0" w:color="auto"/>
            <w:left w:val="none" w:sz="0" w:space="0" w:color="auto"/>
            <w:bottom w:val="none" w:sz="0" w:space="0" w:color="auto"/>
            <w:right w:val="none" w:sz="0" w:space="0" w:color="auto"/>
          </w:divBdr>
        </w:div>
      </w:divsChild>
    </w:div>
    <w:div w:id="2118986048">
      <w:bodyDiv w:val="1"/>
      <w:marLeft w:val="0"/>
      <w:marRight w:val="0"/>
      <w:marTop w:val="0"/>
      <w:marBottom w:val="0"/>
      <w:divBdr>
        <w:top w:val="none" w:sz="0" w:space="0" w:color="auto"/>
        <w:left w:val="none" w:sz="0" w:space="0" w:color="auto"/>
        <w:bottom w:val="none" w:sz="0" w:space="0" w:color="auto"/>
        <w:right w:val="none" w:sz="0" w:space="0" w:color="auto"/>
      </w:divBdr>
      <w:divsChild>
        <w:div w:id="15102917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2.xml"/><Relationship Id="rId21" Type="http://schemas.openxmlformats.org/officeDocument/2006/relationships/chart" Target="charts/chart1.xml"/><Relationship Id="rId42" Type="http://schemas.openxmlformats.org/officeDocument/2006/relationships/header" Target="header6.xml"/><Relationship Id="rId47" Type="http://schemas.openxmlformats.org/officeDocument/2006/relationships/hyperlink" Target="https://www.doe.mass.edu/instruction/curate/default.html" TargetMode="External"/><Relationship Id="rId63" Type="http://schemas.openxmlformats.org/officeDocument/2006/relationships/footer" Target="footer9.xml"/><Relationship Id="rId68" Type="http://schemas.openxmlformats.org/officeDocument/2006/relationships/hyperlink" Target="https://www.doe.mass.edu/research/radar/default.html" TargetMode="External"/><Relationship Id="rId2" Type="http://schemas.openxmlformats.org/officeDocument/2006/relationships/customXml" Target="../customXml/item2.xml"/><Relationship Id="rId16" Type="http://schemas.openxmlformats.org/officeDocument/2006/relationships/image" Target="media/image4.jpeg"/><Relationship Id="rId29" Type="http://schemas.openxmlformats.org/officeDocument/2006/relationships/footer" Target="footer4.xml"/><Relationship Id="rId11" Type="http://schemas.openxmlformats.org/officeDocument/2006/relationships/hyperlink" Target="http://www.doe.mass.edu" TargetMode="External"/><Relationship Id="rId24" Type="http://schemas.openxmlformats.org/officeDocument/2006/relationships/chart" Target="charts/chart4.xml"/><Relationship Id="rId32" Type="http://schemas.openxmlformats.org/officeDocument/2006/relationships/image" Target="media/image5.png"/><Relationship Id="rId37" Type="http://schemas.openxmlformats.org/officeDocument/2006/relationships/header" Target="header5.xml"/><Relationship Id="rId40" Type="http://schemas.openxmlformats.org/officeDocument/2006/relationships/hyperlink" Target="http://metproject.org/resources/CLASS_10_29_10.pdf" TargetMode="External"/><Relationship Id="rId45" Type="http://schemas.openxmlformats.org/officeDocument/2006/relationships/hyperlink" Target="https://www.doe.mass.edu/frameworks/current.html" TargetMode="External"/><Relationship Id="rId53" Type="http://schemas.openxmlformats.org/officeDocument/2006/relationships/hyperlink" Target="https://www.doe.mass.edu/sfss/mtss/" TargetMode="External"/><Relationship Id="rId58" Type="http://schemas.openxmlformats.org/officeDocument/2006/relationships/hyperlink" Target="https://plpartnerguide.org/" TargetMode="External"/><Relationship Id="rId66" Type="http://schemas.openxmlformats.org/officeDocument/2006/relationships/hyperlink" Target="https://www.doe.mass.edu/research/radar/default.html" TargetMode="External"/><Relationship Id="rId74" Type="http://schemas.openxmlformats.org/officeDocument/2006/relationships/header" Target="header10.xml"/><Relationship Id="rId5" Type="http://schemas.openxmlformats.org/officeDocument/2006/relationships/numbering" Target="numbering.xml"/><Relationship Id="rId61" Type="http://schemas.openxmlformats.org/officeDocument/2006/relationships/hyperlink" Target="https://matoolsforschools.com/" TargetMode="External"/><Relationship Id="rId1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chart" Target="charts/chart2.xml"/><Relationship Id="rId27" Type="http://schemas.openxmlformats.org/officeDocument/2006/relationships/footer" Target="footer3.xml"/><Relationship Id="rId30" Type="http://schemas.openxmlformats.org/officeDocument/2006/relationships/footer" Target="footer5.xml"/><Relationship Id="rId35" Type="http://schemas.openxmlformats.org/officeDocument/2006/relationships/image" Target="media/image7.png"/><Relationship Id="rId43" Type="http://schemas.openxmlformats.org/officeDocument/2006/relationships/hyperlink" Target="https://www.doe.mass.edu/csdp/guidebook/coherence-guidebook.pdf" TargetMode="External"/><Relationship Id="rId48" Type="http://schemas.openxmlformats.org/officeDocument/2006/relationships/hyperlink" Target="https://www.doe.mass.edu/instruction/culturally-sustaining/default.html" TargetMode="External"/><Relationship Id="rId56" Type="http://schemas.openxmlformats.org/officeDocument/2006/relationships/hyperlink" Target="https://www.doe.mass.edu/edeffectiveness/talent-guide/default.html" TargetMode="External"/><Relationship Id="rId64" Type="http://schemas.openxmlformats.org/officeDocument/2006/relationships/header" Target="header7.xml"/><Relationship Id="rId69" Type="http://schemas.openxmlformats.org/officeDocument/2006/relationships/header" Target="header8.xml"/><Relationship Id="rId8" Type="http://schemas.openxmlformats.org/officeDocument/2006/relationships/webSettings" Target="webSettings.xml"/><Relationship Id="rId51" Type="http://schemas.openxmlformats.org/officeDocument/2006/relationships/hyperlink" Target="https://www.doe.mass.edu/stem/ste/openscied.html" TargetMode="External"/><Relationship Id="rId72" Type="http://schemas.openxmlformats.org/officeDocument/2006/relationships/footer" Target="footer12.xml"/><Relationship Id="rId3" Type="http://schemas.openxmlformats.org/officeDocument/2006/relationships/customXml" Target="../customXml/item3.xml"/><Relationship Id="rId12" Type="http://schemas.openxmlformats.org/officeDocument/2006/relationships/hyperlink" Target="http://www.air.org" TargetMode="External"/><Relationship Id="rId17" Type="http://schemas.openxmlformats.org/officeDocument/2006/relationships/hyperlink" Target="http://www.doe.mass.edu" TargetMode="External"/><Relationship Id="rId25" Type="http://schemas.openxmlformats.org/officeDocument/2006/relationships/chart" Target="charts/chart5.xml"/><Relationship Id="rId33" Type="http://schemas.openxmlformats.org/officeDocument/2006/relationships/image" Target="media/image6.png"/><Relationship Id="rId38" Type="http://schemas.openxmlformats.org/officeDocument/2006/relationships/footer" Target="footer7.xml"/><Relationship Id="rId46" Type="http://schemas.openxmlformats.org/officeDocument/2006/relationships/hyperlink" Target="https://www.doe.mass.edu/instruction/impd/implement-ma.html" TargetMode="External"/><Relationship Id="rId59" Type="http://schemas.openxmlformats.org/officeDocument/2006/relationships/hyperlink" Target="https://view.officeapps.live.com/op/view.aspx?src=https%3A%2F%2Fwww.doe.mass.edu%2Fcsi%2Fdiverse-workforce%2Fteacher-diversification.docx&amp;wdOrigin=BROWSELINK" TargetMode="External"/><Relationship Id="rId67" Type="http://schemas.openxmlformats.org/officeDocument/2006/relationships/hyperlink" Target="https://www.doe.mass.edu/finance/chapter70/default.html" TargetMode="External"/><Relationship Id="rId20" Type="http://schemas.openxmlformats.org/officeDocument/2006/relationships/footer" Target="footer2.xml"/><Relationship Id="rId41" Type="http://schemas.openxmlformats.org/officeDocument/2006/relationships/footer" Target="footer8.xml"/><Relationship Id="rId54" Type="http://schemas.openxmlformats.org/officeDocument/2006/relationships/hyperlink" Target="https://matoolsforschools.com/" TargetMode="External"/><Relationship Id="rId62" Type="http://schemas.openxmlformats.org/officeDocument/2006/relationships/hyperlink" Target="https://www.doe.mass.edu/research/radar/" TargetMode="External"/><Relationship Id="rId70" Type="http://schemas.openxmlformats.org/officeDocument/2006/relationships/footer" Target="footer11.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3.jpeg"/><Relationship Id="rId23" Type="http://schemas.openxmlformats.org/officeDocument/2006/relationships/chart" Target="charts/chart3.xml"/><Relationship Id="rId28" Type="http://schemas.openxmlformats.org/officeDocument/2006/relationships/header" Target="header3.xml"/><Relationship Id="rId36" Type="http://schemas.openxmlformats.org/officeDocument/2006/relationships/hyperlink" Target="http://www.air.org" TargetMode="External"/><Relationship Id="rId49" Type="http://schemas.openxmlformats.org/officeDocument/2006/relationships/hyperlink" Target="https://sites.google.com/view/appleseedsk2/home" TargetMode="External"/><Relationship Id="rId57" Type="http://schemas.openxmlformats.org/officeDocument/2006/relationships/hyperlink" Target="https://www.ma-optic.com/" TargetMode="External"/><Relationship Id="rId10" Type="http://schemas.openxmlformats.org/officeDocument/2006/relationships/endnotes" Target="endnotes.xml"/><Relationship Id="rId31" Type="http://schemas.openxmlformats.org/officeDocument/2006/relationships/header" Target="header4.xml"/><Relationship Id="rId44" Type="http://schemas.openxmlformats.org/officeDocument/2006/relationships/hyperlink" Target="https://www.doe.mass.edu/instruction/impd/default.html" TargetMode="External"/><Relationship Id="rId52" Type="http://schemas.openxmlformats.org/officeDocument/2006/relationships/hyperlink" Target="https://www.doe.mass.edu/massliteracy/" TargetMode="External"/><Relationship Id="rId60" Type="http://schemas.openxmlformats.org/officeDocument/2006/relationships/hyperlink" Target="https://www.doe.mass.edu/sfss/mtss/" TargetMode="External"/><Relationship Id="rId65" Type="http://schemas.openxmlformats.org/officeDocument/2006/relationships/footer" Target="footer10.xml"/><Relationship Id="rId73" Type="http://schemas.openxmlformats.org/officeDocument/2006/relationships/footer" Target="footer13.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1.jpeg"/><Relationship Id="rId18" Type="http://schemas.openxmlformats.org/officeDocument/2006/relationships/header" Target="header1.xml"/><Relationship Id="rId39" Type="http://schemas.openxmlformats.org/officeDocument/2006/relationships/hyperlink" Target="http://www.teachstone.com/wp-content/uploads/2011/05/class-mtp-pk-12-brief.pdf" TargetMode="External"/><Relationship Id="rId34" Type="http://schemas.openxmlformats.org/officeDocument/2006/relationships/footer" Target="footer6.xml"/><Relationship Id="rId50" Type="http://schemas.openxmlformats.org/officeDocument/2006/relationships/hyperlink" Target="https://www.doe.mass.edu/investigatinghistory/" TargetMode="External"/><Relationship Id="rId55" Type="http://schemas.openxmlformats.org/officeDocument/2006/relationships/hyperlink" Target="https://www.doe.mass.edu/edeval/implementation/default.html" TargetMode="External"/><Relationship Id="rId76"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eader" Target="header9.xml"/></Relationships>
</file>

<file path=word/_rels/footnotes.xml.rels><?xml version="1.0" encoding="UTF-8" standalone="yes"?>
<Relationships xmlns="http://schemas.openxmlformats.org/package/2006/relationships"><Relationship Id="rId3" Type="http://schemas.openxmlformats.org/officeDocument/2006/relationships/hyperlink" Target="https://www.doe.mass.edu/instruction/curate" TargetMode="External"/><Relationship Id="rId2" Type="http://schemas.openxmlformats.org/officeDocument/2006/relationships/hyperlink" Target="https://teachstone.com/class/" TargetMode="External"/><Relationship Id="rId1" Type="http://schemas.openxmlformats.org/officeDocument/2006/relationships/hyperlink" Target="http://www.doe.mass.edu/accountability/district-review/district-standards-indicators.pdf"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msair.sharepoint.com/sites/MADistrictReviews25-26/Shared%20Documents/Reports%20and%20Reporting/8.%20District%20Profiles/Winchester/Winchester%20DR%20Profile%20Figures%20-%20Copy%20with%20MCAS%20State%20Average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msair.sharepoint.com/sites/MADistrictReviews25-26/Shared%20Documents/Reports%20and%20Reporting/8.%20District%20Profiles/Winchester/Winchester%20DR%20Profile%20Figures%20-%20Copy%20with%20MCAS%20State%20Average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msair.sharepoint.com/sites/MADistrictReviews25-26/Shared%20Documents/Reports%20and%20Reporting/8.%20District%20Profiles/Winchester/Winchester%20DR%20Profile%20Figures%20-%20Copy%20with%20MCAS%20State%20Average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msair.sharepoint.com/sites/MADistrictReviews25-26/Shared%20Documents/Reports%20and%20Reporting/8.%20District%20Profiles/Winchester/Winchester%20DR%20Profile%20Figures%20-%20Copy%20with%20MCAS%20State%20Average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https://msair.sharepoint.com/sites/MADistrictReviews25-26/Shared%20Documents/Reports%20and%20Reporting/8.%20District%20Profiles/Winchester/Winchester%20DR%20Profile%20Figures%20-%20Copy%20with%20MCAS%20State%20Averag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'Figure 1a'!$B$1</c:f>
              <c:strCache>
                <c:ptCount val="1"/>
                <c:pt idx="0">
                  <c:v>Percent</c:v>
                </c:pt>
              </c:strCache>
            </c:strRef>
          </c:tx>
          <c:dPt>
            <c:idx val="0"/>
            <c:bubble3D val="0"/>
            <c:spPr>
              <a:solidFill>
                <a:schemeClr val="accent2"/>
              </a:solidFill>
              <a:ln w="19050">
                <a:solidFill>
                  <a:schemeClr val="lt1"/>
                </a:solidFill>
              </a:ln>
              <a:effectLst/>
            </c:spPr>
            <c:extLst>
              <c:ext xmlns:c16="http://schemas.microsoft.com/office/drawing/2014/chart" uri="{C3380CC4-5D6E-409C-BE32-E72D297353CC}">
                <c16:uniqueId val="{00000001-245D-4E5A-B03A-6DF4E305AB46}"/>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245D-4E5A-B03A-6DF4E305AB46}"/>
              </c:ext>
            </c:extLst>
          </c:dPt>
          <c:dPt>
            <c:idx val="2"/>
            <c:bubble3D val="0"/>
            <c:spPr>
              <a:solidFill>
                <a:schemeClr val="accent6"/>
              </a:solidFill>
              <a:ln w="19050">
                <a:solidFill>
                  <a:schemeClr val="lt1"/>
                </a:solidFill>
              </a:ln>
              <a:effectLst/>
            </c:spPr>
            <c:extLst>
              <c:ext xmlns:c16="http://schemas.microsoft.com/office/drawing/2014/chart" uri="{C3380CC4-5D6E-409C-BE32-E72D297353CC}">
                <c16:uniqueId val="{00000005-245D-4E5A-B03A-6DF4E305AB46}"/>
              </c:ext>
            </c:extLst>
          </c:dPt>
          <c:dPt>
            <c:idx val="3"/>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7-245D-4E5A-B03A-6DF4E305AB46}"/>
              </c:ext>
            </c:extLst>
          </c:dPt>
          <c:dPt>
            <c:idx val="4"/>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09-245D-4E5A-B03A-6DF4E305AB46}"/>
              </c:ext>
            </c:extLst>
          </c:dPt>
          <c:dLbls>
            <c:dLbl>
              <c:idx val="1"/>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bestFit"/>
              <c:showLegendKey val="0"/>
              <c:showVal val="0"/>
              <c:showCatName val="0"/>
              <c:showSerName val="0"/>
              <c:showPercent val="1"/>
              <c:showBubbleSize val="0"/>
              <c:extLst>
                <c:ext xmlns:c16="http://schemas.microsoft.com/office/drawing/2014/chart" uri="{C3380CC4-5D6E-409C-BE32-E72D297353CC}">
                  <c16:uniqueId val="{00000003-245D-4E5A-B03A-6DF4E305AB46}"/>
                </c:ext>
              </c:extLst>
            </c:dLbl>
            <c:dLbl>
              <c:idx val="3"/>
              <c:layout>
                <c:manualLayout>
                  <c:x val="6.2638804764789209E-3"/>
                  <c:y val="-4.0240108875279476E-3"/>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245D-4E5A-B03A-6DF4E305AB46}"/>
                </c:ext>
              </c:extLst>
            </c:dLbl>
            <c:dLbl>
              <c:idx val="4"/>
              <c:layout>
                <c:manualLayout>
                  <c:x val="6.747341678444041E-3"/>
                  <c:y val="-1.2841450374258773E-3"/>
                </c:manualLayout>
              </c:layout>
              <c:spPr>
                <a:noFill/>
                <a:ln>
                  <a:noFill/>
                </a:ln>
                <a:effectLst/>
              </c:spPr>
              <c:txPr>
                <a:bodyPr rot="0" spcFirstLastPara="1" vertOverflow="overflow" horzOverflow="overflow" vert="horz" wrap="square" lIns="36576" tIns="18288" rIns="36576" bIns="18288" anchor="ctr" anchorCtr="1">
                  <a:spAutoFit/>
                </a:bodyPr>
                <a:lstStyle/>
                <a:p>
                  <a:pPr>
                    <a:defRPr sz="900" b="0" i="0" u="none" strike="noStrike" kern="1200" baseline="0">
                      <a:solidFill>
                        <a:schemeClr val="tx1"/>
                      </a:solidFill>
                      <a:latin typeface="+mn-lt"/>
                      <a:ea typeface="+mn-ea"/>
                      <a:cs typeface="+mn-cs"/>
                    </a:defRPr>
                  </a:pPr>
                  <a:endParaRPr lang="en-US"/>
                </a:p>
              </c:txPr>
              <c:dLblPos val="bestFit"/>
              <c:showLegendKey val="0"/>
              <c:showVal val="0"/>
              <c:showCatName val="0"/>
              <c:showSerName val="0"/>
              <c:showPercent val="1"/>
              <c:showBubbleSize val="0"/>
              <c:extLst>
                <c:ext xmlns:c15="http://schemas.microsoft.com/office/drawing/2012/chart" uri="{CE6537A1-D6FC-4f65-9D91-7224C49458BB}">
                  <c15:spPr xmlns:c15="http://schemas.microsoft.com/office/drawing/2012/chart">
                    <a:prstGeom prst="rect">
                      <a:avLst/>
                    </a:prstGeom>
                    <a:noFill/>
                    <a:ln>
                      <a:noFill/>
                    </a:ln>
                  </c15:spPr>
                </c:ext>
                <c:ext xmlns:c16="http://schemas.microsoft.com/office/drawing/2014/chart" uri="{C3380CC4-5D6E-409C-BE32-E72D297353CC}">
                  <c16:uniqueId val="{00000009-245D-4E5A-B03A-6DF4E305AB4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bestFit"/>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'Figure 1a'!$A$2:$A$6</c:f>
              <c:strCache>
                <c:ptCount val="5"/>
                <c:pt idx="0">
                  <c:v>Hispanic or Latino</c:v>
                </c:pt>
                <c:pt idx="1">
                  <c:v>Black or African American</c:v>
                </c:pt>
                <c:pt idx="2">
                  <c:v>White</c:v>
                </c:pt>
                <c:pt idx="3">
                  <c:v>Asian</c:v>
                </c:pt>
                <c:pt idx="4">
                  <c:v>Multi-Race, Not Hispanic or Latino</c:v>
                </c:pt>
              </c:strCache>
            </c:strRef>
          </c:cat>
          <c:val>
            <c:numRef>
              <c:f>'Figure 1a'!$B$2:$B$6</c:f>
              <c:numCache>
                <c:formatCode>0%</c:formatCode>
                <c:ptCount val="5"/>
                <c:pt idx="0">
                  <c:v>4.3999999999999997E-2</c:v>
                </c:pt>
                <c:pt idx="1">
                  <c:v>1.4E-2</c:v>
                </c:pt>
                <c:pt idx="2">
                  <c:v>0.65100000000000002</c:v>
                </c:pt>
                <c:pt idx="3">
                  <c:v>0.214</c:v>
                </c:pt>
                <c:pt idx="4">
                  <c:v>7.6999999999999999E-2</c:v>
                </c:pt>
              </c:numCache>
            </c:numRef>
          </c:val>
          <c:extLst>
            <c:ext xmlns:c16="http://schemas.microsoft.com/office/drawing/2014/chart" uri="{C3380CC4-5D6E-409C-BE32-E72D297353CC}">
              <c16:uniqueId val="{0000000A-245D-4E5A-B03A-6DF4E305AB46}"/>
            </c:ext>
          </c:extLst>
        </c:ser>
        <c:dLbls>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66636854768153986"/>
          <c:y val="0.1822889326334208"/>
          <c:w val="0.31696478565179353"/>
          <c:h val="0.64236657917760276"/>
        </c:manualLayout>
      </c:layout>
      <c:overlay val="0"/>
      <c:spPr>
        <a:solidFill>
          <a:srgbClr val="FFFFFF"/>
        </a:solid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'Figure 2 (new)'!$B$1</c:f>
              <c:strCache>
                <c:ptCount val="1"/>
                <c:pt idx="0">
                  <c:v>Winchester</c:v>
                </c:pt>
              </c:strCache>
            </c:strRef>
          </c:tx>
          <c:spPr>
            <a:solidFill>
              <a:srgbClr val="00B0F0"/>
            </a:solidFill>
            <a:ln>
              <a:solidFill>
                <a:srgbClr val="00B0F0"/>
              </a:solidFill>
              <a:prstDash val="soli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2 (new)'!$A$2:$A$6</c:f>
              <c:strCache>
                <c:ptCount val="5"/>
                <c:pt idx="0">
                  <c:v>High Needs</c:v>
                </c:pt>
                <c:pt idx="1">
                  <c:v>English Learners</c:v>
                </c:pt>
                <c:pt idx="2">
                  <c:v>First Language Not English</c:v>
                </c:pt>
                <c:pt idx="3">
                  <c:v>Low Income</c:v>
                </c:pt>
                <c:pt idx="4">
                  <c:v>Students With Disabilities</c:v>
                </c:pt>
              </c:strCache>
            </c:strRef>
          </c:cat>
          <c:val>
            <c:numRef>
              <c:f>'Figure 2 (new)'!$B$2:$B$6</c:f>
              <c:numCache>
                <c:formatCode>0%</c:formatCode>
                <c:ptCount val="5"/>
                <c:pt idx="0">
                  <c:v>0.27400000000000002</c:v>
                </c:pt>
                <c:pt idx="1">
                  <c:v>3.2000000000000001E-2</c:v>
                </c:pt>
                <c:pt idx="2">
                  <c:v>0.223</c:v>
                </c:pt>
                <c:pt idx="3">
                  <c:v>7.3999999999999996E-2</c:v>
                </c:pt>
                <c:pt idx="4">
                  <c:v>0.17899999999999999</c:v>
                </c:pt>
              </c:numCache>
            </c:numRef>
          </c:val>
          <c:extLst>
            <c:ext xmlns:c16="http://schemas.microsoft.com/office/drawing/2014/chart" uri="{C3380CC4-5D6E-409C-BE32-E72D297353CC}">
              <c16:uniqueId val="{00000000-007C-4283-A109-37F60485A18D}"/>
            </c:ext>
          </c:extLst>
        </c:ser>
        <c:ser>
          <c:idx val="1"/>
          <c:order val="1"/>
          <c:tx>
            <c:strRef>
              <c:f>'Figure 2 (new)'!$C$1</c:f>
              <c:strCache>
                <c:ptCount val="1"/>
                <c:pt idx="0">
                  <c:v>State</c:v>
                </c:pt>
              </c:strCache>
            </c:strRef>
          </c:tx>
          <c:spPr>
            <a:solidFill>
              <a:srgbClr val="E9713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2 (new)'!$A$2:$A$6</c:f>
              <c:strCache>
                <c:ptCount val="5"/>
                <c:pt idx="0">
                  <c:v>High Needs</c:v>
                </c:pt>
                <c:pt idx="1">
                  <c:v>English Learners</c:v>
                </c:pt>
                <c:pt idx="2">
                  <c:v>First Language Not English</c:v>
                </c:pt>
                <c:pt idx="3">
                  <c:v>Low Income</c:v>
                </c:pt>
                <c:pt idx="4">
                  <c:v>Students With Disabilities</c:v>
                </c:pt>
              </c:strCache>
            </c:strRef>
          </c:cat>
          <c:val>
            <c:numRef>
              <c:f>'Figure 2 (new)'!$C$2:$C$6</c:f>
              <c:numCache>
                <c:formatCode>0%</c:formatCode>
                <c:ptCount val="5"/>
                <c:pt idx="0">
                  <c:v>0.55400000000000005</c:v>
                </c:pt>
                <c:pt idx="1">
                  <c:v>0.13400000000000001</c:v>
                </c:pt>
                <c:pt idx="2">
                  <c:v>0.27300000000000002</c:v>
                </c:pt>
                <c:pt idx="3">
                  <c:v>0.41099999999999998</c:v>
                </c:pt>
                <c:pt idx="4">
                  <c:v>0.21099999999999999</c:v>
                </c:pt>
              </c:numCache>
            </c:numRef>
          </c:val>
          <c:extLst>
            <c:ext xmlns:c16="http://schemas.microsoft.com/office/drawing/2014/chart" uri="{C3380CC4-5D6E-409C-BE32-E72D297353CC}">
              <c16:uniqueId val="{00000001-007C-4283-A109-37F60485A18D}"/>
            </c:ext>
          </c:extLst>
        </c:ser>
        <c:dLbls>
          <c:showLegendKey val="0"/>
          <c:showVal val="0"/>
          <c:showCatName val="0"/>
          <c:showSerName val="0"/>
          <c:showPercent val="0"/>
          <c:showBubbleSize val="0"/>
        </c:dLbls>
        <c:gapWidth val="219"/>
        <c:overlap val="-27"/>
        <c:axId val="553352711"/>
        <c:axId val="553375239"/>
      </c:barChart>
      <c:catAx>
        <c:axId val="55335271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3375239"/>
        <c:crosses val="autoZero"/>
        <c:auto val="1"/>
        <c:lblAlgn val="ctr"/>
        <c:lblOffset val="100"/>
        <c:noMultiLvlLbl val="0"/>
      </c:catAx>
      <c:valAx>
        <c:axId val="553375239"/>
        <c:scaling>
          <c:orientation val="minMax"/>
          <c:max val="0.9"/>
        </c:scaling>
        <c:delete val="0"/>
        <c:axPos val="l"/>
        <c:numFmt formatCode="0%" sourceLinked="1"/>
        <c:majorTickMark val="none"/>
        <c:minorTickMark val="none"/>
        <c:tickLblPos val="none"/>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3352711"/>
        <c:crosses val="autoZero"/>
        <c:crossBetween val="between"/>
        <c:minorUnit val="0.02"/>
      </c:valAx>
      <c:spPr>
        <a:noFill/>
        <a:ln>
          <a:noFill/>
        </a:ln>
        <a:effectLst/>
      </c:spPr>
    </c:plotArea>
    <c:legend>
      <c:legendPos val="r"/>
      <c:layout>
        <c:manualLayout>
          <c:xMode val="edge"/>
          <c:yMode val="edge"/>
          <c:x val="0.83268963254593176"/>
          <c:y val="0.42187445319335082"/>
          <c:w val="0.14856036745406825"/>
          <c:h val="0.1562510936132983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'Figure 3'!$B$1</c:f>
              <c:strCache>
                <c:ptCount val="1"/>
                <c:pt idx="0">
                  <c:v>Winchester</c:v>
                </c:pt>
              </c:strCache>
            </c:strRef>
          </c:tx>
          <c:spPr>
            <a:solidFill>
              <a:srgbClr val="00B0F0"/>
            </a:solidFill>
            <a:ln>
              <a:solidFill>
                <a:srgbClr val="00B0F0"/>
              </a:solidFill>
              <a:prstDash val="soli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3'!$A$2:$A$7</c:f>
              <c:strCache>
                <c:ptCount val="6"/>
                <c:pt idx="0">
                  <c:v>Grade 3-8 (ELA)</c:v>
                </c:pt>
                <c:pt idx="1">
                  <c:v>Grades 3-8 (Math)</c:v>
                </c:pt>
                <c:pt idx="2">
                  <c:v>Grades 5&amp;8 (Science)</c:v>
                </c:pt>
                <c:pt idx="3">
                  <c:v>Grade 10 (ELA)</c:v>
                </c:pt>
                <c:pt idx="4">
                  <c:v>Grade 10 (Math)</c:v>
                </c:pt>
                <c:pt idx="5">
                  <c:v>Grade 10 (Science)</c:v>
                </c:pt>
              </c:strCache>
            </c:strRef>
          </c:cat>
          <c:val>
            <c:numRef>
              <c:f>'Figure 3'!$B$2:$B$7</c:f>
              <c:numCache>
                <c:formatCode>0%</c:formatCode>
                <c:ptCount val="6"/>
                <c:pt idx="0">
                  <c:v>0.71</c:v>
                </c:pt>
                <c:pt idx="1">
                  <c:v>0.74</c:v>
                </c:pt>
                <c:pt idx="2">
                  <c:v>0.77</c:v>
                </c:pt>
                <c:pt idx="3">
                  <c:v>0.8</c:v>
                </c:pt>
                <c:pt idx="4">
                  <c:v>0.77</c:v>
                </c:pt>
                <c:pt idx="5">
                  <c:v>0.84</c:v>
                </c:pt>
              </c:numCache>
            </c:numRef>
          </c:val>
          <c:extLst>
            <c:ext xmlns:c16="http://schemas.microsoft.com/office/drawing/2014/chart" uri="{C3380CC4-5D6E-409C-BE32-E72D297353CC}">
              <c16:uniqueId val="{00000000-E530-44EA-BFE9-ADA177B9D53C}"/>
            </c:ext>
          </c:extLst>
        </c:ser>
        <c:ser>
          <c:idx val="1"/>
          <c:order val="1"/>
          <c:tx>
            <c:strRef>
              <c:f>'Figure 3'!$C$1</c:f>
              <c:strCache>
                <c:ptCount val="1"/>
                <c:pt idx="0">
                  <c:v>State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3'!$A$2:$A$7</c:f>
              <c:strCache>
                <c:ptCount val="6"/>
                <c:pt idx="0">
                  <c:v>Grade 3-8 (ELA)</c:v>
                </c:pt>
                <c:pt idx="1">
                  <c:v>Grades 3-8 (Math)</c:v>
                </c:pt>
                <c:pt idx="2">
                  <c:v>Grades 5&amp;8 (Science)</c:v>
                </c:pt>
                <c:pt idx="3">
                  <c:v>Grade 10 (ELA)</c:v>
                </c:pt>
                <c:pt idx="4">
                  <c:v>Grade 10 (Math)</c:v>
                </c:pt>
                <c:pt idx="5">
                  <c:v>Grade 10 (Science)</c:v>
                </c:pt>
              </c:strCache>
            </c:strRef>
          </c:cat>
          <c:val>
            <c:numRef>
              <c:f>'Figure 3'!$C$2:$C$7</c:f>
              <c:numCache>
                <c:formatCode>0%</c:formatCode>
                <c:ptCount val="6"/>
                <c:pt idx="0">
                  <c:v>0.42</c:v>
                </c:pt>
                <c:pt idx="1">
                  <c:v>0.41</c:v>
                </c:pt>
                <c:pt idx="2">
                  <c:v>0.42</c:v>
                </c:pt>
                <c:pt idx="3">
                  <c:v>0.51</c:v>
                </c:pt>
                <c:pt idx="4">
                  <c:v>0.45</c:v>
                </c:pt>
                <c:pt idx="5">
                  <c:v>0.46</c:v>
                </c:pt>
              </c:numCache>
            </c:numRef>
          </c:val>
          <c:extLst>
            <c:ext xmlns:c16="http://schemas.microsoft.com/office/drawing/2014/chart" uri="{C3380CC4-5D6E-409C-BE32-E72D297353CC}">
              <c16:uniqueId val="{00000001-E530-44EA-BFE9-ADA177B9D53C}"/>
            </c:ext>
          </c:extLst>
        </c:ser>
        <c:dLbls>
          <c:dLblPos val="outEnd"/>
          <c:showLegendKey val="0"/>
          <c:showVal val="1"/>
          <c:showCatName val="0"/>
          <c:showSerName val="0"/>
          <c:showPercent val="0"/>
          <c:showBubbleSize val="0"/>
        </c:dLbls>
        <c:gapWidth val="219"/>
        <c:overlap val="-27"/>
        <c:axId val="702160272"/>
        <c:axId val="702164592"/>
      </c:barChart>
      <c:catAx>
        <c:axId val="7021602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02164592"/>
        <c:crosses val="autoZero"/>
        <c:auto val="1"/>
        <c:lblAlgn val="ctr"/>
        <c:lblOffset val="100"/>
        <c:noMultiLvlLbl val="0"/>
      </c:catAx>
      <c:valAx>
        <c:axId val="702164592"/>
        <c:scaling>
          <c:orientation val="minMax"/>
        </c:scaling>
        <c:delete val="1"/>
        <c:axPos val="l"/>
        <c:numFmt formatCode="0%" sourceLinked="1"/>
        <c:majorTickMark val="none"/>
        <c:minorTickMark val="none"/>
        <c:tickLblPos val="nextTo"/>
        <c:crossAx val="702160272"/>
        <c:crosses val="autoZero"/>
        <c:crossBetween val="between"/>
      </c:valAx>
      <c:spPr>
        <a:noFill/>
        <a:ln w="25400">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'Figure 4'!$B$1</c:f>
              <c:strCache>
                <c:ptCount val="1"/>
                <c:pt idx="0">
                  <c:v>Winchester</c:v>
                </c:pt>
              </c:strCache>
            </c:strRef>
          </c:tx>
          <c:spPr>
            <a:solidFill>
              <a:srgbClr val="00B0F0"/>
            </a:solidFill>
            <a:ln>
              <a:solidFill>
                <a:srgbClr val="00B0F0"/>
              </a:solidFill>
              <a:prstDash val="soli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4'!$A$2:$A$7</c:f>
              <c:strCache>
                <c:ptCount val="6"/>
                <c:pt idx="0">
                  <c:v>Grade 3-8 (ELA)</c:v>
                </c:pt>
                <c:pt idx="1">
                  <c:v>Grades 3-8 (Math)</c:v>
                </c:pt>
                <c:pt idx="2">
                  <c:v>Grades 5&amp;8 (Science)</c:v>
                </c:pt>
                <c:pt idx="3">
                  <c:v>Grade 10 (ELA)</c:v>
                </c:pt>
                <c:pt idx="4">
                  <c:v>Grade 10 (Math)</c:v>
                </c:pt>
                <c:pt idx="5">
                  <c:v>Grade 10 (Science)</c:v>
                </c:pt>
              </c:strCache>
            </c:strRef>
          </c:cat>
          <c:val>
            <c:numRef>
              <c:f>'Figure 4'!$B$2:$B$7</c:f>
              <c:numCache>
                <c:formatCode>0%</c:formatCode>
                <c:ptCount val="6"/>
                <c:pt idx="0">
                  <c:v>0.43</c:v>
                </c:pt>
                <c:pt idx="1">
                  <c:v>0.48</c:v>
                </c:pt>
                <c:pt idx="2">
                  <c:v>0.51</c:v>
                </c:pt>
                <c:pt idx="3">
                  <c:v>0.5</c:v>
                </c:pt>
                <c:pt idx="4">
                  <c:v>0.32</c:v>
                </c:pt>
                <c:pt idx="5">
                  <c:v>0.51</c:v>
                </c:pt>
              </c:numCache>
            </c:numRef>
          </c:val>
          <c:extLst>
            <c:ext xmlns:c16="http://schemas.microsoft.com/office/drawing/2014/chart" uri="{C3380CC4-5D6E-409C-BE32-E72D297353CC}">
              <c16:uniqueId val="{00000000-FA14-4C03-A250-820D6C95CCE2}"/>
            </c:ext>
          </c:extLst>
        </c:ser>
        <c:ser>
          <c:idx val="1"/>
          <c:order val="1"/>
          <c:tx>
            <c:strRef>
              <c:f>'Figure 4'!$C$1</c:f>
              <c:strCache>
                <c:ptCount val="1"/>
                <c:pt idx="0">
                  <c:v>State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4'!$A$2:$A$7</c:f>
              <c:strCache>
                <c:ptCount val="6"/>
                <c:pt idx="0">
                  <c:v>Grade 3-8 (ELA)</c:v>
                </c:pt>
                <c:pt idx="1">
                  <c:v>Grades 3-8 (Math)</c:v>
                </c:pt>
                <c:pt idx="2">
                  <c:v>Grades 5&amp;8 (Science)</c:v>
                </c:pt>
                <c:pt idx="3">
                  <c:v>Grade 10 (ELA)</c:v>
                </c:pt>
                <c:pt idx="4">
                  <c:v>Grade 10 (Math)</c:v>
                </c:pt>
                <c:pt idx="5">
                  <c:v>Grade 10 (Science)</c:v>
                </c:pt>
              </c:strCache>
            </c:strRef>
          </c:cat>
          <c:val>
            <c:numRef>
              <c:f>'Figure 4'!$C$2:$C$7</c:f>
              <c:numCache>
                <c:formatCode>0%</c:formatCode>
                <c:ptCount val="6"/>
                <c:pt idx="0">
                  <c:v>0.23</c:v>
                </c:pt>
                <c:pt idx="1">
                  <c:v>0.23</c:v>
                </c:pt>
                <c:pt idx="2">
                  <c:v>0.23</c:v>
                </c:pt>
                <c:pt idx="3">
                  <c:v>0.3</c:v>
                </c:pt>
                <c:pt idx="4">
                  <c:v>0.24</c:v>
                </c:pt>
                <c:pt idx="5">
                  <c:v>0.25</c:v>
                </c:pt>
              </c:numCache>
            </c:numRef>
          </c:val>
          <c:extLst>
            <c:ext xmlns:c16="http://schemas.microsoft.com/office/drawing/2014/chart" uri="{C3380CC4-5D6E-409C-BE32-E72D297353CC}">
              <c16:uniqueId val="{00000001-FA14-4C03-A250-820D6C95CCE2}"/>
            </c:ext>
          </c:extLst>
        </c:ser>
        <c:dLbls>
          <c:dLblPos val="outEnd"/>
          <c:showLegendKey val="0"/>
          <c:showVal val="1"/>
          <c:showCatName val="0"/>
          <c:showSerName val="0"/>
          <c:showPercent val="0"/>
          <c:showBubbleSize val="0"/>
        </c:dLbls>
        <c:gapWidth val="219"/>
        <c:overlap val="-27"/>
        <c:axId val="1910934735"/>
        <c:axId val="1910932815"/>
      </c:barChart>
      <c:catAx>
        <c:axId val="191093473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10932815"/>
        <c:crosses val="autoZero"/>
        <c:auto val="1"/>
        <c:lblAlgn val="ctr"/>
        <c:lblOffset val="100"/>
        <c:noMultiLvlLbl val="0"/>
      </c:catAx>
      <c:valAx>
        <c:axId val="1910932815"/>
        <c:scaling>
          <c:orientation val="minMax"/>
        </c:scaling>
        <c:delete val="1"/>
        <c:axPos val="l"/>
        <c:numFmt formatCode="0%" sourceLinked="1"/>
        <c:majorTickMark val="none"/>
        <c:minorTickMark val="none"/>
        <c:tickLblPos val="nextTo"/>
        <c:crossAx val="1910934735"/>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'Figure 5'!$B$1</c:f>
              <c:strCache>
                <c:ptCount val="1"/>
                <c:pt idx="0">
                  <c:v>PK-5 Average </c:v>
                </c:pt>
              </c:strCache>
            </c:strRef>
          </c:tx>
          <c:spPr>
            <a:solidFill>
              <a:srgbClr val="00B0F0"/>
            </a:solidFill>
            <a:ln>
              <a:solidFill>
                <a:srgbClr val="00B0F0"/>
              </a:solidFill>
              <a:prstDash val="soli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5'!$A$2:$A$5</c:f>
              <c:strCache>
                <c:ptCount val="4"/>
                <c:pt idx="0">
                  <c:v>Emotional Support</c:v>
                </c:pt>
                <c:pt idx="1">
                  <c:v>Classroom Organization</c:v>
                </c:pt>
                <c:pt idx="2">
                  <c:v>Instructional Support</c:v>
                </c:pt>
                <c:pt idx="3">
                  <c:v>Student Engagement</c:v>
                </c:pt>
              </c:strCache>
            </c:strRef>
          </c:cat>
          <c:val>
            <c:numRef>
              <c:f>'Figure 5'!$B$2:$B$5</c:f>
              <c:numCache>
                <c:formatCode>General</c:formatCode>
                <c:ptCount val="4"/>
                <c:pt idx="0">
                  <c:v>5.5</c:v>
                </c:pt>
                <c:pt idx="1">
                  <c:v>6.1</c:v>
                </c:pt>
                <c:pt idx="2">
                  <c:v>3.6</c:v>
                </c:pt>
                <c:pt idx="3">
                  <c:v>5.9</c:v>
                </c:pt>
              </c:numCache>
            </c:numRef>
          </c:val>
          <c:extLst>
            <c:ext xmlns:c16="http://schemas.microsoft.com/office/drawing/2014/chart" uri="{C3380CC4-5D6E-409C-BE32-E72D297353CC}">
              <c16:uniqueId val="{00000000-FA93-4360-8717-E5A7B5591E46}"/>
            </c:ext>
          </c:extLst>
        </c:ser>
        <c:ser>
          <c:idx val="1"/>
          <c:order val="1"/>
          <c:tx>
            <c:strRef>
              <c:f>'Figure 5'!$C$1</c:f>
              <c:strCache>
                <c:ptCount val="1"/>
                <c:pt idx="0">
                  <c:v>6-8 Average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5'!$A$2:$A$5</c:f>
              <c:strCache>
                <c:ptCount val="4"/>
                <c:pt idx="0">
                  <c:v>Emotional Support</c:v>
                </c:pt>
                <c:pt idx="1">
                  <c:v>Classroom Organization</c:v>
                </c:pt>
                <c:pt idx="2">
                  <c:v>Instructional Support</c:v>
                </c:pt>
                <c:pt idx="3">
                  <c:v>Student Engagement</c:v>
                </c:pt>
              </c:strCache>
            </c:strRef>
          </c:cat>
          <c:val>
            <c:numRef>
              <c:f>'Figure 5'!$C$2:$C$5</c:f>
              <c:numCache>
                <c:formatCode>General</c:formatCode>
                <c:ptCount val="4"/>
                <c:pt idx="0">
                  <c:v>5.0999999999999996</c:v>
                </c:pt>
                <c:pt idx="1">
                  <c:v>6.4</c:v>
                </c:pt>
                <c:pt idx="2">
                  <c:v>3.7</c:v>
                </c:pt>
                <c:pt idx="3">
                  <c:v>5.6</c:v>
                </c:pt>
              </c:numCache>
            </c:numRef>
          </c:val>
          <c:extLst>
            <c:ext xmlns:c16="http://schemas.microsoft.com/office/drawing/2014/chart" uri="{C3380CC4-5D6E-409C-BE32-E72D297353CC}">
              <c16:uniqueId val="{00000001-FA93-4360-8717-E5A7B5591E46}"/>
            </c:ext>
          </c:extLst>
        </c:ser>
        <c:ser>
          <c:idx val="2"/>
          <c:order val="2"/>
          <c:tx>
            <c:strRef>
              <c:f>'Figure 5'!$D$1</c:f>
              <c:strCache>
                <c:ptCount val="1"/>
                <c:pt idx="0">
                  <c:v>9-12 Average </c:v>
                </c:pt>
              </c:strCache>
            </c:strRef>
          </c:tx>
          <c:spPr>
            <a:solidFill>
              <a:srgbClr val="ADADAD"/>
            </a:solidFill>
            <a:ln>
              <a:noFill/>
            </a:ln>
            <a:effectLst/>
          </c:spPr>
          <c:invertIfNegative val="0"/>
          <c:dLbls>
            <c:dLbl>
              <c:idx val="1"/>
              <c:tx>
                <c:rich>
                  <a:bodyPr/>
                  <a:lstStyle/>
                  <a:p>
                    <a:r>
                      <a:rPr lang="en-US"/>
                      <a:t>7.0</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FA93-4360-8717-E5A7B5591E4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5'!$A$2:$A$5</c:f>
              <c:strCache>
                <c:ptCount val="4"/>
                <c:pt idx="0">
                  <c:v>Emotional Support</c:v>
                </c:pt>
                <c:pt idx="1">
                  <c:v>Classroom Organization</c:v>
                </c:pt>
                <c:pt idx="2">
                  <c:v>Instructional Support</c:v>
                </c:pt>
                <c:pt idx="3">
                  <c:v>Student Engagement</c:v>
                </c:pt>
              </c:strCache>
            </c:strRef>
          </c:cat>
          <c:val>
            <c:numRef>
              <c:f>'Figure 5'!$D$2:$D$5</c:f>
              <c:numCache>
                <c:formatCode>General</c:formatCode>
                <c:ptCount val="4"/>
                <c:pt idx="0">
                  <c:v>4.0999999999999996</c:v>
                </c:pt>
                <c:pt idx="1">
                  <c:v>7</c:v>
                </c:pt>
                <c:pt idx="2">
                  <c:v>3.6</c:v>
                </c:pt>
                <c:pt idx="3">
                  <c:v>4.7</c:v>
                </c:pt>
              </c:numCache>
            </c:numRef>
          </c:val>
          <c:extLst>
            <c:ext xmlns:c16="http://schemas.microsoft.com/office/drawing/2014/chart" uri="{C3380CC4-5D6E-409C-BE32-E72D297353CC}">
              <c16:uniqueId val="{00000003-FA93-4360-8717-E5A7B5591E46}"/>
            </c:ext>
          </c:extLst>
        </c:ser>
        <c:dLbls>
          <c:dLblPos val="outEnd"/>
          <c:showLegendKey val="0"/>
          <c:showVal val="1"/>
          <c:showCatName val="0"/>
          <c:showSerName val="0"/>
          <c:showPercent val="0"/>
          <c:showBubbleSize val="0"/>
        </c:dLbls>
        <c:gapWidth val="219"/>
        <c:overlap val="-27"/>
        <c:axId val="1569284095"/>
        <c:axId val="1569284575"/>
      </c:barChart>
      <c:catAx>
        <c:axId val="156928409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CLASS Dimension</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69284575"/>
        <c:crosses val="autoZero"/>
        <c:auto val="1"/>
        <c:lblAlgn val="ctr"/>
        <c:lblOffset val="100"/>
        <c:noMultiLvlLbl val="0"/>
      </c:catAx>
      <c:valAx>
        <c:axId val="1569284575"/>
        <c:scaling>
          <c:orientation val="minMax"/>
          <c:max val="7"/>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CLASS Score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69284095"/>
        <c:crosses val="autoZero"/>
        <c:crossBetween val="between"/>
        <c:majorUnit val="1"/>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MA ES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8b45241-2e0a-4324-b6cd-9efd2f11b483">
      <Terms xmlns="http://schemas.microsoft.com/office/infopath/2007/PartnerControls"/>
    </lcf76f155ced4ddcb4097134ff3c332f>
    <TaxCatchAll xmlns="22602442-92ee-4d3a-8ce8-f0d739bf7d54" xsi:nil="true"/>
    <Lorraine_x0020_Test xmlns="68b45241-2e0a-4324-b6cd-9efd2f11b483">true</Lorraine_x0020_Test>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3866D5547EFD1A4DBC9DB48B0354D5FD" ma:contentTypeVersion="19" ma:contentTypeDescription="Create a new document." ma:contentTypeScope="" ma:versionID="ec9039004e89dafd267f53496d2d0432">
  <xsd:schema xmlns:xsd="http://www.w3.org/2001/XMLSchema" xmlns:xs="http://www.w3.org/2001/XMLSchema" xmlns:p="http://schemas.microsoft.com/office/2006/metadata/properties" xmlns:ns2="68b45241-2e0a-4324-b6cd-9efd2f11b483" xmlns:ns3="22602442-92ee-4d3a-8ce8-f0d739bf7d54" targetNamespace="http://schemas.microsoft.com/office/2006/metadata/properties" ma:root="true" ma:fieldsID="05594490d14ebeb3142828cc4257cb49" ns2:_="" ns3:_="">
    <xsd:import namespace="68b45241-2e0a-4324-b6cd-9efd2f11b483"/>
    <xsd:import namespace="22602442-92ee-4d3a-8ce8-f0d739bf7d54"/>
    <xsd:element name="properties">
      <xsd:complexType>
        <xsd:sequence>
          <xsd:element name="documentManagement">
            <xsd:complexType>
              <xsd:all>
                <xsd:element ref="ns2:Lorraine_x0020_Test" minOccurs="0"/>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b45241-2e0a-4324-b6cd-9efd2f11b483" elementFormDefault="qualified">
    <xsd:import namespace="http://schemas.microsoft.com/office/2006/documentManagement/types"/>
    <xsd:import namespace="http://schemas.microsoft.com/office/infopath/2007/PartnerControls"/>
    <xsd:element name="Lorraine_x0020_Test" ma:index="8" nillable="true" ma:displayName="Lorraine Test" ma:default="1" ma:description="say yes or no" ma:internalName="Lorraine_x0020_Test" ma:readOnly="false">
      <xsd:simpleType>
        <xsd:restriction base="dms:Boolea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602442-92ee-4d3a-8ce8-f0d739bf7d5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7b6a1e5b-2d58-482d-a272-c66f84e62d3b}" ma:internalName="TaxCatchAll" ma:showField="CatchAllData" ma:web="22602442-92ee-4d3a-8ce8-f0d739bf7d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2BBA46-623E-4740-AAB6-01824C52AFD7}">
  <ds:schemaRefs>
    <ds:schemaRef ds:uri="http://schemas.microsoft.com/office/2006/metadata/properties"/>
    <ds:schemaRef ds:uri="http://schemas.microsoft.com/office/infopath/2007/PartnerControls"/>
    <ds:schemaRef ds:uri="68b45241-2e0a-4324-b6cd-9efd2f11b483"/>
    <ds:schemaRef ds:uri="22602442-92ee-4d3a-8ce8-f0d739bf7d54"/>
  </ds:schemaRefs>
</ds:datastoreItem>
</file>

<file path=customXml/itemProps2.xml><?xml version="1.0" encoding="utf-8"?>
<ds:datastoreItem xmlns:ds="http://schemas.openxmlformats.org/officeDocument/2006/customXml" ds:itemID="{5A530547-E219-4CA4-AC39-1FE3AB43296F}">
  <ds:schemaRefs>
    <ds:schemaRef ds:uri="http://schemas.openxmlformats.org/officeDocument/2006/bibliography"/>
  </ds:schemaRefs>
</ds:datastoreItem>
</file>

<file path=customXml/itemProps3.xml><?xml version="1.0" encoding="utf-8"?>
<ds:datastoreItem xmlns:ds="http://schemas.openxmlformats.org/officeDocument/2006/customXml" ds:itemID="{FDF5C557-166B-4DC7-9ED8-B758E1FB84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b45241-2e0a-4324-b6cd-9efd2f11b483"/>
    <ds:schemaRef ds:uri="22602442-92ee-4d3a-8ce8-f0d739bf7d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68E5E8-958F-48D8-B769-C97F3E1B8724}">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64</TotalTime>
  <Pages>1</Pages>
  <Words>34432</Words>
  <Characters>196264</Characters>
  <Application>Microsoft Office Word</Application>
  <DocSecurity>4</DocSecurity>
  <Lines>1635</Lines>
  <Paragraphs>460</Paragraphs>
  <ScaleCrop>false</ScaleCrop>
  <Company/>
  <LinksUpToDate>false</LinksUpToDate>
  <CharactersWithSpaces>230236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Winchester Public Schools</dc:title>
  <dc:subject>Comprehensive District Review Report</dc:subject>
  <dc:creator>Massachusetts Department of Elementary and Secondary Education</dc:creator>
  <cp:keywords/>
  <cp:lastModifiedBy>Havdala, Robert J.  (DESE)</cp:lastModifiedBy>
  <cp:revision>31</cp:revision>
  <cp:lastPrinted>2022-09-24T06:45:00Z</cp:lastPrinted>
  <dcterms:created xsi:type="dcterms:W3CDTF">2026-04-15T17:41:00Z</dcterms:created>
  <dcterms:modified xsi:type="dcterms:W3CDTF">2026-04-30T16:29:00Z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Oct 19 2020</vt:lpwstr>
  </property>
  <property fmtid="{D5CDD505-2E9C-101B-9397-08002B2CF9AE}" pid="3" name="ContentTypeId">
    <vt:lpwstr>0x0101003866D5547EFD1A4DBC9DB48B0354D5FD</vt:lpwstr>
  </property>
  <property fmtid="{D5CDD505-2E9C-101B-9397-08002B2CF9AE}" pid="4" name="Order">
    <vt:r8>16200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docLang">
    <vt:lpwstr>en</vt:lpwstr>
  </property>
  <property fmtid="{D5CDD505-2E9C-101B-9397-08002B2CF9AE}" pid="13" name="GrammarlyDocumentId">
    <vt:lpwstr>682fae06-0481-440a-bf46-7518c792cf23</vt:lpwstr>
  </property>
</Properties>
</file>