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4931C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Dighton-Rehobo</w:t>
      </w:r>
      <w:r w:rsidR="00D11E0E">
        <w:rPr>
          <w:sz w:val="36"/>
          <w:szCs w:val="40"/>
        </w:rPr>
        <w:t>th</w:t>
      </w:r>
      <w:r w:rsidR="00FF17B5">
        <w:rPr>
          <w:sz w:val="36"/>
          <w:szCs w:val="40"/>
        </w:rPr>
        <w:t xml:space="preserve"> 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931C1">
        <w:rPr>
          <w:sz w:val="32"/>
          <w:szCs w:val="40"/>
        </w:rPr>
        <w:t>January 17</w:t>
      </w:r>
      <w:r w:rsidR="009365CD">
        <w:rPr>
          <w:sz w:val="32"/>
          <w:szCs w:val="40"/>
        </w:rPr>
        <w:t>–</w:t>
      </w:r>
      <w:r w:rsidR="004931C1">
        <w:rPr>
          <w:sz w:val="32"/>
          <w:szCs w:val="40"/>
        </w:rPr>
        <w:t>19, 2017</w:t>
      </w:r>
    </w:p>
    <w:p w:rsidR="008E314D" w:rsidRDefault="0040127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263E8" w:rsidRDefault="00C33C97">
      <w:pPr>
        <w:pStyle w:val="TOC1"/>
        <w:rPr>
          <w:rFonts w:eastAsiaTheme="minorEastAsia"/>
        </w:rPr>
      </w:pPr>
      <w:r>
        <w:fldChar w:fldCharType="begin"/>
      </w:r>
      <w:r w:rsidR="008E314D">
        <w:instrText xml:space="preserve"> TOC \h \z \t "Section,1" </w:instrText>
      </w:r>
      <w:r>
        <w:fldChar w:fldCharType="separate"/>
      </w:r>
      <w:hyperlink w:anchor="_Toc484613520" w:history="1">
        <w:r w:rsidR="00D263E8" w:rsidRPr="005F3906">
          <w:rPr>
            <w:rStyle w:val="Hyperlink"/>
          </w:rPr>
          <w:t>Executive Summary</w:t>
        </w:r>
        <w:r w:rsidR="00D263E8">
          <w:rPr>
            <w:webHidden/>
          </w:rPr>
          <w:tab/>
        </w:r>
        <w:r>
          <w:rPr>
            <w:webHidden/>
          </w:rPr>
          <w:fldChar w:fldCharType="begin"/>
        </w:r>
        <w:r w:rsidR="00D263E8">
          <w:rPr>
            <w:webHidden/>
          </w:rPr>
          <w:instrText xml:space="preserve"> PAGEREF _Toc484613520 \h </w:instrText>
        </w:r>
        <w:r>
          <w:rPr>
            <w:webHidden/>
          </w:rPr>
        </w:r>
        <w:r>
          <w:rPr>
            <w:webHidden/>
          </w:rPr>
          <w:fldChar w:fldCharType="separate"/>
        </w:r>
        <w:r w:rsidR="00D263E8">
          <w:rPr>
            <w:webHidden/>
          </w:rPr>
          <w:t>1</w:t>
        </w:r>
        <w:r>
          <w:rPr>
            <w:webHidden/>
          </w:rPr>
          <w:fldChar w:fldCharType="end"/>
        </w:r>
      </w:hyperlink>
    </w:p>
    <w:p w:rsidR="00D263E8" w:rsidRDefault="00F816F4">
      <w:pPr>
        <w:pStyle w:val="TOC1"/>
        <w:rPr>
          <w:rFonts w:eastAsiaTheme="minorEastAsia"/>
        </w:rPr>
      </w:pPr>
      <w:hyperlink w:anchor="_Toc484613521" w:history="1">
        <w:r w:rsidR="00D263E8" w:rsidRPr="005F3906">
          <w:rPr>
            <w:rStyle w:val="Hyperlink"/>
          </w:rPr>
          <w:t>Dighton-Rehoboth Regional School District Targeted District Review Overview</w:t>
        </w:r>
        <w:r w:rsidR="00D263E8">
          <w:rPr>
            <w:webHidden/>
          </w:rPr>
          <w:tab/>
        </w:r>
        <w:r w:rsidR="00C33C97">
          <w:rPr>
            <w:webHidden/>
          </w:rPr>
          <w:fldChar w:fldCharType="begin"/>
        </w:r>
        <w:r w:rsidR="00D263E8">
          <w:rPr>
            <w:webHidden/>
          </w:rPr>
          <w:instrText xml:space="preserve"> PAGEREF _Toc484613521 \h </w:instrText>
        </w:r>
        <w:r w:rsidR="00C33C97">
          <w:rPr>
            <w:webHidden/>
          </w:rPr>
        </w:r>
        <w:r w:rsidR="00C33C97">
          <w:rPr>
            <w:webHidden/>
          </w:rPr>
          <w:fldChar w:fldCharType="separate"/>
        </w:r>
        <w:r w:rsidR="00D263E8">
          <w:rPr>
            <w:webHidden/>
          </w:rPr>
          <w:t>4</w:t>
        </w:r>
        <w:r w:rsidR="00C33C97">
          <w:rPr>
            <w:webHidden/>
          </w:rPr>
          <w:fldChar w:fldCharType="end"/>
        </w:r>
      </w:hyperlink>
    </w:p>
    <w:p w:rsidR="00D263E8" w:rsidRDefault="00F816F4">
      <w:pPr>
        <w:pStyle w:val="TOC1"/>
        <w:rPr>
          <w:rFonts w:eastAsiaTheme="minorEastAsia"/>
        </w:rPr>
      </w:pPr>
      <w:hyperlink w:anchor="_Toc484613522" w:history="1">
        <w:r w:rsidR="00D263E8" w:rsidRPr="005F3906">
          <w:rPr>
            <w:rStyle w:val="Hyperlink"/>
          </w:rPr>
          <w:t>Leadership and Governance</w:t>
        </w:r>
        <w:r w:rsidR="00D263E8">
          <w:rPr>
            <w:webHidden/>
          </w:rPr>
          <w:tab/>
        </w:r>
        <w:r w:rsidR="00C33C97">
          <w:rPr>
            <w:webHidden/>
          </w:rPr>
          <w:fldChar w:fldCharType="begin"/>
        </w:r>
        <w:r w:rsidR="00D263E8">
          <w:rPr>
            <w:webHidden/>
          </w:rPr>
          <w:instrText xml:space="preserve"> PAGEREF _Toc484613522 \h </w:instrText>
        </w:r>
        <w:r w:rsidR="00C33C97">
          <w:rPr>
            <w:webHidden/>
          </w:rPr>
        </w:r>
        <w:r w:rsidR="00C33C97">
          <w:rPr>
            <w:webHidden/>
          </w:rPr>
          <w:fldChar w:fldCharType="separate"/>
        </w:r>
        <w:r w:rsidR="00D263E8">
          <w:rPr>
            <w:webHidden/>
          </w:rPr>
          <w:t>17</w:t>
        </w:r>
        <w:r w:rsidR="00C33C97">
          <w:rPr>
            <w:webHidden/>
          </w:rPr>
          <w:fldChar w:fldCharType="end"/>
        </w:r>
      </w:hyperlink>
    </w:p>
    <w:p w:rsidR="00D263E8" w:rsidRDefault="00F816F4">
      <w:pPr>
        <w:pStyle w:val="TOC1"/>
        <w:rPr>
          <w:rFonts w:eastAsiaTheme="minorEastAsia"/>
        </w:rPr>
      </w:pPr>
      <w:hyperlink w:anchor="_Toc484613523" w:history="1">
        <w:r w:rsidR="00D263E8" w:rsidRPr="005F3906">
          <w:rPr>
            <w:rStyle w:val="Hyperlink"/>
          </w:rPr>
          <w:t>Instruction</w:t>
        </w:r>
        <w:r w:rsidR="00D263E8">
          <w:rPr>
            <w:webHidden/>
          </w:rPr>
          <w:tab/>
        </w:r>
        <w:r w:rsidR="00C33C97">
          <w:rPr>
            <w:webHidden/>
          </w:rPr>
          <w:fldChar w:fldCharType="begin"/>
        </w:r>
        <w:r w:rsidR="00D263E8">
          <w:rPr>
            <w:webHidden/>
          </w:rPr>
          <w:instrText xml:space="preserve"> PAGEREF _Toc484613523 \h </w:instrText>
        </w:r>
        <w:r w:rsidR="00C33C97">
          <w:rPr>
            <w:webHidden/>
          </w:rPr>
        </w:r>
        <w:r w:rsidR="00C33C97">
          <w:rPr>
            <w:webHidden/>
          </w:rPr>
          <w:fldChar w:fldCharType="separate"/>
        </w:r>
        <w:r w:rsidR="00D263E8">
          <w:rPr>
            <w:webHidden/>
          </w:rPr>
          <w:t>23</w:t>
        </w:r>
        <w:r w:rsidR="00C33C97">
          <w:rPr>
            <w:webHidden/>
          </w:rPr>
          <w:fldChar w:fldCharType="end"/>
        </w:r>
      </w:hyperlink>
    </w:p>
    <w:p w:rsidR="00D263E8" w:rsidRDefault="00F816F4">
      <w:pPr>
        <w:pStyle w:val="TOC1"/>
        <w:rPr>
          <w:rFonts w:eastAsiaTheme="minorEastAsia"/>
        </w:rPr>
      </w:pPr>
      <w:hyperlink w:anchor="_Toc484613524" w:history="1">
        <w:r w:rsidR="00D263E8" w:rsidRPr="005F3906">
          <w:rPr>
            <w:rStyle w:val="Hyperlink"/>
          </w:rPr>
          <w:t>Human Resources and Professional Development</w:t>
        </w:r>
        <w:r w:rsidR="00D263E8">
          <w:rPr>
            <w:webHidden/>
          </w:rPr>
          <w:tab/>
        </w:r>
        <w:r w:rsidR="00C33C97">
          <w:rPr>
            <w:webHidden/>
          </w:rPr>
          <w:fldChar w:fldCharType="begin"/>
        </w:r>
        <w:r w:rsidR="00D263E8">
          <w:rPr>
            <w:webHidden/>
          </w:rPr>
          <w:instrText xml:space="preserve"> PAGEREF _Toc484613524 \h </w:instrText>
        </w:r>
        <w:r w:rsidR="00C33C97">
          <w:rPr>
            <w:webHidden/>
          </w:rPr>
        </w:r>
        <w:r w:rsidR="00C33C97">
          <w:rPr>
            <w:webHidden/>
          </w:rPr>
          <w:fldChar w:fldCharType="separate"/>
        </w:r>
        <w:r w:rsidR="00D263E8">
          <w:rPr>
            <w:webHidden/>
          </w:rPr>
          <w:t>28</w:t>
        </w:r>
        <w:r w:rsidR="00C33C97">
          <w:rPr>
            <w:webHidden/>
          </w:rPr>
          <w:fldChar w:fldCharType="end"/>
        </w:r>
      </w:hyperlink>
    </w:p>
    <w:p w:rsidR="00D263E8" w:rsidRDefault="00F816F4">
      <w:pPr>
        <w:pStyle w:val="TOC1"/>
        <w:rPr>
          <w:rFonts w:eastAsiaTheme="minorEastAsia"/>
        </w:rPr>
      </w:pPr>
      <w:hyperlink w:anchor="_Toc484613525" w:history="1">
        <w:r w:rsidR="00D263E8" w:rsidRPr="005F3906">
          <w:rPr>
            <w:rStyle w:val="Hyperlink"/>
          </w:rPr>
          <w:t>Financial and Asset Management</w:t>
        </w:r>
        <w:r w:rsidR="00D263E8">
          <w:rPr>
            <w:webHidden/>
          </w:rPr>
          <w:tab/>
        </w:r>
        <w:r w:rsidR="00C33C97">
          <w:rPr>
            <w:webHidden/>
          </w:rPr>
          <w:fldChar w:fldCharType="begin"/>
        </w:r>
        <w:r w:rsidR="00D263E8">
          <w:rPr>
            <w:webHidden/>
          </w:rPr>
          <w:instrText xml:space="preserve"> PAGEREF _Toc484613525 \h </w:instrText>
        </w:r>
        <w:r w:rsidR="00C33C97">
          <w:rPr>
            <w:webHidden/>
          </w:rPr>
        </w:r>
        <w:r w:rsidR="00C33C97">
          <w:rPr>
            <w:webHidden/>
          </w:rPr>
          <w:fldChar w:fldCharType="separate"/>
        </w:r>
        <w:r w:rsidR="00D263E8">
          <w:rPr>
            <w:webHidden/>
          </w:rPr>
          <w:t>35</w:t>
        </w:r>
        <w:r w:rsidR="00C33C97">
          <w:rPr>
            <w:webHidden/>
          </w:rPr>
          <w:fldChar w:fldCharType="end"/>
        </w:r>
      </w:hyperlink>
    </w:p>
    <w:p w:rsidR="00D263E8" w:rsidRDefault="00F816F4">
      <w:pPr>
        <w:pStyle w:val="TOC1"/>
        <w:rPr>
          <w:rFonts w:eastAsiaTheme="minorEastAsia"/>
        </w:rPr>
      </w:pPr>
      <w:hyperlink w:anchor="_Toc484613526" w:history="1">
        <w:r w:rsidR="00D263E8" w:rsidRPr="005F3906">
          <w:rPr>
            <w:rStyle w:val="Hyperlink"/>
          </w:rPr>
          <w:t>Appendix A: Review Team, Activities, Schedule, Site Visit</w:t>
        </w:r>
        <w:r w:rsidR="00D263E8">
          <w:rPr>
            <w:webHidden/>
          </w:rPr>
          <w:tab/>
        </w:r>
        <w:r w:rsidR="00C33C97">
          <w:rPr>
            <w:webHidden/>
          </w:rPr>
          <w:fldChar w:fldCharType="begin"/>
        </w:r>
        <w:r w:rsidR="00D263E8">
          <w:rPr>
            <w:webHidden/>
          </w:rPr>
          <w:instrText xml:space="preserve"> PAGEREF _Toc484613526 \h </w:instrText>
        </w:r>
        <w:r w:rsidR="00C33C97">
          <w:rPr>
            <w:webHidden/>
          </w:rPr>
        </w:r>
        <w:r w:rsidR="00C33C97">
          <w:rPr>
            <w:webHidden/>
          </w:rPr>
          <w:fldChar w:fldCharType="separate"/>
        </w:r>
        <w:r w:rsidR="00D263E8">
          <w:rPr>
            <w:webHidden/>
          </w:rPr>
          <w:t>40</w:t>
        </w:r>
        <w:r w:rsidR="00C33C97">
          <w:rPr>
            <w:webHidden/>
          </w:rPr>
          <w:fldChar w:fldCharType="end"/>
        </w:r>
      </w:hyperlink>
    </w:p>
    <w:p w:rsidR="00D263E8" w:rsidRDefault="00F816F4">
      <w:pPr>
        <w:pStyle w:val="TOC1"/>
        <w:rPr>
          <w:rFonts w:eastAsiaTheme="minorEastAsia"/>
        </w:rPr>
      </w:pPr>
      <w:hyperlink w:anchor="_Toc484613527" w:history="1">
        <w:r w:rsidR="00D263E8" w:rsidRPr="005F3906">
          <w:rPr>
            <w:rStyle w:val="Hyperlink"/>
          </w:rPr>
          <w:t>Appendix B: Enrollment, Performance, Expenditures</w:t>
        </w:r>
        <w:r w:rsidR="00D263E8">
          <w:rPr>
            <w:webHidden/>
          </w:rPr>
          <w:tab/>
        </w:r>
        <w:r w:rsidR="00C33C97">
          <w:rPr>
            <w:webHidden/>
          </w:rPr>
          <w:fldChar w:fldCharType="begin"/>
        </w:r>
        <w:r w:rsidR="00D263E8">
          <w:rPr>
            <w:webHidden/>
          </w:rPr>
          <w:instrText xml:space="preserve"> PAGEREF _Toc484613527 \h </w:instrText>
        </w:r>
        <w:r w:rsidR="00C33C97">
          <w:rPr>
            <w:webHidden/>
          </w:rPr>
        </w:r>
        <w:r w:rsidR="00C33C97">
          <w:rPr>
            <w:webHidden/>
          </w:rPr>
          <w:fldChar w:fldCharType="separate"/>
        </w:r>
        <w:r w:rsidR="00D263E8">
          <w:rPr>
            <w:webHidden/>
          </w:rPr>
          <w:t>42</w:t>
        </w:r>
        <w:r w:rsidR="00C33C97">
          <w:rPr>
            <w:webHidden/>
          </w:rPr>
          <w:fldChar w:fldCharType="end"/>
        </w:r>
      </w:hyperlink>
    </w:p>
    <w:p w:rsidR="00D263E8" w:rsidRDefault="00F816F4">
      <w:pPr>
        <w:pStyle w:val="TOC1"/>
        <w:rPr>
          <w:rFonts w:eastAsiaTheme="minorEastAsia"/>
        </w:rPr>
      </w:pPr>
      <w:hyperlink w:anchor="_Toc484613528" w:history="1">
        <w:r w:rsidR="00D263E8" w:rsidRPr="005F3906">
          <w:rPr>
            <w:rStyle w:val="Hyperlink"/>
          </w:rPr>
          <w:t>Appendix C: Instructional Inventory</w:t>
        </w:r>
        <w:r w:rsidR="00D263E8">
          <w:rPr>
            <w:webHidden/>
          </w:rPr>
          <w:tab/>
        </w:r>
        <w:r w:rsidR="00C33C97">
          <w:rPr>
            <w:webHidden/>
          </w:rPr>
          <w:fldChar w:fldCharType="begin"/>
        </w:r>
        <w:r w:rsidR="00D263E8">
          <w:rPr>
            <w:webHidden/>
          </w:rPr>
          <w:instrText xml:space="preserve"> PAGEREF _Toc484613528 \h </w:instrText>
        </w:r>
        <w:r w:rsidR="00C33C97">
          <w:rPr>
            <w:webHidden/>
          </w:rPr>
        </w:r>
        <w:r w:rsidR="00C33C97">
          <w:rPr>
            <w:webHidden/>
          </w:rPr>
          <w:fldChar w:fldCharType="separate"/>
        </w:r>
        <w:r w:rsidR="00D263E8">
          <w:rPr>
            <w:webHidden/>
          </w:rPr>
          <w:t>53</w:t>
        </w:r>
        <w:r w:rsidR="00C33C97">
          <w:rPr>
            <w:webHidden/>
          </w:rPr>
          <w:fldChar w:fldCharType="end"/>
        </w:r>
      </w:hyperlink>
    </w:p>
    <w:p w:rsidR="008E314D" w:rsidRDefault="00C33C97"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F816F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BD44BB" w:rsidRDefault="008E314D" w:rsidP="00BD44BB">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E47460" w:rsidRPr="00E47460" w:rsidRDefault="00BD44BB" w:rsidP="00E47460">
      <w:pPr>
        <w:tabs>
          <w:tab w:val="left" w:pos="360"/>
          <w:tab w:val="left" w:pos="720"/>
          <w:tab w:val="left" w:pos="1080"/>
          <w:tab w:val="left" w:pos="1440"/>
          <w:tab w:val="left" w:pos="1800"/>
          <w:tab w:val="left" w:pos="2160"/>
          <w:tab w:val="left" w:pos="2520"/>
          <w:tab w:val="left" w:pos="2880"/>
        </w:tabs>
        <w:jc w:val="center"/>
        <w:rPr>
          <w:b/>
        </w:rPr>
      </w:pPr>
      <w:r w:rsidRPr="00BD44BB">
        <w:rPr>
          <w:b/>
        </w:rPr>
        <w:t xml:space="preserve">Published </w:t>
      </w:r>
      <w:r w:rsidR="00BA41FE">
        <w:rPr>
          <w:b/>
        </w:rPr>
        <w:t>June</w:t>
      </w:r>
      <w:r w:rsidR="00BA41FE" w:rsidRPr="00BD44BB">
        <w:rPr>
          <w:b/>
        </w:rPr>
        <w:t xml:space="preserve"> </w:t>
      </w:r>
      <w:r w:rsidRPr="00BD44BB">
        <w:rPr>
          <w:b/>
        </w:rPr>
        <w:t>2017</w:t>
      </w:r>
    </w:p>
    <w:p w:rsidR="008E314D" w:rsidRDefault="008E314D" w:rsidP="00E4746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w:t>
      </w:r>
      <w:r w:rsidR="00FE45D9">
        <w:t>7</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F816F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58645E" w:rsidRDefault="007C01ED" w:rsidP="0058645E">
      <w:pPr>
        <w:pStyle w:val="Section"/>
      </w:pPr>
      <w:bookmarkStart w:id="0" w:name="_Toc484613520"/>
      <w:bookmarkStart w:id="1" w:name="_Toc350870260"/>
      <w:r w:rsidRPr="0058645E">
        <w:lastRenderedPageBreak/>
        <w:t>Executive Summary</w:t>
      </w:r>
      <w:bookmarkEnd w:id="0"/>
    </w:p>
    <w:p w:rsidR="00197EF3" w:rsidRPr="00E66726" w:rsidRDefault="00F00AC5" w:rsidP="00197EF3">
      <w:pPr>
        <w:rPr>
          <w:rFonts w:eastAsia="Times New Roman" w:cs="Times New Roman"/>
        </w:rPr>
      </w:pPr>
      <w:r>
        <w:t xml:space="preserve">The Dighton-Rehoboth Regional School </w:t>
      </w:r>
      <w:r w:rsidR="008F0CDD">
        <w:t xml:space="preserve">District </w:t>
      </w:r>
      <w:r>
        <w:t>is a Level 2 district</w:t>
      </w:r>
      <w:r w:rsidR="00BD44BB" w:rsidRPr="00C86B48">
        <w:rPr>
          <w:rStyle w:val="FootnoteReference"/>
        </w:rPr>
        <w:footnoteReference w:id="1"/>
      </w:r>
      <w:r>
        <w:t xml:space="preserve"> </w:t>
      </w:r>
      <w:r w:rsidR="00E82293">
        <w:t xml:space="preserve">that now has stable school and district leadership after </w:t>
      </w:r>
      <w:r w:rsidR="008F0CDD">
        <w:t xml:space="preserve">several </w:t>
      </w:r>
      <w:r w:rsidR="00E82293">
        <w:t xml:space="preserve">years of administrative turnover.  </w:t>
      </w:r>
      <w:r w:rsidR="00197EF3">
        <w:rPr>
          <w:rFonts w:eastAsia="Times New Roman" w:cs="Times New Roman"/>
        </w:rPr>
        <w:t xml:space="preserve">District leaders have analyzed 2016 MCAS data and </w:t>
      </w:r>
      <w:r w:rsidR="004546C8">
        <w:rPr>
          <w:rFonts w:eastAsia="Times New Roman" w:cs="Times New Roman"/>
        </w:rPr>
        <w:t xml:space="preserve">recognized </w:t>
      </w:r>
      <w:r w:rsidR="00197EF3">
        <w:rPr>
          <w:rFonts w:eastAsia="Times New Roman" w:cs="Times New Roman"/>
        </w:rPr>
        <w:t>that more work is needed to strengthen students’ performance in ELA, math, and science. To that end, the superintendent, central office staff, principals, and teachers are upgrading instructional strategies and increasing professional development support for educators in ELA, math, and special education.  This focus on improving students’ achievement is reinforced by an aligned district and school planning and improvement process.</w:t>
      </w:r>
    </w:p>
    <w:p w:rsidR="00583497" w:rsidRDefault="00E82293" w:rsidP="00E82293">
      <w:pPr>
        <w:rPr>
          <w:rFonts w:eastAsia="Times New Roman" w:cs="Times New Roman"/>
        </w:rPr>
      </w:pPr>
      <w:r>
        <w:t xml:space="preserve">The </w:t>
      </w:r>
      <w:r w:rsidR="00BF7EB8">
        <w:t xml:space="preserve">superintendent and the school committee have several obstacles to overcome to maintain stability </w:t>
      </w:r>
      <w:r w:rsidR="00204CDF">
        <w:t>and create a highly effective school district</w:t>
      </w:r>
      <w:r w:rsidR="00BF7EB8">
        <w:t>. The district has three budgets, a regional budget f</w:t>
      </w:r>
      <w:r w:rsidR="00204CDF">
        <w:t>or secondary expenditures and t</w:t>
      </w:r>
      <w:r w:rsidR="00BF7EB8">
        <w:t>w</w:t>
      </w:r>
      <w:r w:rsidR="00204CDF">
        <w:t>o</w:t>
      </w:r>
      <w:r w:rsidR="00BF7EB8">
        <w:t xml:space="preserve"> town budgets, rather than one regional budget as required by law.</w:t>
      </w:r>
      <w:r w:rsidR="00174720" w:rsidRPr="00174720">
        <w:rPr>
          <w:rStyle w:val="FootnoteReference"/>
        </w:rPr>
        <w:footnoteReference w:id="2"/>
      </w:r>
      <w:r w:rsidR="00BF7EB8">
        <w:t xml:space="preserve"> The two towns that make up the regional district have expressed </w:t>
      </w:r>
      <w:r>
        <w:rPr>
          <w:rFonts w:eastAsia="Times New Roman" w:cs="Times New Roman"/>
        </w:rPr>
        <w:t xml:space="preserve">dissatisfaction with the regional agreement and funding by the two towns.  </w:t>
      </w:r>
      <w:r w:rsidR="00BF7EB8">
        <w:rPr>
          <w:rFonts w:eastAsia="Times New Roman" w:cs="Times New Roman"/>
        </w:rPr>
        <w:t xml:space="preserve">Officials from one </w:t>
      </w:r>
      <w:r>
        <w:rPr>
          <w:rFonts w:eastAsia="Times New Roman" w:cs="Times New Roman"/>
        </w:rPr>
        <w:t xml:space="preserve">town </w:t>
      </w:r>
      <w:r w:rsidR="00BF7EB8">
        <w:rPr>
          <w:rFonts w:eastAsia="Times New Roman" w:cs="Times New Roman"/>
        </w:rPr>
        <w:t xml:space="preserve">have </w:t>
      </w:r>
      <w:r>
        <w:rPr>
          <w:rFonts w:eastAsia="Times New Roman" w:cs="Times New Roman"/>
        </w:rPr>
        <w:t>discussed the possibility of ending the agreement, which</w:t>
      </w:r>
      <w:r w:rsidRPr="00E66726">
        <w:rPr>
          <w:rFonts w:eastAsia="Times New Roman" w:cs="Times New Roman"/>
        </w:rPr>
        <w:t xml:space="preserve"> c</w:t>
      </w:r>
      <w:r>
        <w:rPr>
          <w:rFonts w:eastAsia="Times New Roman" w:cs="Times New Roman"/>
        </w:rPr>
        <w:t xml:space="preserve">ould destabilize </w:t>
      </w:r>
      <w:r w:rsidRPr="00E66726">
        <w:rPr>
          <w:rFonts w:eastAsia="Times New Roman" w:cs="Times New Roman"/>
        </w:rPr>
        <w:t xml:space="preserve">the schools. </w:t>
      </w:r>
      <w:r w:rsidR="002542DA">
        <w:rPr>
          <w:rFonts w:eastAsia="Times New Roman" w:cs="Times New Roman"/>
        </w:rPr>
        <w:t xml:space="preserve">Also, </w:t>
      </w:r>
      <w:r w:rsidR="002542DA">
        <w:t xml:space="preserve">disagreement </w:t>
      </w:r>
      <w:r w:rsidR="00CB409F">
        <w:t>between the towns</w:t>
      </w:r>
      <w:r w:rsidR="002542DA">
        <w:t xml:space="preserve"> has resulted in lost opportunities </w:t>
      </w:r>
      <w:r w:rsidR="00FB7983">
        <w:t xml:space="preserve">for funding </w:t>
      </w:r>
      <w:r w:rsidR="00874A55">
        <w:t xml:space="preserve">for </w:t>
      </w:r>
      <w:r w:rsidR="002542DA">
        <w:t xml:space="preserve">school repairs. </w:t>
      </w:r>
      <w:r>
        <w:rPr>
          <w:rFonts w:eastAsia="Times New Roman" w:cs="Times New Roman"/>
        </w:rPr>
        <w:t xml:space="preserve"> </w:t>
      </w:r>
      <w:r w:rsidR="00183D22">
        <w:rPr>
          <w:rFonts w:eastAsia="Times New Roman" w:cs="Times New Roman"/>
        </w:rPr>
        <w:t xml:space="preserve">At the time of the onsite in January 2017, </w:t>
      </w:r>
      <w:r w:rsidR="004F68EC">
        <w:rPr>
          <w:rFonts w:eastAsia="Times New Roman" w:cs="Times New Roman"/>
        </w:rPr>
        <w:t xml:space="preserve">the district was working with </w:t>
      </w:r>
      <w:r w:rsidR="00183D22">
        <w:rPr>
          <w:rFonts w:eastAsia="Times New Roman" w:cs="Times New Roman"/>
        </w:rPr>
        <w:t>ESE’s Office of Regional Governance to amend and update its regional agreement.</w:t>
      </w:r>
    </w:p>
    <w:p w:rsidR="00E82293" w:rsidRPr="00204CDF" w:rsidRDefault="00E82293" w:rsidP="00E82293">
      <w:r>
        <w:rPr>
          <w:rFonts w:eastAsia="Times New Roman" w:cs="Times New Roman"/>
        </w:rPr>
        <w:t>A second issue facing the district is the relationship between the district and the Dighton</w:t>
      </w:r>
      <w:r w:rsidR="00BE111D">
        <w:rPr>
          <w:rFonts w:eastAsia="Times New Roman" w:cs="Times New Roman"/>
        </w:rPr>
        <w:t>-</w:t>
      </w:r>
      <w:r>
        <w:rPr>
          <w:rFonts w:eastAsia="Times New Roman" w:cs="Times New Roman"/>
        </w:rPr>
        <w:t>Rehoboth Regional Teachers’ Association.</w:t>
      </w:r>
      <w:r w:rsidRPr="00E82293">
        <w:rPr>
          <w:rFonts w:eastAsia="Times New Roman" w:cs="Times New Roman"/>
        </w:rPr>
        <w:t xml:space="preserve"> </w:t>
      </w:r>
      <w:r w:rsidR="00182F2C">
        <w:rPr>
          <w:rFonts w:eastAsia="Times New Roman" w:cs="Times New Roman"/>
        </w:rPr>
        <w:t xml:space="preserve"> </w:t>
      </w:r>
      <w:r w:rsidR="00BF7EB8">
        <w:rPr>
          <w:rFonts w:eastAsia="Times New Roman" w:cs="Times New Roman"/>
        </w:rPr>
        <w:t xml:space="preserve"> </w:t>
      </w:r>
      <w:r w:rsidR="00F55563">
        <w:rPr>
          <w:rFonts w:eastAsia="Times New Roman" w:cs="Times New Roman"/>
        </w:rPr>
        <w:t>Since ratification of a three-year collective bargaining agreement in June 2016, t</w:t>
      </w:r>
      <w:r w:rsidR="00F55563" w:rsidRPr="00E66726">
        <w:rPr>
          <w:rFonts w:eastAsia="Times New Roman" w:cs="Times New Roman"/>
        </w:rPr>
        <w:t xml:space="preserve">he </w:t>
      </w:r>
      <w:r w:rsidRPr="00E66726">
        <w:rPr>
          <w:rFonts w:eastAsia="Times New Roman" w:cs="Times New Roman"/>
        </w:rPr>
        <w:t xml:space="preserve">positive working relationship between </w:t>
      </w:r>
      <w:r w:rsidR="00BF7EB8">
        <w:rPr>
          <w:rFonts w:eastAsia="Times New Roman" w:cs="Times New Roman"/>
        </w:rPr>
        <w:t xml:space="preserve">the </w:t>
      </w:r>
      <w:r w:rsidRPr="00E66726">
        <w:rPr>
          <w:rFonts w:eastAsia="Times New Roman" w:cs="Times New Roman"/>
        </w:rPr>
        <w:t xml:space="preserve">administration and the teachers’ association has </w:t>
      </w:r>
      <w:r w:rsidR="00182F2C">
        <w:rPr>
          <w:rFonts w:eastAsia="Times New Roman" w:cs="Times New Roman"/>
        </w:rPr>
        <w:t>decline</w:t>
      </w:r>
      <w:r w:rsidR="00204CDF">
        <w:rPr>
          <w:rFonts w:eastAsia="Times New Roman" w:cs="Times New Roman"/>
        </w:rPr>
        <w:t>d</w:t>
      </w:r>
      <w:r w:rsidR="00182F2C">
        <w:rPr>
          <w:rFonts w:eastAsia="Times New Roman" w:cs="Times New Roman"/>
        </w:rPr>
        <w:t xml:space="preserve">, which has </w:t>
      </w:r>
      <w:r w:rsidR="00204CDF">
        <w:rPr>
          <w:rFonts w:eastAsia="Times New Roman" w:cs="Times New Roman"/>
        </w:rPr>
        <w:t>slowed the pace of</w:t>
      </w:r>
      <w:r w:rsidRPr="00E66726">
        <w:rPr>
          <w:rFonts w:eastAsia="Times New Roman" w:cs="Times New Roman"/>
        </w:rPr>
        <w:t xml:space="preserve"> implementing instructional strategies that can raise students’ academic </w:t>
      </w:r>
      <w:r w:rsidR="00204CDF">
        <w:rPr>
          <w:rFonts w:eastAsia="Times New Roman" w:cs="Times New Roman"/>
        </w:rPr>
        <w:t>achievement</w:t>
      </w:r>
      <w:r w:rsidRPr="00E66726">
        <w:rPr>
          <w:rFonts w:eastAsia="Times New Roman" w:cs="Times New Roman"/>
        </w:rPr>
        <w:t xml:space="preserve">.  </w:t>
      </w:r>
      <w:r w:rsidR="00197EF3">
        <w:rPr>
          <w:rFonts w:eastAsia="Times New Roman" w:cs="Times New Roman"/>
        </w:rPr>
        <w:t xml:space="preserve">At the time of the onsite in January 2017, </w:t>
      </w:r>
      <w:r w:rsidR="00197EF3">
        <w:t>the district and the teachers’ association were struggling with communication</w:t>
      </w:r>
      <w:r w:rsidR="00BE111D">
        <w:t>, collaboration,</w:t>
      </w:r>
      <w:r w:rsidR="00197EF3">
        <w:t xml:space="preserve"> and the interpretation of management rights.  </w:t>
      </w:r>
    </w:p>
    <w:p w:rsidR="00182F2C" w:rsidRPr="00E66726" w:rsidRDefault="00182F2C" w:rsidP="00E82293">
      <w:pPr>
        <w:rPr>
          <w:rFonts w:eastAsia="Times New Roman" w:cs="Times New Roman"/>
        </w:rPr>
      </w:pPr>
    </w:p>
    <w:p w:rsidR="00602CFC" w:rsidRDefault="00A120A4" w:rsidP="00602CFC">
      <w:pPr>
        <w:tabs>
          <w:tab w:val="left" w:pos="270"/>
        </w:tabs>
        <w:autoSpaceDE w:val="0"/>
        <w:autoSpaceDN w:val="0"/>
        <w:adjustRightInd w:val="0"/>
        <w:rPr>
          <w:rFonts w:eastAsia="Times New Roman" w:cs="Times New Roman"/>
          <w:b/>
          <w:sz w:val="28"/>
          <w:szCs w:val="28"/>
        </w:rPr>
      </w:pPr>
      <w:r>
        <w:rPr>
          <w:rFonts w:eastAsia="Times New Roman" w:cs="Times New Roman"/>
          <w:b/>
          <w:sz w:val="28"/>
          <w:szCs w:val="28"/>
        </w:rPr>
        <w:t>Instruction</w:t>
      </w:r>
    </w:p>
    <w:p w:rsidR="002C3BAB" w:rsidRPr="00AB1BA9" w:rsidRDefault="00BD44BB" w:rsidP="002C3BAB">
      <w:r w:rsidRPr="00BD44BB">
        <w:t>The team observed 50 classes throughout the district:  17 at the elementary schools, 16 at the middle schools (grades 5</w:t>
      </w:r>
      <w:r w:rsidR="0000300E">
        <w:t>–</w:t>
      </w:r>
      <w:r w:rsidRPr="00BD44BB">
        <w:t xml:space="preserve">8), and 17 at the high school.  The team observed 17 ELA classes, 17 mathematics classes, 8 science classes, </w:t>
      </w:r>
      <w:r w:rsidR="00761F7C">
        <w:t>1</w:t>
      </w:r>
      <w:r w:rsidRPr="00BD44BB">
        <w:t xml:space="preserve"> combined mathematics and science class, 1 </w:t>
      </w:r>
      <w:r w:rsidR="0000300E">
        <w:t>Response to Intervention (</w:t>
      </w:r>
      <w:r w:rsidRPr="00BD44BB">
        <w:t>R</w:t>
      </w:r>
      <w:r w:rsidR="0000300E">
        <w:t>t</w:t>
      </w:r>
      <w:r w:rsidRPr="00BD44BB">
        <w:t>I</w:t>
      </w:r>
      <w:r w:rsidR="0000300E">
        <w:t>)</w:t>
      </w:r>
      <w:r w:rsidR="005E4D6E">
        <w:t xml:space="preserve"> class</w:t>
      </w:r>
      <w:r w:rsidRPr="00BD44BB">
        <w:t>, 5 history/social studies</w:t>
      </w:r>
      <w:r w:rsidR="005E4D6E">
        <w:t xml:space="preserve"> class</w:t>
      </w:r>
      <w:r w:rsidR="00BE111D">
        <w:t>es</w:t>
      </w:r>
      <w:r w:rsidR="0000300E">
        <w:t>,</w:t>
      </w:r>
      <w:r w:rsidRPr="00BD44BB">
        <w:t xml:space="preserve"> and </w:t>
      </w:r>
      <w:r w:rsidR="0000300E">
        <w:t>1</w:t>
      </w:r>
      <w:r w:rsidRPr="00BD44BB">
        <w:t xml:space="preserve"> psychology</w:t>
      </w:r>
      <w:r w:rsidR="005E4D6E">
        <w:t xml:space="preserve"> class</w:t>
      </w:r>
      <w:r w:rsidRPr="00BD44BB">
        <w:t xml:space="preserve">.  The observations were approximately 20 minutes in length.  All review team members collected data using ESE’s </w:t>
      </w:r>
      <w:r w:rsidR="0000300E">
        <w:t>I</w:t>
      </w:r>
      <w:r w:rsidRPr="00BD44BB">
        <w:t xml:space="preserve">nstructional </w:t>
      </w:r>
      <w:r w:rsidR="0000300E">
        <w:t>I</w:t>
      </w:r>
      <w:r w:rsidRPr="00BD44BB">
        <w:t>nventory, a tool for recording observed characteristics of standards-based teaching.  This data is presented in Appendix C.</w:t>
      </w:r>
    </w:p>
    <w:p w:rsidR="00E90448" w:rsidRPr="00E90448" w:rsidRDefault="00E90448" w:rsidP="00E90448">
      <w:pPr>
        <w:rPr>
          <w:rFonts w:ascii="Calibri" w:hAnsi="Calibri"/>
        </w:rPr>
      </w:pPr>
      <w:r>
        <w:rPr>
          <w:rFonts w:ascii="Calibri" w:hAnsi="Calibri"/>
        </w:rPr>
        <w:lastRenderedPageBreak/>
        <w:t>In most observed</w:t>
      </w:r>
      <w:r w:rsidR="00BE111D">
        <w:rPr>
          <w:rFonts w:ascii="Calibri" w:hAnsi="Calibri"/>
        </w:rPr>
        <w:t xml:space="preserve"> classes</w:t>
      </w:r>
      <w:r w:rsidRPr="00E90448">
        <w:rPr>
          <w:rFonts w:ascii="Calibri" w:hAnsi="Calibri"/>
        </w:rPr>
        <w:t xml:space="preserve">, the review team found </w:t>
      </w:r>
      <w:r>
        <w:rPr>
          <w:rFonts w:ascii="Calibri" w:hAnsi="Calibri"/>
        </w:rPr>
        <w:t xml:space="preserve">that teachers </w:t>
      </w:r>
      <w:r w:rsidR="005E4D6E">
        <w:rPr>
          <w:rFonts w:ascii="Calibri" w:hAnsi="Calibri"/>
        </w:rPr>
        <w:t xml:space="preserve">demonstrated </w:t>
      </w:r>
      <w:r>
        <w:rPr>
          <w:rFonts w:ascii="Calibri" w:hAnsi="Calibri"/>
        </w:rPr>
        <w:t>knowledge</w:t>
      </w:r>
      <w:r w:rsidR="005E4D6E">
        <w:rPr>
          <w:rFonts w:ascii="Calibri" w:hAnsi="Calibri"/>
        </w:rPr>
        <w:t xml:space="preserve"> of </w:t>
      </w:r>
      <w:r w:rsidR="0000300E">
        <w:rPr>
          <w:rFonts w:ascii="Calibri" w:hAnsi="Calibri"/>
        </w:rPr>
        <w:t xml:space="preserve">subject matter and </w:t>
      </w:r>
      <w:r>
        <w:rPr>
          <w:rFonts w:ascii="Calibri" w:hAnsi="Calibri"/>
        </w:rPr>
        <w:t xml:space="preserve">content and were implementing appropriate instructional strategies. Classroom climate was positive and conducive to teaching and learning and most students were </w:t>
      </w:r>
      <w:r w:rsidR="0076410B">
        <w:rPr>
          <w:rFonts w:ascii="Calibri" w:hAnsi="Calibri"/>
        </w:rPr>
        <w:t xml:space="preserve">motivated and </w:t>
      </w:r>
      <w:r>
        <w:rPr>
          <w:rFonts w:ascii="Calibri" w:hAnsi="Calibri"/>
        </w:rPr>
        <w:t>engaged</w:t>
      </w:r>
      <w:r w:rsidR="005E4D6E">
        <w:rPr>
          <w:rFonts w:ascii="Calibri" w:hAnsi="Calibri"/>
        </w:rPr>
        <w:t xml:space="preserve"> in the lesson</w:t>
      </w:r>
      <w:r>
        <w:rPr>
          <w:rFonts w:ascii="Calibri" w:hAnsi="Calibri"/>
        </w:rPr>
        <w:t xml:space="preserve">. </w:t>
      </w:r>
      <w:r w:rsidR="005E4D6E">
        <w:rPr>
          <w:rFonts w:ascii="Calibri" w:hAnsi="Calibri"/>
        </w:rPr>
        <w:t xml:space="preserve"> </w:t>
      </w:r>
      <w:r w:rsidRPr="00E90448">
        <w:rPr>
          <w:rFonts w:ascii="Calibri" w:hAnsi="Calibri"/>
        </w:rPr>
        <w:t>The</w:t>
      </w:r>
      <w:r>
        <w:rPr>
          <w:rFonts w:ascii="Calibri" w:hAnsi="Calibri"/>
        </w:rPr>
        <w:t xml:space="preserve">se characteristics </w:t>
      </w:r>
      <w:r w:rsidR="0000300E">
        <w:rPr>
          <w:rFonts w:ascii="Calibri" w:hAnsi="Calibri"/>
        </w:rPr>
        <w:t xml:space="preserve">of effective instruction </w:t>
      </w:r>
      <w:r w:rsidRPr="00E90448">
        <w:rPr>
          <w:rFonts w:ascii="Calibri" w:hAnsi="Calibri"/>
        </w:rPr>
        <w:t>were</w:t>
      </w:r>
      <w:r>
        <w:rPr>
          <w:rFonts w:ascii="Calibri" w:hAnsi="Calibri"/>
        </w:rPr>
        <w:t xml:space="preserve"> particularly evident </w:t>
      </w:r>
      <w:r w:rsidRPr="00E90448">
        <w:rPr>
          <w:rFonts w:ascii="Calibri" w:hAnsi="Calibri"/>
        </w:rPr>
        <w:t>K</w:t>
      </w:r>
      <w:r w:rsidR="0000300E">
        <w:rPr>
          <w:rFonts w:ascii="Calibri" w:hAnsi="Calibri"/>
        </w:rPr>
        <w:t>–</w:t>
      </w:r>
      <w:r w:rsidRPr="00E90448">
        <w:rPr>
          <w:rFonts w:ascii="Calibri" w:hAnsi="Calibri"/>
        </w:rPr>
        <w:t>4.</w:t>
      </w:r>
    </w:p>
    <w:p w:rsidR="00602CFC" w:rsidRDefault="00A120A4" w:rsidP="00602CFC">
      <w:pPr>
        <w:tabs>
          <w:tab w:val="left" w:pos="270"/>
        </w:tabs>
        <w:autoSpaceDE w:val="0"/>
        <w:autoSpaceDN w:val="0"/>
        <w:adjustRightInd w:val="0"/>
        <w:rPr>
          <w:b/>
        </w:rPr>
      </w:pPr>
      <w:r>
        <w:t>C</w:t>
      </w:r>
      <w:r w:rsidR="0000300E">
        <w:t xml:space="preserve">ompared with K–8 instruction, </w:t>
      </w:r>
      <w:r w:rsidR="00E90448">
        <w:t xml:space="preserve">observed classes at the </w:t>
      </w:r>
      <w:r w:rsidR="008F1288" w:rsidRPr="008F1288">
        <w:t xml:space="preserve">high school </w:t>
      </w:r>
      <w:r w:rsidR="005E4D6E">
        <w:t>reflected</w:t>
      </w:r>
      <w:r w:rsidR="008F1288" w:rsidRPr="008F1288">
        <w:t xml:space="preserve"> a l</w:t>
      </w:r>
      <w:r w:rsidR="00E90448">
        <w:t>ow</w:t>
      </w:r>
      <w:r w:rsidR="0000300E">
        <w:t>er</w:t>
      </w:r>
      <w:r w:rsidR="00E90448">
        <w:t xml:space="preserve"> incidence of teachers using</w:t>
      </w:r>
      <w:r w:rsidR="0000300E">
        <w:t xml:space="preserve"> appropriate resources aligned to students’ diverse learning needs</w:t>
      </w:r>
      <w:r w:rsidR="00E90448">
        <w:t xml:space="preserve"> and </w:t>
      </w:r>
      <w:r w:rsidR="0000300E">
        <w:t xml:space="preserve">appropriate </w:t>
      </w:r>
      <w:r w:rsidR="00E90448">
        <w:t>formative assessments to check for understanding</w:t>
      </w:r>
      <w:r w:rsidR="008F1288" w:rsidRPr="008F1288">
        <w:t>.</w:t>
      </w:r>
      <w:r w:rsidR="00602CFC">
        <w:rPr>
          <w:b/>
        </w:rPr>
        <w:t xml:space="preserve">  </w:t>
      </w:r>
      <w:r w:rsidR="00066796" w:rsidRPr="00D23062">
        <w:t>Although</w:t>
      </w:r>
      <w:r w:rsidR="00066796">
        <w:rPr>
          <w:b/>
        </w:rPr>
        <w:t xml:space="preserve"> </w:t>
      </w:r>
      <w:r w:rsidR="00066796" w:rsidRPr="00D23062">
        <w:t>i</w:t>
      </w:r>
      <w:r w:rsidR="00066796">
        <w:t xml:space="preserve">n focus groups differentiation was </w:t>
      </w:r>
      <w:r w:rsidR="00066796" w:rsidRPr="003E3B4B">
        <w:t>described as a district priority</w:t>
      </w:r>
      <w:r w:rsidR="00066796">
        <w:t xml:space="preserve">, in observed classrooms </w:t>
      </w:r>
      <w:r w:rsidR="000359A8">
        <w:t xml:space="preserve">at all levels </w:t>
      </w:r>
      <w:r w:rsidR="00066796">
        <w:t>differentiated instruction to meet students’ specific learning needs was the least developed characteristic of effective instruction.</w:t>
      </w:r>
    </w:p>
    <w:p w:rsidR="00A65761" w:rsidRDefault="00A65761" w:rsidP="00602CFC">
      <w:pPr>
        <w:tabs>
          <w:tab w:val="left" w:pos="270"/>
        </w:tabs>
        <w:autoSpaceDE w:val="0"/>
        <w:autoSpaceDN w:val="0"/>
        <w:adjustRightInd w:val="0"/>
        <w:rPr>
          <w:b/>
        </w:rPr>
      </w:pPr>
    </w:p>
    <w:p w:rsidR="007C01ED" w:rsidRPr="007C01ED" w:rsidRDefault="007C01ED" w:rsidP="007C01ED">
      <w:pPr>
        <w:rPr>
          <w:b/>
          <w:sz w:val="28"/>
        </w:rPr>
      </w:pPr>
      <w:r w:rsidRPr="007C01ED">
        <w:rPr>
          <w:b/>
          <w:sz w:val="28"/>
        </w:rPr>
        <w:t>Strengths</w:t>
      </w:r>
    </w:p>
    <w:p w:rsidR="00564E8C" w:rsidRPr="003E3B4B" w:rsidRDefault="00613571" w:rsidP="00564E8C">
      <w:r>
        <w:t xml:space="preserve">Through </w:t>
      </w:r>
      <w:r w:rsidR="00BE111D">
        <w:t>his</w:t>
      </w:r>
      <w:r>
        <w:t xml:space="preserve"> </w:t>
      </w:r>
      <w:r w:rsidR="00BE111D">
        <w:t xml:space="preserve">collaborative </w:t>
      </w:r>
      <w:r>
        <w:t xml:space="preserve">and </w:t>
      </w:r>
      <w:r w:rsidR="00BE111D">
        <w:t>transparent leadership style</w:t>
      </w:r>
      <w:r>
        <w:t xml:space="preserve">, the superintendent has built strong relationships with his staff and town officials, which has </w:t>
      </w:r>
      <w:r w:rsidR="00564E8C">
        <w:t>contributed</w:t>
      </w:r>
      <w:r>
        <w:t xml:space="preserve"> </w:t>
      </w:r>
      <w:r w:rsidR="00564E8C">
        <w:t xml:space="preserve">to </w:t>
      </w:r>
      <w:r>
        <w:t xml:space="preserve">an </w:t>
      </w:r>
      <w:r w:rsidR="006B48A3">
        <w:t xml:space="preserve">improved </w:t>
      </w:r>
      <w:r w:rsidR="002C06AA">
        <w:t>communication with</w:t>
      </w:r>
      <w:r w:rsidR="00564E8C">
        <w:t xml:space="preserve"> </w:t>
      </w:r>
      <w:r w:rsidR="006B48A3">
        <w:t>the two district towns.  This is best evidence</w:t>
      </w:r>
      <w:r w:rsidR="00564E8C">
        <w:t>d</w:t>
      </w:r>
      <w:r w:rsidR="006B48A3">
        <w:t xml:space="preserve"> by </w:t>
      </w:r>
      <w:r w:rsidR="00BE111D">
        <w:t xml:space="preserve">the district’s </w:t>
      </w:r>
      <w:r w:rsidR="006B48A3">
        <w:t>transparent</w:t>
      </w:r>
      <w:r w:rsidR="00D70515">
        <w:t>, inclusive</w:t>
      </w:r>
      <w:r w:rsidR="000359A8">
        <w:t>,</w:t>
      </w:r>
      <w:r w:rsidR="00D70515">
        <w:t xml:space="preserve"> and</w:t>
      </w:r>
      <w:r w:rsidR="000359A8">
        <w:t xml:space="preserve"> </w:t>
      </w:r>
      <w:r w:rsidR="00D70515">
        <w:t>constructive</w:t>
      </w:r>
      <w:r w:rsidR="006B48A3">
        <w:t xml:space="preserve"> budget </w:t>
      </w:r>
      <w:r w:rsidR="00564E8C">
        <w:t xml:space="preserve">development </w:t>
      </w:r>
      <w:r w:rsidR="006B48A3">
        <w:t xml:space="preserve">process.  </w:t>
      </w:r>
      <w:r w:rsidR="00564E8C">
        <w:t xml:space="preserve">The budget is built through collaboration </w:t>
      </w:r>
      <w:r w:rsidR="00564E8C" w:rsidRPr="003E3B4B">
        <w:t>by administrators, school committee members, town officials, and the public.</w:t>
      </w:r>
    </w:p>
    <w:p w:rsidR="007C01ED" w:rsidRDefault="006B48A3" w:rsidP="007C01ED">
      <w:r>
        <w:t xml:space="preserve">District and school leaders have worked collaboratively to align the </w:t>
      </w:r>
      <w:r w:rsidR="00F31303">
        <w:t xml:space="preserve">School Improvement Plans </w:t>
      </w:r>
      <w:r>
        <w:t xml:space="preserve">(SIPs), </w:t>
      </w:r>
      <w:r w:rsidR="005D37C3">
        <w:t xml:space="preserve">the budget, </w:t>
      </w:r>
      <w:r>
        <w:t xml:space="preserve">and the professional development </w:t>
      </w:r>
      <w:r w:rsidR="002542DA">
        <w:t xml:space="preserve">(PD) </w:t>
      </w:r>
      <w:r>
        <w:t>handbook</w:t>
      </w:r>
      <w:r w:rsidR="00156A3A">
        <w:t xml:space="preserve"> </w:t>
      </w:r>
      <w:r w:rsidR="00B861F3">
        <w:t>with</w:t>
      </w:r>
      <w:r w:rsidR="00156A3A">
        <w:t xml:space="preserve"> the District Improvement Plan (DIP)</w:t>
      </w:r>
      <w:r>
        <w:t xml:space="preserve">.  This alignment enhances </w:t>
      </w:r>
      <w:r w:rsidR="00D70515">
        <w:t xml:space="preserve">implementation of </w:t>
      </w:r>
      <w:r>
        <w:t xml:space="preserve">instructional and support strategies and </w:t>
      </w:r>
      <w:r w:rsidR="00F31303">
        <w:t>promotes shared responsibility</w:t>
      </w:r>
      <w:r>
        <w:t xml:space="preserve"> for </w:t>
      </w:r>
      <w:r w:rsidR="00F31303">
        <w:t>improvement</w:t>
      </w:r>
      <w:r>
        <w:t xml:space="preserve">.  </w:t>
      </w:r>
      <w:r w:rsidR="003E3B4B">
        <w:t xml:space="preserve">To support teachers, the district has implemented a multi-year mentoring plan that supports most teachers for two years.  In addition, </w:t>
      </w:r>
      <w:r w:rsidR="00564E8C">
        <w:t xml:space="preserve">the district provides </w:t>
      </w:r>
      <w:r w:rsidR="003E3B4B">
        <w:t xml:space="preserve">new principals </w:t>
      </w:r>
      <w:r w:rsidR="00564E8C">
        <w:t xml:space="preserve">with </w:t>
      </w:r>
      <w:r w:rsidR="003E3B4B">
        <w:t xml:space="preserve">mentors for two years.  </w:t>
      </w:r>
      <w:r w:rsidR="00F31303">
        <w:t xml:space="preserve">The district has approximately 45 trained mentors. </w:t>
      </w:r>
      <w:r w:rsidR="003E3B4B">
        <w:t xml:space="preserve">As an additional support for teachers, the district provides </w:t>
      </w:r>
      <w:r w:rsidR="002542DA">
        <w:t>PD</w:t>
      </w:r>
      <w:r w:rsidR="003E3B4B">
        <w:t xml:space="preserve"> aligned </w:t>
      </w:r>
      <w:r w:rsidR="00F31303">
        <w:t xml:space="preserve">with </w:t>
      </w:r>
      <w:r w:rsidR="003E3B4B">
        <w:t xml:space="preserve">school initiatives </w:t>
      </w:r>
      <w:r w:rsidR="00F31303">
        <w:t xml:space="preserve">during </w:t>
      </w:r>
      <w:r w:rsidR="003E3B4B">
        <w:t>the school year</w:t>
      </w:r>
      <w:r w:rsidR="00564E8C">
        <w:t xml:space="preserve"> and the summer</w:t>
      </w:r>
      <w:r w:rsidR="003E3B4B">
        <w:t xml:space="preserve">.  </w:t>
      </w:r>
    </w:p>
    <w:p w:rsidR="003C6861" w:rsidRDefault="003C6861" w:rsidP="007C01ED"/>
    <w:p w:rsidR="007C01ED" w:rsidRDefault="00602AE2" w:rsidP="007C01ED">
      <w:pPr>
        <w:rPr>
          <w:b/>
          <w:sz w:val="28"/>
        </w:rPr>
      </w:pPr>
      <w:r>
        <w:rPr>
          <w:b/>
          <w:sz w:val="28"/>
        </w:rPr>
        <w:t>Challenges and Areas for</w:t>
      </w:r>
      <w:r w:rsidR="007C01ED" w:rsidRPr="007C01ED">
        <w:rPr>
          <w:b/>
          <w:sz w:val="28"/>
        </w:rPr>
        <w:t xml:space="preserve"> Growth</w:t>
      </w:r>
    </w:p>
    <w:p w:rsidR="007C01ED" w:rsidRDefault="00FE4EF6" w:rsidP="007C01ED">
      <w:r>
        <w:t xml:space="preserve">The </w:t>
      </w:r>
      <w:r w:rsidR="0016194F">
        <w:t xml:space="preserve">district has not achieved consistency in its educator </w:t>
      </w:r>
      <w:r>
        <w:t xml:space="preserve">evaluation </w:t>
      </w:r>
      <w:r w:rsidR="0016194F">
        <w:t xml:space="preserve">system; most </w:t>
      </w:r>
      <w:r w:rsidR="00286F48">
        <w:t xml:space="preserve">teachers’ </w:t>
      </w:r>
      <w:r w:rsidR="00AF6368">
        <w:t xml:space="preserve">formative assessments/evaluations and summative </w:t>
      </w:r>
      <w:r w:rsidR="0016194F">
        <w:t>evaluations do not include high-</w:t>
      </w:r>
      <w:r>
        <w:t>quality feedback that would promote professional growth</w:t>
      </w:r>
      <w:r w:rsidR="0026665C">
        <w:t xml:space="preserve"> or improve the quality of classroom instruction</w:t>
      </w:r>
      <w:r>
        <w:t xml:space="preserve">. The team was told </w:t>
      </w:r>
      <w:r w:rsidR="0016194F">
        <w:t xml:space="preserve">that </w:t>
      </w:r>
      <w:r w:rsidR="0026665C">
        <w:t xml:space="preserve">evaluators provide </w:t>
      </w:r>
      <w:r w:rsidR="00286F48">
        <w:t xml:space="preserve">teachers with </w:t>
      </w:r>
      <w:r w:rsidR="003E49DD">
        <w:t xml:space="preserve">oral </w:t>
      </w:r>
      <w:r>
        <w:t xml:space="preserve">recommendations </w:t>
      </w:r>
      <w:r w:rsidR="0016194F">
        <w:t>during conversations after observations and walkthroughs</w:t>
      </w:r>
      <w:r>
        <w:t xml:space="preserve">. </w:t>
      </w:r>
      <w:r w:rsidR="002A6E12">
        <w:t xml:space="preserve">  </w:t>
      </w:r>
      <w:r w:rsidR="00C17477">
        <w:t xml:space="preserve">Also, the </w:t>
      </w:r>
      <w:r w:rsidR="00BC3E98">
        <w:t xml:space="preserve">district does not </w:t>
      </w:r>
      <w:r w:rsidR="00730088">
        <w:t>have a</w:t>
      </w:r>
      <w:r w:rsidR="00BC3E98">
        <w:t xml:space="preserve"> </w:t>
      </w:r>
      <w:r w:rsidR="0016194F">
        <w:t>long-</w:t>
      </w:r>
      <w:r w:rsidR="00BC3E98">
        <w:t xml:space="preserve">range capital plan for the repair </w:t>
      </w:r>
      <w:r w:rsidR="0016194F">
        <w:t xml:space="preserve">and replacement </w:t>
      </w:r>
      <w:r w:rsidR="00BC3E98">
        <w:t>of schools.</w:t>
      </w:r>
    </w:p>
    <w:p w:rsidR="00D84355" w:rsidRDefault="00D84355" w:rsidP="007C01ED">
      <w:pPr>
        <w:rPr>
          <w:rFonts w:eastAsia="Times New Roman" w:cs="Times New Roman"/>
        </w:rPr>
      </w:pPr>
    </w:p>
    <w:p w:rsidR="00C86B48" w:rsidRPr="00101D5F" w:rsidRDefault="00C86B48" w:rsidP="007C01ED">
      <w:pPr>
        <w:rPr>
          <w:rFonts w:eastAsia="Times New Roman" w:cs="Times New Roman"/>
        </w:rPr>
      </w:pPr>
    </w:p>
    <w:p w:rsidR="007C01ED" w:rsidRDefault="007C01ED" w:rsidP="007C01ED">
      <w:pPr>
        <w:rPr>
          <w:b/>
          <w:sz w:val="28"/>
        </w:rPr>
      </w:pPr>
      <w:r w:rsidRPr="007C01ED">
        <w:rPr>
          <w:b/>
          <w:sz w:val="28"/>
        </w:rPr>
        <w:lastRenderedPageBreak/>
        <w:t>Recommendations</w:t>
      </w:r>
    </w:p>
    <w:p w:rsidR="00BC3E98" w:rsidRPr="00257440" w:rsidRDefault="00257440" w:rsidP="00730088">
      <w:pPr>
        <w:pStyle w:val="ListParagraph"/>
        <w:numPr>
          <w:ilvl w:val="0"/>
          <w:numId w:val="37"/>
        </w:numPr>
        <w:tabs>
          <w:tab w:val="left" w:pos="360"/>
          <w:tab w:val="left" w:pos="720"/>
          <w:tab w:val="left" w:pos="1080"/>
          <w:tab w:val="left" w:pos="1440"/>
          <w:tab w:val="left" w:pos="1800"/>
        </w:tabs>
        <w:ind w:left="720"/>
        <w:contextualSpacing w:val="0"/>
        <w:rPr>
          <w:rFonts w:eastAsia="Times New Roman" w:cs="Times New Roman"/>
          <w:i/>
        </w:rPr>
      </w:pPr>
      <w:r>
        <w:rPr>
          <w:rFonts w:eastAsia="Times New Roman" w:cs="Times New Roman"/>
        </w:rPr>
        <w:t xml:space="preserve">The district and </w:t>
      </w:r>
      <w:r w:rsidR="003A2F93">
        <w:rPr>
          <w:rFonts w:eastAsia="Times New Roman" w:cs="Times New Roman"/>
        </w:rPr>
        <w:t>the teachers’ association</w:t>
      </w:r>
      <w:r w:rsidR="003A2F93" w:rsidRPr="00257440">
        <w:rPr>
          <w:rFonts w:eastAsia="Times New Roman" w:cs="Times New Roman"/>
        </w:rPr>
        <w:t xml:space="preserve"> </w:t>
      </w:r>
      <w:r w:rsidR="00BC3E98" w:rsidRPr="00257440">
        <w:rPr>
          <w:rFonts w:eastAsia="Times New Roman" w:cs="Times New Roman"/>
        </w:rPr>
        <w:t>should jointly design and implement activities for improving and sustaining positive and productive labor-management communications and collaboration.</w:t>
      </w:r>
    </w:p>
    <w:p w:rsidR="00BC3E98" w:rsidRPr="00257440" w:rsidRDefault="00BC3E98" w:rsidP="00730088">
      <w:pPr>
        <w:pStyle w:val="ListParagraph"/>
        <w:numPr>
          <w:ilvl w:val="0"/>
          <w:numId w:val="37"/>
        </w:numPr>
        <w:tabs>
          <w:tab w:val="left" w:pos="360"/>
          <w:tab w:val="left" w:pos="720"/>
          <w:tab w:val="left" w:pos="1080"/>
          <w:tab w:val="left" w:pos="1440"/>
          <w:tab w:val="left" w:pos="1800"/>
        </w:tabs>
        <w:ind w:left="720"/>
        <w:contextualSpacing w:val="0"/>
        <w:rPr>
          <w:rFonts w:eastAsia="Times New Roman" w:cs="Times New Roman"/>
          <w:i/>
        </w:rPr>
      </w:pPr>
      <w:r w:rsidRPr="00257440">
        <w:t>The district should improve instruction by building teachers’ capacity, particularly at the high school, to deliver differentiated instruction</w:t>
      </w:r>
      <w:r w:rsidR="002717AA">
        <w:t xml:space="preserve"> </w:t>
      </w:r>
      <w:r w:rsidRPr="00257440">
        <w:t>and to use appropriate resources aligned to students’ diverse learning needs.</w:t>
      </w:r>
    </w:p>
    <w:p w:rsidR="00BC3E98" w:rsidRPr="00257440" w:rsidRDefault="00257440" w:rsidP="00730088">
      <w:pPr>
        <w:pStyle w:val="ListParagraph"/>
        <w:numPr>
          <w:ilvl w:val="0"/>
          <w:numId w:val="37"/>
        </w:numPr>
        <w:tabs>
          <w:tab w:val="left" w:pos="360"/>
          <w:tab w:val="left" w:pos="720"/>
          <w:tab w:val="left" w:pos="1080"/>
          <w:tab w:val="left" w:pos="1440"/>
          <w:tab w:val="left" w:pos="1800"/>
        </w:tabs>
        <w:ind w:left="720"/>
        <w:contextualSpacing w:val="0"/>
        <w:rPr>
          <w:rFonts w:eastAsia="Times New Roman" w:cs="Times New Roman"/>
          <w:i/>
        </w:rPr>
      </w:pPr>
      <w:r>
        <w:rPr>
          <w:szCs w:val="28"/>
        </w:rPr>
        <w:t xml:space="preserve">Evaluators should </w:t>
      </w:r>
      <w:r w:rsidR="00BC3E98" w:rsidRPr="00257440">
        <w:rPr>
          <w:szCs w:val="28"/>
        </w:rPr>
        <w:t xml:space="preserve">provide teachers with written </w:t>
      </w:r>
      <w:r w:rsidR="003A2F93" w:rsidRPr="00257440">
        <w:rPr>
          <w:szCs w:val="28"/>
        </w:rPr>
        <w:t>high</w:t>
      </w:r>
      <w:r w:rsidR="003A2F93">
        <w:rPr>
          <w:szCs w:val="28"/>
        </w:rPr>
        <w:t>-</w:t>
      </w:r>
      <w:r w:rsidR="00BC3E98" w:rsidRPr="00257440">
        <w:rPr>
          <w:szCs w:val="28"/>
        </w:rPr>
        <w:t>quality actionable feedback</w:t>
      </w:r>
      <w:r>
        <w:rPr>
          <w:szCs w:val="28"/>
        </w:rPr>
        <w:t xml:space="preserve"> as part of the evaluation process.</w:t>
      </w:r>
    </w:p>
    <w:p w:rsidR="00257440" w:rsidRPr="00257440" w:rsidRDefault="00257440" w:rsidP="00730088">
      <w:pPr>
        <w:pStyle w:val="ListParagraph"/>
        <w:numPr>
          <w:ilvl w:val="0"/>
          <w:numId w:val="37"/>
        </w:numPr>
        <w:tabs>
          <w:tab w:val="left" w:pos="360"/>
          <w:tab w:val="left" w:pos="720"/>
          <w:tab w:val="left" w:pos="1080"/>
          <w:tab w:val="left" w:pos="1440"/>
          <w:tab w:val="left" w:pos="1800"/>
        </w:tabs>
        <w:ind w:left="720"/>
        <w:contextualSpacing w:val="0"/>
        <w:rPr>
          <w:rFonts w:eastAsia="Times New Roman" w:cs="Times New Roman"/>
          <w:i/>
        </w:rPr>
      </w:pPr>
      <w:r>
        <w:t>A</w:t>
      </w:r>
      <w:r w:rsidR="00BC3E98" w:rsidRPr="00257440">
        <w:t xml:space="preserve"> capital facilities master plan</w:t>
      </w:r>
      <w:r>
        <w:t xml:space="preserve"> should be developed.</w:t>
      </w:r>
    </w:p>
    <w:p w:rsidR="00257440" w:rsidRPr="00257440" w:rsidRDefault="00257440" w:rsidP="00730088">
      <w:pPr>
        <w:pStyle w:val="ListParagraph"/>
        <w:numPr>
          <w:ilvl w:val="0"/>
          <w:numId w:val="37"/>
        </w:numPr>
        <w:tabs>
          <w:tab w:val="left" w:pos="360"/>
          <w:tab w:val="left" w:pos="720"/>
          <w:tab w:val="left" w:pos="1080"/>
          <w:tab w:val="left" w:pos="1440"/>
          <w:tab w:val="left" w:pos="1800"/>
        </w:tabs>
        <w:ind w:left="720"/>
        <w:contextualSpacing w:val="0"/>
        <w:rPr>
          <w:rFonts w:eastAsia="Times New Roman" w:cs="Times New Roman"/>
          <w:i/>
        </w:rPr>
      </w:pPr>
      <w:r>
        <w:t xml:space="preserve"> </w:t>
      </w:r>
      <w:r w:rsidR="00BC3E98" w:rsidRPr="00257440">
        <w:t xml:space="preserve">The regional agreement needs to be updated and brought into compliance with </w:t>
      </w:r>
      <w:r w:rsidRPr="00257440">
        <w:t>current state</w:t>
      </w:r>
      <w:r w:rsidR="00BC3E98" w:rsidRPr="00257440">
        <w:t xml:space="preserve"> </w:t>
      </w:r>
      <w:r w:rsidR="003A2F93">
        <w:t xml:space="preserve">law about </w:t>
      </w:r>
      <w:r>
        <w:t>a single budget</w:t>
      </w:r>
      <w:r w:rsidR="00BC3E98" w:rsidRPr="00257440">
        <w:t xml:space="preserve">.  </w:t>
      </w:r>
    </w:p>
    <w:p w:rsidR="00BC3E98" w:rsidRPr="00257440" w:rsidRDefault="00BC3E98" w:rsidP="00730088">
      <w:pPr>
        <w:tabs>
          <w:tab w:val="left" w:pos="360"/>
          <w:tab w:val="left" w:pos="720"/>
          <w:tab w:val="left" w:pos="1080"/>
          <w:tab w:val="left" w:pos="1440"/>
          <w:tab w:val="left" w:pos="1800"/>
        </w:tabs>
        <w:rPr>
          <w:rFonts w:eastAsia="Times New Roman" w:cs="Times New Roman"/>
          <w:i/>
        </w:rPr>
      </w:pPr>
    </w:p>
    <w:p w:rsidR="008E314D" w:rsidRDefault="00FE584E"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84613521"/>
      <w:r>
        <w:lastRenderedPageBreak/>
        <w:t>Dighton-Rehobo</w:t>
      </w:r>
      <w:r w:rsidR="00747D23">
        <w:t>th Regional School District</w:t>
      </w:r>
      <w:r w:rsidR="008E314D" w:rsidRPr="00E93DC7">
        <w:t xml:space="preserve">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p>
    <w:p w:rsidR="00BD44BB" w:rsidRDefault="008E314D" w:rsidP="00BD44BB">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A94112" w:rsidRDefault="00A94112" w:rsidP="00A94112">
      <w:pPr>
        <w:tabs>
          <w:tab w:val="left" w:pos="360"/>
          <w:tab w:val="left" w:pos="720"/>
          <w:tab w:val="left" w:pos="1080"/>
          <w:tab w:val="left" w:pos="1440"/>
          <w:tab w:val="left" w:pos="1800"/>
          <w:tab w:val="left" w:pos="2160"/>
          <w:tab w:val="left" w:pos="2520"/>
          <w:tab w:val="left" w:pos="2880"/>
        </w:tabs>
      </w:pPr>
      <w:r>
        <w:t xml:space="preserve">This targeted review by the </w:t>
      </w:r>
      <w:r w:rsidR="0040127D">
        <w:t>Office of</w:t>
      </w:r>
      <w:r>
        <w:t xml:space="preserve"> District </w:t>
      </w:r>
      <w:r w:rsidR="0040127D">
        <w:t xml:space="preserve">Reviews </w:t>
      </w:r>
      <w:r>
        <w:t xml:space="preserve">and </w:t>
      </w:r>
      <w:r w:rsidR="0040127D">
        <w:t>Monitoring</w:t>
      </w:r>
      <w:r>
        <w:t xml:space="preserve"> focused on the following standards: Leadership and Governance, Human Resources and Professional Development, and Financial </w:t>
      </w:r>
      <w:r w:rsidR="000B50A7">
        <w:t xml:space="preserve">and </w:t>
      </w:r>
      <w:r>
        <w:t>Asset Management.</w:t>
      </w:r>
    </w:p>
    <w:p w:rsidR="00A94112" w:rsidRPr="00DC6F32" w:rsidRDefault="00A94112" w:rsidP="0024532F">
      <w:pPr>
        <w:spacing w:before="120" w:after="0" w:line="280" w:lineRule="exact"/>
        <w:jc w:val="both"/>
        <w:rPr>
          <w:rFonts w:cs="Calibri"/>
          <w:bCs/>
        </w:rPr>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FE584E">
        <w:t>Dighton-Rehoboth Regional School District</w:t>
      </w:r>
      <w:r w:rsidRPr="00E06B74">
        <w:t xml:space="preserve"> was conducted from </w:t>
      </w:r>
      <w:r w:rsidR="00FE584E">
        <w:t>January 17</w:t>
      </w:r>
      <w:r w:rsidR="002157B6">
        <w:t>–</w:t>
      </w:r>
      <w:r w:rsidR="00FE584E">
        <w:t>19, 2017</w:t>
      </w:r>
      <w:r w:rsidR="002157B6">
        <w:t>.</w:t>
      </w:r>
      <w:r w:rsidRPr="00E06B74">
        <w:t xml:space="preserve"> The site visit included </w:t>
      </w:r>
      <w:r w:rsidR="00A91AA7">
        <w:t xml:space="preserve">20 </w:t>
      </w:r>
      <w:r w:rsidRPr="00E06B74">
        <w:t xml:space="preserve">hours of interviews and focus groups with </w:t>
      </w:r>
      <w:r>
        <w:t>approximately</w:t>
      </w:r>
      <w:r w:rsidR="00C05490">
        <w:t xml:space="preserve"> </w:t>
      </w:r>
      <w:r w:rsidR="00A91AA7">
        <w:t xml:space="preserve">50 </w:t>
      </w:r>
      <w:r w:rsidRPr="00E06B74">
        <w:lastRenderedPageBreak/>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00FE584E" w:rsidRPr="00FE584E">
        <w:t>students</w:t>
      </w:r>
      <w:r w:rsidR="00FE584E">
        <w:rPr>
          <w:color w:val="C00000"/>
        </w:rPr>
        <w:t>,</w:t>
      </w:r>
      <w:r>
        <w:t xml:space="preserve"> and</w:t>
      </w:r>
      <w:r w:rsidRPr="00E06B74">
        <w:t xml:space="preserve"> teachers’ association representatives. The review team conducted </w:t>
      </w:r>
      <w:r w:rsidR="002157B6">
        <w:t xml:space="preserve">3 </w:t>
      </w:r>
      <w:r w:rsidR="008D47F2">
        <w:t>focus groups</w:t>
      </w:r>
      <w:r w:rsidRPr="00E06B74">
        <w:t xml:space="preserve"> with </w:t>
      </w:r>
      <w:r w:rsidR="00FE584E">
        <w:t xml:space="preserve">8 </w:t>
      </w:r>
      <w:r w:rsidR="00C05490">
        <w:t>elementary-</w:t>
      </w:r>
      <w:r w:rsidRPr="00E06B74">
        <w:t xml:space="preserve">school teachers, </w:t>
      </w:r>
      <w:r w:rsidR="00FE584E">
        <w:t xml:space="preserve">5 </w:t>
      </w:r>
      <w:r w:rsidR="00FE584E" w:rsidRPr="00E06B74">
        <w:t>middle</w:t>
      </w:r>
      <w:r w:rsidR="00C05490">
        <w:t>-</w:t>
      </w:r>
      <w:r w:rsidRPr="00E06B74">
        <w:t xml:space="preserve">school teachers, and </w:t>
      </w:r>
      <w:r w:rsidR="00FE584E">
        <w:t xml:space="preserve">1 </w:t>
      </w:r>
      <w:r w:rsidR="00C05490" w:rsidRPr="00E06B74">
        <w:t>high</w:t>
      </w:r>
      <w:r w:rsidR="00C05490">
        <w:t>-</w:t>
      </w:r>
      <w:r w:rsidR="006A04E1">
        <w:t>school teacher</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D65E71">
        <w:t xml:space="preserve"> </w:t>
      </w:r>
      <w:r w:rsidR="00FE584E">
        <w:t xml:space="preserve">50 </w:t>
      </w:r>
      <w:r>
        <w:t xml:space="preserve">classrooms in </w:t>
      </w:r>
      <w:r w:rsidR="00FE584E">
        <w:t>5</w:t>
      </w:r>
      <w:r w:rsidRPr="00E06B74">
        <w:t xml:space="preserve"> schools. </w:t>
      </w:r>
      <w:r>
        <w:t xml:space="preserve">The team collected data using </w:t>
      </w:r>
      <w:r w:rsidR="00D94A92">
        <w:t>ESE’s I</w:t>
      </w:r>
      <w:r w:rsidR="00D94A92" w:rsidRPr="00AE2098">
        <w:t xml:space="preserve">nstructional </w:t>
      </w:r>
      <w:r w:rsidR="00D94A92">
        <w:t>I</w:t>
      </w:r>
      <w:r w:rsidR="00D94A92"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7C26E9" w:rsidRDefault="007C26E9"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6025A4" w:rsidP="008E314D">
      <w:pPr>
        <w:tabs>
          <w:tab w:val="left" w:pos="360"/>
          <w:tab w:val="left" w:pos="720"/>
          <w:tab w:val="left" w:pos="1080"/>
          <w:tab w:val="left" w:pos="1440"/>
          <w:tab w:val="left" w:pos="1800"/>
          <w:tab w:val="left" w:pos="2160"/>
          <w:tab w:val="left" w:pos="2520"/>
          <w:tab w:val="left" w:pos="2880"/>
        </w:tabs>
      </w:pPr>
      <w:r>
        <w:t>Dighton has</w:t>
      </w:r>
      <w:r w:rsidR="008E314D" w:rsidRPr="00E06B74">
        <w:t xml:space="preserve"> a </w:t>
      </w:r>
      <w:r w:rsidR="00FE584E">
        <w:t>town manager</w:t>
      </w:r>
      <w:r w:rsidR="008E314D" w:rsidRPr="00E06B74">
        <w:t xml:space="preserve"> form of government and </w:t>
      </w:r>
      <w:r>
        <w:t>Rehoboth has a town meeting form of government.  T</w:t>
      </w:r>
      <w:r w:rsidR="008E314D" w:rsidRPr="00E06B74">
        <w:t xml:space="preserve">he chair </w:t>
      </w:r>
      <w:r>
        <w:t xml:space="preserve">and vice-chair </w:t>
      </w:r>
      <w:r w:rsidR="008E314D" w:rsidRPr="00E06B74">
        <w:t xml:space="preserve">of the </w:t>
      </w:r>
      <w:r w:rsidR="00FE584E">
        <w:t xml:space="preserve">regional </w:t>
      </w:r>
      <w:r>
        <w:t>school committee are</w:t>
      </w:r>
      <w:r w:rsidR="008E314D" w:rsidRPr="00E06B74">
        <w:t xml:space="preserve"> </w:t>
      </w:r>
      <w:r w:rsidR="00FE584E">
        <w:t>elected</w:t>
      </w:r>
      <w:r w:rsidR="008E314D" w:rsidRPr="00E06B74">
        <w:t>. The</w:t>
      </w:r>
      <w:r w:rsidR="00286F48">
        <w:t xml:space="preserve"> </w:t>
      </w:r>
      <w:r>
        <w:t>10</w:t>
      </w:r>
      <w:r w:rsidR="008E314D" w:rsidRPr="00E06B74">
        <w:t xml:space="preserve"> member</w:t>
      </w:r>
      <w:r w:rsidR="008E314D">
        <w:t>s of the school committee</w:t>
      </w:r>
      <w:r>
        <w:t xml:space="preserve"> (5 from each town)</w:t>
      </w:r>
      <w:r w:rsidR="008E314D">
        <w:t xml:space="preserve"> </w:t>
      </w:r>
      <w:r w:rsidR="008E314D" w:rsidRPr="00E06B74">
        <w:t xml:space="preserve">meet </w:t>
      </w:r>
      <w:r w:rsidR="00FE584E">
        <w:t>twice 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E5827">
        <w:t>June 2, 2014</w:t>
      </w:r>
      <w:r w:rsidRPr="00E06B74">
        <w:t>. The district leadership team include</w:t>
      </w:r>
      <w:r>
        <w:t>s</w:t>
      </w:r>
      <w:r w:rsidR="00BF2B0F">
        <w:t xml:space="preserve"> </w:t>
      </w:r>
      <w:r w:rsidR="00A91AA7">
        <w:t>the assistant superi</w:t>
      </w:r>
      <w:r w:rsidR="00967E0A">
        <w:t xml:space="preserve">ntendent, </w:t>
      </w:r>
      <w:r w:rsidR="00FF09E9">
        <w:t xml:space="preserve">the </w:t>
      </w:r>
      <w:r w:rsidR="00967E0A">
        <w:t xml:space="preserve">business manager, </w:t>
      </w:r>
      <w:r w:rsidR="00B215AE">
        <w:t xml:space="preserve">the interim </w:t>
      </w:r>
      <w:r w:rsidR="00A91AA7">
        <w:t>director of special education</w:t>
      </w:r>
      <w:r w:rsidR="00967E0A">
        <w:t xml:space="preserve">, and the </w:t>
      </w:r>
      <w:r w:rsidR="00FF09E9">
        <w:t xml:space="preserve">six </w:t>
      </w:r>
      <w:r w:rsidR="00967E0A">
        <w:t>principals</w:t>
      </w:r>
      <w:r w:rsidRPr="00E06B74">
        <w:t>.</w:t>
      </w:r>
      <w:r w:rsidR="00A91AA7">
        <w:t xml:space="preserve"> </w:t>
      </w:r>
      <w:r w:rsidRPr="00E06B74">
        <w:t xml:space="preserve"> Central office positions </w:t>
      </w:r>
      <w:r>
        <w:t xml:space="preserve">have been </w:t>
      </w:r>
      <w:r w:rsidR="00AB6BB3">
        <w:t>mostly stable</w:t>
      </w:r>
      <w:r w:rsidRPr="00E06B74">
        <w:t xml:space="preserve"> over the past </w:t>
      </w:r>
      <w:r w:rsidR="00042048">
        <w:t>three</w:t>
      </w:r>
      <w:r w:rsidR="00042048" w:rsidRPr="00E06B74">
        <w:t xml:space="preserve"> </w:t>
      </w:r>
      <w:r w:rsidRPr="00E06B74">
        <w:t xml:space="preserve">years. The district </w:t>
      </w:r>
      <w:r>
        <w:t>has</w:t>
      </w:r>
      <w:r w:rsidR="00BF2B0F">
        <w:t xml:space="preserve"> </w:t>
      </w:r>
      <w:r w:rsidR="00042048">
        <w:t>six</w:t>
      </w:r>
      <w:r w:rsidR="00042048" w:rsidRPr="00E06B74">
        <w:t xml:space="preserve"> </w:t>
      </w:r>
      <w:r w:rsidRPr="00E06B74">
        <w:t xml:space="preserve">principals </w:t>
      </w:r>
      <w:r w:rsidR="006025A4">
        <w:t>leading</w:t>
      </w:r>
      <w:r w:rsidR="00A91AA7">
        <w:t xml:space="preserve"> </w:t>
      </w:r>
      <w:r w:rsidR="00042048">
        <w:t xml:space="preserve">five </w:t>
      </w:r>
      <w:r w:rsidR="006025A4" w:rsidRPr="00E06B74">
        <w:t>schools</w:t>
      </w:r>
      <w:r w:rsidR="00FF09E9">
        <w:t>;</w:t>
      </w:r>
      <w:r w:rsidR="00C17477">
        <w:t xml:space="preserve"> </w:t>
      </w:r>
      <w:r w:rsidR="00042048">
        <w:t>pre</w:t>
      </w:r>
      <w:r w:rsidR="00B215AE">
        <w:t>-</w:t>
      </w:r>
      <w:r w:rsidR="00042048">
        <w:t xml:space="preserve">kindergarten </w:t>
      </w:r>
      <w:r w:rsidR="00B215AE">
        <w:t>is housed in the high school and is led by an interim principal</w:t>
      </w:r>
      <w:r w:rsidRPr="00E06B74">
        <w:t xml:space="preserve">. </w:t>
      </w:r>
      <w:r>
        <w:t xml:space="preserve">There are </w:t>
      </w:r>
      <w:r w:rsidR="00042048">
        <w:t xml:space="preserve">seven </w:t>
      </w:r>
      <w:r>
        <w:t xml:space="preserve">other </w:t>
      </w:r>
      <w:r w:rsidRPr="00E06B74">
        <w:t>school administrators</w:t>
      </w:r>
      <w:r w:rsidR="00286F48">
        <w:t>:</w:t>
      </w:r>
      <w:r w:rsidR="000B50A7">
        <w:t xml:space="preserve"> </w:t>
      </w:r>
      <w:r w:rsidR="00042048">
        <w:t xml:space="preserve">six </w:t>
      </w:r>
      <w:r w:rsidR="00B215AE">
        <w:t xml:space="preserve">assistant principals and </w:t>
      </w:r>
      <w:r w:rsidR="00042048">
        <w:t xml:space="preserve">the </w:t>
      </w:r>
      <w:r w:rsidR="00B215AE">
        <w:t>director of career and technical education</w:t>
      </w:r>
      <w:r w:rsidRPr="00E06B74">
        <w:t xml:space="preserve">. </w:t>
      </w:r>
      <w:r w:rsidR="00E25B2F">
        <w:t xml:space="preserve">In </w:t>
      </w:r>
      <w:r w:rsidR="00C05490">
        <w:t>2015</w:t>
      </w:r>
      <w:r w:rsidR="000359A8">
        <w:t>–</w:t>
      </w:r>
      <w:r w:rsidR="00C05490">
        <w:t>2016</w:t>
      </w:r>
      <w:r w:rsidR="00E25B2F">
        <w:t xml:space="preserve"> t</w:t>
      </w:r>
      <w:r w:rsidRPr="00E06B74">
        <w:t xml:space="preserve">here </w:t>
      </w:r>
      <w:r w:rsidR="00E25B2F">
        <w:t>we</w:t>
      </w:r>
      <w:r>
        <w:t>re</w:t>
      </w:r>
      <w:r w:rsidRPr="00E06B74">
        <w:t xml:space="preserve"> </w:t>
      </w:r>
      <w:r w:rsidR="000A56BA">
        <w:t>237</w:t>
      </w:r>
      <w:r w:rsidR="000A56BA" w:rsidRPr="00E06B74">
        <w:t xml:space="preserve">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D325B">
        <w:t>2016</w:t>
      </w:r>
      <w:r w:rsidR="00042048">
        <w:t>-</w:t>
      </w:r>
      <w:r w:rsidR="009B7D92">
        <w:t xml:space="preserve">2017 </w:t>
      </w:r>
      <w:r>
        <w:t>school year,</w:t>
      </w:r>
      <w:r w:rsidR="00BF2B0F">
        <w:t xml:space="preserve"> </w:t>
      </w:r>
      <w:r w:rsidR="00AB6BB3">
        <w:t>2</w:t>
      </w:r>
      <w:r w:rsidR="00042048">
        <w:t>,</w:t>
      </w:r>
      <w:r w:rsidR="00AB6BB3">
        <w:t>883</w:t>
      </w:r>
      <w:r w:rsidR="00042048">
        <w:t xml:space="preserve"> </w:t>
      </w:r>
      <w:r w:rsidR="008E314D">
        <w:t>s</w:t>
      </w:r>
      <w:r w:rsidR="008E314D" w:rsidRPr="00E06B74">
        <w:t>tudent</w:t>
      </w:r>
      <w:r w:rsidR="008E314D">
        <w:t>s</w:t>
      </w:r>
      <w:r w:rsidR="00CC4C53">
        <w:t xml:space="preserve"> </w:t>
      </w:r>
      <w:r w:rsidR="008E314D">
        <w:t xml:space="preserve">were enrolled in the district’s </w:t>
      </w:r>
      <w:r w:rsidR="00AB6BB3">
        <w:t xml:space="preserve">5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747D23">
        <w:rPr>
          <w:rFonts w:ascii="Calibri" w:eastAsia="Calibri" w:hAnsi="Calibri" w:cs="Times New Roman"/>
          <w:b/>
          <w:sz w:val="20"/>
        </w:rPr>
        <w:t>Dighton-</w:t>
      </w:r>
      <w:r w:rsidR="00DD1279">
        <w:rPr>
          <w:rFonts w:ascii="Calibri" w:eastAsia="Calibri" w:hAnsi="Calibri" w:cs="Times New Roman"/>
          <w:b/>
          <w:sz w:val="20"/>
        </w:rPr>
        <w:t>Rehoboth</w:t>
      </w:r>
      <w:r w:rsidR="00747D23">
        <w:rPr>
          <w:rFonts w:ascii="Calibri" w:eastAsia="Calibri" w:hAnsi="Calibri" w:cs="Times New Roman"/>
          <w:b/>
          <w:sz w:val="20"/>
        </w:rPr>
        <w:t xml:space="preserve"> Regional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D325B">
        <w:rPr>
          <w:rFonts w:ascii="Calibri" w:eastAsia="Calibri" w:hAnsi="Calibri" w:cs="Times New Roman"/>
          <w:b/>
          <w:sz w:val="20"/>
        </w:rPr>
        <w:t>2016</w:t>
      </w:r>
      <w:r w:rsidR="000A56BA">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D1279" w:rsidP="00042048">
            <w:pPr>
              <w:tabs>
                <w:tab w:val="left" w:pos="360"/>
                <w:tab w:val="left" w:pos="720"/>
                <w:tab w:val="left" w:pos="1080"/>
                <w:tab w:val="left" w:pos="1440"/>
                <w:tab w:val="left" w:pos="1800"/>
                <w:tab w:val="left" w:pos="2160"/>
                <w:tab w:val="left" w:pos="2520"/>
                <w:tab w:val="left" w:pos="2880"/>
              </w:tabs>
              <w:spacing w:after="0" w:line="240" w:lineRule="auto"/>
              <w:rPr>
                <w:bCs/>
                <w:sz w:val="20"/>
                <w:szCs w:val="20"/>
              </w:rPr>
            </w:pPr>
            <w:r>
              <w:rPr>
                <w:bCs/>
                <w:sz w:val="20"/>
                <w:szCs w:val="20"/>
              </w:rPr>
              <w:t>Palmer River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D1279" w:rsidP="00042048">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D1279"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K</w:t>
            </w:r>
            <w:r w:rsidR="00DC69B6">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D1279"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564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 xml:space="preserve">Dighton Elementary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D1279"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D1279"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K</w:t>
            </w:r>
            <w:r w:rsidR="00DC69B6">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D1279"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420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Dighton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AD4257"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5</w:t>
            </w:r>
            <w:r w:rsidR="00DC69B6">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396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 xml:space="preserve">Dorothy L. Beckwith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AD4257"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5</w:t>
            </w:r>
            <w:r w:rsidR="00DC69B6">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575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Dighton-Rehoboth Regional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EES,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AD4257"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Pre-K, 9</w:t>
            </w:r>
            <w:r w:rsidR="00DC69B6">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center"/>
              <w:rPr>
                <w:color w:val="000000"/>
                <w:sz w:val="20"/>
                <w:szCs w:val="20"/>
              </w:rPr>
            </w:pPr>
            <w:r>
              <w:rPr>
                <w:color w:val="000000"/>
                <w:sz w:val="20"/>
                <w:szCs w:val="20"/>
              </w:rPr>
              <w:t>928</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center"/>
              <w:rPr>
                <w:b/>
                <w:bCs/>
                <w:color w:val="000000"/>
                <w:sz w:val="20"/>
                <w:szCs w:val="20"/>
              </w:rPr>
            </w:pPr>
            <w:r>
              <w:rPr>
                <w:b/>
                <w:bCs/>
                <w:color w:val="000000"/>
                <w:sz w:val="20"/>
                <w:szCs w:val="20"/>
              </w:rPr>
              <w:t>5</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AD4257" w:rsidP="00DC69B6">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center"/>
              <w:rPr>
                <w:b/>
                <w:bCs/>
                <w:color w:val="000000"/>
                <w:sz w:val="20"/>
                <w:szCs w:val="20"/>
              </w:rPr>
            </w:pPr>
            <w:r>
              <w:rPr>
                <w:b/>
                <w:bCs/>
                <w:color w:val="000000"/>
                <w:sz w:val="20"/>
                <w:szCs w:val="20"/>
              </w:rPr>
              <w:t>Pre-K</w:t>
            </w:r>
            <w:r w:rsidR="00DC69B6">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D4257" w:rsidP="00042048">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center"/>
              <w:rPr>
                <w:b/>
                <w:bCs/>
                <w:color w:val="000000"/>
                <w:sz w:val="20"/>
                <w:szCs w:val="20"/>
              </w:rPr>
            </w:pPr>
            <w:r>
              <w:rPr>
                <w:b/>
                <w:bCs/>
                <w:color w:val="000000"/>
                <w:sz w:val="20"/>
                <w:szCs w:val="20"/>
              </w:rPr>
              <w:t>2</w:t>
            </w:r>
            <w:r w:rsidR="00042048">
              <w:rPr>
                <w:b/>
                <w:bCs/>
                <w:color w:val="000000"/>
                <w:sz w:val="20"/>
                <w:szCs w:val="20"/>
              </w:rPr>
              <w:t>,</w:t>
            </w:r>
            <w:r>
              <w:rPr>
                <w:b/>
                <w:bCs/>
                <w:color w:val="000000"/>
                <w:sz w:val="20"/>
                <w:szCs w:val="20"/>
              </w:rPr>
              <w:t>883</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042048">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w:t>
            </w:r>
            <w:r w:rsidR="00C645BC">
              <w:rPr>
                <w:color w:val="000000"/>
                <w:sz w:val="20"/>
                <w:szCs w:val="20"/>
              </w:rPr>
              <w:t>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0A56BA">
        <w:t xml:space="preserve">2013 </w:t>
      </w:r>
      <w:r>
        <w:t xml:space="preserve">and </w:t>
      </w:r>
      <w:r w:rsidR="000A56BA">
        <w:t xml:space="preserve">2017 </w:t>
      </w:r>
      <w:r w:rsidR="008E314D">
        <w:t xml:space="preserve">overall student enrollment </w:t>
      </w:r>
      <w:r w:rsidR="00573327" w:rsidRPr="00573327">
        <w:t>decreased</w:t>
      </w:r>
      <w:r w:rsidR="00573327">
        <w:t xml:space="preserve"> </w:t>
      </w:r>
      <w:r w:rsidR="00D65E71">
        <w:t>by</w:t>
      </w:r>
      <w:r>
        <w:t xml:space="preserve"> </w:t>
      </w:r>
      <w:r w:rsidR="000A56BA">
        <w:t>5.1</w:t>
      </w:r>
      <w:r w:rsidR="00573327">
        <w:t xml:space="preserve">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573327" w:rsidRDefault="00573327" w:rsidP="00573327">
      <w:r>
        <w:t xml:space="preserve">Total in-district per-pupil expenditures were </w:t>
      </w:r>
      <w:r w:rsidR="000A56BA">
        <w:t>lower than</w:t>
      </w:r>
      <w:r>
        <w:t xml:space="preserve"> the median in-district per pupil expenditures for </w:t>
      </w:r>
      <w:r w:rsidR="000A56BA">
        <w:t>K–12</w:t>
      </w:r>
      <w:r w:rsidR="000A56BA" w:rsidRPr="00573327">
        <w:t xml:space="preserve"> </w:t>
      </w:r>
      <w:r w:rsidRPr="00573327">
        <w:t>districts</w:t>
      </w:r>
      <w:r>
        <w:t xml:space="preserve"> of similar size </w:t>
      </w:r>
      <w:r w:rsidR="000A56BA">
        <w:t xml:space="preserve">(2,000–2,999 students) </w:t>
      </w:r>
      <w:r>
        <w:t xml:space="preserve">in fiscal year </w:t>
      </w:r>
      <w:r w:rsidRPr="00573327">
        <w:t>2015</w:t>
      </w:r>
      <w:r>
        <w:t xml:space="preserve">:  </w:t>
      </w:r>
      <w:r w:rsidRPr="00573327">
        <w:t>$</w:t>
      </w:r>
      <w:r w:rsidR="000A56BA">
        <w:t>12,442</w:t>
      </w:r>
      <w:r>
        <w:t xml:space="preserve"> as compared with </w:t>
      </w:r>
      <w:r>
        <w:lastRenderedPageBreak/>
        <w:t>$</w:t>
      </w:r>
      <w:r w:rsidR="000A56BA">
        <w:t>13,342</w:t>
      </w:r>
      <w:r>
        <w:t xml:space="preserve"> (see </w:t>
      </w:r>
      <w:hyperlink r:id="rId18" w:history="1">
        <w:r>
          <w:rPr>
            <w:rStyle w:val="Hyperlink"/>
          </w:rPr>
          <w:t>District Analysis and Review Tool Detail: Staffing &amp; Finance</w:t>
        </w:r>
      </w:hyperlink>
      <w:r>
        <w:t xml:space="preserve">). Actual net school spending has been </w:t>
      </w:r>
      <w:r w:rsidRPr="00573327">
        <w:t>above</w:t>
      </w:r>
      <w:r>
        <w:t xml:space="preserve"> what is required by the Chapter 70 state education aid program, as shown in Table B6 in Appendix B.</w:t>
      </w:r>
    </w:p>
    <w:p w:rsidR="00573327" w:rsidRDefault="00573327" w:rsidP="00573327"/>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6B7861" w:rsidRPr="006B7861" w:rsidRDefault="006B7861" w:rsidP="006B7861">
      <w:pPr>
        <w:spacing w:after="0" w:line="240" w:lineRule="auto"/>
        <w:rPr>
          <w:rFonts w:eastAsia="Times New Roman" w:cs="Times New Roman"/>
        </w:rPr>
      </w:pPr>
      <w:r w:rsidRPr="006B7861">
        <w:rPr>
          <w:b/>
        </w:rPr>
        <w:t>Dighton-Rehoboth is a Level 2 district because all its schools are in Level 2 for not meeting their gap narrowing targets for all students and/or high needs students.</w:t>
      </w:r>
      <w:r w:rsidR="004350C3" w:rsidRPr="006B7861">
        <w:rPr>
          <w:rFonts w:eastAsia="Times New Roman" w:cs="Times New Roman"/>
        </w:rPr>
        <w:t xml:space="preserve"> </w:t>
      </w: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6B7861" w:rsidRPr="006B7861" w:rsidTr="008F0BE1">
        <w:tc>
          <w:tcPr>
            <w:tcW w:w="9576" w:type="dxa"/>
            <w:gridSpan w:val="9"/>
            <w:tcBorders>
              <w:top w:val="nil"/>
              <w:left w:val="nil"/>
              <w:right w:val="nil"/>
            </w:tcBorders>
          </w:tcPr>
          <w:p w:rsidR="006B7861" w:rsidRPr="006B7861" w:rsidRDefault="006B7861" w:rsidP="006B7861">
            <w:pPr>
              <w:spacing w:after="0" w:line="240" w:lineRule="auto"/>
              <w:rPr>
                <w:b/>
                <w:sz w:val="20"/>
                <w:szCs w:val="20"/>
              </w:rPr>
            </w:pPr>
          </w:p>
          <w:p w:rsidR="006B7861" w:rsidRPr="006B7861" w:rsidRDefault="006B7861" w:rsidP="006B7861">
            <w:pPr>
              <w:spacing w:after="0" w:line="240" w:lineRule="auto"/>
              <w:jc w:val="center"/>
              <w:rPr>
                <w:b/>
                <w:sz w:val="20"/>
                <w:szCs w:val="20"/>
              </w:rPr>
            </w:pPr>
            <w:r w:rsidRPr="006B7861">
              <w:rPr>
                <w:b/>
                <w:sz w:val="20"/>
                <w:szCs w:val="20"/>
              </w:rPr>
              <w:t>Table 2: Dighton-Rehoboth Public Schools</w:t>
            </w:r>
          </w:p>
          <w:p w:rsidR="006B7861" w:rsidRPr="006B7861" w:rsidRDefault="006B7861" w:rsidP="006B7861">
            <w:pPr>
              <w:spacing w:after="0" w:line="240" w:lineRule="auto"/>
              <w:jc w:val="center"/>
              <w:rPr>
                <w:b/>
                <w:sz w:val="20"/>
                <w:szCs w:val="20"/>
              </w:rPr>
            </w:pPr>
            <w:r w:rsidRPr="006B7861">
              <w:rPr>
                <w:b/>
                <w:sz w:val="20"/>
                <w:szCs w:val="20"/>
              </w:rPr>
              <w:t>District and School PPI, Percentile, and Level 2013–2016</w:t>
            </w:r>
          </w:p>
        </w:tc>
      </w:tr>
      <w:tr w:rsidR="006B7861" w:rsidRPr="006B7861" w:rsidTr="008F0BE1">
        <w:trPr>
          <w:trHeight w:val="270"/>
        </w:trPr>
        <w:tc>
          <w:tcPr>
            <w:tcW w:w="2088"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School</w:t>
            </w:r>
          </w:p>
        </w:tc>
        <w:tc>
          <w:tcPr>
            <w:tcW w:w="1170"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3150" w:type="dxa"/>
            <w:gridSpan w:val="4"/>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Annual PPI</w:t>
            </w:r>
          </w:p>
        </w:tc>
        <w:tc>
          <w:tcPr>
            <w:tcW w:w="1170"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Cumulative PPI</w:t>
            </w:r>
          </w:p>
        </w:tc>
        <w:tc>
          <w:tcPr>
            <w:tcW w:w="1080"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School</w:t>
            </w:r>
          </w:p>
          <w:p w:rsidR="006B7861" w:rsidRPr="006B7861" w:rsidRDefault="006B7861" w:rsidP="006B7861">
            <w:pPr>
              <w:spacing w:after="0" w:line="240" w:lineRule="auto"/>
              <w:jc w:val="center"/>
              <w:rPr>
                <w:b/>
                <w:sz w:val="20"/>
                <w:szCs w:val="20"/>
              </w:rPr>
            </w:pPr>
            <w:r w:rsidRPr="006B7861">
              <w:rPr>
                <w:b/>
                <w:sz w:val="20"/>
                <w:szCs w:val="20"/>
              </w:rPr>
              <w:t>Percentile</w:t>
            </w:r>
          </w:p>
        </w:tc>
        <w:tc>
          <w:tcPr>
            <w:tcW w:w="918"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Accountability</w:t>
            </w:r>
          </w:p>
          <w:p w:rsidR="006B7861" w:rsidRPr="006B7861" w:rsidRDefault="006B7861" w:rsidP="006B7861">
            <w:pPr>
              <w:spacing w:after="0" w:line="240" w:lineRule="auto"/>
              <w:jc w:val="center"/>
              <w:rPr>
                <w:b/>
                <w:sz w:val="20"/>
                <w:szCs w:val="20"/>
              </w:rPr>
            </w:pPr>
            <w:r w:rsidRPr="006B7861">
              <w:rPr>
                <w:b/>
                <w:sz w:val="20"/>
                <w:szCs w:val="20"/>
              </w:rPr>
              <w:t>Level</w:t>
            </w:r>
          </w:p>
        </w:tc>
      </w:tr>
      <w:tr w:rsidR="006B7861" w:rsidRPr="006B7861" w:rsidTr="008F0BE1">
        <w:trPr>
          <w:trHeight w:val="270"/>
        </w:trPr>
        <w:tc>
          <w:tcPr>
            <w:tcW w:w="2088"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117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17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108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918"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Elementary</w:t>
            </w:r>
          </w:p>
        </w:tc>
        <w:tc>
          <w:tcPr>
            <w:tcW w:w="117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All</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69</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80" w:type="dxa"/>
            <w:vMerge w:val="restart"/>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44</w:t>
            </w:r>
          </w:p>
        </w:tc>
        <w:tc>
          <w:tcPr>
            <w:tcW w:w="918" w:type="dxa"/>
            <w:vMerge w:val="restart"/>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shd w:val="clear" w:color="auto" w:fill="auto"/>
            <w:vAlign w:val="center"/>
          </w:tcPr>
          <w:p w:rsidR="006B7861" w:rsidRPr="006B7861" w:rsidRDefault="006B7861" w:rsidP="006B7861">
            <w:pPr>
              <w:spacing w:after="0" w:line="240" w:lineRule="auto"/>
              <w:jc w:val="center"/>
              <w:rPr>
                <w:sz w:val="20"/>
                <w:szCs w:val="20"/>
              </w:rPr>
            </w:pPr>
          </w:p>
        </w:tc>
        <w:tc>
          <w:tcPr>
            <w:tcW w:w="117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 xml:space="preserve">High Needs </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080" w:type="dxa"/>
            <w:vMerge/>
            <w:shd w:val="clear" w:color="auto" w:fill="auto"/>
            <w:vAlign w:val="center"/>
          </w:tcPr>
          <w:p w:rsidR="006B7861" w:rsidRPr="006B7861" w:rsidRDefault="006B7861" w:rsidP="006B7861">
            <w:pPr>
              <w:spacing w:after="0" w:line="240" w:lineRule="auto"/>
              <w:jc w:val="center"/>
              <w:rPr>
                <w:sz w:val="20"/>
                <w:szCs w:val="20"/>
              </w:rPr>
            </w:pPr>
          </w:p>
        </w:tc>
        <w:tc>
          <w:tcPr>
            <w:tcW w:w="918"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Palmer River</w:t>
            </w:r>
          </w:p>
        </w:tc>
        <w:tc>
          <w:tcPr>
            <w:tcW w:w="117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All</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69</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80"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918"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vAlign w:val="center"/>
          </w:tcPr>
          <w:p w:rsidR="006B7861" w:rsidRPr="006B7861" w:rsidRDefault="006B7861" w:rsidP="006B7861">
            <w:pPr>
              <w:spacing w:after="0" w:line="240" w:lineRule="auto"/>
              <w:jc w:val="center"/>
              <w:rPr>
                <w:sz w:val="20"/>
                <w:szCs w:val="20"/>
              </w:rPr>
            </w:pPr>
          </w:p>
        </w:tc>
        <w:tc>
          <w:tcPr>
            <w:tcW w:w="117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 xml:space="preserve">High Needs </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38</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81</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080" w:type="dxa"/>
            <w:vMerge/>
            <w:vAlign w:val="center"/>
          </w:tcPr>
          <w:p w:rsidR="006B7861" w:rsidRPr="006B7861" w:rsidRDefault="006B7861" w:rsidP="006B7861">
            <w:pPr>
              <w:spacing w:after="0" w:line="240" w:lineRule="auto"/>
              <w:jc w:val="center"/>
              <w:rPr>
                <w:sz w:val="20"/>
                <w:szCs w:val="20"/>
              </w:rPr>
            </w:pPr>
          </w:p>
        </w:tc>
        <w:tc>
          <w:tcPr>
            <w:tcW w:w="918" w:type="dxa"/>
            <w:vMerge/>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Middle</w:t>
            </w:r>
          </w:p>
        </w:tc>
        <w:tc>
          <w:tcPr>
            <w:tcW w:w="1170" w:type="dxa"/>
            <w:vAlign w:val="bottom"/>
          </w:tcPr>
          <w:p w:rsidR="006B7861" w:rsidRPr="006B7861" w:rsidRDefault="006B7861" w:rsidP="006B7861">
            <w:pPr>
              <w:spacing w:after="0" w:line="240" w:lineRule="auto"/>
              <w:rPr>
                <w:sz w:val="20"/>
                <w:szCs w:val="20"/>
              </w:rPr>
            </w:pPr>
            <w:r w:rsidRPr="006B7861">
              <w:rPr>
                <w:sz w:val="20"/>
                <w:szCs w:val="20"/>
              </w:rPr>
              <w:t>All</w:t>
            </w:r>
          </w:p>
        </w:tc>
        <w:tc>
          <w:tcPr>
            <w:tcW w:w="81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30</w:t>
            </w:r>
          </w:p>
        </w:tc>
        <w:tc>
          <w:tcPr>
            <w:tcW w:w="81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765"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w:t>
            </w:r>
          </w:p>
        </w:tc>
        <w:tc>
          <w:tcPr>
            <w:tcW w:w="765"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85</w:t>
            </w:r>
          </w:p>
        </w:tc>
        <w:tc>
          <w:tcPr>
            <w:tcW w:w="117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80" w:type="dxa"/>
            <w:vMerge w:val="restart"/>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918" w:type="dxa"/>
            <w:vMerge w:val="restart"/>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vAlign w:val="center"/>
          </w:tcPr>
          <w:p w:rsidR="006B7861" w:rsidRPr="006B7861" w:rsidRDefault="006B7861" w:rsidP="006B7861">
            <w:pPr>
              <w:spacing w:after="0" w:line="240" w:lineRule="auto"/>
              <w:jc w:val="center"/>
              <w:rPr>
                <w:sz w:val="20"/>
                <w:szCs w:val="20"/>
              </w:rPr>
            </w:pPr>
          </w:p>
        </w:tc>
        <w:tc>
          <w:tcPr>
            <w:tcW w:w="1170" w:type="dxa"/>
            <w:vAlign w:val="bottom"/>
          </w:tcPr>
          <w:p w:rsidR="006B7861" w:rsidRPr="006B7861" w:rsidRDefault="006B7861" w:rsidP="006B7861">
            <w:pPr>
              <w:spacing w:after="0" w:line="240" w:lineRule="auto"/>
              <w:rPr>
                <w:sz w:val="20"/>
                <w:szCs w:val="20"/>
              </w:rPr>
            </w:pPr>
            <w:r w:rsidRPr="006B7861">
              <w:rPr>
                <w:sz w:val="20"/>
                <w:szCs w:val="20"/>
              </w:rPr>
              <w:t xml:space="preserve">High Needs </w:t>
            </w:r>
          </w:p>
        </w:tc>
        <w:tc>
          <w:tcPr>
            <w:tcW w:w="81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81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30</w:t>
            </w:r>
          </w:p>
        </w:tc>
        <w:tc>
          <w:tcPr>
            <w:tcW w:w="765"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40</w:t>
            </w:r>
          </w:p>
        </w:tc>
        <w:tc>
          <w:tcPr>
            <w:tcW w:w="765"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170"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80" w:type="dxa"/>
            <w:vMerge/>
            <w:vAlign w:val="center"/>
          </w:tcPr>
          <w:p w:rsidR="006B7861" w:rsidRPr="006B7861" w:rsidRDefault="006B7861" w:rsidP="006B7861">
            <w:pPr>
              <w:spacing w:after="0" w:line="240" w:lineRule="auto"/>
              <w:jc w:val="center"/>
              <w:rPr>
                <w:sz w:val="20"/>
                <w:szCs w:val="20"/>
              </w:rPr>
            </w:pPr>
          </w:p>
        </w:tc>
        <w:tc>
          <w:tcPr>
            <w:tcW w:w="918" w:type="dxa"/>
            <w:vMerge/>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Beckwith</w:t>
            </w:r>
          </w:p>
        </w:tc>
        <w:tc>
          <w:tcPr>
            <w:tcW w:w="117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All</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40</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65</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80"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62</w:t>
            </w:r>
          </w:p>
        </w:tc>
        <w:tc>
          <w:tcPr>
            <w:tcW w:w="918"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117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 xml:space="preserve">High Needs </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61</w:t>
            </w:r>
          </w:p>
        </w:tc>
        <w:tc>
          <w:tcPr>
            <w:tcW w:w="108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91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shd w:val="clear" w:color="auto" w:fill="auto"/>
            <w:vAlign w:val="center"/>
          </w:tcPr>
          <w:p w:rsidR="006B7861" w:rsidRPr="006B7861" w:rsidRDefault="006B7861" w:rsidP="00A300F7">
            <w:pPr>
              <w:spacing w:after="0" w:line="240" w:lineRule="auto"/>
              <w:jc w:val="center"/>
              <w:rPr>
                <w:rFonts w:ascii="Calibri" w:hAnsi="Calibri"/>
                <w:sz w:val="20"/>
                <w:szCs w:val="20"/>
              </w:rPr>
            </w:pPr>
            <w:r w:rsidRPr="006B7861">
              <w:rPr>
                <w:rFonts w:ascii="Calibri" w:hAnsi="Calibri"/>
                <w:sz w:val="20"/>
                <w:szCs w:val="20"/>
              </w:rPr>
              <w:t xml:space="preserve">Dighton-Rehoboth </w:t>
            </w:r>
            <w:r w:rsidR="00A300F7" w:rsidRPr="006B7861">
              <w:rPr>
                <w:rFonts w:ascii="Calibri" w:hAnsi="Calibri"/>
                <w:sz w:val="20"/>
                <w:szCs w:val="20"/>
              </w:rPr>
              <w:t>Reg</w:t>
            </w:r>
            <w:r w:rsidR="001302A7">
              <w:rPr>
                <w:rFonts w:ascii="Calibri" w:hAnsi="Calibri"/>
                <w:sz w:val="20"/>
                <w:szCs w:val="20"/>
              </w:rPr>
              <w:t>iona</w:t>
            </w:r>
            <w:r w:rsidR="00A300F7" w:rsidRPr="006B7861">
              <w:rPr>
                <w:rFonts w:ascii="Calibri" w:hAnsi="Calibri"/>
                <w:sz w:val="20"/>
                <w:szCs w:val="20"/>
              </w:rPr>
              <w:t xml:space="preserve">l </w:t>
            </w:r>
            <w:r w:rsidRPr="006B7861">
              <w:rPr>
                <w:rFonts w:ascii="Calibri" w:hAnsi="Calibri"/>
                <w:sz w:val="20"/>
                <w:szCs w:val="20"/>
              </w:rPr>
              <w:t>High</w:t>
            </w:r>
          </w:p>
        </w:tc>
        <w:tc>
          <w:tcPr>
            <w:tcW w:w="117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All</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71</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79</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96</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82</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85</w:t>
            </w:r>
          </w:p>
        </w:tc>
        <w:tc>
          <w:tcPr>
            <w:tcW w:w="1080" w:type="dxa"/>
            <w:vMerge w:val="restart"/>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918" w:type="dxa"/>
            <w:vMerge w:val="restart"/>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shd w:val="clear" w:color="auto" w:fill="auto"/>
            <w:vAlign w:val="center"/>
          </w:tcPr>
          <w:p w:rsidR="006B7861" w:rsidRPr="006B7861" w:rsidRDefault="006B7861" w:rsidP="006B7861">
            <w:pPr>
              <w:spacing w:after="0" w:line="240" w:lineRule="auto"/>
              <w:jc w:val="center"/>
              <w:rPr>
                <w:sz w:val="20"/>
                <w:szCs w:val="20"/>
              </w:rPr>
            </w:pPr>
          </w:p>
        </w:tc>
        <w:tc>
          <w:tcPr>
            <w:tcW w:w="117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 xml:space="preserve">High Needs </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68</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68</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93</w:t>
            </w:r>
          </w:p>
        </w:tc>
        <w:tc>
          <w:tcPr>
            <w:tcW w:w="765"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46</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1080" w:type="dxa"/>
            <w:vMerge/>
            <w:shd w:val="clear" w:color="auto" w:fill="auto"/>
            <w:vAlign w:val="center"/>
          </w:tcPr>
          <w:p w:rsidR="006B7861" w:rsidRPr="006B7861" w:rsidRDefault="006B7861" w:rsidP="006B7861">
            <w:pPr>
              <w:spacing w:after="0" w:line="240" w:lineRule="auto"/>
              <w:jc w:val="center"/>
              <w:rPr>
                <w:sz w:val="20"/>
                <w:szCs w:val="20"/>
              </w:rPr>
            </w:pPr>
          </w:p>
        </w:tc>
        <w:tc>
          <w:tcPr>
            <w:tcW w:w="918"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208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District</w:t>
            </w:r>
          </w:p>
        </w:tc>
        <w:tc>
          <w:tcPr>
            <w:tcW w:w="1170" w:type="dxa"/>
            <w:shd w:val="clear" w:color="auto" w:fill="D9D9D9" w:themeFill="background1" w:themeFillShade="D9"/>
          </w:tcPr>
          <w:p w:rsidR="006B7861" w:rsidRPr="006B7861" w:rsidRDefault="006B7861" w:rsidP="006B7861">
            <w:pPr>
              <w:spacing w:after="0" w:line="240" w:lineRule="auto"/>
              <w:rPr>
                <w:sz w:val="20"/>
                <w:szCs w:val="20"/>
              </w:rPr>
            </w:pPr>
            <w:r w:rsidRPr="006B7861">
              <w:rPr>
                <w:sz w:val="20"/>
                <w:szCs w:val="20"/>
              </w:rPr>
              <w:t>All</w:t>
            </w:r>
          </w:p>
        </w:tc>
        <w:tc>
          <w:tcPr>
            <w:tcW w:w="81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46</w:t>
            </w:r>
          </w:p>
        </w:tc>
        <w:tc>
          <w:tcPr>
            <w:tcW w:w="81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57</w:t>
            </w:r>
          </w:p>
        </w:tc>
        <w:tc>
          <w:tcPr>
            <w:tcW w:w="765"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82</w:t>
            </w:r>
          </w:p>
        </w:tc>
        <w:tc>
          <w:tcPr>
            <w:tcW w:w="117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080"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918"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2088" w:type="dxa"/>
            <w:vMerge/>
            <w:shd w:val="clear" w:color="auto" w:fill="D9D9D9" w:themeFill="background1" w:themeFillShade="D9"/>
          </w:tcPr>
          <w:p w:rsidR="006B7861" w:rsidRPr="006B7861" w:rsidRDefault="006B7861" w:rsidP="006B7861">
            <w:pPr>
              <w:spacing w:after="0" w:line="240" w:lineRule="auto"/>
              <w:rPr>
                <w:sz w:val="20"/>
                <w:szCs w:val="20"/>
              </w:rPr>
            </w:pPr>
          </w:p>
        </w:tc>
        <w:tc>
          <w:tcPr>
            <w:tcW w:w="1170" w:type="dxa"/>
            <w:shd w:val="clear" w:color="auto" w:fill="D9D9D9" w:themeFill="background1" w:themeFillShade="D9"/>
          </w:tcPr>
          <w:p w:rsidR="006B7861" w:rsidRPr="006B7861" w:rsidRDefault="006B7861" w:rsidP="006B7861">
            <w:pPr>
              <w:spacing w:after="0" w:line="240" w:lineRule="auto"/>
              <w:rPr>
                <w:sz w:val="20"/>
                <w:szCs w:val="20"/>
              </w:rPr>
            </w:pPr>
            <w:r w:rsidRPr="006B7861">
              <w:rPr>
                <w:sz w:val="20"/>
                <w:szCs w:val="20"/>
              </w:rPr>
              <w:t>High Needs</w:t>
            </w:r>
          </w:p>
        </w:tc>
        <w:tc>
          <w:tcPr>
            <w:tcW w:w="81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81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765"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17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80" w:type="dxa"/>
            <w:vMerge/>
            <w:shd w:val="clear" w:color="auto" w:fill="D9D9D9" w:themeFill="background1" w:themeFillShade="D9"/>
          </w:tcPr>
          <w:p w:rsidR="006B7861" w:rsidRPr="006B7861" w:rsidRDefault="006B7861" w:rsidP="006B7861">
            <w:pPr>
              <w:spacing w:after="0" w:line="240" w:lineRule="auto"/>
              <w:jc w:val="center"/>
              <w:rPr>
                <w:sz w:val="20"/>
                <w:szCs w:val="20"/>
              </w:rPr>
            </w:pPr>
          </w:p>
        </w:tc>
        <w:tc>
          <w:tcPr>
            <w:tcW w:w="918" w:type="dxa"/>
            <w:vMerge/>
            <w:shd w:val="clear" w:color="auto" w:fill="D9D9D9" w:themeFill="background1" w:themeFillShade="D9"/>
          </w:tcPr>
          <w:p w:rsidR="006B7861" w:rsidRPr="006B7861" w:rsidRDefault="006B7861" w:rsidP="006B7861">
            <w:pPr>
              <w:spacing w:after="0" w:line="240" w:lineRule="auto"/>
              <w:jc w:val="center"/>
              <w:rPr>
                <w:sz w:val="20"/>
                <w:szCs w:val="20"/>
              </w:rPr>
            </w:pP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A300F7" w:rsidP="006B7861">
      <w:pPr>
        <w:spacing w:after="0" w:line="240" w:lineRule="auto"/>
        <w:contextualSpacing/>
        <w:rPr>
          <w:rFonts w:eastAsia="Times New Roman" w:cs="Times New Roman"/>
          <w:b/>
        </w:rPr>
      </w:pPr>
      <w:r>
        <w:rPr>
          <w:rFonts w:eastAsia="Times New Roman" w:cs="Times New Roman"/>
          <w:b/>
        </w:rPr>
        <w:t>B</w:t>
      </w:r>
      <w:r w:rsidRPr="006B7861">
        <w:rPr>
          <w:rFonts w:eastAsia="Times New Roman" w:cs="Times New Roman"/>
          <w:b/>
        </w:rPr>
        <w:t>etween 2013 and 2016</w:t>
      </w:r>
      <w:r>
        <w:rPr>
          <w:rFonts w:eastAsia="Times New Roman" w:cs="Times New Roman"/>
          <w:b/>
        </w:rPr>
        <w:t>,</w:t>
      </w:r>
      <w:r w:rsidRPr="006B7861">
        <w:rPr>
          <w:rFonts w:eastAsia="Times New Roman" w:cs="Times New Roman"/>
          <w:b/>
        </w:rPr>
        <w:t xml:space="preserve"> </w:t>
      </w:r>
      <w:r>
        <w:rPr>
          <w:rFonts w:eastAsia="Times New Roman" w:cs="Times New Roman"/>
          <w:b/>
        </w:rPr>
        <w:t>i</w:t>
      </w:r>
      <w:r w:rsidRPr="006B7861">
        <w:rPr>
          <w:rFonts w:eastAsia="Times New Roman" w:cs="Times New Roman"/>
          <w:b/>
        </w:rPr>
        <w:t xml:space="preserve">n </w:t>
      </w:r>
      <w:r w:rsidR="006B7861" w:rsidRPr="006B7861">
        <w:rPr>
          <w:rFonts w:eastAsia="Times New Roman" w:cs="Times New Roman"/>
          <w:b/>
        </w:rPr>
        <w:t>ELA the percentage of students scoring proficient or advanced improved by 2 percentage points for all students and students with disabilities, and by 4 percentage points for high needs students.</w:t>
      </w:r>
    </w:p>
    <w:p w:rsidR="006B7861" w:rsidRPr="006B7861" w:rsidRDefault="006B7861" w:rsidP="006B7861">
      <w:pPr>
        <w:spacing w:after="0" w:line="240" w:lineRule="auto"/>
        <w:contextualSpacing/>
        <w:rPr>
          <w:rFonts w:eastAsia="Times New Roman" w:cs="Times New Roman"/>
          <w:b/>
        </w:rPr>
      </w:pPr>
    </w:p>
    <w:tbl>
      <w:tblPr>
        <w:tblStyle w:val="TableGrid7"/>
        <w:tblW w:w="0" w:type="auto"/>
        <w:tblLayout w:type="fixed"/>
        <w:tblLook w:val="04A0" w:firstRow="1" w:lastRow="0" w:firstColumn="1" w:lastColumn="0" w:noHBand="0" w:noVBand="1"/>
      </w:tblPr>
      <w:tblGrid>
        <w:gridCol w:w="1638"/>
        <w:gridCol w:w="810"/>
        <w:gridCol w:w="1098"/>
        <w:gridCol w:w="1098"/>
        <w:gridCol w:w="1098"/>
        <w:gridCol w:w="1098"/>
        <w:gridCol w:w="1098"/>
        <w:gridCol w:w="1620"/>
      </w:tblGrid>
      <w:tr w:rsidR="006B7861" w:rsidRPr="006B7861" w:rsidTr="008F0BE1">
        <w:tc>
          <w:tcPr>
            <w:tcW w:w="9558" w:type="dxa"/>
            <w:gridSpan w:val="8"/>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3: Dighton-Rehoboth Public Schools</w:t>
            </w:r>
          </w:p>
          <w:p w:rsidR="006B7861" w:rsidRPr="006B7861" w:rsidRDefault="006B7861" w:rsidP="006B7861">
            <w:pPr>
              <w:spacing w:after="0" w:line="240" w:lineRule="auto"/>
              <w:jc w:val="center"/>
              <w:rPr>
                <w:b/>
                <w:sz w:val="20"/>
                <w:szCs w:val="20"/>
              </w:rPr>
            </w:pPr>
            <w:r w:rsidRPr="006B7861">
              <w:rPr>
                <w:b/>
                <w:sz w:val="20"/>
                <w:szCs w:val="20"/>
              </w:rPr>
              <w:t>ELA Proficiency by Subgroup 2013–2016</w:t>
            </w:r>
          </w:p>
        </w:tc>
      </w:tr>
      <w:tr w:rsidR="006B7861" w:rsidRPr="006B7861" w:rsidTr="008F0BE1">
        <w:trPr>
          <w:trHeight w:val="506"/>
        </w:trPr>
        <w:tc>
          <w:tcPr>
            <w:tcW w:w="163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4-Year Trend</w:t>
            </w:r>
          </w:p>
        </w:tc>
        <w:tc>
          <w:tcPr>
            <w:tcW w:w="162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 xml:space="preserve">Above/Below </w:t>
            </w:r>
          </w:p>
          <w:p w:rsidR="006B7861" w:rsidRPr="006B7861" w:rsidRDefault="006B7861" w:rsidP="006B7861">
            <w:pPr>
              <w:spacing w:after="0" w:line="240" w:lineRule="auto"/>
              <w:jc w:val="center"/>
              <w:rPr>
                <w:b/>
                <w:sz w:val="20"/>
                <w:szCs w:val="20"/>
              </w:rPr>
            </w:pPr>
            <w:r w:rsidRPr="006B7861">
              <w:rPr>
                <w:b/>
                <w:sz w:val="20"/>
                <w:szCs w:val="20"/>
              </w:rPr>
              <w:t xml:space="preserve">State </w:t>
            </w:r>
            <w:r w:rsidR="00F55563">
              <w:rPr>
                <w:b/>
                <w:sz w:val="20"/>
                <w:szCs w:val="20"/>
              </w:rPr>
              <w:t>(</w:t>
            </w:r>
            <w:r w:rsidRPr="006B7861">
              <w:rPr>
                <w:b/>
                <w:sz w:val="20"/>
                <w:szCs w:val="20"/>
              </w:rPr>
              <w:t>2014</w:t>
            </w:r>
            <w:r w:rsidR="00F55563">
              <w:rPr>
                <w:b/>
                <w:sz w:val="20"/>
                <w:szCs w:val="20"/>
              </w:rPr>
              <w:t>)</w:t>
            </w: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72%</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73%</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72%</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74%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4</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69%</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69%</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44%</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46%</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48%</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48%</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4</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49%</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50%</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Economically Disadvantaged</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62%</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62%</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ELL and former ELL students</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36%</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Students with disabilities</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23%</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26%</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25%</w:t>
            </w:r>
          </w:p>
        </w:tc>
        <w:tc>
          <w:tcPr>
            <w:tcW w:w="1098" w:type="dxa"/>
            <w:shd w:val="clear" w:color="auto" w:fill="auto"/>
            <w:vAlign w:val="bottom"/>
          </w:tcPr>
          <w:p w:rsidR="006B7861" w:rsidRPr="006B7861" w:rsidRDefault="006B7861" w:rsidP="006B7861">
            <w:pPr>
              <w:spacing w:after="0" w:line="240" w:lineRule="auto"/>
              <w:jc w:val="center"/>
              <w:rPr>
                <w:rFonts w:ascii="Calibri" w:hAnsi="Calibri"/>
                <w:color w:val="000000"/>
                <w:sz w:val="20"/>
                <w:szCs w:val="20"/>
              </w:rPr>
            </w:pPr>
            <w:r w:rsidRPr="006B7861">
              <w:rPr>
                <w:rFonts w:ascii="Calibri" w:hAnsi="Calibri"/>
                <w:color w:val="000000"/>
                <w:sz w:val="20"/>
                <w:szCs w:val="20"/>
              </w:rPr>
              <w:t>2</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w:t>
            </w:r>
          </w:p>
        </w:tc>
      </w:tr>
      <w:tr w:rsidR="006B7861" w:rsidRPr="006B7861" w:rsidTr="008F0BE1">
        <w:tc>
          <w:tcPr>
            <w:tcW w:w="1638"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29%</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30%</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r>
    </w:tbl>
    <w:p w:rsidR="006B7861" w:rsidRPr="006B7861" w:rsidRDefault="00826739" w:rsidP="006B7861">
      <w:pPr>
        <w:spacing w:after="0" w:line="240" w:lineRule="auto"/>
        <w:contextualSpacing/>
        <w:rPr>
          <w:rFonts w:eastAsia="Times New Roman" w:cs="Times New Roman"/>
          <w:b/>
        </w:rPr>
      </w:pPr>
      <w:r>
        <w:rPr>
          <w:rFonts w:eastAsia="Times New Roman" w:cs="Times New Roman"/>
          <w:b/>
        </w:rPr>
        <w:lastRenderedPageBreak/>
        <w:t>B</w:t>
      </w:r>
      <w:r w:rsidRPr="006B7861">
        <w:rPr>
          <w:rFonts w:eastAsia="Times New Roman" w:cs="Times New Roman"/>
          <w:b/>
        </w:rPr>
        <w:t>etween 2013 and 2016</w:t>
      </w:r>
      <w:r>
        <w:rPr>
          <w:rFonts w:eastAsia="Times New Roman" w:cs="Times New Roman"/>
          <w:b/>
        </w:rPr>
        <w:t>,</w:t>
      </w:r>
      <w:r w:rsidRPr="006B7861">
        <w:rPr>
          <w:rFonts w:eastAsia="Times New Roman" w:cs="Times New Roman"/>
          <w:b/>
        </w:rPr>
        <w:t xml:space="preserve"> </w:t>
      </w:r>
      <w:r>
        <w:rPr>
          <w:rFonts w:eastAsia="Times New Roman" w:cs="Times New Roman"/>
          <w:b/>
        </w:rPr>
        <w:t>i</w:t>
      </w:r>
      <w:r w:rsidRPr="006B7861">
        <w:rPr>
          <w:rFonts w:eastAsia="Times New Roman" w:cs="Times New Roman"/>
          <w:b/>
        </w:rPr>
        <w:t xml:space="preserve">n </w:t>
      </w:r>
      <w:r w:rsidR="006B7861" w:rsidRPr="006B7861">
        <w:rPr>
          <w:rFonts w:eastAsia="Times New Roman" w:cs="Times New Roman"/>
          <w:b/>
        </w:rPr>
        <w:t xml:space="preserve">math the percentage of students scoring proficient or advanced declined by </w:t>
      </w:r>
      <w:r>
        <w:rPr>
          <w:rFonts w:eastAsia="Times New Roman" w:cs="Times New Roman"/>
          <w:b/>
        </w:rPr>
        <w:t>1</w:t>
      </w:r>
      <w:r w:rsidRPr="006B7861">
        <w:rPr>
          <w:rFonts w:eastAsia="Times New Roman" w:cs="Times New Roman"/>
          <w:b/>
        </w:rPr>
        <w:t xml:space="preserve"> </w:t>
      </w:r>
      <w:r w:rsidR="006B7861" w:rsidRPr="006B7861">
        <w:rPr>
          <w:rFonts w:eastAsia="Times New Roman" w:cs="Times New Roman"/>
          <w:b/>
        </w:rPr>
        <w:t xml:space="preserve">percentage point for all students, and improved by </w:t>
      </w:r>
      <w:r>
        <w:rPr>
          <w:rFonts w:eastAsia="Times New Roman" w:cs="Times New Roman"/>
          <w:b/>
        </w:rPr>
        <w:t>1</w:t>
      </w:r>
      <w:r w:rsidR="00561D6B">
        <w:rPr>
          <w:rFonts w:eastAsia="Times New Roman" w:cs="Times New Roman"/>
          <w:b/>
        </w:rPr>
        <w:t xml:space="preserve"> </w:t>
      </w:r>
      <w:r w:rsidR="006B7861" w:rsidRPr="006B7861">
        <w:rPr>
          <w:rFonts w:eastAsia="Times New Roman" w:cs="Times New Roman"/>
          <w:b/>
        </w:rPr>
        <w:t>percentage point for high needs students and by 3 percentage points for students with disabilities.</w:t>
      </w:r>
    </w:p>
    <w:p w:rsidR="006B7861" w:rsidRPr="006B7861" w:rsidRDefault="006B7861" w:rsidP="006B7861">
      <w:pPr>
        <w:spacing w:after="0" w:line="240" w:lineRule="auto"/>
        <w:contextualSpacing/>
        <w:rPr>
          <w:rFonts w:eastAsia="Times New Roman" w:cs="Times New Roman"/>
          <w:b/>
        </w:rPr>
      </w:pPr>
    </w:p>
    <w:tbl>
      <w:tblPr>
        <w:tblStyle w:val="TableGrid8"/>
        <w:tblW w:w="9558" w:type="dxa"/>
        <w:tblLayout w:type="fixed"/>
        <w:tblLook w:val="04A0" w:firstRow="1" w:lastRow="0" w:firstColumn="1" w:lastColumn="0" w:noHBand="0" w:noVBand="1"/>
      </w:tblPr>
      <w:tblGrid>
        <w:gridCol w:w="1638"/>
        <w:gridCol w:w="1050"/>
        <w:gridCol w:w="1050"/>
        <w:gridCol w:w="1050"/>
        <w:gridCol w:w="1050"/>
        <w:gridCol w:w="1050"/>
        <w:gridCol w:w="1050"/>
        <w:gridCol w:w="1620"/>
      </w:tblGrid>
      <w:tr w:rsidR="006B7861" w:rsidRPr="006B7861" w:rsidTr="008F0BE1">
        <w:tc>
          <w:tcPr>
            <w:tcW w:w="9558" w:type="dxa"/>
            <w:gridSpan w:val="8"/>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4: Dighton-Rehoboth Public Schools</w:t>
            </w:r>
          </w:p>
          <w:p w:rsidR="006B7861" w:rsidRPr="006B7861" w:rsidRDefault="006B7861" w:rsidP="006B7861">
            <w:pPr>
              <w:spacing w:after="0" w:line="240" w:lineRule="auto"/>
              <w:jc w:val="center"/>
              <w:rPr>
                <w:b/>
                <w:sz w:val="20"/>
                <w:szCs w:val="20"/>
              </w:rPr>
            </w:pPr>
            <w:r w:rsidRPr="006B7861">
              <w:rPr>
                <w:b/>
                <w:sz w:val="20"/>
                <w:szCs w:val="20"/>
              </w:rPr>
              <w:t>Math Proficiency by Subgroup 2013–2016</w:t>
            </w:r>
          </w:p>
        </w:tc>
      </w:tr>
      <w:tr w:rsidR="006B7861" w:rsidRPr="006B7861" w:rsidTr="008F0BE1">
        <w:trPr>
          <w:trHeight w:val="506"/>
        </w:trPr>
        <w:tc>
          <w:tcPr>
            <w:tcW w:w="163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4-Year Trend</w:t>
            </w:r>
          </w:p>
        </w:tc>
        <w:tc>
          <w:tcPr>
            <w:tcW w:w="162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 xml:space="preserve">Above/Below </w:t>
            </w:r>
          </w:p>
          <w:p w:rsidR="006B7861" w:rsidRPr="006B7861" w:rsidRDefault="006B7861" w:rsidP="006B7861">
            <w:pPr>
              <w:spacing w:after="0" w:line="240" w:lineRule="auto"/>
              <w:jc w:val="center"/>
              <w:rPr>
                <w:b/>
                <w:sz w:val="20"/>
                <w:szCs w:val="20"/>
              </w:rPr>
            </w:pPr>
            <w:r w:rsidRPr="006B7861">
              <w:rPr>
                <w:b/>
                <w:sz w:val="20"/>
                <w:szCs w:val="20"/>
              </w:rPr>
              <w:t xml:space="preserve">State </w:t>
            </w:r>
            <w:r w:rsidR="00AB1BA9">
              <w:rPr>
                <w:b/>
                <w:sz w:val="20"/>
                <w:szCs w:val="20"/>
              </w:rPr>
              <w:t>(</w:t>
            </w:r>
            <w:r w:rsidRPr="006B7861">
              <w:rPr>
                <w:b/>
                <w:sz w:val="20"/>
                <w:szCs w:val="20"/>
              </w:rPr>
              <w:t>2014</w:t>
            </w:r>
            <w:r w:rsidR="00AB1BA9">
              <w:rPr>
                <w:b/>
                <w:sz w:val="20"/>
                <w:szCs w:val="20"/>
              </w:rPr>
              <w:t>)</w:t>
            </w: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62%</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61%</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60%</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33%</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40%</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40%</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Economically Disadvantaged</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41%</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44%</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ELL and former ELL students</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Students with disabilities</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w:t>
            </w:r>
          </w:p>
        </w:tc>
        <w:tc>
          <w:tcPr>
            <w:tcW w:w="105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-9</w:t>
            </w:r>
          </w:p>
        </w:tc>
      </w:tr>
      <w:tr w:rsidR="006B7861" w:rsidRPr="006B7861" w:rsidTr="008F0BE1">
        <w:trPr>
          <w:trHeight w:val="233"/>
        </w:trPr>
        <w:tc>
          <w:tcPr>
            <w:tcW w:w="1638"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23%</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23%</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826739" w:rsidP="006B7861">
      <w:pPr>
        <w:spacing w:after="0" w:line="240" w:lineRule="auto"/>
        <w:contextualSpacing/>
        <w:rPr>
          <w:rFonts w:eastAsia="Times New Roman" w:cs="Times New Roman"/>
          <w:b/>
        </w:rPr>
      </w:pPr>
      <w:r>
        <w:rPr>
          <w:rFonts w:eastAsia="Times New Roman" w:cs="Times New Roman"/>
          <w:b/>
        </w:rPr>
        <w:t>B</w:t>
      </w:r>
      <w:r w:rsidRPr="006B7861">
        <w:rPr>
          <w:rFonts w:eastAsia="Times New Roman" w:cs="Times New Roman"/>
          <w:b/>
        </w:rPr>
        <w:t>etween 2013 and 2016</w:t>
      </w:r>
      <w:r>
        <w:rPr>
          <w:rFonts w:eastAsia="Times New Roman" w:cs="Times New Roman"/>
          <w:b/>
        </w:rPr>
        <w:t>,</w:t>
      </w:r>
      <w:r w:rsidRPr="006B7861">
        <w:rPr>
          <w:rFonts w:eastAsia="Times New Roman" w:cs="Times New Roman"/>
          <w:b/>
        </w:rPr>
        <w:t xml:space="preserve"> </w:t>
      </w:r>
      <w:r>
        <w:rPr>
          <w:rFonts w:eastAsia="Times New Roman" w:cs="Times New Roman"/>
          <w:b/>
        </w:rPr>
        <w:t>i</w:t>
      </w:r>
      <w:r w:rsidRPr="006B7861">
        <w:rPr>
          <w:rFonts w:eastAsia="Times New Roman" w:cs="Times New Roman"/>
          <w:b/>
        </w:rPr>
        <w:t xml:space="preserve">n </w:t>
      </w:r>
      <w:r w:rsidR="006B7861" w:rsidRPr="006B7861">
        <w:rPr>
          <w:rFonts w:eastAsia="Times New Roman" w:cs="Times New Roman"/>
          <w:b/>
        </w:rPr>
        <w:t>science the percentage of students scoring proficient or advanced improved by 4 percentage points for all students, by 2 percentage points for high needs students, and did not improve for students with disabilities.  In 2016</w:t>
      </w:r>
      <w:r>
        <w:rPr>
          <w:rFonts w:eastAsia="Times New Roman" w:cs="Times New Roman"/>
          <w:b/>
        </w:rPr>
        <w:t>,</w:t>
      </w:r>
      <w:r w:rsidR="006B7861" w:rsidRPr="006B7861">
        <w:rPr>
          <w:rFonts w:eastAsia="Times New Roman" w:cs="Times New Roman"/>
          <w:b/>
        </w:rPr>
        <w:t xml:space="preserve"> </w:t>
      </w:r>
      <w:r>
        <w:rPr>
          <w:rFonts w:eastAsia="Times New Roman" w:cs="Times New Roman"/>
          <w:b/>
        </w:rPr>
        <w:t xml:space="preserve">the </w:t>
      </w:r>
      <w:r w:rsidR="006B7861" w:rsidRPr="006B7861">
        <w:rPr>
          <w:rFonts w:eastAsia="Times New Roman" w:cs="Times New Roman"/>
          <w:b/>
        </w:rPr>
        <w:t xml:space="preserve">science proficiency </w:t>
      </w:r>
      <w:r>
        <w:rPr>
          <w:rFonts w:eastAsia="Times New Roman" w:cs="Times New Roman"/>
          <w:b/>
        </w:rPr>
        <w:t xml:space="preserve">rate </w:t>
      </w:r>
      <w:r w:rsidR="006B7861" w:rsidRPr="006B7861">
        <w:rPr>
          <w:rFonts w:eastAsia="Times New Roman" w:cs="Times New Roman"/>
          <w:b/>
        </w:rPr>
        <w:t xml:space="preserve">was equal to the </w:t>
      </w:r>
      <w:r>
        <w:rPr>
          <w:rFonts w:eastAsia="Times New Roman" w:cs="Times New Roman"/>
          <w:b/>
        </w:rPr>
        <w:t xml:space="preserve">2016 </w:t>
      </w:r>
      <w:r w:rsidR="006B7861" w:rsidRPr="006B7861">
        <w:rPr>
          <w:rFonts w:eastAsia="Times New Roman" w:cs="Times New Roman"/>
          <w:b/>
        </w:rPr>
        <w:t xml:space="preserve">state rate for the district as a whole and </w:t>
      </w:r>
      <w:r w:rsidRPr="006B7861">
        <w:rPr>
          <w:rFonts w:eastAsia="Times New Roman" w:cs="Times New Roman"/>
          <w:b/>
        </w:rPr>
        <w:t xml:space="preserve">6 percentage points </w:t>
      </w:r>
      <w:r w:rsidR="006B7861" w:rsidRPr="006B7861">
        <w:rPr>
          <w:rFonts w:eastAsia="Times New Roman" w:cs="Times New Roman"/>
          <w:b/>
        </w:rPr>
        <w:t xml:space="preserve">above the </w:t>
      </w:r>
      <w:r>
        <w:rPr>
          <w:rFonts w:eastAsia="Times New Roman" w:cs="Times New Roman"/>
          <w:b/>
        </w:rPr>
        <w:t xml:space="preserve">2016 </w:t>
      </w:r>
      <w:r w:rsidR="006B7861" w:rsidRPr="006B7861">
        <w:rPr>
          <w:rFonts w:eastAsia="Times New Roman" w:cs="Times New Roman"/>
          <w:b/>
        </w:rPr>
        <w:t xml:space="preserve">state rate for </w:t>
      </w:r>
      <w:r>
        <w:rPr>
          <w:rFonts w:eastAsia="Times New Roman" w:cs="Times New Roman"/>
          <w:b/>
        </w:rPr>
        <w:t xml:space="preserve">students from </w:t>
      </w:r>
      <w:r w:rsidR="006B7861" w:rsidRPr="006B7861">
        <w:rPr>
          <w:rFonts w:eastAsia="Times New Roman" w:cs="Times New Roman"/>
          <w:b/>
        </w:rPr>
        <w:t xml:space="preserve">economically disadvantaged </w:t>
      </w:r>
      <w:r>
        <w:rPr>
          <w:rFonts w:eastAsia="Times New Roman" w:cs="Times New Roman"/>
          <w:b/>
        </w:rPr>
        <w:t>families</w:t>
      </w:r>
      <w:r w:rsidR="006B7861" w:rsidRPr="006B7861">
        <w:rPr>
          <w:rFonts w:eastAsia="Times New Roman" w:cs="Times New Roman"/>
          <w:b/>
        </w:rPr>
        <w:t xml:space="preserve">.  </w:t>
      </w:r>
      <w:r>
        <w:rPr>
          <w:rFonts w:eastAsia="Times New Roman" w:cs="Times New Roman"/>
          <w:b/>
        </w:rPr>
        <w:t>The s</w:t>
      </w:r>
      <w:r w:rsidRPr="006B7861">
        <w:rPr>
          <w:rFonts w:eastAsia="Times New Roman" w:cs="Times New Roman"/>
          <w:b/>
        </w:rPr>
        <w:t xml:space="preserve">cience </w:t>
      </w:r>
      <w:r w:rsidR="006B7861" w:rsidRPr="006B7861">
        <w:rPr>
          <w:rFonts w:eastAsia="Times New Roman" w:cs="Times New Roman"/>
          <w:b/>
        </w:rPr>
        <w:t xml:space="preserve">proficiency </w:t>
      </w:r>
      <w:r>
        <w:rPr>
          <w:rFonts w:eastAsia="Times New Roman" w:cs="Times New Roman"/>
          <w:b/>
        </w:rPr>
        <w:t xml:space="preserve">rate </w:t>
      </w:r>
      <w:r w:rsidR="006B7861" w:rsidRPr="006B7861">
        <w:rPr>
          <w:rFonts w:eastAsia="Times New Roman" w:cs="Times New Roman"/>
          <w:b/>
        </w:rPr>
        <w:t xml:space="preserve">was </w:t>
      </w:r>
      <w:r>
        <w:rPr>
          <w:rFonts w:eastAsia="Times New Roman" w:cs="Times New Roman"/>
          <w:b/>
        </w:rPr>
        <w:t>1</w:t>
      </w:r>
      <w:r w:rsidRPr="006B7861">
        <w:rPr>
          <w:rFonts w:eastAsia="Times New Roman" w:cs="Times New Roman"/>
          <w:b/>
        </w:rPr>
        <w:t xml:space="preserve"> percentage point </w:t>
      </w:r>
      <w:r w:rsidR="006B7861" w:rsidRPr="006B7861">
        <w:rPr>
          <w:rFonts w:eastAsia="Times New Roman" w:cs="Times New Roman"/>
          <w:b/>
        </w:rPr>
        <w:t xml:space="preserve">below the </w:t>
      </w:r>
      <w:r>
        <w:rPr>
          <w:rFonts w:eastAsia="Times New Roman" w:cs="Times New Roman"/>
          <w:b/>
        </w:rPr>
        <w:t xml:space="preserve">2016 </w:t>
      </w:r>
      <w:r w:rsidR="006B7861" w:rsidRPr="006B7861">
        <w:rPr>
          <w:rFonts w:eastAsia="Times New Roman" w:cs="Times New Roman"/>
          <w:b/>
        </w:rPr>
        <w:t xml:space="preserve">state rate for high needs students and 5 percentage points </w:t>
      </w:r>
      <w:r w:rsidR="00C164E8">
        <w:rPr>
          <w:rFonts w:eastAsia="Times New Roman" w:cs="Times New Roman"/>
          <w:b/>
        </w:rPr>
        <w:t>below</w:t>
      </w:r>
      <w:r>
        <w:rPr>
          <w:rFonts w:eastAsia="Times New Roman" w:cs="Times New Roman"/>
          <w:b/>
        </w:rPr>
        <w:t xml:space="preserve"> the 2016 state rate </w:t>
      </w:r>
      <w:r w:rsidR="006B7861" w:rsidRPr="006B7861">
        <w:rPr>
          <w:rFonts w:eastAsia="Times New Roman" w:cs="Times New Roman"/>
          <w:b/>
        </w:rPr>
        <w:t>for students with disabilities.</w:t>
      </w:r>
    </w:p>
    <w:p w:rsidR="006B7861" w:rsidRPr="006B7861" w:rsidRDefault="006B7861" w:rsidP="006B7861">
      <w:pPr>
        <w:spacing w:after="0" w:line="240" w:lineRule="auto"/>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6B7861" w:rsidRPr="006B7861" w:rsidTr="008F0BE1">
        <w:tc>
          <w:tcPr>
            <w:tcW w:w="9558" w:type="dxa"/>
            <w:gridSpan w:val="8"/>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5: Dighton-Rehoboth Public Schools</w:t>
            </w:r>
          </w:p>
          <w:p w:rsidR="006B7861" w:rsidRPr="006B7861" w:rsidRDefault="006B7861" w:rsidP="006B7861">
            <w:pPr>
              <w:spacing w:after="0" w:line="240" w:lineRule="auto"/>
              <w:jc w:val="center"/>
              <w:rPr>
                <w:b/>
                <w:sz w:val="20"/>
                <w:szCs w:val="20"/>
              </w:rPr>
            </w:pPr>
            <w:r w:rsidRPr="006B7861">
              <w:rPr>
                <w:b/>
                <w:sz w:val="20"/>
                <w:szCs w:val="20"/>
              </w:rPr>
              <w:t>Science Proficiency by Subgroup 2013–2016</w:t>
            </w:r>
          </w:p>
        </w:tc>
      </w:tr>
      <w:tr w:rsidR="006B7861" w:rsidRPr="006B7861" w:rsidTr="008F0BE1">
        <w:trPr>
          <w:trHeight w:val="746"/>
        </w:trPr>
        <w:tc>
          <w:tcPr>
            <w:tcW w:w="163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4-Year Trend</w:t>
            </w:r>
          </w:p>
        </w:tc>
        <w:tc>
          <w:tcPr>
            <w:tcW w:w="162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Above/Below</w:t>
            </w:r>
          </w:p>
          <w:p w:rsidR="006B7861" w:rsidRPr="006B7861" w:rsidRDefault="006B7861" w:rsidP="006B7861">
            <w:pPr>
              <w:spacing w:after="0" w:line="240" w:lineRule="auto"/>
              <w:jc w:val="center"/>
              <w:rPr>
                <w:b/>
                <w:sz w:val="20"/>
                <w:szCs w:val="20"/>
              </w:rPr>
            </w:pPr>
            <w:r w:rsidRPr="006B7861">
              <w:rPr>
                <w:b/>
                <w:sz w:val="20"/>
                <w:szCs w:val="20"/>
              </w:rPr>
              <w:t xml:space="preserve">State </w:t>
            </w:r>
            <w:r w:rsidR="00AB1BA9">
              <w:rPr>
                <w:b/>
                <w:sz w:val="20"/>
                <w:szCs w:val="20"/>
              </w:rPr>
              <w:t>(</w:t>
            </w:r>
            <w:r w:rsidRPr="006B7861">
              <w:rPr>
                <w:b/>
                <w:sz w:val="20"/>
                <w:szCs w:val="20"/>
              </w:rPr>
              <w:t>2016</w:t>
            </w:r>
            <w:r w:rsidR="00AB1BA9">
              <w:rPr>
                <w:b/>
                <w:sz w:val="20"/>
                <w:szCs w:val="20"/>
              </w:rPr>
              <w:t>)</w:t>
            </w: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0</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53%</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28%</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30%</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-1</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33%</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0</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Economically Disadvantaged</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38%</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38%</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w:t>
            </w:r>
          </w:p>
        </w:tc>
      </w:tr>
      <w:tr w:rsidR="006B7861" w:rsidRPr="006B7861" w:rsidTr="008F0BE1">
        <w:tc>
          <w:tcPr>
            <w:tcW w:w="1638" w:type="dxa"/>
            <w:vMerge/>
            <w:shd w:val="clear" w:color="auto" w:fill="auto"/>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ELL and former ELL students</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620"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r>
      <w:tr w:rsidR="006B7861" w:rsidRPr="006B7861" w:rsidTr="008F0BE1">
        <w:tc>
          <w:tcPr>
            <w:tcW w:w="1638"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18%</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w:t>
            </w:r>
          </w:p>
        </w:tc>
        <w:tc>
          <w:tcPr>
            <w:tcW w:w="109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w:t>
            </w:r>
          </w:p>
        </w:tc>
        <w:tc>
          <w:tcPr>
            <w:tcW w:w="109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0</w:t>
            </w:r>
          </w:p>
        </w:tc>
        <w:tc>
          <w:tcPr>
            <w:tcW w:w="1620" w:type="dxa"/>
            <w:vMerge/>
            <w:shd w:val="clear" w:color="auto" w:fill="auto"/>
            <w:vAlign w:val="center"/>
          </w:tcPr>
          <w:p w:rsidR="006B7861" w:rsidRPr="006B7861" w:rsidRDefault="006B7861" w:rsidP="006B7861">
            <w:pPr>
              <w:spacing w:after="0" w:line="240" w:lineRule="auto"/>
              <w:jc w:val="center"/>
              <w:rPr>
                <w:sz w:val="20"/>
                <w:szCs w:val="20"/>
              </w:rPr>
            </w:pPr>
          </w:p>
        </w:tc>
      </w:tr>
      <w:tr w:rsidR="006B7861" w:rsidRPr="006B7861" w:rsidTr="008F0BE1">
        <w:tc>
          <w:tcPr>
            <w:tcW w:w="1638"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Students with disabilities</w:t>
            </w: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District</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w:t>
            </w:r>
          </w:p>
        </w:tc>
        <w:tc>
          <w:tcPr>
            <w:tcW w:w="1620"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w:t>
            </w:r>
          </w:p>
        </w:tc>
      </w:tr>
      <w:tr w:rsidR="006B7861" w:rsidRPr="006B7861" w:rsidTr="008F0BE1">
        <w:trPr>
          <w:trHeight w:val="242"/>
        </w:trPr>
        <w:tc>
          <w:tcPr>
            <w:tcW w:w="1638"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c>
          <w:tcPr>
            <w:tcW w:w="81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State</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21%</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21%</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22%</w:t>
            </w:r>
          </w:p>
        </w:tc>
        <w:tc>
          <w:tcPr>
            <w:tcW w:w="109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w:t>
            </w:r>
          </w:p>
        </w:tc>
        <w:tc>
          <w:tcPr>
            <w:tcW w:w="109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0</w:t>
            </w:r>
          </w:p>
        </w:tc>
        <w:tc>
          <w:tcPr>
            <w:tcW w:w="1620" w:type="dxa"/>
            <w:vMerge/>
            <w:shd w:val="clear" w:color="auto" w:fill="BFBFBF" w:themeFill="background1" w:themeFillShade="BF"/>
            <w:vAlign w:val="center"/>
          </w:tcPr>
          <w:p w:rsidR="006B7861" w:rsidRPr="006B7861" w:rsidRDefault="006B7861" w:rsidP="006B7861">
            <w:pPr>
              <w:spacing w:after="0" w:line="240" w:lineRule="auto"/>
              <w:jc w:val="center"/>
              <w:rPr>
                <w:sz w:val="20"/>
                <w:szCs w:val="20"/>
              </w:rPr>
            </w:pP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rFonts w:eastAsia="Times New Roman" w:cs="Times New Roman"/>
          <w:b/>
        </w:rPr>
      </w:pPr>
      <w:r w:rsidRPr="006B7861">
        <w:rPr>
          <w:rFonts w:eastAsia="Times New Roman" w:cs="Times New Roman"/>
          <w:b/>
        </w:rPr>
        <w:lastRenderedPageBreak/>
        <w:t xml:space="preserve">The district did not reach its 2016 Composite Performance Index (CPI) targets in ELA, math, and science for any group except for </w:t>
      </w:r>
      <w:r w:rsidR="008F0BE1">
        <w:rPr>
          <w:rFonts w:eastAsia="Times New Roman" w:cs="Times New Roman"/>
          <w:b/>
        </w:rPr>
        <w:t xml:space="preserve">students from </w:t>
      </w:r>
      <w:r w:rsidRPr="006B7861">
        <w:rPr>
          <w:rFonts w:eastAsia="Times New Roman" w:cs="Times New Roman"/>
          <w:b/>
        </w:rPr>
        <w:t xml:space="preserve">economically disadvantaged </w:t>
      </w:r>
      <w:r w:rsidR="008F0BE1">
        <w:rPr>
          <w:rFonts w:eastAsia="Times New Roman" w:cs="Times New Roman"/>
          <w:b/>
        </w:rPr>
        <w:t>families</w:t>
      </w:r>
      <w:r w:rsidR="008F0BE1" w:rsidRPr="006B7861">
        <w:rPr>
          <w:rFonts w:eastAsia="Times New Roman" w:cs="Times New Roman"/>
          <w:b/>
        </w:rPr>
        <w:t xml:space="preserve"> </w:t>
      </w:r>
      <w:r w:rsidRPr="006B7861">
        <w:rPr>
          <w:rFonts w:eastAsia="Times New Roman" w:cs="Times New Roman"/>
          <w:b/>
        </w:rPr>
        <w:t>in math and science.</w:t>
      </w:r>
    </w:p>
    <w:p w:rsidR="006B7861" w:rsidRPr="006B7861" w:rsidRDefault="006B7861" w:rsidP="006B7861">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6B7861" w:rsidRPr="006B7861" w:rsidTr="008F0BE1">
        <w:tc>
          <w:tcPr>
            <w:tcW w:w="9576" w:type="dxa"/>
            <w:gridSpan w:val="10"/>
            <w:tcBorders>
              <w:top w:val="nil"/>
              <w:left w:val="nil"/>
              <w:right w:val="nil"/>
            </w:tcBorders>
            <w:shd w:val="clear" w:color="auto" w:fill="auto"/>
          </w:tcPr>
          <w:p w:rsidR="006B7861" w:rsidRPr="006B7861" w:rsidRDefault="006B7861" w:rsidP="006B7861">
            <w:pPr>
              <w:spacing w:after="0" w:line="240" w:lineRule="auto"/>
              <w:jc w:val="center"/>
              <w:rPr>
                <w:b/>
                <w:sz w:val="20"/>
                <w:szCs w:val="20"/>
              </w:rPr>
            </w:pPr>
            <w:r w:rsidRPr="006B7861">
              <w:rPr>
                <w:b/>
                <w:sz w:val="20"/>
                <w:szCs w:val="20"/>
              </w:rPr>
              <w:t>Table 6: Dighton-Rehoboth Public Schools</w:t>
            </w:r>
          </w:p>
          <w:p w:rsidR="006B7861" w:rsidRPr="006B7861" w:rsidRDefault="006B7861" w:rsidP="006B7861">
            <w:pPr>
              <w:spacing w:after="0" w:line="240" w:lineRule="auto"/>
              <w:jc w:val="center"/>
              <w:rPr>
                <w:b/>
                <w:sz w:val="20"/>
                <w:szCs w:val="20"/>
              </w:rPr>
            </w:pPr>
            <w:r w:rsidRPr="006B7861">
              <w:rPr>
                <w:b/>
                <w:sz w:val="20"/>
                <w:szCs w:val="20"/>
              </w:rPr>
              <w:t>2016 CPI and Targets by Subgroup</w:t>
            </w:r>
          </w:p>
        </w:tc>
      </w:tr>
      <w:tr w:rsidR="006B7861" w:rsidRPr="006B7861" w:rsidTr="008F0BE1">
        <w:tc>
          <w:tcPr>
            <w:tcW w:w="1609" w:type="dxa"/>
            <w:shd w:val="clear" w:color="auto" w:fill="D9D9D9" w:themeFill="background1" w:themeFillShade="D9"/>
          </w:tcPr>
          <w:p w:rsidR="006B7861" w:rsidRPr="006B7861" w:rsidRDefault="006B7861" w:rsidP="006B7861">
            <w:pPr>
              <w:spacing w:after="0" w:line="240" w:lineRule="auto"/>
              <w:jc w:val="center"/>
              <w:rPr>
                <w:b/>
                <w:sz w:val="20"/>
                <w:szCs w:val="20"/>
              </w:rPr>
            </w:pPr>
          </w:p>
        </w:tc>
        <w:tc>
          <w:tcPr>
            <w:tcW w:w="2665" w:type="dxa"/>
            <w:gridSpan w:val="3"/>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ELA</w:t>
            </w:r>
          </w:p>
        </w:tc>
        <w:tc>
          <w:tcPr>
            <w:tcW w:w="2665" w:type="dxa"/>
            <w:gridSpan w:val="3"/>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Math</w:t>
            </w:r>
          </w:p>
        </w:tc>
        <w:tc>
          <w:tcPr>
            <w:tcW w:w="2637" w:type="dxa"/>
            <w:gridSpan w:val="3"/>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Science</w:t>
            </w:r>
          </w:p>
        </w:tc>
      </w:tr>
      <w:tr w:rsidR="006B7861" w:rsidRPr="006B7861" w:rsidTr="008F0BE1">
        <w:tc>
          <w:tcPr>
            <w:tcW w:w="1609"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CPI</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Target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Rating</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CPI</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Target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Rating</w:t>
            </w:r>
          </w:p>
        </w:tc>
        <w:tc>
          <w:tcPr>
            <w:tcW w:w="70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CPI</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 Target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Rating</w:t>
            </w:r>
          </w:p>
        </w:tc>
      </w:tr>
      <w:tr w:rsidR="006B7861" w:rsidRPr="006B7861" w:rsidTr="008F0BE1">
        <w:tc>
          <w:tcPr>
            <w:tcW w:w="1609"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89.3</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94.4</w:t>
            </w:r>
          </w:p>
        </w:tc>
        <w:tc>
          <w:tcPr>
            <w:tcW w:w="108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Improved Below Target</w:t>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82.6</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90.3</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Improved Below Target</w:t>
            </w:r>
          </w:p>
        </w:tc>
        <w:tc>
          <w:tcPr>
            <w:tcW w:w="70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81.2</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89.1</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Improved Below Target</w:t>
            </w:r>
          </w:p>
        </w:tc>
      </w:tr>
      <w:tr w:rsidR="006B7861" w:rsidRPr="006B7861" w:rsidTr="008F0BE1">
        <w:tc>
          <w:tcPr>
            <w:tcW w:w="1609"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76.7</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86.1</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No Change</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67.3</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80.8</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Improved Below Target</w:t>
            </w:r>
          </w:p>
        </w:tc>
        <w:tc>
          <w:tcPr>
            <w:tcW w:w="70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67.7</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79.7</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Improved Below Target</w:t>
            </w:r>
          </w:p>
        </w:tc>
      </w:tr>
      <w:tr w:rsidR="006B7861" w:rsidRPr="006B7861" w:rsidTr="008F0BE1">
        <w:tc>
          <w:tcPr>
            <w:tcW w:w="1609"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Economically Disadvantaged</w:t>
            </w:r>
            <w:r w:rsidRPr="006B7861">
              <w:rPr>
                <w:sz w:val="20"/>
                <w:vertAlign w:val="superscript"/>
              </w:rPr>
              <w:footnoteReference w:id="3"/>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83.9</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85.3</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No Change</w:t>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73.2</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73.3</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On Target</w:t>
            </w:r>
          </w:p>
        </w:tc>
        <w:tc>
          <w:tcPr>
            <w:tcW w:w="70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74.6</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74.9</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On Target</w:t>
            </w:r>
          </w:p>
        </w:tc>
      </w:tr>
      <w:tr w:rsidR="006B7861" w:rsidRPr="006B7861" w:rsidTr="008F0BE1">
        <w:tc>
          <w:tcPr>
            <w:tcW w:w="1609"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ELLs</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w:t>
            </w:r>
          </w:p>
        </w:tc>
        <w:tc>
          <w:tcPr>
            <w:tcW w:w="73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w:t>
            </w:r>
          </w:p>
        </w:tc>
        <w:tc>
          <w:tcPr>
            <w:tcW w:w="70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85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080" w:type="dxa"/>
            <w:shd w:val="clear" w:color="auto" w:fill="D9D9D9" w:themeFill="background1" w:themeFillShade="D9"/>
            <w:vAlign w:val="center"/>
          </w:tcPr>
          <w:p w:rsidR="006B7861" w:rsidRPr="006B7861" w:rsidRDefault="006B7861" w:rsidP="006B7861">
            <w:pPr>
              <w:spacing w:after="0" w:line="240" w:lineRule="auto"/>
              <w:jc w:val="center"/>
            </w:pPr>
            <w:r w:rsidRPr="006B7861">
              <w:rPr>
                <w:sz w:val="20"/>
                <w:szCs w:val="20"/>
              </w:rPr>
              <w:t>--</w:t>
            </w:r>
          </w:p>
        </w:tc>
      </w:tr>
      <w:tr w:rsidR="006B7861" w:rsidRPr="006B7861" w:rsidTr="008F0BE1">
        <w:tc>
          <w:tcPr>
            <w:tcW w:w="1609"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Students with disabilities</w:t>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63.8</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80.3</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No Change</w:t>
            </w:r>
          </w:p>
        </w:tc>
        <w:tc>
          <w:tcPr>
            <w:tcW w:w="73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57.4</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76.1</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Improved Below Target</w:t>
            </w:r>
          </w:p>
        </w:tc>
        <w:tc>
          <w:tcPr>
            <w:tcW w:w="70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58.0</w:t>
            </w:r>
          </w:p>
        </w:tc>
        <w:tc>
          <w:tcPr>
            <w:tcW w:w="85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76.6</w:t>
            </w:r>
          </w:p>
        </w:tc>
        <w:tc>
          <w:tcPr>
            <w:tcW w:w="1080" w:type="dxa"/>
            <w:shd w:val="clear" w:color="auto" w:fill="auto"/>
            <w:vAlign w:val="center"/>
          </w:tcPr>
          <w:p w:rsidR="006B7861" w:rsidRPr="006B7861" w:rsidRDefault="006B7861" w:rsidP="006B7861">
            <w:pPr>
              <w:spacing w:after="0" w:line="240" w:lineRule="auto"/>
              <w:jc w:val="center"/>
            </w:pPr>
            <w:r w:rsidRPr="006B7861">
              <w:rPr>
                <w:sz w:val="20"/>
                <w:szCs w:val="20"/>
              </w:rPr>
              <w:t>Improved Below Target</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4350C3" w:rsidRDefault="0070738F" w:rsidP="006B7861">
      <w:pPr>
        <w:spacing w:after="0" w:line="240" w:lineRule="auto"/>
        <w:contextualSpacing/>
        <w:rPr>
          <w:rFonts w:eastAsia="Times New Roman" w:cs="Times New Roman"/>
          <w:b/>
          <w:color w:val="FF0000"/>
        </w:rPr>
      </w:pPr>
      <w:r>
        <w:rPr>
          <w:rFonts w:eastAsia="Times New Roman" w:cs="Times New Roman"/>
          <w:b/>
        </w:rPr>
        <w:t>In 2016, s</w:t>
      </w:r>
      <w:r w:rsidRPr="006B7861">
        <w:rPr>
          <w:rFonts w:eastAsia="Times New Roman" w:cs="Times New Roman"/>
          <w:b/>
        </w:rPr>
        <w:t xml:space="preserve">tudents’ </w:t>
      </w:r>
      <w:r w:rsidR="006B7861" w:rsidRPr="006B7861">
        <w:rPr>
          <w:rFonts w:eastAsia="Times New Roman" w:cs="Times New Roman"/>
          <w:b/>
        </w:rPr>
        <w:t xml:space="preserve">growth in ELA and math was moderate compared </w:t>
      </w:r>
      <w:r w:rsidR="008F0BE1">
        <w:rPr>
          <w:rFonts w:eastAsia="Times New Roman" w:cs="Times New Roman"/>
          <w:b/>
        </w:rPr>
        <w:t>with</w:t>
      </w:r>
      <w:r w:rsidR="008F0BE1" w:rsidRPr="006B7861">
        <w:rPr>
          <w:rFonts w:eastAsia="Times New Roman" w:cs="Times New Roman"/>
          <w:b/>
        </w:rPr>
        <w:t xml:space="preserve"> </w:t>
      </w:r>
      <w:r w:rsidR="006B7861" w:rsidRPr="006B7861">
        <w:rPr>
          <w:rFonts w:eastAsia="Times New Roman" w:cs="Times New Roman"/>
          <w:b/>
        </w:rPr>
        <w:t xml:space="preserve">their academic peers statewide for all students, high needs students, </w:t>
      </w:r>
      <w:r w:rsidR="008F0BE1">
        <w:rPr>
          <w:rFonts w:eastAsia="Times New Roman" w:cs="Times New Roman"/>
          <w:b/>
        </w:rPr>
        <w:t xml:space="preserve">students from </w:t>
      </w:r>
      <w:r w:rsidR="006B7861" w:rsidRPr="006B7861">
        <w:rPr>
          <w:rFonts w:eastAsia="Times New Roman" w:cs="Times New Roman"/>
          <w:b/>
        </w:rPr>
        <w:t xml:space="preserve">economically disadvantaged </w:t>
      </w:r>
      <w:r w:rsidR="008F0BE1">
        <w:rPr>
          <w:rFonts w:eastAsia="Times New Roman" w:cs="Times New Roman"/>
          <w:b/>
        </w:rPr>
        <w:t>families</w:t>
      </w:r>
      <w:r w:rsidR="006B7861" w:rsidRPr="006B7861">
        <w:rPr>
          <w:rFonts w:eastAsia="Times New Roman" w:cs="Times New Roman"/>
          <w:b/>
        </w:rPr>
        <w:t>, and students with disabilities.</w:t>
      </w:r>
      <w:r w:rsidR="006B7861" w:rsidRPr="006B7861">
        <w:rPr>
          <w:rFonts w:eastAsia="Times New Roman" w:cs="Times New Roman"/>
          <w:b/>
          <w:color w:val="FF0000"/>
        </w:rPr>
        <w:t xml:space="preserve"> </w:t>
      </w:r>
    </w:p>
    <w:p w:rsidR="004350C3" w:rsidRPr="006B7861" w:rsidRDefault="004350C3" w:rsidP="006B7861">
      <w:pPr>
        <w:spacing w:after="0" w:line="240" w:lineRule="auto"/>
        <w:contextualSpacing/>
        <w:rPr>
          <w:rFonts w:eastAsia="Times New Roman" w:cs="Times New Roman"/>
        </w:rPr>
      </w:pPr>
    </w:p>
    <w:p w:rsidR="006B7861" w:rsidRPr="006B7861" w:rsidRDefault="006B7861" w:rsidP="006B7861">
      <w:pPr>
        <w:spacing w:after="0" w:line="240" w:lineRule="auto"/>
        <w:jc w:val="center"/>
        <w:rPr>
          <w:b/>
          <w:sz w:val="20"/>
          <w:szCs w:val="20"/>
        </w:rPr>
      </w:pPr>
      <w:r w:rsidRPr="006B7861">
        <w:rPr>
          <w:b/>
          <w:sz w:val="20"/>
          <w:szCs w:val="20"/>
        </w:rPr>
        <w:t>Table 7: Dighton-Rehoboth Public Schools</w:t>
      </w:r>
    </w:p>
    <w:p w:rsidR="006B7861" w:rsidRPr="006B7861" w:rsidRDefault="006B7861" w:rsidP="006B7861">
      <w:pPr>
        <w:spacing w:after="0" w:line="240" w:lineRule="auto"/>
        <w:contextualSpacing/>
        <w:jc w:val="center"/>
        <w:rPr>
          <w:rFonts w:eastAsia="Times New Roman" w:cs="Times New Roman"/>
          <w:b/>
        </w:rPr>
      </w:pPr>
      <w:r w:rsidRPr="006B7861">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6B7861" w:rsidRPr="006B7861" w:rsidTr="008F0BE1">
        <w:tc>
          <w:tcPr>
            <w:tcW w:w="1379" w:type="dxa"/>
            <w:vMerge w:val="restart"/>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4089" w:type="dxa"/>
            <w:gridSpan w:val="3"/>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2016 Median ELA SGP</w:t>
            </w:r>
          </w:p>
        </w:tc>
        <w:tc>
          <w:tcPr>
            <w:tcW w:w="4090" w:type="dxa"/>
            <w:gridSpan w:val="3"/>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2016 Median Math SGP</w:t>
            </w:r>
          </w:p>
        </w:tc>
      </w:tr>
      <w:tr w:rsidR="006B7861" w:rsidRPr="006B7861" w:rsidTr="008F0BE1">
        <w:tc>
          <w:tcPr>
            <w:tcW w:w="1379" w:type="dxa"/>
            <w:vMerge/>
            <w:shd w:val="clear" w:color="auto" w:fill="D9D9D9" w:themeFill="background1" w:themeFillShade="D9"/>
            <w:vAlign w:val="center"/>
          </w:tcPr>
          <w:p w:rsidR="006B7861" w:rsidRPr="006B7861" w:rsidRDefault="006B7861" w:rsidP="006B7861">
            <w:pPr>
              <w:spacing w:after="0" w:line="240" w:lineRule="auto"/>
              <w:jc w:val="center"/>
              <w:rPr>
                <w:b/>
                <w:sz w:val="20"/>
                <w:szCs w:val="20"/>
              </w:rPr>
            </w:pP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District</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CPI Rating</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Growth Level</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District</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CPI Rating</w:t>
            </w:r>
          </w:p>
        </w:tc>
        <w:tc>
          <w:tcPr>
            <w:tcW w:w="1364"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Growth Level</w:t>
            </w:r>
          </w:p>
        </w:tc>
      </w:tr>
      <w:tr w:rsidR="006B7861" w:rsidRPr="006B7861" w:rsidTr="008F0BE1">
        <w:tc>
          <w:tcPr>
            <w:tcW w:w="1379"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52.0</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On Target</w:t>
            </w:r>
          </w:p>
        </w:tc>
        <w:tc>
          <w:tcPr>
            <w:tcW w:w="1363" w:type="dxa"/>
            <w:shd w:val="clear" w:color="auto" w:fill="auto"/>
          </w:tcPr>
          <w:p w:rsidR="006B7861" w:rsidRPr="006B7861" w:rsidRDefault="006B7861" w:rsidP="006B7861">
            <w:pPr>
              <w:spacing w:after="0" w:line="240" w:lineRule="auto"/>
              <w:jc w:val="center"/>
            </w:pPr>
            <w:r w:rsidRPr="006B7861">
              <w:rPr>
                <w:sz w:val="20"/>
                <w:szCs w:val="20"/>
              </w:rPr>
              <w:t>Moderate</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56.0</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On Target</w:t>
            </w:r>
          </w:p>
        </w:tc>
        <w:tc>
          <w:tcPr>
            <w:tcW w:w="1364" w:type="dxa"/>
            <w:shd w:val="clear" w:color="auto" w:fill="auto"/>
          </w:tcPr>
          <w:p w:rsidR="006B7861" w:rsidRPr="006B7861" w:rsidRDefault="006B7861" w:rsidP="006B7861">
            <w:pPr>
              <w:spacing w:after="0" w:line="240" w:lineRule="auto"/>
              <w:jc w:val="center"/>
            </w:pPr>
            <w:r w:rsidRPr="006B7861">
              <w:rPr>
                <w:sz w:val="20"/>
                <w:szCs w:val="20"/>
              </w:rPr>
              <w:t>Moderate</w:t>
            </w:r>
          </w:p>
        </w:tc>
      </w:tr>
      <w:tr w:rsidR="006B7861" w:rsidRPr="006B7861" w:rsidTr="008F0BE1">
        <w:tc>
          <w:tcPr>
            <w:tcW w:w="1379"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48.0</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Below Target</w:t>
            </w:r>
          </w:p>
        </w:tc>
        <w:tc>
          <w:tcPr>
            <w:tcW w:w="1363" w:type="dxa"/>
            <w:shd w:val="clear" w:color="auto" w:fill="D9D9D9" w:themeFill="background1" w:themeFillShade="D9"/>
          </w:tcPr>
          <w:p w:rsidR="006B7861" w:rsidRPr="006B7861" w:rsidRDefault="006B7861" w:rsidP="006B7861">
            <w:pPr>
              <w:spacing w:after="0" w:line="240" w:lineRule="auto"/>
              <w:jc w:val="center"/>
            </w:pPr>
            <w:r w:rsidRPr="006B7861">
              <w:rPr>
                <w:sz w:val="20"/>
                <w:szCs w:val="20"/>
              </w:rPr>
              <w:t>Moderate</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58.0</w:t>
            </w:r>
          </w:p>
        </w:tc>
        <w:tc>
          <w:tcPr>
            <w:tcW w:w="1363" w:type="dxa"/>
            <w:shd w:val="clear" w:color="auto" w:fill="D9D9D9" w:themeFill="background1" w:themeFillShade="D9"/>
          </w:tcPr>
          <w:p w:rsidR="006B7861" w:rsidRPr="006B7861" w:rsidRDefault="006B7861" w:rsidP="006B7861">
            <w:pPr>
              <w:spacing w:after="0" w:line="240" w:lineRule="auto"/>
              <w:jc w:val="center"/>
            </w:pPr>
            <w:r w:rsidRPr="006B7861">
              <w:rPr>
                <w:sz w:val="20"/>
                <w:szCs w:val="20"/>
              </w:rPr>
              <w:t>On Target</w:t>
            </w:r>
          </w:p>
        </w:tc>
        <w:tc>
          <w:tcPr>
            <w:tcW w:w="1364" w:type="dxa"/>
            <w:shd w:val="clear" w:color="auto" w:fill="D9D9D9" w:themeFill="background1" w:themeFillShade="D9"/>
          </w:tcPr>
          <w:p w:rsidR="006B7861" w:rsidRPr="006B7861" w:rsidRDefault="006B7861" w:rsidP="006B7861">
            <w:pPr>
              <w:spacing w:after="0" w:line="240" w:lineRule="auto"/>
              <w:jc w:val="center"/>
            </w:pPr>
            <w:r w:rsidRPr="006B7861">
              <w:rPr>
                <w:sz w:val="20"/>
                <w:szCs w:val="20"/>
              </w:rPr>
              <w:t>Moderate</w:t>
            </w:r>
          </w:p>
        </w:tc>
      </w:tr>
      <w:tr w:rsidR="006B7861" w:rsidRPr="006B7861" w:rsidTr="008F0BE1">
        <w:tc>
          <w:tcPr>
            <w:tcW w:w="1379" w:type="dxa"/>
            <w:shd w:val="clear" w:color="auto" w:fill="auto"/>
            <w:vAlign w:val="center"/>
          </w:tcPr>
          <w:p w:rsidR="006B7861" w:rsidRPr="006B7861" w:rsidRDefault="006B7861" w:rsidP="0070738F">
            <w:pPr>
              <w:spacing w:after="0" w:line="240" w:lineRule="auto"/>
              <w:jc w:val="center"/>
              <w:rPr>
                <w:sz w:val="20"/>
                <w:szCs w:val="20"/>
              </w:rPr>
            </w:pPr>
            <w:r w:rsidRPr="006B7861">
              <w:rPr>
                <w:sz w:val="20"/>
                <w:szCs w:val="20"/>
              </w:rPr>
              <w:t>Econ. Disad.</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49.0</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Below Target</w:t>
            </w:r>
          </w:p>
        </w:tc>
        <w:tc>
          <w:tcPr>
            <w:tcW w:w="1363" w:type="dxa"/>
            <w:shd w:val="clear" w:color="auto" w:fill="auto"/>
          </w:tcPr>
          <w:p w:rsidR="006B7861" w:rsidRPr="006B7861" w:rsidRDefault="006B7861" w:rsidP="006B7861">
            <w:pPr>
              <w:spacing w:after="0" w:line="240" w:lineRule="auto"/>
              <w:jc w:val="center"/>
            </w:pPr>
            <w:r w:rsidRPr="006B7861">
              <w:rPr>
                <w:sz w:val="20"/>
                <w:szCs w:val="20"/>
              </w:rPr>
              <w:t>Moderate</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52.0</w:t>
            </w:r>
          </w:p>
        </w:tc>
        <w:tc>
          <w:tcPr>
            <w:tcW w:w="1363" w:type="dxa"/>
            <w:shd w:val="clear" w:color="auto" w:fill="auto"/>
          </w:tcPr>
          <w:p w:rsidR="006B7861" w:rsidRPr="006B7861" w:rsidRDefault="006B7861" w:rsidP="006B7861">
            <w:pPr>
              <w:spacing w:after="0" w:line="240" w:lineRule="auto"/>
              <w:jc w:val="center"/>
            </w:pPr>
            <w:r w:rsidRPr="006B7861">
              <w:rPr>
                <w:sz w:val="20"/>
                <w:szCs w:val="20"/>
              </w:rPr>
              <w:t>On Target</w:t>
            </w:r>
          </w:p>
        </w:tc>
        <w:tc>
          <w:tcPr>
            <w:tcW w:w="1364" w:type="dxa"/>
            <w:shd w:val="clear" w:color="auto" w:fill="auto"/>
          </w:tcPr>
          <w:p w:rsidR="006B7861" w:rsidRPr="006B7861" w:rsidRDefault="006B7861" w:rsidP="006B7861">
            <w:pPr>
              <w:spacing w:after="0" w:line="240" w:lineRule="auto"/>
              <w:jc w:val="center"/>
            </w:pPr>
            <w:r w:rsidRPr="006B7861">
              <w:rPr>
                <w:sz w:val="20"/>
                <w:szCs w:val="20"/>
              </w:rPr>
              <w:t>Moderate</w:t>
            </w:r>
          </w:p>
        </w:tc>
      </w:tr>
      <w:tr w:rsidR="006B7861" w:rsidRPr="006B7861" w:rsidTr="008F0BE1">
        <w:tc>
          <w:tcPr>
            <w:tcW w:w="1379"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ELLs</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363" w:type="dxa"/>
            <w:shd w:val="clear" w:color="auto" w:fill="D9D9D9" w:themeFill="background1" w:themeFillShade="D9"/>
          </w:tcPr>
          <w:p w:rsidR="006B7861" w:rsidRPr="006B7861" w:rsidRDefault="006B7861" w:rsidP="006B7861">
            <w:pPr>
              <w:spacing w:after="0" w:line="240" w:lineRule="auto"/>
              <w:jc w:val="center"/>
            </w:pPr>
            <w:r w:rsidRPr="006B7861">
              <w:rPr>
                <w:sz w:val="20"/>
                <w:szCs w:val="20"/>
              </w:rPr>
              <w:t>--</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36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364" w:type="dxa"/>
            <w:shd w:val="clear" w:color="auto" w:fill="D9D9D9" w:themeFill="background1" w:themeFillShade="D9"/>
          </w:tcPr>
          <w:p w:rsidR="006B7861" w:rsidRPr="006B7861" w:rsidRDefault="006B7861" w:rsidP="006B7861">
            <w:pPr>
              <w:spacing w:after="0" w:line="240" w:lineRule="auto"/>
              <w:jc w:val="center"/>
            </w:pPr>
            <w:r w:rsidRPr="006B7861">
              <w:rPr>
                <w:sz w:val="20"/>
                <w:szCs w:val="20"/>
              </w:rPr>
              <w:t>--</w:t>
            </w:r>
          </w:p>
        </w:tc>
      </w:tr>
      <w:tr w:rsidR="006B7861" w:rsidRPr="006B7861" w:rsidTr="008F0BE1">
        <w:tc>
          <w:tcPr>
            <w:tcW w:w="1379"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SWD</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46.0</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Below Target</w:t>
            </w:r>
          </w:p>
        </w:tc>
        <w:tc>
          <w:tcPr>
            <w:tcW w:w="1363" w:type="dxa"/>
            <w:shd w:val="clear" w:color="auto" w:fill="auto"/>
          </w:tcPr>
          <w:p w:rsidR="006B7861" w:rsidRPr="006B7861" w:rsidRDefault="006B7861" w:rsidP="006B7861">
            <w:pPr>
              <w:spacing w:after="0" w:line="240" w:lineRule="auto"/>
              <w:jc w:val="center"/>
            </w:pPr>
            <w:r w:rsidRPr="006B7861">
              <w:rPr>
                <w:sz w:val="20"/>
                <w:szCs w:val="20"/>
              </w:rPr>
              <w:t>Moderate</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62.0</w:t>
            </w:r>
          </w:p>
        </w:tc>
        <w:tc>
          <w:tcPr>
            <w:tcW w:w="136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Above Target</w:t>
            </w:r>
          </w:p>
        </w:tc>
        <w:tc>
          <w:tcPr>
            <w:tcW w:w="1364" w:type="dxa"/>
            <w:shd w:val="clear" w:color="auto" w:fill="auto"/>
          </w:tcPr>
          <w:p w:rsidR="006B7861" w:rsidRPr="006B7861" w:rsidRDefault="006B7861" w:rsidP="006B7861">
            <w:pPr>
              <w:spacing w:after="0" w:line="240" w:lineRule="auto"/>
              <w:jc w:val="center"/>
            </w:pPr>
            <w:r w:rsidRPr="006B7861">
              <w:rPr>
                <w:sz w:val="20"/>
                <w:szCs w:val="20"/>
              </w:rPr>
              <w:t>Moderate</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color w:val="FF0000"/>
        </w:rPr>
      </w:pPr>
    </w:p>
    <w:p w:rsidR="006B7861" w:rsidRPr="006B7861" w:rsidRDefault="001478FE" w:rsidP="006B7861">
      <w:pPr>
        <w:spacing w:after="0" w:line="240" w:lineRule="auto"/>
        <w:rPr>
          <w:b/>
        </w:rPr>
      </w:pPr>
      <w:r>
        <w:rPr>
          <w:b/>
        </w:rPr>
        <w:t>In 2016, the district</w:t>
      </w:r>
      <w:r w:rsidR="006B7861" w:rsidRPr="006B7861">
        <w:rPr>
          <w:b/>
        </w:rPr>
        <w:t xml:space="preserve">’s out-of-school suspension rates were below the state rates for all students, high needs students, </w:t>
      </w:r>
      <w:r>
        <w:rPr>
          <w:b/>
        </w:rPr>
        <w:t xml:space="preserve">students from </w:t>
      </w:r>
      <w:r w:rsidR="006B7861" w:rsidRPr="006B7861">
        <w:rPr>
          <w:b/>
        </w:rPr>
        <w:t xml:space="preserve">economically disadvantaged </w:t>
      </w:r>
      <w:r>
        <w:rPr>
          <w:b/>
        </w:rPr>
        <w:t>families</w:t>
      </w:r>
      <w:r w:rsidR="006B7861" w:rsidRPr="006B7861">
        <w:rPr>
          <w:b/>
        </w:rPr>
        <w:t>, and students with disabilities.  In 2016</w:t>
      </w:r>
      <w:r>
        <w:rPr>
          <w:b/>
        </w:rPr>
        <w:t>,</w:t>
      </w:r>
      <w:r w:rsidR="006B7861" w:rsidRPr="006B7861">
        <w:rPr>
          <w:b/>
        </w:rPr>
        <w:t xml:space="preserve"> the </w:t>
      </w:r>
      <w:r>
        <w:rPr>
          <w:b/>
        </w:rPr>
        <w:t>i</w:t>
      </w:r>
      <w:r w:rsidRPr="006B7861">
        <w:rPr>
          <w:b/>
        </w:rPr>
        <w:t>n</w:t>
      </w:r>
      <w:r w:rsidR="006B7861" w:rsidRPr="006B7861">
        <w:rPr>
          <w:b/>
        </w:rPr>
        <w:t xml:space="preserve">-school suspension rate for all students was below the </w:t>
      </w:r>
      <w:r>
        <w:rPr>
          <w:b/>
        </w:rPr>
        <w:t xml:space="preserve">2016 </w:t>
      </w:r>
      <w:r w:rsidR="006B7861" w:rsidRPr="006B7861">
        <w:rPr>
          <w:b/>
        </w:rPr>
        <w:t xml:space="preserve">state rate, but </w:t>
      </w:r>
      <w:r w:rsidR="0070738F">
        <w:rPr>
          <w:b/>
        </w:rPr>
        <w:t xml:space="preserve">was </w:t>
      </w:r>
      <w:r w:rsidR="006B7861" w:rsidRPr="006B7861">
        <w:rPr>
          <w:b/>
        </w:rPr>
        <w:t xml:space="preserve">above the </w:t>
      </w:r>
      <w:r>
        <w:rPr>
          <w:b/>
        </w:rPr>
        <w:t xml:space="preserve">2016 </w:t>
      </w:r>
      <w:r w:rsidR="006B7861" w:rsidRPr="006B7861">
        <w:rPr>
          <w:b/>
        </w:rPr>
        <w:t xml:space="preserve">state rate for high needs students, </w:t>
      </w:r>
      <w:r>
        <w:rPr>
          <w:b/>
        </w:rPr>
        <w:t xml:space="preserve">students from </w:t>
      </w:r>
      <w:r w:rsidR="006B7861" w:rsidRPr="006B7861">
        <w:rPr>
          <w:b/>
        </w:rPr>
        <w:t xml:space="preserve">economically disadvantaged </w:t>
      </w:r>
      <w:r>
        <w:rPr>
          <w:b/>
        </w:rPr>
        <w:t>families</w:t>
      </w:r>
      <w:r w:rsidR="006B7861" w:rsidRPr="006B7861">
        <w:rPr>
          <w:b/>
        </w:rPr>
        <w:t>, and students with disabilities.</w:t>
      </w:r>
    </w:p>
    <w:p w:rsidR="006B7861" w:rsidRPr="006B7861" w:rsidRDefault="006B7861" w:rsidP="006B7861">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6B7861" w:rsidRPr="006B7861" w:rsidTr="008F0BE1">
        <w:tc>
          <w:tcPr>
            <w:tcW w:w="9576" w:type="dxa"/>
            <w:gridSpan w:val="7"/>
            <w:tcBorders>
              <w:top w:val="nil"/>
              <w:left w:val="nil"/>
              <w:right w:val="nil"/>
            </w:tcBorders>
            <w:shd w:val="clear" w:color="auto" w:fill="auto"/>
          </w:tcPr>
          <w:p w:rsidR="006B7861" w:rsidRPr="006B7861" w:rsidRDefault="006B7861" w:rsidP="006B7861">
            <w:pPr>
              <w:spacing w:after="0" w:line="240" w:lineRule="auto"/>
              <w:jc w:val="center"/>
              <w:rPr>
                <w:b/>
                <w:sz w:val="20"/>
                <w:szCs w:val="20"/>
              </w:rPr>
            </w:pPr>
            <w:r w:rsidRPr="006B7861">
              <w:rPr>
                <w:b/>
                <w:sz w:val="20"/>
                <w:szCs w:val="20"/>
              </w:rPr>
              <w:t>Table 8: Dighton-Rehoboth Public Schools</w:t>
            </w:r>
          </w:p>
          <w:p w:rsidR="006B7861" w:rsidRPr="006B7861" w:rsidRDefault="006B7861" w:rsidP="001478FE">
            <w:pPr>
              <w:spacing w:after="0" w:line="240" w:lineRule="auto"/>
              <w:jc w:val="center"/>
              <w:rPr>
                <w:b/>
                <w:sz w:val="20"/>
                <w:szCs w:val="20"/>
              </w:rPr>
            </w:pPr>
            <w:r w:rsidRPr="006B7861">
              <w:rPr>
                <w:b/>
                <w:sz w:val="20"/>
                <w:szCs w:val="20"/>
              </w:rPr>
              <w:t xml:space="preserve">Out-of-School and In-School Suspension </w:t>
            </w:r>
            <w:r w:rsidR="001478FE">
              <w:rPr>
                <w:b/>
                <w:sz w:val="20"/>
                <w:szCs w:val="20"/>
              </w:rPr>
              <w:t xml:space="preserve">Rates </w:t>
            </w:r>
            <w:r w:rsidRPr="006B7861">
              <w:rPr>
                <w:b/>
                <w:sz w:val="20"/>
                <w:szCs w:val="20"/>
              </w:rPr>
              <w:t>by Subgroup 2013–2016</w:t>
            </w:r>
          </w:p>
        </w:tc>
      </w:tr>
      <w:tr w:rsidR="006B7861" w:rsidRPr="006B7861" w:rsidTr="008F0BE1">
        <w:tc>
          <w:tcPr>
            <w:tcW w:w="1742"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Group</w:t>
            </w:r>
          </w:p>
        </w:tc>
        <w:tc>
          <w:tcPr>
            <w:tcW w:w="1813"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Type of Suspension</w:t>
            </w:r>
          </w:p>
        </w:tc>
        <w:tc>
          <w:tcPr>
            <w:tcW w:w="1181"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24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24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230"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115"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 xml:space="preserve">State </w:t>
            </w:r>
            <w:r w:rsidR="001478FE">
              <w:rPr>
                <w:b/>
                <w:sz w:val="20"/>
                <w:szCs w:val="20"/>
              </w:rPr>
              <w:t>(</w:t>
            </w:r>
            <w:r w:rsidRPr="006B7861">
              <w:rPr>
                <w:b/>
                <w:sz w:val="20"/>
                <w:szCs w:val="20"/>
              </w:rPr>
              <w:t>2016</w:t>
            </w:r>
            <w:r w:rsidR="001478FE">
              <w:rPr>
                <w:b/>
                <w:sz w:val="20"/>
                <w:szCs w:val="20"/>
              </w:rPr>
              <w:t>)</w:t>
            </w:r>
          </w:p>
        </w:tc>
      </w:tr>
      <w:tr w:rsidR="006B7861" w:rsidRPr="006B7861" w:rsidTr="008F0BE1">
        <w:tc>
          <w:tcPr>
            <w:tcW w:w="1742"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High Needs</w:t>
            </w: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ISS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2.4%</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2.8%</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1.0%</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3.3%</w:t>
            </w:r>
          </w:p>
        </w:tc>
        <w:tc>
          <w:tcPr>
            <w:tcW w:w="1115" w:type="dxa"/>
            <w:vAlign w:val="center"/>
          </w:tcPr>
          <w:p w:rsidR="006B7861" w:rsidRPr="006B7861" w:rsidRDefault="006B7861" w:rsidP="006B7861">
            <w:pPr>
              <w:spacing w:after="0" w:line="240" w:lineRule="auto"/>
              <w:jc w:val="center"/>
              <w:rPr>
                <w:sz w:val="20"/>
                <w:szCs w:val="20"/>
              </w:rPr>
            </w:pPr>
            <w:r w:rsidRPr="006B7861">
              <w:rPr>
                <w:sz w:val="20"/>
                <w:szCs w:val="20"/>
              </w:rPr>
              <w:t>2.9%</w:t>
            </w:r>
          </w:p>
        </w:tc>
      </w:tr>
      <w:tr w:rsidR="006B7861" w:rsidRPr="006B7861" w:rsidTr="008F0BE1">
        <w:tc>
          <w:tcPr>
            <w:tcW w:w="1742" w:type="dxa"/>
            <w:vMerge/>
            <w:shd w:val="clear" w:color="auto" w:fill="auto"/>
            <w:vAlign w:val="center"/>
          </w:tcPr>
          <w:p w:rsidR="006B7861" w:rsidRPr="006B7861" w:rsidRDefault="006B7861" w:rsidP="006B7861">
            <w:pPr>
              <w:spacing w:after="0" w:line="240" w:lineRule="auto"/>
              <w:jc w:val="center"/>
              <w:rPr>
                <w:sz w:val="20"/>
                <w:szCs w:val="20"/>
              </w:rPr>
            </w:pP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OSS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3.7%</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2.8%</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2.4%</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2.6%</w:t>
            </w:r>
          </w:p>
        </w:tc>
        <w:tc>
          <w:tcPr>
            <w:tcW w:w="1115" w:type="dxa"/>
            <w:vAlign w:val="center"/>
          </w:tcPr>
          <w:p w:rsidR="006B7861" w:rsidRPr="006B7861" w:rsidRDefault="006B7861" w:rsidP="006B7861">
            <w:pPr>
              <w:spacing w:after="0" w:line="240" w:lineRule="auto"/>
              <w:jc w:val="center"/>
              <w:rPr>
                <w:sz w:val="20"/>
                <w:szCs w:val="20"/>
              </w:rPr>
            </w:pPr>
            <w:r w:rsidRPr="006B7861">
              <w:rPr>
                <w:sz w:val="20"/>
                <w:szCs w:val="20"/>
              </w:rPr>
              <w:t>4.9%</w:t>
            </w:r>
          </w:p>
        </w:tc>
      </w:tr>
      <w:tr w:rsidR="006B7861" w:rsidRPr="006B7861" w:rsidTr="008F0BE1">
        <w:tc>
          <w:tcPr>
            <w:tcW w:w="1742"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Economically disadvantaged*</w:t>
            </w:r>
          </w:p>
        </w:tc>
        <w:tc>
          <w:tcPr>
            <w:tcW w:w="181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ISS</w:t>
            </w:r>
          </w:p>
        </w:tc>
        <w:tc>
          <w:tcPr>
            <w:tcW w:w="1181"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2.6%</w:t>
            </w:r>
          </w:p>
        </w:tc>
        <w:tc>
          <w:tcPr>
            <w:tcW w:w="124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3.0%</w:t>
            </w:r>
          </w:p>
        </w:tc>
        <w:tc>
          <w:tcPr>
            <w:tcW w:w="124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1.4%</w:t>
            </w:r>
          </w:p>
        </w:tc>
        <w:tc>
          <w:tcPr>
            <w:tcW w:w="123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4.1%</w:t>
            </w:r>
          </w:p>
        </w:tc>
        <w:tc>
          <w:tcPr>
            <w:tcW w:w="111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3.2%</w:t>
            </w:r>
          </w:p>
        </w:tc>
      </w:tr>
      <w:tr w:rsidR="006B7861" w:rsidRPr="006B7861" w:rsidTr="008F0BE1">
        <w:tc>
          <w:tcPr>
            <w:tcW w:w="1742"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181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OSS</w:t>
            </w:r>
          </w:p>
        </w:tc>
        <w:tc>
          <w:tcPr>
            <w:tcW w:w="1181"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3.9%</w:t>
            </w:r>
          </w:p>
        </w:tc>
        <w:tc>
          <w:tcPr>
            <w:tcW w:w="124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3.0%</w:t>
            </w:r>
          </w:p>
        </w:tc>
        <w:tc>
          <w:tcPr>
            <w:tcW w:w="124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2.4%</w:t>
            </w:r>
          </w:p>
        </w:tc>
        <w:tc>
          <w:tcPr>
            <w:tcW w:w="123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2.5%</w:t>
            </w:r>
          </w:p>
        </w:tc>
        <w:tc>
          <w:tcPr>
            <w:tcW w:w="111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5.6%</w:t>
            </w:r>
          </w:p>
        </w:tc>
      </w:tr>
      <w:tr w:rsidR="006B7861" w:rsidRPr="006B7861" w:rsidTr="008F0BE1">
        <w:tc>
          <w:tcPr>
            <w:tcW w:w="1742"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ELLs</w:t>
            </w: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ISS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11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1.9%</w:t>
            </w:r>
          </w:p>
        </w:tc>
      </w:tr>
      <w:tr w:rsidR="006B7861" w:rsidRPr="006B7861" w:rsidTr="008F0BE1">
        <w:tc>
          <w:tcPr>
            <w:tcW w:w="1742" w:type="dxa"/>
            <w:vMerge/>
            <w:shd w:val="clear" w:color="auto" w:fill="auto"/>
            <w:vAlign w:val="center"/>
          </w:tcPr>
          <w:p w:rsidR="006B7861" w:rsidRPr="006B7861" w:rsidRDefault="006B7861" w:rsidP="006B7861">
            <w:pPr>
              <w:spacing w:after="0" w:line="240" w:lineRule="auto"/>
              <w:jc w:val="center"/>
              <w:rPr>
                <w:sz w:val="20"/>
                <w:szCs w:val="20"/>
              </w:rPr>
            </w:pP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OSS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w:t>
            </w:r>
          </w:p>
        </w:tc>
        <w:tc>
          <w:tcPr>
            <w:tcW w:w="1115"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4.0%</w:t>
            </w:r>
          </w:p>
        </w:tc>
      </w:tr>
      <w:tr w:rsidR="006B7861" w:rsidRPr="006B7861" w:rsidTr="008F0BE1">
        <w:tc>
          <w:tcPr>
            <w:tcW w:w="1742" w:type="dxa"/>
            <w:vMerge w:val="restart"/>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Students with disabilities</w:t>
            </w:r>
          </w:p>
        </w:tc>
        <w:tc>
          <w:tcPr>
            <w:tcW w:w="181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ISS</w:t>
            </w:r>
          </w:p>
        </w:tc>
        <w:tc>
          <w:tcPr>
            <w:tcW w:w="1181"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2.6%</w:t>
            </w:r>
          </w:p>
        </w:tc>
        <w:tc>
          <w:tcPr>
            <w:tcW w:w="124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3.6%</w:t>
            </w:r>
          </w:p>
        </w:tc>
        <w:tc>
          <w:tcPr>
            <w:tcW w:w="124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1.2%</w:t>
            </w:r>
          </w:p>
        </w:tc>
        <w:tc>
          <w:tcPr>
            <w:tcW w:w="123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3.7%</w:t>
            </w:r>
          </w:p>
        </w:tc>
        <w:tc>
          <w:tcPr>
            <w:tcW w:w="111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3.5%</w:t>
            </w:r>
          </w:p>
        </w:tc>
      </w:tr>
      <w:tr w:rsidR="006B7861" w:rsidRPr="006B7861" w:rsidTr="008F0BE1">
        <w:tc>
          <w:tcPr>
            <w:tcW w:w="1742" w:type="dxa"/>
            <w:vMerge/>
            <w:shd w:val="clear" w:color="auto" w:fill="D9D9D9" w:themeFill="background1" w:themeFillShade="D9"/>
            <w:vAlign w:val="center"/>
          </w:tcPr>
          <w:p w:rsidR="006B7861" w:rsidRPr="006B7861" w:rsidRDefault="006B7861" w:rsidP="006B7861">
            <w:pPr>
              <w:spacing w:after="0" w:line="240" w:lineRule="auto"/>
              <w:jc w:val="center"/>
              <w:rPr>
                <w:sz w:val="20"/>
                <w:szCs w:val="20"/>
              </w:rPr>
            </w:pPr>
          </w:p>
        </w:tc>
        <w:tc>
          <w:tcPr>
            <w:tcW w:w="1813"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OSS</w:t>
            </w:r>
          </w:p>
        </w:tc>
        <w:tc>
          <w:tcPr>
            <w:tcW w:w="1181"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4.2%</w:t>
            </w:r>
          </w:p>
        </w:tc>
        <w:tc>
          <w:tcPr>
            <w:tcW w:w="1248"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2.9%</w:t>
            </w:r>
          </w:p>
        </w:tc>
        <w:tc>
          <w:tcPr>
            <w:tcW w:w="124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3.4%</w:t>
            </w:r>
          </w:p>
        </w:tc>
        <w:tc>
          <w:tcPr>
            <w:tcW w:w="123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3.5%</w:t>
            </w:r>
          </w:p>
        </w:tc>
        <w:tc>
          <w:tcPr>
            <w:tcW w:w="1115"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5.9%</w:t>
            </w:r>
          </w:p>
        </w:tc>
      </w:tr>
      <w:tr w:rsidR="006B7861" w:rsidRPr="006B7861" w:rsidTr="008F0BE1">
        <w:tc>
          <w:tcPr>
            <w:tcW w:w="1742" w:type="dxa"/>
            <w:vMerge w:val="restart"/>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All Students</w:t>
            </w: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ISS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1.3%</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1.9%</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0.4%</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1.8%</w:t>
            </w:r>
          </w:p>
        </w:tc>
        <w:tc>
          <w:tcPr>
            <w:tcW w:w="1115" w:type="dxa"/>
            <w:vAlign w:val="center"/>
          </w:tcPr>
          <w:p w:rsidR="006B7861" w:rsidRPr="006B7861" w:rsidRDefault="006B7861" w:rsidP="006B7861">
            <w:pPr>
              <w:spacing w:after="0" w:line="240" w:lineRule="auto"/>
              <w:jc w:val="center"/>
              <w:rPr>
                <w:sz w:val="20"/>
                <w:szCs w:val="20"/>
              </w:rPr>
            </w:pPr>
            <w:r w:rsidRPr="006B7861">
              <w:rPr>
                <w:sz w:val="20"/>
                <w:szCs w:val="20"/>
              </w:rPr>
              <w:t>1.9%</w:t>
            </w:r>
          </w:p>
        </w:tc>
      </w:tr>
      <w:tr w:rsidR="006B7861" w:rsidRPr="006B7861" w:rsidTr="008F0BE1">
        <w:tc>
          <w:tcPr>
            <w:tcW w:w="1742" w:type="dxa"/>
            <w:vMerge/>
            <w:shd w:val="clear" w:color="auto" w:fill="auto"/>
            <w:vAlign w:val="center"/>
          </w:tcPr>
          <w:p w:rsidR="006B7861" w:rsidRPr="006B7861" w:rsidRDefault="006B7861" w:rsidP="006B7861">
            <w:pPr>
              <w:spacing w:after="0" w:line="240" w:lineRule="auto"/>
              <w:jc w:val="center"/>
              <w:rPr>
                <w:sz w:val="20"/>
                <w:szCs w:val="20"/>
              </w:rPr>
            </w:pPr>
          </w:p>
        </w:tc>
        <w:tc>
          <w:tcPr>
            <w:tcW w:w="1813"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OSS</w:t>
            </w:r>
          </w:p>
        </w:tc>
        <w:tc>
          <w:tcPr>
            <w:tcW w:w="1181"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2.5%</w:t>
            </w:r>
          </w:p>
        </w:tc>
        <w:tc>
          <w:tcPr>
            <w:tcW w:w="1248"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1.6%</w:t>
            </w:r>
          </w:p>
        </w:tc>
        <w:tc>
          <w:tcPr>
            <w:tcW w:w="1247"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1.1%</w:t>
            </w:r>
          </w:p>
        </w:tc>
        <w:tc>
          <w:tcPr>
            <w:tcW w:w="123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1.7%</w:t>
            </w:r>
          </w:p>
        </w:tc>
        <w:tc>
          <w:tcPr>
            <w:tcW w:w="1115" w:type="dxa"/>
            <w:vAlign w:val="center"/>
          </w:tcPr>
          <w:p w:rsidR="006B7861" w:rsidRPr="006B7861" w:rsidRDefault="006B7861" w:rsidP="006B7861">
            <w:pPr>
              <w:spacing w:after="0" w:line="240" w:lineRule="auto"/>
              <w:jc w:val="center"/>
              <w:rPr>
                <w:sz w:val="20"/>
                <w:szCs w:val="20"/>
              </w:rPr>
            </w:pPr>
            <w:r w:rsidRPr="006B7861">
              <w:rPr>
                <w:sz w:val="20"/>
                <w:szCs w:val="20"/>
              </w:rPr>
              <w:t>2.9%</w:t>
            </w:r>
          </w:p>
        </w:tc>
      </w:tr>
    </w:tbl>
    <w:p w:rsidR="006B7861" w:rsidRPr="006B7861" w:rsidRDefault="006B7861" w:rsidP="006B7861">
      <w:pPr>
        <w:spacing w:after="0" w:line="240" w:lineRule="auto"/>
        <w:rPr>
          <w:sz w:val="20"/>
          <w:szCs w:val="20"/>
        </w:rPr>
      </w:pPr>
      <w:r w:rsidRPr="006B7861">
        <w:rPr>
          <w:sz w:val="20"/>
          <w:szCs w:val="20"/>
        </w:rPr>
        <w:t>*</w:t>
      </w:r>
      <w:r w:rsidR="001478FE">
        <w:rPr>
          <w:sz w:val="20"/>
          <w:szCs w:val="20"/>
        </w:rPr>
        <w:t>Suspension rates for students from l</w:t>
      </w:r>
      <w:r w:rsidR="001478FE" w:rsidRPr="006B7861">
        <w:rPr>
          <w:sz w:val="20"/>
          <w:szCs w:val="20"/>
        </w:rPr>
        <w:t>ow</w:t>
      </w:r>
      <w:r w:rsidR="001478FE">
        <w:rPr>
          <w:sz w:val="20"/>
          <w:szCs w:val="20"/>
        </w:rPr>
        <w:t>-</w:t>
      </w:r>
      <w:r w:rsidRPr="006B7861">
        <w:rPr>
          <w:sz w:val="20"/>
          <w:szCs w:val="20"/>
        </w:rPr>
        <w:t xml:space="preserve">income </w:t>
      </w:r>
      <w:r w:rsidR="001478FE">
        <w:rPr>
          <w:sz w:val="20"/>
          <w:szCs w:val="20"/>
        </w:rPr>
        <w:t>families</w:t>
      </w:r>
      <w:r w:rsidRPr="006B7861">
        <w:rPr>
          <w:sz w:val="20"/>
          <w:szCs w:val="20"/>
        </w:rPr>
        <w:t xml:space="preserve"> used for 2013 and 2014</w:t>
      </w:r>
    </w:p>
    <w:p w:rsidR="006B7861" w:rsidRPr="006B7861" w:rsidRDefault="006B7861" w:rsidP="006B7861">
      <w:pPr>
        <w:spacing w:after="0" w:line="240" w:lineRule="auto"/>
      </w:pPr>
    </w:p>
    <w:p w:rsidR="006B7861" w:rsidRPr="006B7861" w:rsidRDefault="006B7861" w:rsidP="006B7861">
      <w:pPr>
        <w:spacing w:after="0" w:line="240" w:lineRule="auto"/>
        <w:rPr>
          <w:b/>
        </w:rPr>
      </w:pPr>
      <w:r w:rsidRPr="006B7861">
        <w:rPr>
          <w:b/>
        </w:rPr>
        <w:t>Between 2012 and 2015</w:t>
      </w:r>
      <w:r w:rsidR="001478FE">
        <w:rPr>
          <w:b/>
        </w:rPr>
        <w:t>,</w:t>
      </w:r>
      <w:r w:rsidRPr="006B7861">
        <w:rPr>
          <w:b/>
        </w:rPr>
        <w:t xml:space="preserve"> </w:t>
      </w:r>
      <w:r w:rsidR="001478FE">
        <w:rPr>
          <w:b/>
        </w:rPr>
        <w:t>the district</w:t>
      </w:r>
      <w:r w:rsidRPr="006B7861">
        <w:rPr>
          <w:b/>
        </w:rPr>
        <w:t>’s four-year cohort graduation rate declined by 3.2 percentage points</w:t>
      </w:r>
      <w:r w:rsidRPr="006B7861" w:rsidDel="000456EF">
        <w:rPr>
          <w:b/>
        </w:rPr>
        <w:t xml:space="preserve"> </w:t>
      </w:r>
      <w:r w:rsidRPr="006B7861">
        <w:rPr>
          <w:b/>
        </w:rPr>
        <w:t>for all students, by 14.8 percentage points for students with disabilities, and by 8.8 and 8.4 percentage points for high needs students and students</w:t>
      </w:r>
      <w:r w:rsidR="001478FE">
        <w:rPr>
          <w:b/>
        </w:rPr>
        <w:t xml:space="preserve"> from </w:t>
      </w:r>
      <w:r w:rsidR="001478FE" w:rsidRPr="006B7861">
        <w:rPr>
          <w:b/>
        </w:rPr>
        <w:t>low</w:t>
      </w:r>
      <w:r w:rsidR="00C164E8">
        <w:rPr>
          <w:b/>
        </w:rPr>
        <w:t>-</w:t>
      </w:r>
      <w:r w:rsidR="001478FE" w:rsidRPr="006B7861">
        <w:rPr>
          <w:b/>
        </w:rPr>
        <w:t>income</w:t>
      </w:r>
      <w:r w:rsidR="001478FE">
        <w:rPr>
          <w:b/>
        </w:rPr>
        <w:t xml:space="preserve"> families, respectively</w:t>
      </w:r>
      <w:r w:rsidRPr="006B7861">
        <w:rPr>
          <w:b/>
        </w:rPr>
        <w:t xml:space="preserve">.  </w:t>
      </w:r>
      <w:r w:rsidR="001478FE">
        <w:rPr>
          <w:b/>
        </w:rPr>
        <w:t>The district</w:t>
      </w:r>
      <w:r w:rsidRPr="006B7861">
        <w:rPr>
          <w:b/>
        </w:rPr>
        <w:t xml:space="preserve"> reached the four-year cohort graduation target for all students and high needs students.</w:t>
      </w:r>
      <w:r w:rsidRPr="006B7861">
        <w:rPr>
          <w:vertAlign w:val="superscript"/>
        </w:rPr>
        <w:footnoteReference w:id="4"/>
      </w:r>
    </w:p>
    <w:p w:rsidR="006B7861" w:rsidRPr="006B7861" w:rsidRDefault="006B7861" w:rsidP="006B7861">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6B7861" w:rsidRPr="006B7861" w:rsidTr="008F0BE1">
        <w:tc>
          <w:tcPr>
            <w:tcW w:w="9810" w:type="dxa"/>
            <w:gridSpan w:val="11"/>
            <w:tcBorders>
              <w:top w:val="nil"/>
              <w:left w:val="nil"/>
              <w:right w:val="nil"/>
            </w:tcBorders>
            <w:shd w:val="clear" w:color="auto" w:fill="auto"/>
            <w:vAlign w:val="center"/>
          </w:tcPr>
          <w:p w:rsidR="006B7861" w:rsidRPr="006B7861" w:rsidRDefault="006B7861" w:rsidP="006B7861">
            <w:pPr>
              <w:spacing w:after="0" w:line="240" w:lineRule="auto"/>
              <w:jc w:val="center"/>
              <w:rPr>
                <w:rFonts w:eastAsia="Calibri" w:cs="Times New Roman"/>
                <w:b/>
                <w:sz w:val="20"/>
                <w:szCs w:val="20"/>
              </w:rPr>
            </w:pPr>
            <w:r w:rsidRPr="006B7861">
              <w:rPr>
                <w:rFonts w:eastAsia="Calibri" w:cs="Times New Roman"/>
                <w:b/>
                <w:sz w:val="20"/>
                <w:szCs w:val="20"/>
              </w:rPr>
              <w:t xml:space="preserve">Table 9: </w:t>
            </w:r>
            <w:r w:rsidRPr="006B7861">
              <w:rPr>
                <w:rFonts w:eastAsia="Times New Roman" w:cs="Times New Roman"/>
                <w:b/>
                <w:sz w:val="20"/>
                <w:szCs w:val="20"/>
              </w:rPr>
              <w:t>Dighton-Rehoboth Public Schools</w:t>
            </w:r>
          </w:p>
          <w:p w:rsidR="00DC432A" w:rsidRDefault="006B7861">
            <w:pPr>
              <w:spacing w:after="0" w:line="240" w:lineRule="auto"/>
              <w:jc w:val="center"/>
              <w:rPr>
                <w:rFonts w:ascii="Calibri" w:eastAsia="Times New Roman" w:hAnsi="Calibri" w:cs="Times New Roman"/>
                <w:b/>
                <w:sz w:val="20"/>
                <w:szCs w:val="20"/>
              </w:rPr>
            </w:pPr>
            <w:r w:rsidRPr="006B7861">
              <w:rPr>
                <w:rFonts w:eastAsia="Calibri" w:cs="Times New Roman"/>
                <w:b/>
                <w:sz w:val="20"/>
                <w:szCs w:val="20"/>
              </w:rPr>
              <w:t>Four-Year Cohort Graduation Rates 2012</w:t>
            </w:r>
            <w:r w:rsidR="00C164E8">
              <w:rPr>
                <w:rFonts w:eastAsia="Calibri" w:cs="Times New Roman"/>
                <w:b/>
                <w:sz w:val="20"/>
                <w:szCs w:val="20"/>
              </w:rPr>
              <w:t>–</w:t>
            </w:r>
            <w:r w:rsidRPr="006B7861">
              <w:rPr>
                <w:rFonts w:eastAsia="Calibri" w:cs="Times New Roman"/>
                <w:b/>
                <w:sz w:val="20"/>
                <w:szCs w:val="20"/>
              </w:rPr>
              <w:t>2015</w:t>
            </w:r>
          </w:p>
        </w:tc>
      </w:tr>
      <w:tr w:rsidR="006B7861" w:rsidRPr="006B7861" w:rsidTr="008F0BE1">
        <w:tc>
          <w:tcPr>
            <w:tcW w:w="990"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DC432A" w:rsidRDefault="006B7861">
            <w:pPr>
              <w:spacing w:after="0" w:line="240" w:lineRule="auto"/>
              <w:rPr>
                <w:rFonts w:ascii="Calibri" w:eastAsia="Times New Roman" w:hAnsi="Calibri" w:cs="Times New Roman"/>
                <w:b/>
                <w:sz w:val="20"/>
                <w:szCs w:val="20"/>
              </w:rPr>
            </w:pPr>
            <w:r w:rsidRPr="006B7861">
              <w:rPr>
                <w:rFonts w:ascii="Calibri" w:eastAsia="Times New Roman" w:hAnsi="Calibri" w:cs="Times New Roman"/>
                <w:b/>
                <w:sz w:val="20"/>
                <w:szCs w:val="20"/>
              </w:rPr>
              <w:t>Change 2012</w:t>
            </w:r>
            <w:r w:rsidR="00C164E8">
              <w:rPr>
                <w:rFonts w:ascii="Calibri" w:eastAsia="Times New Roman" w:hAnsi="Calibri" w:cs="Times New Roman"/>
                <w:b/>
                <w:sz w:val="20"/>
                <w:szCs w:val="20"/>
              </w:rPr>
              <w:t>–</w:t>
            </w:r>
            <w:r w:rsidRPr="006B7861">
              <w:rPr>
                <w:rFonts w:ascii="Calibri" w:eastAsia="Times New Roman" w:hAnsi="Calibri" w:cs="Times New Roman"/>
                <w:b/>
                <w:sz w:val="20"/>
                <w:szCs w:val="20"/>
              </w:rPr>
              <w:t>2015</w:t>
            </w:r>
          </w:p>
        </w:tc>
        <w:tc>
          <w:tcPr>
            <w:tcW w:w="2070" w:type="dxa"/>
            <w:gridSpan w:val="2"/>
            <w:shd w:val="clear" w:color="auto" w:fill="D9D9D9" w:themeFill="background1" w:themeFillShade="D9"/>
          </w:tcPr>
          <w:p w:rsidR="00DC432A" w:rsidRDefault="006B7861">
            <w:pPr>
              <w:spacing w:after="0" w:line="240" w:lineRule="auto"/>
              <w:rPr>
                <w:rFonts w:ascii="Calibri" w:eastAsia="Times New Roman" w:hAnsi="Calibri" w:cs="Times New Roman"/>
                <w:b/>
                <w:sz w:val="20"/>
                <w:szCs w:val="20"/>
              </w:rPr>
            </w:pPr>
            <w:r w:rsidRPr="006B7861">
              <w:rPr>
                <w:rFonts w:ascii="Calibri" w:eastAsia="Times New Roman" w:hAnsi="Calibri" w:cs="Times New Roman"/>
                <w:b/>
                <w:sz w:val="20"/>
                <w:szCs w:val="20"/>
              </w:rPr>
              <w:t>Change 2014</w:t>
            </w:r>
            <w:r w:rsidR="00C164E8">
              <w:rPr>
                <w:rFonts w:ascii="Calibri" w:eastAsia="Times New Roman" w:hAnsi="Calibri" w:cs="Times New Roman"/>
                <w:b/>
                <w:sz w:val="20"/>
                <w:szCs w:val="20"/>
              </w:rPr>
              <w:t>–</w:t>
            </w:r>
            <w:r w:rsidRPr="006B7861">
              <w:rPr>
                <w:rFonts w:ascii="Calibri" w:eastAsia="Times New Roman" w:hAnsi="Calibri" w:cs="Times New Roman"/>
                <w:b/>
                <w:sz w:val="20"/>
                <w:szCs w:val="20"/>
              </w:rPr>
              <w:t>2015</w:t>
            </w:r>
          </w:p>
        </w:tc>
        <w:tc>
          <w:tcPr>
            <w:tcW w:w="810" w:type="dxa"/>
            <w:vMerge w:val="restart"/>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State (2015)</w:t>
            </w:r>
          </w:p>
        </w:tc>
      </w:tr>
      <w:tr w:rsidR="006B7861" w:rsidRPr="006B7861" w:rsidTr="008F0BE1">
        <w:tc>
          <w:tcPr>
            <w:tcW w:w="990" w:type="dxa"/>
            <w:vMerge/>
          </w:tcPr>
          <w:p w:rsidR="006B7861" w:rsidRPr="006B7861" w:rsidRDefault="006B7861" w:rsidP="006B7861">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2015</w:t>
            </w:r>
          </w:p>
        </w:tc>
        <w:tc>
          <w:tcPr>
            <w:tcW w:w="1170" w:type="dxa"/>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Percent Change</w:t>
            </w:r>
          </w:p>
        </w:tc>
        <w:tc>
          <w:tcPr>
            <w:tcW w:w="1170" w:type="dxa"/>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6B7861" w:rsidRPr="006B7861" w:rsidRDefault="006B7861" w:rsidP="006B7861">
            <w:pPr>
              <w:spacing w:after="0" w:line="240" w:lineRule="auto"/>
              <w:jc w:val="center"/>
              <w:rPr>
                <w:rFonts w:ascii="Calibri" w:eastAsia="Times New Roman" w:hAnsi="Calibri" w:cs="Times New Roman"/>
                <w:b/>
                <w:sz w:val="20"/>
                <w:szCs w:val="20"/>
              </w:rPr>
            </w:pPr>
            <w:r w:rsidRPr="006B7861">
              <w:rPr>
                <w:rFonts w:ascii="Calibri" w:eastAsia="Times New Roman" w:hAnsi="Calibri" w:cs="Times New Roman"/>
                <w:b/>
                <w:sz w:val="20"/>
                <w:szCs w:val="20"/>
              </w:rPr>
              <w:t>Percent Change</w:t>
            </w:r>
          </w:p>
        </w:tc>
        <w:tc>
          <w:tcPr>
            <w:tcW w:w="810" w:type="dxa"/>
            <w:vMerge/>
            <w:shd w:val="clear" w:color="auto" w:fill="auto"/>
          </w:tcPr>
          <w:p w:rsidR="006B7861" w:rsidRPr="006B7861" w:rsidRDefault="006B7861" w:rsidP="006B7861">
            <w:pPr>
              <w:spacing w:after="0" w:line="240" w:lineRule="auto"/>
              <w:jc w:val="center"/>
              <w:rPr>
                <w:rFonts w:ascii="Calibri" w:eastAsia="Times New Roman" w:hAnsi="Calibri" w:cs="Times New Roman"/>
                <w:sz w:val="20"/>
                <w:szCs w:val="20"/>
              </w:rPr>
            </w:pPr>
          </w:p>
        </w:tc>
      </w:tr>
      <w:tr w:rsidR="006B7861" w:rsidRPr="006B7861" w:rsidTr="008F0BE1">
        <w:trPr>
          <w:trHeight w:val="488"/>
        </w:trPr>
        <w:tc>
          <w:tcPr>
            <w:tcW w:w="990" w:type="dxa"/>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High needs</w:t>
            </w:r>
          </w:p>
        </w:tc>
        <w:tc>
          <w:tcPr>
            <w:tcW w:w="99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69</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90.0</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89.4</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94.4</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81.2</w:t>
            </w:r>
          </w:p>
        </w:tc>
        <w:tc>
          <w:tcPr>
            <w:tcW w:w="117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-8.8</w:t>
            </w:r>
          </w:p>
        </w:tc>
        <w:tc>
          <w:tcPr>
            <w:tcW w:w="90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-9.8%</w:t>
            </w:r>
          </w:p>
        </w:tc>
        <w:tc>
          <w:tcPr>
            <w:tcW w:w="117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-13.2</w:t>
            </w:r>
          </w:p>
        </w:tc>
        <w:tc>
          <w:tcPr>
            <w:tcW w:w="90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-14.0%</w:t>
            </w:r>
          </w:p>
        </w:tc>
        <w:tc>
          <w:tcPr>
            <w:tcW w:w="81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78.5</w:t>
            </w:r>
          </w:p>
        </w:tc>
      </w:tr>
      <w:tr w:rsidR="006B7861" w:rsidRPr="006B7861" w:rsidTr="008F0BE1">
        <w:trPr>
          <w:trHeight w:val="488"/>
        </w:trPr>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53</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91.4</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97.7</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93.5</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83.0</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-8.4</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-9.2%</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-10.5</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-11.2%</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78.2</w:t>
            </w:r>
          </w:p>
        </w:tc>
      </w:tr>
      <w:tr w:rsidR="006B7861" w:rsidRPr="006B7861" w:rsidTr="008F0BE1">
        <w:trPr>
          <w:trHeight w:val="488"/>
        </w:trPr>
        <w:tc>
          <w:tcPr>
            <w:tcW w:w="990" w:type="dxa"/>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ELLs</w:t>
            </w:r>
          </w:p>
        </w:tc>
        <w:tc>
          <w:tcPr>
            <w:tcW w:w="99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117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90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117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90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w:t>
            </w:r>
          </w:p>
        </w:tc>
        <w:tc>
          <w:tcPr>
            <w:tcW w:w="810" w:type="dxa"/>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64.0</w:t>
            </w:r>
          </w:p>
        </w:tc>
      </w:tr>
      <w:tr w:rsidR="006B7861" w:rsidRPr="006B7861" w:rsidTr="008F0BE1">
        <w:trPr>
          <w:trHeight w:val="488"/>
        </w:trPr>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SWD</w:t>
            </w:r>
          </w:p>
        </w:tc>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30</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88.1</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79.4</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92.3</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73.3</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-14.8</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-16.8%</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-19</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-20.6%</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69.9</w:t>
            </w:r>
          </w:p>
        </w:tc>
      </w:tr>
      <w:tr w:rsidR="006B7861" w:rsidRPr="006B7861" w:rsidTr="008F0BE1">
        <w:trPr>
          <w:trHeight w:val="489"/>
        </w:trPr>
        <w:tc>
          <w:tcPr>
            <w:tcW w:w="990" w:type="dxa"/>
            <w:tcBorders>
              <w:bottom w:val="single" w:sz="4" w:space="0" w:color="auto"/>
            </w:tcBorders>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225</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95.6</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95.1</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97.1</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92.4</w:t>
            </w:r>
          </w:p>
        </w:tc>
        <w:tc>
          <w:tcPr>
            <w:tcW w:w="117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-3.2</w:t>
            </w:r>
          </w:p>
        </w:tc>
        <w:tc>
          <w:tcPr>
            <w:tcW w:w="90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-3.3%</w:t>
            </w:r>
          </w:p>
        </w:tc>
        <w:tc>
          <w:tcPr>
            <w:tcW w:w="117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-4.7</w:t>
            </w:r>
          </w:p>
        </w:tc>
        <w:tc>
          <w:tcPr>
            <w:tcW w:w="90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-4.8%</w:t>
            </w:r>
          </w:p>
        </w:tc>
        <w:tc>
          <w:tcPr>
            <w:tcW w:w="81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eastAsia="Times New Roman" w:hAnsi="Calibri" w:cs="Times New Roman"/>
                <w:sz w:val="20"/>
                <w:szCs w:val="20"/>
              </w:rPr>
            </w:pPr>
            <w:r w:rsidRPr="006B7861">
              <w:rPr>
                <w:rFonts w:ascii="Calibri" w:eastAsia="Times New Roman" w:hAnsi="Calibri" w:cs="Times New Roman"/>
                <w:sz w:val="20"/>
                <w:szCs w:val="20"/>
              </w:rPr>
              <w:t>87.3</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b/>
        </w:rPr>
      </w:pPr>
      <w:r w:rsidRPr="006B7861">
        <w:rPr>
          <w:b/>
        </w:rPr>
        <w:lastRenderedPageBreak/>
        <w:t>Between 2011 and 2014</w:t>
      </w:r>
      <w:r w:rsidR="001478FE">
        <w:rPr>
          <w:b/>
        </w:rPr>
        <w:t>,</w:t>
      </w:r>
      <w:r w:rsidRPr="006B7861">
        <w:rPr>
          <w:b/>
        </w:rPr>
        <w:t xml:space="preserve"> </w:t>
      </w:r>
      <w:r w:rsidR="00F525C7">
        <w:rPr>
          <w:b/>
        </w:rPr>
        <w:t>the district</w:t>
      </w:r>
      <w:r w:rsidRPr="006B7861">
        <w:rPr>
          <w:b/>
        </w:rPr>
        <w:t xml:space="preserve">’s five-year cohort graduation rate improved by 3.9 percentage points for all students and by 14.0 </w:t>
      </w:r>
      <w:r w:rsidR="00F525C7">
        <w:rPr>
          <w:b/>
        </w:rPr>
        <w:t>to</w:t>
      </w:r>
      <w:r w:rsidR="00F525C7" w:rsidRPr="006B7861">
        <w:rPr>
          <w:b/>
        </w:rPr>
        <w:t xml:space="preserve"> </w:t>
      </w:r>
      <w:r w:rsidRPr="006B7861">
        <w:rPr>
          <w:b/>
        </w:rPr>
        <w:t>20.7 percentage points for high needs students, students</w:t>
      </w:r>
      <w:r w:rsidR="00F525C7">
        <w:rPr>
          <w:b/>
        </w:rPr>
        <w:t xml:space="preserve"> from </w:t>
      </w:r>
      <w:r w:rsidR="00F525C7" w:rsidRPr="006B7861">
        <w:rPr>
          <w:b/>
        </w:rPr>
        <w:t>low</w:t>
      </w:r>
      <w:r w:rsidR="00F525C7">
        <w:rPr>
          <w:b/>
        </w:rPr>
        <w:t>-</w:t>
      </w:r>
      <w:r w:rsidR="00F525C7" w:rsidRPr="006B7861">
        <w:rPr>
          <w:b/>
        </w:rPr>
        <w:t>income</w:t>
      </w:r>
      <w:r w:rsidR="00F525C7">
        <w:rPr>
          <w:b/>
        </w:rPr>
        <w:t xml:space="preserve"> families</w:t>
      </w:r>
      <w:r w:rsidRPr="006B7861">
        <w:rPr>
          <w:b/>
        </w:rPr>
        <w:t xml:space="preserve">, and students with disabilities. </w:t>
      </w:r>
      <w:r w:rsidR="00F525C7">
        <w:rPr>
          <w:b/>
        </w:rPr>
        <w:t xml:space="preserve"> The district</w:t>
      </w:r>
      <w:r w:rsidRPr="006B7861">
        <w:rPr>
          <w:b/>
        </w:rPr>
        <w:t xml:space="preserve"> reached the five-year cohort graduation target for all students, high needs students, and students with disabilities.</w:t>
      </w:r>
      <w:r w:rsidRPr="006B7861">
        <w:rPr>
          <w:vertAlign w:val="superscript"/>
        </w:rPr>
        <w:footnoteReference w:id="5"/>
      </w:r>
      <w:r w:rsidRPr="006B7861">
        <w:rPr>
          <w:b/>
        </w:rPr>
        <w:t xml:space="preserve"> </w:t>
      </w:r>
    </w:p>
    <w:p w:rsidR="006B7861" w:rsidRPr="006B7861" w:rsidRDefault="006B7861" w:rsidP="006B7861">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6B7861" w:rsidRPr="006B7861" w:rsidTr="008F0BE1">
        <w:tc>
          <w:tcPr>
            <w:tcW w:w="9810" w:type="dxa"/>
            <w:gridSpan w:val="11"/>
            <w:tcBorders>
              <w:top w:val="nil"/>
              <w:left w:val="nil"/>
              <w:right w:val="nil"/>
            </w:tcBorders>
            <w:shd w:val="clear" w:color="auto" w:fill="auto"/>
            <w:vAlign w:val="center"/>
          </w:tcPr>
          <w:p w:rsidR="006B7861" w:rsidRPr="006B7861" w:rsidRDefault="006B7861" w:rsidP="006B7861">
            <w:pPr>
              <w:spacing w:after="0" w:line="240" w:lineRule="auto"/>
              <w:jc w:val="center"/>
              <w:rPr>
                <w:rFonts w:eastAsia="Calibri"/>
                <w:b/>
                <w:sz w:val="20"/>
                <w:szCs w:val="20"/>
              </w:rPr>
            </w:pPr>
            <w:r w:rsidRPr="006B7861">
              <w:rPr>
                <w:rFonts w:eastAsia="Calibri"/>
                <w:b/>
                <w:sz w:val="20"/>
                <w:szCs w:val="20"/>
              </w:rPr>
              <w:t xml:space="preserve">Table 10: </w:t>
            </w:r>
            <w:r w:rsidRPr="006B7861">
              <w:rPr>
                <w:b/>
                <w:sz w:val="20"/>
                <w:szCs w:val="20"/>
              </w:rPr>
              <w:t>Dighton-Rehoboth Public Schools</w:t>
            </w:r>
          </w:p>
          <w:p w:rsidR="00DC432A" w:rsidRDefault="006B7861">
            <w:pPr>
              <w:spacing w:after="0" w:line="240" w:lineRule="auto"/>
              <w:jc w:val="center"/>
              <w:rPr>
                <w:rFonts w:ascii="Calibri" w:hAnsi="Calibri"/>
                <w:b/>
                <w:sz w:val="20"/>
                <w:szCs w:val="20"/>
              </w:rPr>
            </w:pPr>
            <w:r w:rsidRPr="006B7861">
              <w:rPr>
                <w:rFonts w:eastAsia="Calibri"/>
                <w:b/>
                <w:sz w:val="20"/>
                <w:szCs w:val="20"/>
              </w:rPr>
              <w:t>Five-Year Cohort Graduation Rates 2011</w:t>
            </w:r>
            <w:r w:rsidR="00EF11ED">
              <w:rPr>
                <w:rFonts w:eastAsia="Calibri"/>
                <w:b/>
                <w:sz w:val="20"/>
                <w:szCs w:val="20"/>
              </w:rPr>
              <w:t>–</w:t>
            </w:r>
            <w:r w:rsidRPr="006B7861">
              <w:rPr>
                <w:rFonts w:eastAsia="Calibri"/>
                <w:b/>
                <w:sz w:val="20"/>
                <w:szCs w:val="20"/>
              </w:rPr>
              <w:t>2014</w:t>
            </w:r>
          </w:p>
        </w:tc>
      </w:tr>
      <w:tr w:rsidR="006B7861" w:rsidRPr="006B7861" w:rsidTr="008F0BE1">
        <w:tc>
          <w:tcPr>
            <w:tcW w:w="990" w:type="dxa"/>
            <w:vMerge w:val="restart"/>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Group</w:t>
            </w:r>
          </w:p>
        </w:tc>
        <w:tc>
          <w:tcPr>
            <w:tcW w:w="990" w:type="dxa"/>
            <w:vMerge w:val="restart"/>
            <w:shd w:val="clear" w:color="auto" w:fill="D9D9D9" w:themeFill="background1" w:themeFillShade="D9"/>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Number Included (2014)</w:t>
            </w:r>
          </w:p>
        </w:tc>
        <w:tc>
          <w:tcPr>
            <w:tcW w:w="2880" w:type="dxa"/>
            <w:gridSpan w:val="4"/>
            <w:shd w:val="clear" w:color="auto" w:fill="D9D9D9" w:themeFill="background1" w:themeFillShade="D9"/>
          </w:tcPr>
          <w:p w:rsidR="006B7861" w:rsidRPr="006B7861" w:rsidRDefault="006B7861" w:rsidP="006B7861">
            <w:pPr>
              <w:spacing w:after="0" w:line="240" w:lineRule="auto"/>
              <w:jc w:val="center"/>
              <w:rPr>
                <w:rFonts w:ascii="Calibri" w:hAnsi="Calibri"/>
                <w:b/>
                <w:sz w:val="20"/>
                <w:szCs w:val="20"/>
              </w:rPr>
            </w:pPr>
            <w:r w:rsidRPr="006B7861">
              <w:rPr>
                <w:rFonts w:ascii="Calibri" w:hAnsi="Calibri"/>
                <w:b/>
                <w:sz w:val="20"/>
                <w:szCs w:val="20"/>
              </w:rPr>
              <w:t>Cohort Year Ending</w:t>
            </w:r>
          </w:p>
        </w:tc>
        <w:tc>
          <w:tcPr>
            <w:tcW w:w="2070" w:type="dxa"/>
            <w:gridSpan w:val="2"/>
            <w:shd w:val="clear" w:color="auto" w:fill="D9D9D9" w:themeFill="background1" w:themeFillShade="D9"/>
          </w:tcPr>
          <w:p w:rsidR="00DC432A" w:rsidRDefault="006B7861">
            <w:pPr>
              <w:spacing w:after="0" w:line="240" w:lineRule="auto"/>
              <w:rPr>
                <w:rFonts w:ascii="Calibri" w:hAnsi="Calibri"/>
                <w:b/>
                <w:sz w:val="20"/>
                <w:szCs w:val="20"/>
              </w:rPr>
            </w:pPr>
            <w:r w:rsidRPr="006B7861">
              <w:rPr>
                <w:rFonts w:ascii="Calibri" w:hAnsi="Calibri"/>
                <w:b/>
                <w:sz w:val="20"/>
                <w:szCs w:val="20"/>
              </w:rPr>
              <w:t>Change 2011</w:t>
            </w:r>
            <w:r w:rsidR="00EF11ED">
              <w:rPr>
                <w:rFonts w:ascii="Calibri" w:hAnsi="Calibri"/>
                <w:b/>
                <w:sz w:val="20"/>
                <w:szCs w:val="20"/>
              </w:rPr>
              <w:t>–</w:t>
            </w:r>
            <w:r w:rsidRPr="006B7861">
              <w:rPr>
                <w:rFonts w:ascii="Calibri" w:hAnsi="Calibri"/>
                <w:b/>
                <w:sz w:val="20"/>
                <w:szCs w:val="20"/>
              </w:rPr>
              <w:t>2014</w:t>
            </w:r>
          </w:p>
        </w:tc>
        <w:tc>
          <w:tcPr>
            <w:tcW w:w="2070" w:type="dxa"/>
            <w:gridSpan w:val="2"/>
            <w:shd w:val="clear" w:color="auto" w:fill="D9D9D9" w:themeFill="background1" w:themeFillShade="D9"/>
          </w:tcPr>
          <w:p w:rsidR="00DC432A" w:rsidRDefault="006B7861">
            <w:pPr>
              <w:spacing w:after="0" w:line="240" w:lineRule="auto"/>
              <w:rPr>
                <w:rFonts w:ascii="Calibri" w:hAnsi="Calibri"/>
                <w:b/>
                <w:sz w:val="20"/>
                <w:szCs w:val="20"/>
              </w:rPr>
            </w:pPr>
            <w:r w:rsidRPr="006B7861">
              <w:rPr>
                <w:rFonts w:ascii="Calibri" w:hAnsi="Calibri"/>
                <w:b/>
                <w:sz w:val="20"/>
                <w:szCs w:val="20"/>
              </w:rPr>
              <w:t>Change 2013</w:t>
            </w:r>
            <w:r w:rsidR="00EF11ED">
              <w:rPr>
                <w:rFonts w:ascii="Calibri" w:hAnsi="Calibri"/>
                <w:b/>
                <w:sz w:val="20"/>
                <w:szCs w:val="20"/>
              </w:rPr>
              <w:t>–</w:t>
            </w:r>
            <w:r w:rsidRPr="006B7861">
              <w:rPr>
                <w:rFonts w:ascii="Calibri" w:hAnsi="Calibri"/>
                <w:b/>
                <w:sz w:val="20"/>
                <w:szCs w:val="20"/>
              </w:rPr>
              <w:t>2014</w:t>
            </w:r>
          </w:p>
        </w:tc>
        <w:tc>
          <w:tcPr>
            <w:tcW w:w="810" w:type="dxa"/>
            <w:vMerge w:val="restart"/>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State (2014)</w:t>
            </w:r>
          </w:p>
        </w:tc>
      </w:tr>
      <w:tr w:rsidR="006B7861" w:rsidRPr="006B7861" w:rsidTr="008F0BE1">
        <w:tc>
          <w:tcPr>
            <w:tcW w:w="990" w:type="dxa"/>
            <w:vMerge/>
            <w:shd w:val="clear" w:color="auto" w:fill="auto"/>
          </w:tcPr>
          <w:p w:rsidR="006B7861" w:rsidRPr="006B7861" w:rsidRDefault="006B7861" w:rsidP="006B7861">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p>
        </w:tc>
        <w:tc>
          <w:tcPr>
            <w:tcW w:w="720" w:type="dxa"/>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2011</w:t>
            </w:r>
          </w:p>
        </w:tc>
        <w:tc>
          <w:tcPr>
            <w:tcW w:w="720" w:type="dxa"/>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2012</w:t>
            </w:r>
          </w:p>
        </w:tc>
        <w:tc>
          <w:tcPr>
            <w:tcW w:w="720" w:type="dxa"/>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2013</w:t>
            </w:r>
          </w:p>
        </w:tc>
        <w:tc>
          <w:tcPr>
            <w:tcW w:w="720" w:type="dxa"/>
            <w:shd w:val="clear" w:color="auto" w:fill="D9D9D9" w:themeFill="background1" w:themeFillShade="D9"/>
            <w:vAlign w:val="center"/>
          </w:tcPr>
          <w:p w:rsidR="006B7861" w:rsidRPr="006B7861" w:rsidRDefault="006B7861" w:rsidP="006B7861">
            <w:pPr>
              <w:spacing w:after="0" w:line="240" w:lineRule="auto"/>
              <w:rPr>
                <w:rFonts w:ascii="Calibri" w:hAnsi="Calibri"/>
                <w:b/>
                <w:sz w:val="20"/>
                <w:szCs w:val="20"/>
              </w:rPr>
            </w:pPr>
            <w:r w:rsidRPr="006B7861">
              <w:rPr>
                <w:rFonts w:ascii="Calibri" w:hAnsi="Calibri"/>
                <w:b/>
                <w:sz w:val="20"/>
                <w:szCs w:val="20"/>
              </w:rPr>
              <w:t>2014</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b/>
                <w:sz w:val="20"/>
                <w:szCs w:val="20"/>
              </w:rPr>
            </w:pPr>
            <w:r w:rsidRPr="006B786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B7861" w:rsidRPr="006B7861" w:rsidRDefault="006B7861" w:rsidP="006B7861">
            <w:pPr>
              <w:spacing w:after="0" w:line="240" w:lineRule="auto"/>
              <w:jc w:val="center"/>
              <w:rPr>
                <w:rFonts w:ascii="Calibri" w:hAnsi="Calibri"/>
                <w:b/>
                <w:sz w:val="20"/>
                <w:szCs w:val="20"/>
              </w:rPr>
            </w:pPr>
            <w:r w:rsidRPr="006B7861">
              <w:rPr>
                <w:rFonts w:ascii="Calibri" w:hAnsi="Calibri"/>
                <w:b/>
                <w:sz w:val="20"/>
                <w:szCs w:val="20"/>
              </w:rPr>
              <w:t>Percent Change</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b/>
                <w:sz w:val="20"/>
                <w:szCs w:val="20"/>
              </w:rPr>
            </w:pPr>
            <w:r w:rsidRPr="006B786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6B7861" w:rsidRPr="006B7861" w:rsidRDefault="006B7861" w:rsidP="006B7861">
            <w:pPr>
              <w:spacing w:after="0" w:line="240" w:lineRule="auto"/>
              <w:jc w:val="center"/>
              <w:rPr>
                <w:rFonts w:ascii="Calibri" w:hAnsi="Calibri"/>
                <w:b/>
                <w:sz w:val="20"/>
                <w:szCs w:val="20"/>
              </w:rPr>
            </w:pPr>
            <w:r w:rsidRPr="006B7861">
              <w:rPr>
                <w:rFonts w:ascii="Calibri" w:hAnsi="Calibri"/>
                <w:b/>
                <w:sz w:val="20"/>
                <w:szCs w:val="20"/>
              </w:rPr>
              <w:t>Percent Change</w:t>
            </w:r>
          </w:p>
        </w:tc>
        <w:tc>
          <w:tcPr>
            <w:tcW w:w="810" w:type="dxa"/>
            <w:vMerge/>
            <w:shd w:val="clear" w:color="auto" w:fill="auto"/>
          </w:tcPr>
          <w:p w:rsidR="006B7861" w:rsidRPr="006B7861" w:rsidRDefault="006B7861" w:rsidP="006B7861">
            <w:pPr>
              <w:spacing w:after="0" w:line="240" w:lineRule="auto"/>
              <w:rPr>
                <w:rFonts w:ascii="Calibri" w:hAnsi="Calibri"/>
                <w:sz w:val="20"/>
                <w:szCs w:val="20"/>
              </w:rPr>
            </w:pPr>
          </w:p>
        </w:tc>
      </w:tr>
      <w:tr w:rsidR="006B7861" w:rsidRPr="006B7861" w:rsidTr="008F0BE1">
        <w:trPr>
          <w:trHeight w:val="488"/>
        </w:trPr>
        <w:tc>
          <w:tcPr>
            <w:tcW w:w="99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High needs</w:t>
            </w:r>
          </w:p>
        </w:tc>
        <w:tc>
          <w:tcPr>
            <w:tcW w:w="99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72</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81.8</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90.0</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92.4</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95.8</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14.0</w:t>
            </w:r>
          </w:p>
        </w:tc>
        <w:tc>
          <w:tcPr>
            <w:tcW w:w="90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17.1%</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90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81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80.3</w:t>
            </w:r>
          </w:p>
        </w:tc>
      </w:tr>
      <w:tr w:rsidR="006B7861" w:rsidRPr="006B7861" w:rsidTr="008F0BE1">
        <w:trPr>
          <w:trHeight w:val="488"/>
        </w:trPr>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Low income</w:t>
            </w:r>
          </w:p>
        </w:tc>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46</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75.0</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91.4</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97.7</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95.7</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20.7</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27.6%</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79.6</w:t>
            </w:r>
          </w:p>
        </w:tc>
      </w:tr>
      <w:tr w:rsidR="006B7861" w:rsidRPr="006B7861" w:rsidTr="008F0BE1">
        <w:trPr>
          <w:trHeight w:val="488"/>
        </w:trPr>
        <w:tc>
          <w:tcPr>
            <w:tcW w:w="99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ELLs</w:t>
            </w:r>
          </w:p>
        </w:tc>
        <w:tc>
          <w:tcPr>
            <w:tcW w:w="99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2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90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17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900"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810" w:type="dxa"/>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69.8</w:t>
            </w:r>
          </w:p>
        </w:tc>
      </w:tr>
      <w:tr w:rsidR="006B7861" w:rsidRPr="006B7861" w:rsidTr="008F0BE1">
        <w:trPr>
          <w:trHeight w:val="488"/>
        </w:trPr>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SWD</w:t>
            </w:r>
          </w:p>
        </w:tc>
        <w:tc>
          <w:tcPr>
            <w:tcW w:w="99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39</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76.2</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88.1</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85.3</w:t>
            </w:r>
          </w:p>
        </w:tc>
        <w:tc>
          <w:tcPr>
            <w:tcW w:w="72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94.9</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18.7</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24.5%</w:t>
            </w:r>
          </w:p>
        </w:tc>
        <w:tc>
          <w:tcPr>
            <w:tcW w:w="117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9.6</w:t>
            </w:r>
          </w:p>
        </w:tc>
        <w:tc>
          <w:tcPr>
            <w:tcW w:w="900"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11.3%</w:t>
            </w:r>
          </w:p>
        </w:tc>
        <w:tc>
          <w:tcPr>
            <w:tcW w:w="810"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73.5</w:t>
            </w:r>
          </w:p>
        </w:tc>
      </w:tr>
      <w:tr w:rsidR="006B7861" w:rsidRPr="006B7861" w:rsidTr="008F0BE1">
        <w:trPr>
          <w:trHeight w:val="489"/>
        </w:trPr>
        <w:tc>
          <w:tcPr>
            <w:tcW w:w="99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All students</w:t>
            </w:r>
          </w:p>
        </w:tc>
        <w:tc>
          <w:tcPr>
            <w:tcW w:w="99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205</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93.7</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95.6</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96.3</w:t>
            </w:r>
          </w:p>
        </w:tc>
        <w:tc>
          <w:tcPr>
            <w:tcW w:w="72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97.6</w:t>
            </w:r>
          </w:p>
        </w:tc>
        <w:tc>
          <w:tcPr>
            <w:tcW w:w="117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3.9</w:t>
            </w:r>
          </w:p>
        </w:tc>
        <w:tc>
          <w:tcPr>
            <w:tcW w:w="90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17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900" w:type="dxa"/>
            <w:tcBorders>
              <w:bottom w:val="single" w:sz="4" w:space="0" w:color="auto"/>
            </w:tcBorders>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810" w:type="dxa"/>
            <w:tcBorders>
              <w:bottom w:val="single" w:sz="4" w:space="0" w:color="auto"/>
            </w:tcBorders>
            <w:shd w:val="clear" w:color="auto" w:fill="auto"/>
            <w:vAlign w:val="center"/>
          </w:tcPr>
          <w:p w:rsidR="006B7861" w:rsidRPr="006B7861" w:rsidRDefault="006B7861" w:rsidP="006B7861">
            <w:pPr>
              <w:spacing w:after="0" w:line="240" w:lineRule="auto"/>
              <w:jc w:val="center"/>
              <w:rPr>
                <w:sz w:val="20"/>
                <w:szCs w:val="20"/>
              </w:rPr>
            </w:pPr>
            <w:r w:rsidRPr="006B7861">
              <w:rPr>
                <w:sz w:val="20"/>
                <w:szCs w:val="20"/>
              </w:rPr>
              <w:t>88.5</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rFonts w:eastAsia="Times New Roman" w:cs="Times New Roman"/>
          <w:b/>
        </w:rPr>
      </w:pPr>
      <w:r w:rsidRPr="006B7861">
        <w:rPr>
          <w:rFonts w:eastAsia="Times New Roman" w:cs="Times New Roman"/>
          <w:b/>
        </w:rPr>
        <w:t>In 2015</w:t>
      </w:r>
      <w:r w:rsidR="0070738F">
        <w:rPr>
          <w:rFonts w:eastAsia="Times New Roman" w:cs="Times New Roman"/>
          <w:b/>
        </w:rPr>
        <w:t>,</w:t>
      </w:r>
      <w:r w:rsidRPr="006B7861">
        <w:rPr>
          <w:rFonts w:eastAsia="Times New Roman" w:cs="Times New Roman"/>
          <w:b/>
        </w:rPr>
        <w:t xml:space="preserve"> </w:t>
      </w:r>
      <w:r w:rsidR="0070738F">
        <w:rPr>
          <w:rFonts w:eastAsia="Times New Roman" w:cs="Times New Roman"/>
          <w:b/>
        </w:rPr>
        <w:t>the district</w:t>
      </w:r>
      <w:r w:rsidRPr="006B7861">
        <w:rPr>
          <w:rFonts w:eastAsia="Times New Roman" w:cs="Times New Roman"/>
          <w:b/>
        </w:rPr>
        <w:t xml:space="preserve">’s drop-out rate for all students was </w:t>
      </w:r>
      <w:r w:rsidR="0070738F">
        <w:rPr>
          <w:rFonts w:eastAsia="Times New Roman" w:cs="Times New Roman"/>
          <w:b/>
        </w:rPr>
        <w:t>one-</w:t>
      </w:r>
      <w:r w:rsidRPr="006B7861">
        <w:rPr>
          <w:rFonts w:eastAsia="Times New Roman" w:cs="Times New Roman"/>
          <w:b/>
        </w:rPr>
        <w:t xml:space="preserve">third of the state rate and was below the </w:t>
      </w:r>
      <w:r w:rsidR="0070738F">
        <w:rPr>
          <w:rFonts w:eastAsia="Times New Roman" w:cs="Times New Roman"/>
          <w:b/>
        </w:rPr>
        <w:t xml:space="preserve">2015 </w:t>
      </w:r>
      <w:r w:rsidRPr="006B7861">
        <w:rPr>
          <w:rFonts w:eastAsia="Times New Roman" w:cs="Times New Roman"/>
          <w:b/>
        </w:rPr>
        <w:t xml:space="preserve">state rate for high needs students, </w:t>
      </w:r>
      <w:r w:rsidR="0070738F">
        <w:rPr>
          <w:rFonts w:eastAsia="Times New Roman" w:cs="Times New Roman"/>
          <w:b/>
        </w:rPr>
        <w:t xml:space="preserve">students from </w:t>
      </w:r>
      <w:r w:rsidRPr="006B7861">
        <w:rPr>
          <w:rFonts w:eastAsia="Times New Roman" w:cs="Times New Roman"/>
          <w:b/>
        </w:rPr>
        <w:t xml:space="preserve">economically disadvantaged </w:t>
      </w:r>
      <w:r w:rsidR="0070738F">
        <w:rPr>
          <w:rFonts w:eastAsia="Times New Roman" w:cs="Times New Roman"/>
          <w:b/>
        </w:rPr>
        <w:t>families</w:t>
      </w:r>
      <w:r w:rsidRPr="006B7861">
        <w:rPr>
          <w:rFonts w:eastAsia="Times New Roman" w:cs="Times New Roman"/>
          <w:b/>
        </w:rPr>
        <w:t>, and students with disabilities.</w:t>
      </w:r>
    </w:p>
    <w:p w:rsidR="006B7861" w:rsidRPr="006B7861" w:rsidRDefault="006B7861" w:rsidP="006B7861">
      <w:pPr>
        <w:spacing w:after="0" w:line="240" w:lineRule="auto"/>
      </w:pPr>
    </w:p>
    <w:tbl>
      <w:tblPr>
        <w:tblStyle w:val="TableGrid14"/>
        <w:tblW w:w="0" w:type="auto"/>
        <w:tblInd w:w="18" w:type="dxa"/>
        <w:tblLook w:val="04A0" w:firstRow="1" w:lastRow="0" w:firstColumn="1" w:lastColumn="0" w:noHBand="0" w:noVBand="1"/>
      </w:tblPr>
      <w:tblGrid>
        <w:gridCol w:w="1701"/>
        <w:gridCol w:w="1567"/>
        <w:gridCol w:w="1568"/>
        <w:gridCol w:w="1568"/>
        <w:gridCol w:w="1568"/>
        <w:gridCol w:w="1568"/>
      </w:tblGrid>
      <w:tr w:rsidR="006B7861" w:rsidRPr="006B7861" w:rsidTr="008F0BE1">
        <w:tc>
          <w:tcPr>
            <w:tcW w:w="9540" w:type="dxa"/>
            <w:gridSpan w:val="6"/>
            <w:tcBorders>
              <w:top w:val="nil"/>
              <w:left w:val="nil"/>
              <w:right w:val="nil"/>
            </w:tcBorders>
            <w:shd w:val="clear" w:color="auto" w:fill="auto"/>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Table 11: </w:t>
            </w:r>
            <w:r w:rsidRPr="006B7861">
              <w:rPr>
                <w:b/>
                <w:sz w:val="20"/>
                <w:szCs w:val="20"/>
              </w:rPr>
              <w:t>Dighton-Rehoboth Public Schools</w:t>
            </w:r>
          </w:p>
          <w:p w:rsidR="006B7861" w:rsidRPr="006B7861" w:rsidRDefault="006B7861" w:rsidP="00705067">
            <w:pPr>
              <w:spacing w:after="0" w:line="240" w:lineRule="auto"/>
              <w:jc w:val="center"/>
              <w:rPr>
                <w:rFonts w:eastAsia="Times New Roman" w:cs="Times New Roman"/>
                <w:b/>
                <w:sz w:val="20"/>
                <w:szCs w:val="20"/>
              </w:rPr>
            </w:pPr>
            <w:r w:rsidRPr="006B7861">
              <w:rPr>
                <w:rFonts w:eastAsia="Times New Roman" w:cs="Times New Roman"/>
                <w:b/>
                <w:sz w:val="20"/>
                <w:szCs w:val="20"/>
              </w:rPr>
              <w:t>Drop-out Rates by Subgroup 2012–2015</w:t>
            </w:r>
          </w:p>
        </w:tc>
      </w:tr>
      <w:tr w:rsidR="006B7861" w:rsidRPr="006B7861" w:rsidTr="008F0BE1">
        <w:tc>
          <w:tcPr>
            <w:tcW w:w="1701" w:type="dxa"/>
            <w:shd w:val="clear" w:color="auto" w:fill="BFBFBF" w:themeFill="background1" w:themeFillShade="BF"/>
          </w:tcPr>
          <w:p w:rsidR="006B7861" w:rsidRPr="006B7861" w:rsidRDefault="006B7861" w:rsidP="006B7861">
            <w:pPr>
              <w:spacing w:after="0" w:line="240" w:lineRule="auto"/>
              <w:rPr>
                <w:rFonts w:eastAsia="Times New Roman" w:cs="Times New Roman"/>
                <w:sz w:val="20"/>
                <w:szCs w:val="20"/>
              </w:rPr>
            </w:pPr>
          </w:p>
        </w:tc>
        <w:tc>
          <w:tcPr>
            <w:tcW w:w="1567" w:type="dxa"/>
            <w:shd w:val="clear" w:color="auto" w:fill="BFBFBF" w:themeFill="background1" w:themeFillShade="BF"/>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2012</w:t>
            </w:r>
          </w:p>
        </w:tc>
        <w:tc>
          <w:tcPr>
            <w:tcW w:w="1568" w:type="dxa"/>
            <w:shd w:val="clear" w:color="auto" w:fill="BFBFBF" w:themeFill="background1" w:themeFillShade="BF"/>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2013</w:t>
            </w:r>
          </w:p>
        </w:tc>
        <w:tc>
          <w:tcPr>
            <w:tcW w:w="1568" w:type="dxa"/>
            <w:shd w:val="clear" w:color="auto" w:fill="BFBFBF" w:themeFill="background1" w:themeFillShade="BF"/>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2014</w:t>
            </w:r>
          </w:p>
        </w:tc>
        <w:tc>
          <w:tcPr>
            <w:tcW w:w="1568" w:type="dxa"/>
            <w:shd w:val="clear" w:color="auto" w:fill="BFBFBF" w:themeFill="background1" w:themeFillShade="BF"/>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2015</w:t>
            </w:r>
          </w:p>
        </w:tc>
        <w:tc>
          <w:tcPr>
            <w:tcW w:w="1568" w:type="dxa"/>
            <w:shd w:val="clear" w:color="auto" w:fill="BFBFBF" w:themeFill="background1" w:themeFillShade="BF"/>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State </w:t>
            </w:r>
            <w:r w:rsidR="00566EB4">
              <w:rPr>
                <w:rFonts w:eastAsia="Times New Roman" w:cs="Times New Roman"/>
                <w:b/>
                <w:sz w:val="20"/>
                <w:szCs w:val="20"/>
              </w:rPr>
              <w:t>(</w:t>
            </w:r>
            <w:r w:rsidRPr="006B7861">
              <w:rPr>
                <w:rFonts w:eastAsia="Times New Roman" w:cs="Times New Roman"/>
                <w:b/>
                <w:sz w:val="20"/>
                <w:szCs w:val="20"/>
              </w:rPr>
              <w:t>2015</w:t>
            </w:r>
            <w:r w:rsidR="00566EB4">
              <w:rPr>
                <w:rFonts w:eastAsia="Times New Roman" w:cs="Times New Roman"/>
                <w:b/>
                <w:sz w:val="20"/>
                <w:szCs w:val="20"/>
              </w:rPr>
              <w:t>)</w:t>
            </w:r>
          </w:p>
        </w:tc>
      </w:tr>
      <w:tr w:rsidR="006B7861" w:rsidRPr="006B7861" w:rsidTr="008F0BE1">
        <w:tc>
          <w:tcPr>
            <w:tcW w:w="1701" w:type="dxa"/>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High Needs</w:t>
            </w:r>
          </w:p>
        </w:tc>
        <w:tc>
          <w:tcPr>
            <w:tcW w:w="156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1.8%</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0.9%</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1.2%</w:t>
            </w:r>
          </w:p>
        </w:tc>
        <w:tc>
          <w:tcPr>
            <w:tcW w:w="1568" w:type="dxa"/>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3.4%</w:t>
            </w:r>
          </w:p>
        </w:tc>
      </w:tr>
      <w:tr w:rsidR="006B7861" w:rsidRPr="006B7861" w:rsidTr="008F0BE1">
        <w:tc>
          <w:tcPr>
            <w:tcW w:w="1701" w:type="dxa"/>
            <w:shd w:val="clear" w:color="auto" w:fill="BFBFBF" w:themeFill="background1" w:themeFillShade="BF"/>
            <w:vAlign w:val="center"/>
          </w:tcPr>
          <w:p w:rsidR="006B7861" w:rsidRPr="006B7861" w:rsidRDefault="006B7861" w:rsidP="0070738F">
            <w:pPr>
              <w:spacing w:after="0" w:line="240" w:lineRule="auto"/>
              <w:jc w:val="center"/>
              <w:rPr>
                <w:rFonts w:eastAsia="Times New Roman" w:cs="Times New Roman"/>
                <w:sz w:val="20"/>
                <w:szCs w:val="20"/>
              </w:rPr>
            </w:pPr>
            <w:r w:rsidRPr="006B7861">
              <w:rPr>
                <w:rFonts w:eastAsia="Times New Roman" w:cs="Times New Roman"/>
                <w:sz w:val="20"/>
                <w:szCs w:val="20"/>
              </w:rPr>
              <w:t>Econ. Disad</w:t>
            </w:r>
            <w:r w:rsidR="0070738F">
              <w:rPr>
                <w:rFonts w:eastAsia="Times New Roman" w:cs="Times New Roman"/>
                <w:sz w:val="20"/>
                <w:szCs w:val="20"/>
              </w:rPr>
              <w:t>.</w:t>
            </w:r>
            <w:r w:rsidRPr="006B7861">
              <w:rPr>
                <w:rFonts w:eastAsia="Times New Roman" w:cs="Times New Roman"/>
                <w:sz w:val="20"/>
                <w:vertAlign w:val="superscript"/>
              </w:rPr>
              <w:footnoteReference w:id="6"/>
            </w:r>
          </w:p>
        </w:tc>
        <w:tc>
          <w:tcPr>
            <w:tcW w:w="1567"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0.0%</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1.8%</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2.2%</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3.3%</w:t>
            </w:r>
          </w:p>
        </w:tc>
      </w:tr>
      <w:tr w:rsidR="006B7861" w:rsidRPr="006B7861" w:rsidTr="008F0BE1">
        <w:tc>
          <w:tcPr>
            <w:tcW w:w="1701" w:type="dxa"/>
            <w:shd w:val="clear" w:color="auto" w:fill="auto"/>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ELLs</w:t>
            </w:r>
          </w:p>
        </w:tc>
        <w:tc>
          <w:tcPr>
            <w:tcW w:w="1567"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56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56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568" w:type="dxa"/>
            <w:shd w:val="clear" w:color="auto" w:fill="auto"/>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568" w:type="dxa"/>
            <w:shd w:val="clear" w:color="auto" w:fill="auto"/>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5.7%</w:t>
            </w:r>
          </w:p>
        </w:tc>
      </w:tr>
      <w:tr w:rsidR="006B7861" w:rsidRPr="006B7861" w:rsidTr="008F0BE1">
        <w:tc>
          <w:tcPr>
            <w:tcW w:w="1701" w:type="dxa"/>
            <w:shd w:val="clear" w:color="auto" w:fill="BFBFBF" w:themeFill="background1" w:themeFillShade="BF"/>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SWD</w:t>
            </w:r>
          </w:p>
        </w:tc>
        <w:tc>
          <w:tcPr>
            <w:tcW w:w="1567"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c>
          <w:tcPr>
            <w:tcW w:w="1568" w:type="dxa"/>
            <w:shd w:val="clear" w:color="auto" w:fill="BFBFBF" w:themeFill="background1" w:themeFillShade="BF"/>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3.5%</w:t>
            </w:r>
          </w:p>
        </w:tc>
      </w:tr>
      <w:tr w:rsidR="006B7861" w:rsidRPr="006B7861" w:rsidTr="008F0BE1">
        <w:tc>
          <w:tcPr>
            <w:tcW w:w="1701" w:type="dxa"/>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All students</w:t>
            </w:r>
          </w:p>
        </w:tc>
        <w:tc>
          <w:tcPr>
            <w:tcW w:w="156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0.5%</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1.0%</w:t>
            </w:r>
          </w:p>
        </w:tc>
        <w:tc>
          <w:tcPr>
            <w:tcW w:w="156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0.6%</w:t>
            </w:r>
          </w:p>
        </w:tc>
        <w:tc>
          <w:tcPr>
            <w:tcW w:w="1568" w:type="dxa"/>
            <w:vAlign w:val="center"/>
          </w:tcPr>
          <w:p w:rsidR="006B7861" w:rsidRPr="006B7861" w:rsidRDefault="006B7861" w:rsidP="006B7861">
            <w:pPr>
              <w:spacing w:after="0" w:line="240" w:lineRule="auto"/>
              <w:jc w:val="center"/>
              <w:rPr>
                <w:rFonts w:eastAsia="Times New Roman" w:cs="Times New Roman"/>
                <w:sz w:val="20"/>
                <w:szCs w:val="20"/>
              </w:rPr>
            </w:pPr>
            <w:r w:rsidRPr="006B7861">
              <w:rPr>
                <w:rFonts w:eastAsia="Times New Roman" w:cs="Times New Roman"/>
                <w:sz w:val="20"/>
                <w:szCs w:val="20"/>
              </w:rPr>
              <w:t>1.9%</w:t>
            </w:r>
          </w:p>
        </w:tc>
      </w:tr>
    </w:tbl>
    <w:p w:rsidR="006B7861" w:rsidRPr="006B7861" w:rsidRDefault="006B7861" w:rsidP="006B7861">
      <w:pPr>
        <w:spacing w:after="0" w:line="240" w:lineRule="auto"/>
        <w:rPr>
          <w:rFonts w:eastAsia="Times New Roman" w:cs="Times New Roman"/>
        </w:rPr>
      </w:pPr>
    </w:p>
    <w:p w:rsidR="006B7861" w:rsidRPr="006B7861" w:rsidRDefault="006B7861" w:rsidP="006B7861">
      <w:pPr>
        <w:spacing w:after="0" w:line="240" w:lineRule="auto"/>
        <w:rPr>
          <w:rFonts w:eastAsia="Times New Roman" w:cs="Times New Roman"/>
        </w:rPr>
      </w:pPr>
    </w:p>
    <w:p w:rsidR="006B7861" w:rsidRPr="006B7861" w:rsidRDefault="006B7861" w:rsidP="006B7861">
      <w:pPr>
        <w:spacing w:after="0" w:line="240" w:lineRule="auto"/>
        <w:rPr>
          <w:rFonts w:eastAsia="Times New Roman" w:cs="Times New Roman"/>
        </w:rPr>
      </w:pPr>
    </w:p>
    <w:p w:rsidR="006B7861" w:rsidRPr="006B7861" w:rsidRDefault="006B7861" w:rsidP="006B7861">
      <w:pPr>
        <w:spacing w:after="0" w:line="240" w:lineRule="auto"/>
        <w:rPr>
          <w:rFonts w:eastAsia="Times New Roman" w:cs="Times New Roman"/>
        </w:rPr>
      </w:pPr>
    </w:p>
    <w:p w:rsidR="006B7861" w:rsidRPr="006B7861" w:rsidRDefault="006B7861" w:rsidP="006B7861">
      <w:pPr>
        <w:spacing w:after="0" w:line="240" w:lineRule="auto"/>
        <w:rPr>
          <w:rFonts w:eastAsia="Times New Roman" w:cs="Times New Roman"/>
        </w:rPr>
      </w:pPr>
    </w:p>
    <w:p w:rsidR="006B7861" w:rsidRDefault="006B7861" w:rsidP="006B7861">
      <w:pPr>
        <w:spacing w:after="0" w:line="240" w:lineRule="auto"/>
        <w:rPr>
          <w:rFonts w:eastAsia="Times New Roman" w:cs="Times New Roman"/>
        </w:rPr>
      </w:pPr>
    </w:p>
    <w:p w:rsidR="00705067" w:rsidRDefault="00705067" w:rsidP="006B7861">
      <w:pPr>
        <w:spacing w:after="0" w:line="240" w:lineRule="auto"/>
        <w:rPr>
          <w:rFonts w:eastAsia="Times New Roman" w:cs="Times New Roman"/>
        </w:rPr>
      </w:pPr>
    </w:p>
    <w:p w:rsidR="003759DD" w:rsidRDefault="003759DD" w:rsidP="006B7861">
      <w:pPr>
        <w:spacing w:after="0" w:line="240" w:lineRule="auto"/>
        <w:rPr>
          <w:rFonts w:eastAsia="Times New Roman" w:cs="Times New Roman"/>
        </w:rPr>
      </w:pPr>
    </w:p>
    <w:p w:rsidR="003759DD" w:rsidRPr="006B7861" w:rsidRDefault="003759DD" w:rsidP="006B7861">
      <w:pPr>
        <w:spacing w:after="0" w:line="240" w:lineRule="auto"/>
        <w:rPr>
          <w:rFonts w:eastAsia="Times New Roman" w:cs="Times New Roman"/>
        </w:rPr>
      </w:pPr>
    </w:p>
    <w:p w:rsidR="006B7861" w:rsidRPr="006B7861" w:rsidRDefault="006B7861" w:rsidP="006B7861">
      <w:pPr>
        <w:spacing w:after="0" w:line="240" w:lineRule="auto"/>
        <w:rPr>
          <w:rFonts w:eastAsia="Times New Roman" w:cs="Times New Roman"/>
        </w:rPr>
      </w:pPr>
    </w:p>
    <w:p w:rsidR="006B7861" w:rsidRPr="006B7861" w:rsidRDefault="006B7861" w:rsidP="006B7861">
      <w:pPr>
        <w:spacing w:after="0" w:line="240" w:lineRule="auto"/>
        <w:rPr>
          <w:b/>
        </w:rPr>
      </w:pPr>
      <w:r w:rsidRPr="006B7861">
        <w:rPr>
          <w:b/>
        </w:rPr>
        <w:lastRenderedPageBreak/>
        <w:t>Grade and School Results</w:t>
      </w:r>
    </w:p>
    <w:p w:rsidR="006B7861" w:rsidRPr="006B7861" w:rsidRDefault="006B7861" w:rsidP="006B7861">
      <w:pPr>
        <w:spacing w:after="0" w:line="240" w:lineRule="auto"/>
        <w:jc w:val="center"/>
        <w:rPr>
          <w:b/>
        </w:rPr>
      </w:pPr>
    </w:p>
    <w:p w:rsidR="006B7861" w:rsidRPr="006B7861" w:rsidRDefault="00566EB4" w:rsidP="006B7861">
      <w:pPr>
        <w:spacing w:after="0" w:line="240" w:lineRule="auto"/>
        <w:rPr>
          <w:rFonts w:eastAsia="Times New Roman" w:cs="Times New Roman"/>
          <w:b/>
        </w:rPr>
      </w:pPr>
      <w:r>
        <w:rPr>
          <w:rFonts w:eastAsia="Times New Roman" w:cs="Times New Roman"/>
          <w:b/>
        </w:rPr>
        <w:t>B</w:t>
      </w:r>
      <w:r w:rsidRPr="006B7861">
        <w:rPr>
          <w:rFonts w:eastAsia="Times New Roman" w:cs="Times New Roman"/>
          <w:b/>
        </w:rPr>
        <w:t>etween 2013 and 2016</w:t>
      </w:r>
      <w:r>
        <w:rPr>
          <w:rFonts w:eastAsia="Times New Roman" w:cs="Times New Roman"/>
          <w:b/>
        </w:rPr>
        <w:t>,</w:t>
      </w:r>
      <w:r w:rsidRPr="006B7861">
        <w:rPr>
          <w:rFonts w:eastAsia="Times New Roman" w:cs="Times New Roman"/>
          <w:b/>
        </w:rPr>
        <w:t xml:space="preserve"> </w:t>
      </w:r>
      <w:r w:rsidR="006B7861" w:rsidRPr="006B7861">
        <w:rPr>
          <w:rFonts w:eastAsia="Times New Roman" w:cs="Times New Roman"/>
          <w:b/>
        </w:rPr>
        <w:t>ELA proficiency rates for all students improved by 2 percentage points and improved in the 3</w:t>
      </w:r>
      <w:r w:rsidR="006B7861" w:rsidRPr="006B7861">
        <w:rPr>
          <w:rFonts w:eastAsia="Times New Roman" w:cs="Times New Roman"/>
          <w:b/>
          <w:vertAlign w:val="superscript"/>
        </w:rPr>
        <w:t>rd</w:t>
      </w:r>
      <w:r w:rsidR="006B7861" w:rsidRPr="006B7861">
        <w:rPr>
          <w:rFonts w:eastAsia="Times New Roman" w:cs="Times New Roman"/>
          <w:b/>
        </w:rPr>
        <w:t>, 4</w:t>
      </w:r>
      <w:r w:rsidR="006B7861" w:rsidRPr="006B7861">
        <w:rPr>
          <w:rFonts w:eastAsia="Times New Roman" w:cs="Times New Roman"/>
          <w:b/>
          <w:vertAlign w:val="superscript"/>
        </w:rPr>
        <w:t>th</w:t>
      </w:r>
      <w:r w:rsidR="006B7861" w:rsidRPr="006B7861">
        <w:rPr>
          <w:rFonts w:eastAsia="Times New Roman" w:cs="Times New Roman"/>
          <w:b/>
        </w:rPr>
        <w:t>, 6</w:t>
      </w:r>
      <w:r w:rsidR="006B7861" w:rsidRPr="006B7861">
        <w:rPr>
          <w:rFonts w:eastAsia="Times New Roman" w:cs="Times New Roman"/>
          <w:b/>
          <w:vertAlign w:val="superscript"/>
        </w:rPr>
        <w:t>th</w:t>
      </w:r>
      <w:r w:rsidR="006B7861" w:rsidRPr="006B7861">
        <w:rPr>
          <w:rFonts w:eastAsia="Times New Roman" w:cs="Times New Roman"/>
          <w:b/>
        </w:rPr>
        <w:t>, 7</w:t>
      </w:r>
      <w:r w:rsidR="006B7861" w:rsidRPr="006B7861">
        <w:rPr>
          <w:rFonts w:eastAsia="Times New Roman" w:cs="Times New Roman"/>
          <w:b/>
          <w:vertAlign w:val="superscript"/>
        </w:rPr>
        <w:t>th</w:t>
      </w:r>
      <w:r w:rsidR="006B7861" w:rsidRPr="006B7861">
        <w:rPr>
          <w:rFonts w:eastAsia="Times New Roman" w:cs="Times New Roman"/>
          <w:b/>
        </w:rPr>
        <w:t>, and 8</w:t>
      </w:r>
      <w:r w:rsidR="006B7861" w:rsidRPr="006B7861">
        <w:rPr>
          <w:rFonts w:eastAsia="Times New Roman" w:cs="Times New Roman"/>
          <w:b/>
          <w:vertAlign w:val="superscript"/>
        </w:rPr>
        <w:t>th</w:t>
      </w:r>
      <w:r w:rsidR="006B7861" w:rsidRPr="006B7861">
        <w:rPr>
          <w:rFonts w:eastAsia="Times New Roman" w:cs="Times New Roman"/>
          <w:b/>
        </w:rPr>
        <w:t xml:space="preserve"> grades.</w:t>
      </w:r>
    </w:p>
    <w:p w:rsidR="006B7861" w:rsidRPr="006B7861" w:rsidRDefault="006B7861" w:rsidP="006B7861">
      <w:pPr>
        <w:spacing w:after="0" w:line="240" w:lineRule="auto"/>
        <w:rPr>
          <w:rFonts w:eastAsia="Times New Roman" w:cs="Times New Roman"/>
        </w:rPr>
      </w:pPr>
    </w:p>
    <w:p w:rsidR="006B7861" w:rsidRPr="006B7861" w:rsidRDefault="00BB2AF7" w:rsidP="006B7861">
      <w:pPr>
        <w:numPr>
          <w:ilvl w:val="0"/>
          <w:numId w:val="40"/>
        </w:numPr>
        <w:spacing w:after="0" w:line="240" w:lineRule="auto"/>
        <w:contextualSpacing/>
        <w:rPr>
          <w:rFonts w:eastAsia="Times New Roman" w:cs="Times New Roman"/>
        </w:rPr>
      </w:pPr>
      <w:r>
        <w:rPr>
          <w:rFonts w:eastAsia="Times New Roman" w:cs="Times New Roman"/>
        </w:rPr>
        <w:t>In 2016, m</w:t>
      </w:r>
      <w:r w:rsidRPr="006B7861">
        <w:rPr>
          <w:rFonts w:eastAsia="Times New Roman" w:cs="Times New Roman"/>
        </w:rPr>
        <w:t xml:space="preserve">ath </w:t>
      </w:r>
      <w:r w:rsidR="006B7861" w:rsidRPr="006B7861">
        <w:rPr>
          <w:rFonts w:eastAsia="Times New Roman" w:cs="Times New Roman"/>
        </w:rPr>
        <w:t xml:space="preserve">proficiency rates </w:t>
      </w:r>
      <w:r w:rsidR="00EF11ED">
        <w:rPr>
          <w:rFonts w:eastAsia="Times New Roman" w:cs="Times New Roman"/>
        </w:rPr>
        <w:t>improved</w:t>
      </w:r>
      <w:r w:rsidR="00EF11ED" w:rsidRPr="006B7861">
        <w:rPr>
          <w:rFonts w:eastAsia="Times New Roman" w:cs="Times New Roman"/>
        </w:rPr>
        <w:t xml:space="preserve"> </w:t>
      </w:r>
      <w:r w:rsidR="006B7861" w:rsidRPr="006B7861">
        <w:rPr>
          <w:rFonts w:eastAsia="Times New Roman" w:cs="Times New Roman"/>
        </w:rPr>
        <w:t xml:space="preserve">by </w:t>
      </w:r>
      <w:r>
        <w:rPr>
          <w:rFonts w:eastAsia="Times New Roman" w:cs="Times New Roman"/>
        </w:rPr>
        <w:t>1</w:t>
      </w:r>
      <w:r w:rsidR="00F831F2">
        <w:rPr>
          <w:rFonts w:eastAsia="Times New Roman" w:cs="Times New Roman"/>
        </w:rPr>
        <w:t xml:space="preserve"> </w:t>
      </w:r>
      <w:r w:rsidR="006B7861" w:rsidRPr="006B7861">
        <w:rPr>
          <w:rFonts w:eastAsia="Times New Roman" w:cs="Times New Roman"/>
        </w:rPr>
        <w:t>percentage point in the 3</w:t>
      </w:r>
      <w:r w:rsidR="006B7861" w:rsidRPr="006B7861">
        <w:rPr>
          <w:rFonts w:eastAsia="Times New Roman" w:cs="Times New Roman"/>
          <w:vertAlign w:val="superscript"/>
        </w:rPr>
        <w:t>rd</w:t>
      </w:r>
      <w:r w:rsidR="006B7861" w:rsidRPr="006B7861">
        <w:rPr>
          <w:rFonts w:eastAsia="Times New Roman" w:cs="Times New Roman"/>
        </w:rPr>
        <w:t xml:space="preserve"> grade, by 8 percentage points in the 4</w:t>
      </w:r>
      <w:r w:rsidR="006B7861" w:rsidRPr="006B7861">
        <w:rPr>
          <w:rFonts w:eastAsia="Times New Roman" w:cs="Times New Roman"/>
          <w:vertAlign w:val="superscript"/>
        </w:rPr>
        <w:t>th</w:t>
      </w:r>
      <w:r w:rsidR="006B7861" w:rsidRPr="006B7861">
        <w:rPr>
          <w:rFonts w:eastAsia="Times New Roman" w:cs="Times New Roman"/>
        </w:rPr>
        <w:t xml:space="preserve"> grade, by 2 percentage points in the 6</w:t>
      </w:r>
      <w:r w:rsidR="006B7861" w:rsidRPr="006B7861">
        <w:rPr>
          <w:rFonts w:eastAsia="Times New Roman" w:cs="Times New Roman"/>
          <w:vertAlign w:val="superscript"/>
        </w:rPr>
        <w:t>th</w:t>
      </w:r>
      <w:r w:rsidR="006B7861" w:rsidRPr="006B7861">
        <w:rPr>
          <w:rFonts w:eastAsia="Times New Roman" w:cs="Times New Roman"/>
        </w:rPr>
        <w:t xml:space="preserve"> grade, </w:t>
      </w:r>
      <w:r>
        <w:rPr>
          <w:rFonts w:eastAsia="Times New Roman" w:cs="Times New Roman"/>
        </w:rPr>
        <w:t xml:space="preserve">by </w:t>
      </w:r>
      <w:r w:rsidR="006B7861" w:rsidRPr="006B7861">
        <w:rPr>
          <w:rFonts w:eastAsia="Times New Roman" w:cs="Times New Roman"/>
        </w:rPr>
        <w:t>3 percentage points in the 7</w:t>
      </w:r>
      <w:r w:rsidR="006B7861" w:rsidRPr="006B7861">
        <w:rPr>
          <w:rFonts w:eastAsia="Times New Roman" w:cs="Times New Roman"/>
          <w:vertAlign w:val="superscript"/>
        </w:rPr>
        <w:t>th</w:t>
      </w:r>
      <w:r w:rsidR="006B7861" w:rsidRPr="006B7861">
        <w:rPr>
          <w:rFonts w:eastAsia="Times New Roman" w:cs="Times New Roman"/>
        </w:rPr>
        <w:t xml:space="preserve"> grade, and by 5 percentage points in the 8</w:t>
      </w:r>
      <w:r w:rsidR="006B7861" w:rsidRPr="006B7861">
        <w:rPr>
          <w:rFonts w:eastAsia="Times New Roman" w:cs="Times New Roman"/>
          <w:vertAlign w:val="superscript"/>
        </w:rPr>
        <w:t>th</w:t>
      </w:r>
      <w:r w:rsidR="006B7861" w:rsidRPr="006B7861">
        <w:rPr>
          <w:rFonts w:eastAsia="Times New Roman" w:cs="Times New Roman"/>
        </w:rPr>
        <w:t xml:space="preserve"> grade.</w:t>
      </w:r>
    </w:p>
    <w:p w:rsidR="006B7861" w:rsidRPr="006B7861" w:rsidRDefault="006B7861" w:rsidP="006B7861">
      <w:pPr>
        <w:numPr>
          <w:ilvl w:val="1"/>
          <w:numId w:val="40"/>
        </w:numPr>
        <w:spacing w:after="0" w:line="240" w:lineRule="auto"/>
        <w:contextualSpacing/>
        <w:rPr>
          <w:rFonts w:eastAsia="Times New Roman" w:cs="Times New Roman"/>
        </w:rPr>
      </w:pPr>
      <w:r w:rsidRPr="006B7861">
        <w:rPr>
          <w:rFonts w:eastAsia="Times New Roman" w:cs="Times New Roman"/>
        </w:rPr>
        <w:t>ELA proficiency in the 10</w:t>
      </w:r>
      <w:r w:rsidRPr="006B7861">
        <w:rPr>
          <w:rFonts w:eastAsia="Times New Roman" w:cs="Times New Roman"/>
          <w:vertAlign w:val="superscript"/>
        </w:rPr>
        <w:t>th</w:t>
      </w:r>
      <w:r w:rsidRPr="006B7861">
        <w:rPr>
          <w:rFonts w:eastAsia="Times New Roman" w:cs="Times New Roman"/>
        </w:rPr>
        <w:t xml:space="preserve"> grade was 94 percent, 3 percentage points above the </w:t>
      </w:r>
      <w:r w:rsidR="00BB2AF7">
        <w:rPr>
          <w:rFonts w:eastAsia="Times New Roman" w:cs="Times New Roman"/>
        </w:rPr>
        <w:t xml:space="preserve">2016 </w:t>
      </w:r>
      <w:r w:rsidRPr="006B7861">
        <w:rPr>
          <w:rFonts w:eastAsia="Times New Roman" w:cs="Times New Roman"/>
        </w:rPr>
        <w:t>state rate of 91 percent.</w:t>
      </w:r>
    </w:p>
    <w:p w:rsidR="006B7861" w:rsidRPr="006B7861" w:rsidRDefault="006B7861" w:rsidP="006B7861">
      <w:pPr>
        <w:spacing w:after="0" w:line="240" w:lineRule="auto"/>
        <w:ind w:left="720"/>
        <w:contextualSpacing/>
        <w:rPr>
          <w:rFonts w:eastAsia="Times New Roman" w:cs="Times New Roman"/>
        </w:rPr>
      </w:pPr>
    </w:p>
    <w:p w:rsidR="006B7861" w:rsidRPr="006B7861" w:rsidRDefault="006B7861" w:rsidP="006B7861">
      <w:pPr>
        <w:numPr>
          <w:ilvl w:val="0"/>
          <w:numId w:val="40"/>
        </w:numPr>
        <w:spacing w:after="0" w:line="240" w:lineRule="auto"/>
        <w:contextualSpacing/>
        <w:rPr>
          <w:rFonts w:eastAsia="Times New Roman" w:cs="Times New Roman"/>
        </w:rPr>
      </w:pPr>
      <w:r w:rsidRPr="006B7861">
        <w:rPr>
          <w:rFonts w:eastAsia="Times New Roman" w:cs="Times New Roman"/>
        </w:rPr>
        <w:t>Math proficiency rates declined by 6 percentage points in the 5</w:t>
      </w:r>
      <w:r w:rsidRPr="006B7861">
        <w:rPr>
          <w:rFonts w:eastAsia="Times New Roman" w:cs="Times New Roman"/>
          <w:vertAlign w:val="superscript"/>
        </w:rPr>
        <w:t>th</w:t>
      </w:r>
      <w:r w:rsidRPr="006B7861">
        <w:rPr>
          <w:rFonts w:eastAsia="Times New Roman" w:cs="Times New Roman"/>
        </w:rPr>
        <w:t xml:space="preserve"> grade</w:t>
      </w:r>
      <w:r w:rsidR="00F831F2">
        <w:rPr>
          <w:rFonts w:eastAsia="Times New Roman" w:cs="Times New Roman"/>
        </w:rPr>
        <w:t xml:space="preserve"> </w:t>
      </w:r>
      <w:r w:rsidRPr="006B7861">
        <w:rPr>
          <w:rFonts w:eastAsia="Times New Roman" w:cs="Times New Roman"/>
        </w:rPr>
        <w:t>and by 2 percentage points in the 10</w:t>
      </w:r>
      <w:r w:rsidRPr="006B7861">
        <w:rPr>
          <w:rFonts w:eastAsia="Times New Roman" w:cs="Times New Roman"/>
          <w:vertAlign w:val="superscript"/>
        </w:rPr>
        <w:t>th</w:t>
      </w:r>
      <w:r w:rsidRPr="006B7861">
        <w:rPr>
          <w:rFonts w:eastAsia="Times New Roman" w:cs="Times New Roman"/>
        </w:rPr>
        <w:t xml:space="preserve"> grade.</w:t>
      </w:r>
    </w:p>
    <w:p w:rsidR="006B7861" w:rsidRPr="006B7861" w:rsidRDefault="006B7861" w:rsidP="006B7861">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6B7861" w:rsidRPr="006B7861" w:rsidTr="008F0BE1">
        <w:tc>
          <w:tcPr>
            <w:tcW w:w="9576" w:type="dxa"/>
            <w:gridSpan w:val="9"/>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12: Dighton-Rehoboth Public Schools</w:t>
            </w:r>
          </w:p>
          <w:p w:rsidR="006B7861" w:rsidRPr="006B7861" w:rsidRDefault="006B7861" w:rsidP="006B7861">
            <w:pPr>
              <w:spacing w:after="0" w:line="240" w:lineRule="auto"/>
              <w:jc w:val="center"/>
              <w:rPr>
                <w:b/>
                <w:sz w:val="20"/>
                <w:szCs w:val="20"/>
              </w:rPr>
            </w:pPr>
            <w:r w:rsidRPr="006B7861">
              <w:rPr>
                <w:b/>
                <w:sz w:val="20"/>
                <w:szCs w:val="20"/>
              </w:rPr>
              <w:t>ELA Percent Proficient or Advanced by Grade 2013–2016</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Grade</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Number</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State</w:t>
            </w:r>
            <w:r w:rsidR="00BB2AF7">
              <w:rPr>
                <w:b/>
                <w:sz w:val="20"/>
                <w:szCs w:val="20"/>
              </w:rPr>
              <w:t xml:space="preserve"> (2016)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highlight w:val="yellow"/>
              </w:rPr>
            </w:pPr>
            <w:r w:rsidRPr="006B7861">
              <w:rPr>
                <w:b/>
                <w:sz w:val="20"/>
                <w:szCs w:val="20"/>
              </w:rPr>
              <w:t>4-Year Trend</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2-Year Trend</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66%</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-10%</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12%</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5</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230</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69%</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228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69%</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71%</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78%</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78%</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81%</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243</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81%</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81%</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10</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96%</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96%</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91%</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All</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1,616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72%</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73%</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72%</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74%</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bl>
    <w:p w:rsidR="006B7861" w:rsidRPr="006B7861" w:rsidRDefault="006B7861" w:rsidP="006B7861">
      <w:pPr>
        <w:spacing w:after="0" w:line="240" w:lineRule="auto"/>
        <w:rPr>
          <w:sz w:val="20"/>
          <w:szCs w:val="20"/>
        </w:rPr>
      </w:pPr>
    </w:p>
    <w:p w:rsidR="006B7861" w:rsidRPr="006B7861" w:rsidRDefault="006B7861" w:rsidP="006B7861">
      <w:pPr>
        <w:spacing w:after="0" w:line="240" w:lineRule="auto"/>
        <w:rPr>
          <w:sz w:val="20"/>
          <w:szCs w:val="20"/>
        </w:rPr>
      </w:pPr>
    </w:p>
    <w:p w:rsidR="006B7861" w:rsidRDefault="00D46A63" w:rsidP="006B7861">
      <w:pPr>
        <w:spacing w:after="0" w:line="240" w:lineRule="auto"/>
        <w:rPr>
          <w:b/>
        </w:rPr>
      </w:pPr>
      <w:r>
        <w:rPr>
          <w:b/>
        </w:rPr>
        <w:t xml:space="preserve">In 2016, </w:t>
      </w:r>
      <w:r w:rsidR="006B7861" w:rsidRPr="006B7861">
        <w:rPr>
          <w:b/>
        </w:rPr>
        <w:t xml:space="preserve">ELA proficiency rates were 54 </w:t>
      </w:r>
      <w:r>
        <w:rPr>
          <w:b/>
        </w:rPr>
        <w:t xml:space="preserve">percent </w:t>
      </w:r>
      <w:r w:rsidR="006B7861" w:rsidRPr="006B7861">
        <w:rPr>
          <w:b/>
        </w:rPr>
        <w:t xml:space="preserve">and 63 percent </w:t>
      </w:r>
      <w:r w:rsidRPr="006B7861">
        <w:rPr>
          <w:b/>
        </w:rPr>
        <w:t>in the 3</w:t>
      </w:r>
      <w:r w:rsidRPr="006B7861">
        <w:rPr>
          <w:b/>
          <w:vertAlign w:val="superscript"/>
        </w:rPr>
        <w:t>rd</w:t>
      </w:r>
      <w:r w:rsidRPr="006B7861">
        <w:rPr>
          <w:b/>
        </w:rPr>
        <w:t xml:space="preserve"> and 4</w:t>
      </w:r>
      <w:r w:rsidRPr="006B7861">
        <w:rPr>
          <w:b/>
          <w:vertAlign w:val="superscript"/>
        </w:rPr>
        <w:t>th</w:t>
      </w:r>
      <w:r w:rsidRPr="006B7861">
        <w:rPr>
          <w:b/>
        </w:rPr>
        <w:t xml:space="preserve"> grades</w:t>
      </w:r>
      <w:r>
        <w:rPr>
          <w:b/>
        </w:rPr>
        <w:t xml:space="preserve">, respectively, </w:t>
      </w:r>
      <w:r w:rsidR="006B7861" w:rsidRPr="006B7861">
        <w:rPr>
          <w:b/>
        </w:rPr>
        <w:t xml:space="preserve">at Dighton Elementary and 58 </w:t>
      </w:r>
      <w:r>
        <w:rPr>
          <w:b/>
        </w:rPr>
        <w:t xml:space="preserve">percent </w:t>
      </w:r>
      <w:r w:rsidR="006B7861" w:rsidRPr="006B7861">
        <w:rPr>
          <w:b/>
        </w:rPr>
        <w:t>and 67 percent in the 3</w:t>
      </w:r>
      <w:r w:rsidR="006B7861" w:rsidRPr="006B7861">
        <w:rPr>
          <w:b/>
          <w:vertAlign w:val="superscript"/>
        </w:rPr>
        <w:t>rd</w:t>
      </w:r>
      <w:r w:rsidR="006B7861" w:rsidRPr="006B7861">
        <w:rPr>
          <w:b/>
        </w:rPr>
        <w:t xml:space="preserve"> and 4</w:t>
      </w:r>
      <w:r w:rsidR="006B7861" w:rsidRPr="006B7861">
        <w:rPr>
          <w:b/>
          <w:vertAlign w:val="superscript"/>
        </w:rPr>
        <w:t>th</w:t>
      </w:r>
      <w:r w:rsidR="006B7861" w:rsidRPr="006B7861">
        <w:rPr>
          <w:b/>
        </w:rPr>
        <w:t xml:space="preserve"> grades</w:t>
      </w:r>
      <w:r>
        <w:rPr>
          <w:b/>
        </w:rPr>
        <w:t>, respectively,</w:t>
      </w:r>
      <w:r w:rsidR="006B7861" w:rsidRPr="006B7861">
        <w:rPr>
          <w:b/>
        </w:rPr>
        <w:t xml:space="preserve"> at Palmer River.  ELA proficiency was 60</w:t>
      </w:r>
      <w:r>
        <w:rPr>
          <w:b/>
        </w:rPr>
        <w:t xml:space="preserve"> percent</w:t>
      </w:r>
      <w:r w:rsidR="006B7861" w:rsidRPr="006B7861">
        <w:rPr>
          <w:b/>
        </w:rPr>
        <w:t>, 72</w:t>
      </w:r>
      <w:r>
        <w:rPr>
          <w:b/>
        </w:rPr>
        <w:t xml:space="preserve"> percent</w:t>
      </w:r>
      <w:r w:rsidR="006B7861" w:rsidRPr="006B7861">
        <w:rPr>
          <w:b/>
        </w:rPr>
        <w:t>, 85</w:t>
      </w:r>
      <w:r>
        <w:rPr>
          <w:b/>
        </w:rPr>
        <w:t xml:space="preserve"> percent</w:t>
      </w:r>
      <w:r w:rsidR="006B7861" w:rsidRPr="006B7861">
        <w:rPr>
          <w:b/>
        </w:rPr>
        <w:t xml:space="preserve">, and 87 percent </w:t>
      </w:r>
      <w:r>
        <w:rPr>
          <w:b/>
        </w:rPr>
        <w:t>in the 5</w:t>
      </w:r>
      <w:r w:rsidR="00D01479">
        <w:rPr>
          <w:b/>
          <w:vertAlign w:val="superscript"/>
        </w:rPr>
        <w:t>th</w:t>
      </w:r>
      <w:r>
        <w:rPr>
          <w:b/>
        </w:rPr>
        <w:t>, 6</w:t>
      </w:r>
      <w:r w:rsidR="00D01479">
        <w:rPr>
          <w:b/>
          <w:vertAlign w:val="superscript"/>
        </w:rPr>
        <w:t>th</w:t>
      </w:r>
      <w:r>
        <w:rPr>
          <w:b/>
        </w:rPr>
        <w:t>, 7</w:t>
      </w:r>
      <w:r w:rsidR="00D01479">
        <w:rPr>
          <w:b/>
          <w:vertAlign w:val="superscript"/>
        </w:rPr>
        <w:t>th</w:t>
      </w:r>
      <w:r>
        <w:rPr>
          <w:b/>
        </w:rPr>
        <w:t>, and 8</w:t>
      </w:r>
      <w:r w:rsidR="00D01479">
        <w:rPr>
          <w:b/>
          <w:vertAlign w:val="superscript"/>
        </w:rPr>
        <w:t>th</w:t>
      </w:r>
      <w:r>
        <w:rPr>
          <w:b/>
        </w:rPr>
        <w:t xml:space="preserve"> grades, respectively, </w:t>
      </w:r>
      <w:r w:rsidR="006B7861" w:rsidRPr="006B7861">
        <w:rPr>
          <w:b/>
        </w:rPr>
        <w:t>at Dighton Middle and 66</w:t>
      </w:r>
      <w:r>
        <w:rPr>
          <w:b/>
        </w:rPr>
        <w:t xml:space="preserve"> percent</w:t>
      </w:r>
      <w:r w:rsidR="006B7861" w:rsidRPr="006B7861">
        <w:rPr>
          <w:b/>
        </w:rPr>
        <w:t>, 70</w:t>
      </w:r>
      <w:r>
        <w:rPr>
          <w:b/>
        </w:rPr>
        <w:t xml:space="preserve"> percent</w:t>
      </w:r>
      <w:r w:rsidR="006B7861" w:rsidRPr="006B7861">
        <w:rPr>
          <w:b/>
        </w:rPr>
        <w:t>, 78</w:t>
      </w:r>
      <w:r>
        <w:rPr>
          <w:b/>
        </w:rPr>
        <w:t xml:space="preserve"> percent</w:t>
      </w:r>
      <w:r w:rsidR="006B7861" w:rsidRPr="006B7861">
        <w:rPr>
          <w:b/>
        </w:rPr>
        <w:t xml:space="preserve">, and 86 percent </w:t>
      </w:r>
      <w:r>
        <w:rPr>
          <w:b/>
        </w:rPr>
        <w:t>in the 5</w:t>
      </w:r>
      <w:r w:rsidRPr="00D46A63">
        <w:rPr>
          <w:b/>
          <w:vertAlign w:val="superscript"/>
        </w:rPr>
        <w:t>th</w:t>
      </w:r>
      <w:r>
        <w:rPr>
          <w:b/>
        </w:rPr>
        <w:t>, 6</w:t>
      </w:r>
      <w:r w:rsidRPr="00D46A63">
        <w:rPr>
          <w:b/>
          <w:vertAlign w:val="superscript"/>
        </w:rPr>
        <w:t>th</w:t>
      </w:r>
      <w:r>
        <w:rPr>
          <w:b/>
        </w:rPr>
        <w:t>, 7</w:t>
      </w:r>
      <w:r w:rsidRPr="00D46A63">
        <w:rPr>
          <w:b/>
          <w:vertAlign w:val="superscript"/>
        </w:rPr>
        <w:t>th</w:t>
      </w:r>
      <w:r>
        <w:rPr>
          <w:b/>
        </w:rPr>
        <w:t>, and 8</w:t>
      </w:r>
      <w:r w:rsidRPr="00D46A63">
        <w:rPr>
          <w:b/>
          <w:vertAlign w:val="superscript"/>
        </w:rPr>
        <w:t>th</w:t>
      </w:r>
      <w:r>
        <w:rPr>
          <w:b/>
        </w:rPr>
        <w:t xml:space="preserve"> grades, respectively, </w:t>
      </w:r>
      <w:r w:rsidR="006B7861" w:rsidRPr="006B7861">
        <w:rPr>
          <w:b/>
        </w:rPr>
        <w:t xml:space="preserve">at Beckwith.  </w:t>
      </w:r>
      <w:r>
        <w:rPr>
          <w:b/>
        </w:rPr>
        <w:t>In 2016, s</w:t>
      </w:r>
      <w:r w:rsidRPr="006B7861">
        <w:rPr>
          <w:b/>
        </w:rPr>
        <w:t xml:space="preserve">cience </w:t>
      </w:r>
      <w:r w:rsidR="006B7861" w:rsidRPr="006B7861">
        <w:rPr>
          <w:b/>
        </w:rPr>
        <w:t>proficiency in the 10</w:t>
      </w:r>
      <w:r w:rsidR="006B7861" w:rsidRPr="006B7861">
        <w:rPr>
          <w:b/>
          <w:vertAlign w:val="superscript"/>
        </w:rPr>
        <w:t>th</w:t>
      </w:r>
      <w:r w:rsidR="006B7861" w:rsidRPr="006B7861">
        <w:rPr>
          <w:b/>
        </w:rPr>
        <w:t xml:space="preserve"> grade at </w:t>
      </w:r>
      <w:r w:rsidRPr="006B7861">
        <w:rPr>
          <w:b/>
        </w:rPr>
        <w:t>Dighton</w:t>
      </w:r>
      <w:r>
        <w:rPr>
          <w:b/>
        </w:rPr>
        <w:t>-</w:t>
      </w:r>
      <w:r w:rsidR="006B7861" w:rsidRPr="006B7861">
        <w:rPr>
          <w:b/>
        </w:rPr>
        <w:t>Rehoboth Regional High was 94 percent</w:t>
      </w:r>
      <w:r w:rsidR="00EF11ED">
        <w:rPr>
          <w:b/>
        </w:rPr>
        <w:t xml:space="preserve">, </w:t>
      </w:r>
      <w:r w:rsidR="000F7F20">
        <w:rPr>
          <w:b/>
        </w:rPr>
        <w:t xml:space="preserve">3 </w:t>
      </w:r>
      <w:r w:rsidR="00EF11ED">
        <w:rPr>
          <w:b/>
        </w:rPr>
        <w:t>percentage points</w:t>
      </w:r>
      <w:r w:rsidR="00FF098C">
        <w:rPr>
          <w:b/>
        </w:rPr>
        <w:t xml:space="preserve"> </w:t>
      </w:r>
      <w:r w:rsidR="006B7861" w:rsidRPr="006B7861">
        <w:rPr>
          <w:b/>
        </w:rPr>
        <w:t xml:space="preserve">above the </w:t>
      </w:r>
      <w:r>
        <w:rPr>
          <w:b/>
        </w:rPr>
        <w:t xml:space="preserve">2016 </w:t>
      </w:r>
      <w:r w:rsidR="006B7861" w:rsidRPr="006B7861">
        <w:rPr>
          <w:b/>
        </w:rPr>
        <w:t>state rate of 91 percent.</w:t>
      </w:r>
    </w:p>
    <w:p w:rsidR="00D46A63" w:rsidRDefault="00D46A63" w:rsidP="006B7861">
      <w:pPr>
        <w:spacing w:after="0" w:line="240" w:lineRule="auto"/>
        <w:rPr>
          <w:b/>
        </w:rPr>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6B7861" w:rsidRPr="006B7861" w:rsidTr="008F0BE1">
        <w:tc>
          <w:tcPr>
            <w:tcW w:w="9558" w:type="dxa"/>
            <w:gridSpan w:val="9"/>
            <w:tcBorders>
              <w:top w:val="nil"/>
              <w:left w:val="nil"/>
              <w:right w:val="nil"/>
            </w:tcBorders>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Table 13: </w:t>
            </w:r>
            <w:r w:rsidRPr="006B7861">
              <w:rPr>
                <w:b/>
                <w:sz w:val="20"/>
                <w:szCs w:val="20"/>
              </w:rPr>
              <w:t>Dighton-Rehoboth</w:t>
            </w:r>
            <w:r w:rsidRPr="006B7861">
              <w:rPr>
                <w:rFonts w:eastAsia="Times New Roman" w:cs="Times New Roman"/>
                <w:b/>
                <w:sz w:val="20"/>
                <w:szCs w:val="20"/>
              </w:rPr>
              <w:t xml:space="preserve"> Public Schools</w:t>
            </w:r>
          </w:p>
          <w:p w:rsidR="00DC432A" w:rsidRDefault="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ELA </w:t>
            </w:r>
            <w:r w:rsidR="006F674F">
              <w:rPr>
                <w:rFonts w:eastAsia="Times New Roman" w:cs="Times New Roman"/>
                <w:b/>
                <w:sz w:val="20"/>
                <w:szCs w:val="20"/>
              </w:rPr>
              <w:t xml:space="preserve">Percent </w:t>
            </w:r>
            <w:r w:rsidRPr="006B7861">
              <w:rPr>
                <w:rFonts w:eastAsia="Times New Roman" w:cs="Times New Roman"/>
                <w:b/>
                <w:sz w:val="20"/>
                <w:szCs w:val="20"/>
              </w:rPr>
              <w:t>Proficient or Advanced by School and Grade 2015</w:t>
            </w:r>
            <w:r w:rsidR="00EF11ED">
              <w:rPr>
                <w:rFonts w:eastAsia="Times New Roman" w:cs="Times New Roman"/>
                <w:b/>
                <w:sz w:val="20"/>
                <w:szCs w:val="20"/>
              </w:rPr>
              <w:t>–</w:t>
            </w:r>
            <w:r w:rsidRPr="006B7861">
              <w:rPr>
                <w:rFonts w:eastAsia="Times New Roman" w:cs="Times New Roman"/>
                <w:b/>
                <w:sz w:val="20"/>
                <w:szCs w:val="20"/>
              </w:rPr>
              <w:t>2016</w:t>
            </w:r>
          </w:p>
        </w:tc>
      </w:tr>
      <w:tr w:rsidR="006B7861" w:rsidRPr="006B7861" w:rsidTr="008F0BE1">
        <w:tc>
          <w:tcPr>
            <w:tcW w:w="3330" w:type="dxa"/>
            <w:shd w:val="clear" w:color="auto" w:fill="D9D9D9" w:themeFill="background1" w:themeFillShade="D9"/>
          </w:tcPr>
          <w:p w:rsidR="006B7861" w:rsidRPr="006B7861" w:rsidRDefault="006B7861" w:rsidP="006B7861">
            <w:pPr>
              <w:spacing w:after="0" w:line="240" w:lineRule="auto"/>
              <w:rPr>
                <w:rFonts w:eastAsia="Times New Roman" w:cs="Times New Roman"/>
                <w:b/>
                <w:sz w:val="20"/>
                <w:szCs w:val="20"/>
              </w:rPr>
            </w:pPr>
            <w:r w:rsidRPr="006B7861">
              <w:rPr>
                <w:rFonts w:eastAsia="Times New Roman" w:cs="Times New Roman"/>
                <w:b/>
                <w:sz w:val="20"/>
                <w:szCs w:val="20"/>
              </w:rPr>
              <w:t>School</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3</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4</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5</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6</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7</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8</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10</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Total</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Elementary</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Palmer River</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Middle</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72%</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85%</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87%</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Beckwith</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66%</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70%</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78%</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86%</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r>
      <w:tr w:rsidR="006B7861" w:rsidRPr="006B7861" w:rsidTr="008F0BE1">
        <w:tc>
          <w:tcPr>
            <w:tcW w:w="3330" w:type="dxa"/>
            <w:shd w:val="clear" w:color="auto" w:fill="auto"/>
            <w:vAlign w:val="bottom"/>
          </w:tcPr>
          <w:p w:rsidR="006B7861" w:rsidRPr="006B7861" w:rsidRDefault="006B7861" w:rsidP="00D46A63">
            <w:pPr>
              <w:spacing w:after="0" w:line="240" w:lineRule="auto"/>
              <w:jc w:val="center"/>
              <w:rPr>
                <w:rFonts w:ascii="Calibri" w:hAnsi="Calibri"/>
                <w:sz w:val="20"/>
                <w:szCs w:val="20"/>
              </w:rPr>
            </w:pPr>
            <w:r w:rsidRPr="006B7861">
              <w:rPr>
                <w:rFonts w:ascii="Calibri" w:hAnsi="Calibri"/>
                <w:sz w:val="20"/>
                <w:szCs w:val="20"/>
              </w:rPr>
              <w:t xml:space="preserve">Dighton-Rehoboth </w:t>
            </w:r>
            <w:r w:rsidR="00D46A63" w:rsidRPr="006B7861">
              <w:rPr>
                <w:rFonts w:ascii="Calibri" w:hAnsi="Calibri"/>
                <w:sz w:val="20"/>
                <w:szCs w:val="20"/>
              </w:rPr>
              <w:t>Reg</w:t>
            </w:r>
            <w:r w:rsidR="00D46A63">
              <w:rPr>
                <w:rFonts w:ascii="Calibri" w:hAnsi="Calibri"/>
                <w:sz w:val="20"/>
                <w:szCs w:val="20"/>
              </w:rPr>
              <w:t>iona</w:t>
            </w:r>
            <w:r w:rsidR="00D46A63" w:rsidRPr="006B7861">
              <w:rPr>
                <w:rFonts w:ascii="Calibri" w:hAnsi="Calibri"/>
                <w:sz w:val="20"/>
                <w:szCs w:val="20"/>
              </w:rPr>
              <w:t xml:space="preserve">l </w:t>
            </w:r>
            <w:r w:rsidRPr="006B7861">
              <w:rPr>
                <w:rFonts w:ascii="Calibri" w:hAnsi="Calibri"/>
                <w:sz w:val="20"/>
                <w:szCs w:val="20"/>
              </w:rPr>
              <w:t>High</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w:t>
            </w:r>
          </w:p>
        </w:tc>
      </w:tr>
      <w:tr w:rsidR="006B7861" w:rsidRPr="006B7861" w:rsidTr="008F0BE1">
        <w:tc>
          <w:tcPr>
            <w:tcW w:w="3330" w:type="dxa"/>
            <w:shd w:val="clear" w:color="auto" w:fill="D9D9D9" w:themeFill="background1" w:themeFillShade="D9"/>
            <w:vAlign w:val="bottom"/>
          </w:tcPr>
          <w:p w:rsidR="006B7861" w:rsidRPr="006B7861" w:rsidRDefault="006B7861" w:rsidP="00366E83">
            <w:pPr>
              <w:spacing w:after="0" w:line="240" w:lineRule="auto"/>
              <w:jc w:val="center"/>
              <w:rPr>
                <w:sz w:val="20"/>
                <w:szCs w:val="20"/>
              </w:rPr>
            </w:pPr>
            <w:r w:rsidRPr="006B7861">
              <w:rPr>
                <w:sz w:val="20"/>
                <w:szCs w:val="20"/>
              </w:rPr>
              <w:t xml:space="preserve">District </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56%</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64%</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63%</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71%</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81%</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86%</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94%</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74%</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State</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91%</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b/>
        </w:rPr>
      </w:pPr>
      <w:r w:rsidRPr="006B7861">
        <w:rPr>
          <w:b/>
        </w:rPr>
        <w:lastRenderedPageBreak/>
        <w:t>Between 2013 and 2016</w:t>
      </w:r>
      <w:r w:rsidR="00366E83">
        <w:rPr>
          <w:b/>
        </w:rPr>
        <w:t>,</w:t>
      </w:r>
      <w:r w:rsidRPr="006B7861">
        <w:rPr>
          <w:b/>
        </w:rPr>
        <w:t xml:space="preserve"> ELA proficiency rates improved by 7 percentage points at Dighton Elementary, </w:t>
      </w:r>
      <w:r w:rsidR="00572746">
        <w:rPr>
          <w:b/>
        </w:rPr>
        <w:t xml:space="preserve">by </w:t>
      </w:r>
      <w:r w:rsidRPr="006B7861">
        <w:rPr>
          <w:b/>
        </w:rPr>
        <w:t xml:space="preserve">4 </w:t>
      </w:r>
      <w:r w:rsidR="00572746">
        <w:rPr>
          <w:b/>
        </w:rPr>
        <w:t>p</w:t>
      </w:r>
      <w:r w:rsidR="00572746" w:rsidRPr="006B7861">
        <w:rPr>
          <w:b/>
        </w:rPr>
        <w:t xml:space="preserve">ercentage </w:t>
      </w:r>
      <w:r w:rsidRPr="006B7861">
        <w:rPr>
          <w:b/>
        </w:rPr>
        <w:t xml:space="preserve">points at Palmer River, and </w:t>
      </w:r>
      <w:r w:rsidR="00572746">
        <w:rPr>
          <w:b/>
        </w:rPr>
        <w:t xml:space="preserve">by </w:t>
      </w:r>
      <w:r w:rsidRPr="006B7861">
        <w:rPr>
          <w:b/>
        </w:rPr>
        <w:t>3 percentage points at Dighton Middle, and declined by 2 and 3 percentage points at Beckwith and Dighton-Rehoboth Regional High</w:t>
      </w:r>
      <w:r w:rsidR="00572746">
        <w:rPr>
          <w:b/>
        </w:rPr>
        <w:t>, respectively</w:t>
      </w:r>
      <w:r w:rsidRPr="006B7861">
        <w:rPr>
          <w:b/>
        </w:rPr>
        <w:t>.</w:t>
      </w:r>
    </w:p>
    <w:p w:rsidR="006B7861" w:rsidRPr="006B7861" w:rsidRDefault="006B7861" w:rsidP="006B7861">
      <w:pPr>
        <w:numPr>
          <w:ilvl w:val="0"/>
          <w:numId w:val="41"/>
        </w:numPr>
        <w:spacing w:after="0" w:line="240" w:lineRule="auto"/>
        <w:contextualSpacing/>
      </w:pPr>
      <w:r w:rsidRPr="006B7861">
        <w:t>ELA proficiency rates for high needs students improved by 12, 3, and 11 percentage points at Dighton Elementary, Palmer River, and Dighton</w:t>
      </w:r>
      <w:r w:rsidR="00C51FE6">
        <w:t xml:space="preserve"> </w:t>
      </w:r>
      <w:r w:rsidRPr="006B7861">
        <w:t xml:space="preserve">Middle, </w:t>
      </w:r>
      <w:r w:rsidR="00BD44BB" w:rsidRPr="00BD44BB">
        <w:t>respectively</w:t>
      </w:r>
      <w:r w:rsidR="00572746">
        <w:t xml:space="preserve">, </w:t>
      </w:r>
      <w:r w:rsidRPr="006B7861">
        <w:t>and declined by 2 and 11 percentage points at Beckwith and Dighton-Rehoboth Regional High</w:t>
      </w:r>
      <w:r w:rsidR="00BD44BB" w:rsidRPr="00BD44BB">
        <w:t>, respectively</w:t>
      </w:r>
      <w:r w:rsidRPr="006B7861">
        <w:t>.</w:t>
      </w:r>
    </w:p>
    <w:p w:rsidR="006B7861" w:rsidRPr="006B7861" w:rsidRDefault="006B7861" w:rsidP="006B7861">
      <w:pPr>
        <w:numPr>
          <w:ilvl w:val="0"/>
          <w:numId w:val="41"/>
        </w:numPr>
        <w:spacing w:after="0" w:line="240" w:lineRule="auto"/>
        <w:contextualSpacing/>
      </w:pPr>
      <w:r w:rsidRPr="006B7861">
        <w:t xml:space="preserve">ELA proficiency rates for students with disabilities improved by 14, 13, and 12 percentage points at Dighton Elementary, Palmer River, and Dighton Middle, </w:t>
      </w:r>
      <w:r w:rsidR="00BD44BB" w:rsidRPr="00BD44BB">
        <w:t>respectively</w:t>
      </w:r>
      <w:r w:rsidR="00572746">
        <w:t>,</w:t>
      </w:r>
      <w:r w:rsidR="00572746" w:rsidRPr="00572746">
        <w:t xml:space="preserve"> </w:t>
      </w:r>
      <w:r w:rsidRPr="006B7861">
        <w:t>and declined by 7 and 17 percentage points at Beckwith and Dighton-Rehoboth Regional High</w:t>
      </w:r>
      <w:r w:rsidR="00572746">
        <w:t xml:space="preserve">, </w:t>
      </w:r>
      <w:r w:rsidR="00572746" w:rsidRPr="00572746">
        <w:t>respectively</w:t>
      </w:r>
      <w:r w:rsidRPr="006B7861">
        <w:t>.</w:t>
      </w:r>
    </w:p>
    <w:p w:rsidR="006B7861" w:rsidRPr="006B7861" w:rsidRDefault="006B7861" w:rsidP="006B7861">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6B7861" w:rsidRPr="006B7861" w:rsidTr="008F0BE1">
        <w:tc>
          <w:tcPr>
            <w:tcW w:w="9576" w:type="dxa"/>
            <w:gridSpan w:val="6"/>
            <w:tcBorders>
              <w:top w:val="nil"/>
              <w:left w:val="nil"/>
              <w:right w:val="nil"/>
            </w:tcBorders>
          </w:tcPr>
          <w:p w:rsidR="006B7861" w:rsidRPr="006B7861" w:rsidRDefault="006B7861" w:rsidP="006B7861">
            <w:pPr>
              <w:spacing w:after="0" w:line="240" w:lineRule="auto"/>
              <w:jc w:val="center"/>
              <w:rPr>
                <w:b/>
                <w:sz w:val="20"/>
                <w:szCs w:val="20"/>
              </w:rPr>
            </w:pPr>
            <w:r w:rsidRPr="006B7861">
              <w:rPr>
                <w:b/>
                <w:sz w:val="20"/>
                <w:szCs w:val="20"/>
              </w:rPr>
              <w:t>Table 14: Dighton-Rehoboth Public Schools</w:t>
            </w:r>
          </w:p>
          <w:p w:rsidR="00DC432A" w:rsidRDefault="006B7861">
            <w:pPr>
              <w:spacing w:after="0" w:line="240" w:lineRule="auto"/>
              <w:jc w:val="center"/>
              <w:rPr>
                <w:b/>
                <w:sz w:val="20"/>
                <w:szCs w:val="20"/>
              </w:rPr>
            </w:pPr>
            <w:r w:rsidRPr="006B7861">
              <w:rPr>
                <w:b/>
                <w:sz w:val="20"/>
                <w:szCs w:val="20"/>
              </w:rPr>
              <w:t xml:space="preserve">ELA </w:t>
            </w:r>
            <w:r w:rsidR="006F674F">
              <w:rPr>
                <w:b/>
                <w:sz w:val="20"/>
                <w:szCs w:val="20"/>
              </w:rPr>
              <w:t xml:space="preserve">Percent </w:t>
            </w:r>
            <w:r w:rsidRPr="006B7861">
              <w:rPr>
                <w:b/>
                <w:sz w:val="20"/>
                <w:szCs w:val="20"/>
              </w:rPr>
              <w:t>Proficient or Advanced by School and Subgroup 2012</w:t>
            </w:r>
            <w:r w:rsidR="00C51FE6">
              <w:rPr>
                <w:b/>
                <w:sz w:val="20"/>
                <w:szCs w:val="20"/>
              </w:rPr>
              <w:t>–</w:t>
            </w:r>
            <w:r w:rsidRPr="006B7861">
              <w:rPr>
                <w:b/>
                <w:sz w:val="20"/>
                <w:szCs w:val="20"/>
              </w:rPr>
              <w:t>2015</w:t>
            </w:r>
          </w:p>
        </w:tc>
      </w:tr>
      <w:tr w:rsidR="006B7861" w:rsidRPr="006B7861" w:rsidTr="008F0BE1">
        <w:tc>
          <w:tcPr>
            <w:tcW w:w="3438" w:type="dxa"/>
            <w:shd w:val="clear" w:color="auto" w:fill="D9D9D9" w:themeFill="background1" w:themeFillShade="D9"/>
          </w:tcPr>
          <w:p w:rsidR="006B7861" w:rsidRPr="006B7861" w:rsidRDefault="006B7861" w:rsidP="006B7861">
            <w:pPr>
              <w:spacing w:after="0" w:line="240" w:lineRule="auto"/>
              <w:rPr>
                <w:b/>
                <w:sz w:val="20"/>
                <w:szCs w:val="20"/>
              </w:rPr>
            </w:pP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2013</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2014</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2015</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2016</w:t>
            </w:r>
          </w:p>
        </w:tc>
        <w:tc>
          <w:tcPr>
            <w:tcW w:w="1818"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4-Year Trend</w:t>
            </w:r>
          </w:p>
        </w:tc>
      </w:tr>
      <w:tr w:rsidR="006B7861" w:rsidRPr="006B7861" w:rsidTr="008F0BE1">
        <w:tc>
          <w:tcPr>
            <w:tcW w:w="3438" w:type="dxa"/>
            <w:shd w:val="clear" w:color="auto" w:fill="D9D9D9" w:themeFill="background1" w:themeFillShade="D9"/>
            <w:vAlign w:val="bottom"/>
          </w:tcPr>
          <w:p w:rsidR="00BD44BB" w:rsidRDefault="006B7861" w:rsidP="00BD44BB">
            <w:pPr>
              <w:spacing w:after="0" w:line="240" w:lineRule="auto"/>
              <w:jc w:val="center"/>
              <w:rPr>
                <w:rFonts w:ascii="Calibri" w:hAnsi="Calibri"/>
                <w:sz w:val="20"/>
                <w:szCs w:val="20"/>
              </w:rPr>
            </w:pPr>
            <w:r w:rsidRPr="006B7861">
              <w:rPr>
                <w:rFonts w:ascii="Calibri" w:hAnsi="Calibri"/>
                <w:sz w:val="20"/>
                <w:szCs w:val="20"/>
              </w:rPr>
              <w:t>Dighton Elementary</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12%</w:t>
            </w:r>
          </w:p>
        </w:tc>
      </w:tr>
      <w:tr w:rsidR="006B7861" w:rsidRPr="006B7861" w:rsidTr="008F0BE1">
        <w:tc>
          <w:tcPr>
            <w:tcW w:w="3438" w:type="dxa"/>
            <w:vAlign w:val="bottom"/>
          </w:tcPr>
          <w:p w:rsidR="006B7861" w:rsidRPr="006B7861" w:rsidRDefault="00572746" w:rsidP="00572746">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r>
      <w:tr w:rsidR="006B7861" w:rsidRPr="006B7861" w:rsidTr="008F0BE1">
        <w:tc>
          <w:tcPr>
            <w:tcW w:w="3438" w:type="dxa"/>
            <w:shd w:val="clear" w:color="auto" w:fill="D9D9D9" w:themeFill="background1" w:themeFillShade="D9"/>
            <w:vAlign w:val="bottom"/>
          </w:tcPr>
          <w:p w:rsidR="00BD44BB" w:rsidRDefault="006B7861" w:rsidP="00BD44BB">
            <w:pPr>
              <w:spacing w:after="0" w:line="240" w:lineRule="auto"/>
              <w:jc w:val="center"/>
              <w:rPr>
                <w:rFonts w:ascii="Calibri" w:hAnsi="Calibri"/>
                <w:sz w:val="20"/>
                <w:szCs w:val="20"/>
              </w:rPr>
            </w:pPr>
            <w:r w:rsidRPr="006B7861">
              <w:rPr>
                <w:rFonts w:ascii="Calibri" w:hAnsi="Calibri"/>
                <w:sz w:val="20"/>
                <w:szCs w:val="20"/>
              </w:rPr>
              <w:t>Palmer River</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61%</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12%</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r>
      <w:tr w:rsidR="006B7861" w:rsidRPr="006B7861" w:rsidTr="008F0BE1">
        <w:tc>
          <w:tcPr>
            <w:tcW w:w="3438" w:type="dxa"/>
            <w:shd w:val="clear" w:color="auto" w:fill="D9D9D9" w:themeFill="background1" w:themeFillShade="D9"/>
            <w:vAlign w:val="bottom"/>
          </w:tcPr>
          <w:p w:rsidR="00BD44BB" w:rsidRDefault="006B7861" w:rsidP="00BD44BB">
            <w:pPr>
              <w:spacing w:after="0" w:line="240" w:lineRule="auto"/>
              <w:jc w:val="center"/>
              <w:rPr>
                <w:rFonts w:ascii="Calibri" w:hAnsi="Calibri"/>
                <w:sz w:val="20"/>
                <w:szCs w:val="20"/>
              </w:rPr>
            </w:pPr>
            <w:r w:rsidRPr="006B7861">
              <w:rPr>
                <w:rFonts w:ascii="Calibri" w:hAnsi="Calibri"/>
                <w:sz w:val="20"/>
                <w:szCs w:val="20"/>
              </w:rPr>
              <w:t>Dighton Middle</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74%</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71%</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36%</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12%</w:t>
            </w:r>
          </w:p>
        </w:tc>
      </w:tr>
      <w:tr w:rsidR="006B7861" w:rsidRPr="006B7861" w:rsidTr="008F0BE1">
        <w:tc>
          <w:tcPr>
            <w:tcW w:w="3438" w:type="dxa"/>
            <w:shd w:val="clear" w:color="auto" w:fill="D9D9D9" w:themeFill="background1" w:themeFillShade="D9"/>
            <w:vAlign w:val="bottom"/>
          </w:tcPr>
          <w:p w:rsidR="00BD44BB" w:rsidRDefault="006B7861" w:rsidP="00BD44BB">
            <w:pPr>
              <w:spacing w:after="0" w:line="240" w:lineRule="auto"/>
              <w:jc w:val="center"/>
              <w:rPr>
                <w:rFonts w:ascii="Calibri" w:hAnsi="Calibri"/>
                <w:sz w:val="20"/>
                <w:szCs w:val="20"/>
              </w:rPr>
            </w:pPr>
            <w:r w:rsidRPr="006B7861">
              <w:rPr>
                <w:rFonts w:ascii="Calibri" w:hAnsi="Calibri"/>
                <w:sz w:val="20"/>
                <w:szCs w:val="20"/>
              </w:rPr>
              <w:t>Beckwith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76%</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r>
      <w:tr w:rsidR="006B7861" w:rsidRPr="006B7861" w:rsidTr="008F0BE1">
        <w:tc>
          <w:tcPr>
            <w:tcW w:w="3438" w:type="dxa"/>
            <w:shd w:val="clear" w:color="auto" w:fill="D9D9D9" w:themeFill="background1" w:themeFillShade="D9"/>
            <w:vAlign w:val="bottom"/>
          </w:tcPr>
          <w:p w:rsidR="00BD44BB" w:rsidRDefault="006B7861" w:rsidP="00BD44BB">
            <w:pPr>
              <w:spacing w:after="0" w:line="240" w:lineRule="auto"/>
              <w:jc w:val="center"/>
              <w:rPr>
                <w:rFonts w:ascii="Calibri" w:hAnsi="Calibri"/>
                <w:sz w:val="20"/>
                <w:szCs w:val="20"/>
              </w:rPr>
            </w:pPr>
            <w:r w:rsidRPr="006B7861">
              <w:rPr>
                <w:rFonts w:ascii="Calibri" w:hAnsi="Calibri"/>
                <w:sz w:val="20"/>
                <w:szCs w:val="20"/>
              </w:rPr>
              <w:t xml:space="preserve">Dighton-Rehoboth </w:t>
            </w:r>
            <w:r w:rsidR="00AB1BA9" w:rsidRPr="006B7861">
              <w:rPr>
                <w:rFonts w:ascii="Calibri" w:hAnsi="Calibri"/>
                <w:sz w:val="20"/>
                <w:szCs w:val="20"/>
              </w:rPr>
              <w:t>Reg</w:t>
            </w:r>
            <w:r w:rsidR="00AB1BA9">
              <w:rPr>
                <w:rFonts w:ascii="Calibri" w:hAnsi="Calibri"/>
                <w:sz w:val="20"/>
                <w:szCs w:val="20"/>
              </w:rPr>
              <w:t>iona</w:t>
            </w:r>
            <w:r w:rsidR="00AB1BA9" w:rsidRPr="006B7861">
              <w:rPr>
                <w:rFonts w:ascii="Calibri" w:hAnsi="Calibri"/>
                <w:sz w:val="20"/>
                <w:szCs w:val="20"/>
              </w:rPr>
              <w:t xml:space="preserve">l </w:t>
            </w:r>
            <w:r w:rsidRPr="006B7861">
              <w:rPr>
                <w:rFonts w:ascii="Calibri" w:hAnsi="Calibri"/>
                <w:sz w:val="20"/>
                <w:szCs w:val="20"/>
              </w:rPr>
              <w:t>High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94%</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78%</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84%</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Default="006B7861" w:rsidP="006B7861">
      <w:pPr>
        <w:spacing w:after="0" w:line="240" w:lineRule="auto"/>
      </w:pPr>
    </w:p>
    <w:p w:rsidR="003759DD" w:rsidRPr="006B7861" w:rsidRDefault="003759DD"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F674F" w:rsidP="006B7861">
      <w:pPr>
        <w:spacing w:after="0" w:line="240" w:lineRule="auto"/>
        <w:rPr>
          <w:rFonts w:eastAsia="Times New Roman" w:cs="Times New Roman"/>
          <w:b/>
        </w:rPr>
      </w:pPr>
      <w:r>
        <w:rPr>
          <w:rFonts w:eastAsia="Times New Roman" w:cs="Times New Roman"/>
          <w:b/>
        </w:rPr>
        <w:lastRenderedPageBreak/>
        <w:t>B</w:t>
      </w:r>
      <w:r w:rsidRPr="006B7861">
        <w:rPr>
          <w:rFonts w:eastAsia="Times New Roman" w:cs="Times New Roman"/>
          <w:b/>
        </w:rPr>
        <w:t>etween 2013 and 2016</w:t>
      </w:r>
      <w:r>
        <w:rPr>
          <w:rFonts w:eastAsia="Times New Roman" w:cs="Times New Roman"/>
          <w:b/>
        </w:rPr>
        <w:t>,</w:t>
      </w:r>
      <w:r w:rsidRPr="006B7861">
        <w:rPr>
          <w:rFonts w:eastAsia="Times New Roman" w:cs="Times New Roman"/>
          <w:b/>
        </w:rPr>
        <w:t xml:space="preserve"> </w:t>
      </w:r>
      <w:r>
        <w:rPr>
          <w:rFonts w:eastAsia="Times New Roman" w:cs="Times New Roman"/>
          <w:b/>
        </w:rPr>
        <w:t>m</w:t>
      </w:r>
      <w:r w:rsidRPr="006B7861">
        <w:rPr>
          <w:rFonts w:eastAsia="Times New Roman" w:cs="Times New Roman"/>
          <w:b/>
        </w:rPr>
        <w:t xml:space="preserve">ath </w:t>
      </w:r>
      <w:r w:rsidR="006B7861" w:rsidRPr="006B7861">
        <w:rPr>
          <w:rFonts w:eastAsia="Times New Roman" w:cs="Times New Roman"/>
          <w:b/>
        </w:rPr>
        <w:t xml:space="preserve">proficiency rates for all students declined by </w:t>
      </w:r>
      <w:r>
        <w:rPr>
          <w:rFonts w:eastAsia="Times New Roman" w:cs="Times New Roman"/>
          <w:b/>
        </w:rPr>
        <w:t>1</w:t>
      </w:r>
      <w:r w:rsidRPr="006B7861">
        <w:rPr>
          <w:rFonts w:eastAsia="Times New Roman" w:cs="Times New Roman"/>
          <w:b/>
        </w:rPr>
        <w:t xml:space="preserve"> </w:t>
      </w:r>
      <w:r w:rsidR="006B7861" w:rsidRPr="006B7861">
        <w:rPr>
          <w:rFonts w:eastAsia="Times New Roman" w:cs="Times New Roman"/>
          <w:b/>
        </w:rPr>
        <w:t>percentage point and declined in the 5</w:t>
      </w:r>
      <w:r w:rsidR="006B7861" w:rsidRPr="006B7861">
        <w:rPr>
          <w:rFonts w:eastAsia="Times New Roman" w:cs="Times New Roman"/>
          <w:b/>
          <w:vertAlign w:val="superscript"/>
        </w:rPr>
        <w:t>th</w:t>
      </w:r>
      <w:r w:rsidR="006B7861" w:rsidRPr="006B7861">
        <w:rPr>
          <w:rFonts w:eastAsia="Times New Roman" w:cs="Times New Roman"/>
          <w:b/>
        </w:rPr>
        <w:t>, 7</w:t>
      </w:r>
      <w:r w:rsidR="006B7861" w:rsidRPr="006B7861">
        <w:rPr>
          <w:rFonts w:eastAsia="Times New Roman" w:cs="Times New Roman"/>
          <w:b/>
          <w:vertAlign w:val="superscript"/>
        </w:rPr>
        <w:t>th</w:t>
      </w:r>
      <w:r w:rsidR="006B7861" w:rsidRPr="006B7861">
        <w:rPr>
          <w:rFonts w:eastAsia="Times New Roman" w:cs="Times New Roman"/>
          <w:b/>
        </w:rPr>
        <w:t>, and 8</w:t>
      </w:r>
      <w:r w:rsidR="006B7861" w:rsidRPr="006B7861">
        <w:rPr>
          <w:rFonts w:eastAsia="Times New Roman" w:cs="Times New Roman"/>
          <w:b/>
          <w:vertAlign w:val="superscript"/>
        </w:rPr>
        <w:t>th</w:t>
      </w:r>
      <w:r w:rsidR="006B7861" w:rsidRPr="006B7861">
        <w:rPr>
          <w:rFonts w:eastAsia="Times New Roman" w:cs="Times New Roman"/>
          <w:b/>
        </w:rPr>
        <w:t xml:space="preserve"> grades, and did not improve in the 10</w:t>
      </w:r>
      <w:r w:rsidR="006B7861" w:rsidRPr="006B7861">
        <w:rPr>
          <w:rFonts w:eastAsia="Times New Roman" w:cs="Times New Roman"/>
          <w:b/>
          <w:vertAlign w:val="superscript"/>
        </w:rPr>
        <w:t>th</w:t>
      </w:r>
      <w:r w:rsidR="006B7861" w:rsidRPr="006B7861">
        <w:rPr>
          <w:rFonts w:eastAsia="Times New Roman" w:cs="Times New Roman"/>
          <w:b/>
        </w:rPr>
        <w:t xml:space="preserve"> grade.</w:t>
      </w:r>
    </w:p>
    <w:p w:rsidR="006B7861" w:rsidRPr="006B7861" w:rsidRDefault="006B7861" w:rsidP="006B7861">
      <w:pPr>
        <w:spacing w:after="0" w:line="240" w:lineRule="auto"/>
        <w:rPr>
          <w:rFonts w:eastAsia="Times New Roman" w:cs="Times New Roman"/>
        </w:rPr>
      </w:pPr>
    </w:p>
    <w:p w:rsidR="006B7861" w:rsidRPr="006B7861" w:rsidRDefault="006B7861" w:rsidP="006B7861">
      <w:pPr>
        <w:numPr>
          <w:ilvl w:val="0"/>
          <w:numId w:val="40"/>
        </w:numPr>
        <w:spacing w:after="0" w:line="240" w:lineRule="auto"/>
        <w:contextualSpacing/>
        <w:rPr>
          <w:rFonts w:eastAsia="Times New Roman" w:cs="Times New Roman"/>
        </w:rPr>
      </w:pPr>
      <w:r w:rsidRPr="006B7861">
        <w:rPr>
          <w:rFonts w:eastAsia="Times New Roman" w:cs="Times New Roman"/>
        </w:rPr>
        <w:t>Math proficiency rates declined by 7 percentage points in the 5</w:t>
      </w:r>
      <w:r w:rsidRPr="006B7861">
        <w:rPr>
          <w:rFonts w:eastAsia="Times New Roman" w:cs="Times New Roman"/>
          <w:vertAlign w:val="superscript"/>
        </w:rPr>
        <w:t>th</w:t>
      </w:r>
      <w:r w:rsidRPr="006B7861">
        <w:rPr>
          <w:rFonts w:eastAsia="Times New Roman" w:cs="Times New Roman"/>
        </w:rPr>
        <w:t xml:space="preserve"> grade, by 6 percentage points in the 7</w:t>
      </w:r>
      <w:r w:rsidRPr="006B7861">
        <w:rPr>
          <w:rFonts w:eastAsia="Times New Roman" w:cs="Times New Roman"/>
          <w:vertAlign w:val="superscript"/>
        </w:rPr>
        <w:t>th</w:t>
      </w:r>
      <w:r w:rsidRPr="006B7861">
        <w:rPr>
          <w:rFonts w:eastAsia="Times New Roman" w:cs="Times New Roman"/>
        </w:rPr>
        <w:t xml:space="preserve"> grade, by 5 percentage points in the 8</w:t>
      </w:r>
      <w:r w:rsidRPr="006B7861">
        <w:rPr>
          <w:rFonts w:eastAsia="Times New Roman" w:cs="Times New Roman"/>
          <w:vertAlign w:val="superscript"/>
        </w:rPr>
        <w:t>th</w:t>
      </w:r>
      <w:r w:rsidRPr="006B7861">
        <w:rPr>
          <w:rFonts w:eastAsia="Times New Roman" w:cs="Times New Roman"/>
        </w:rPr>
        <w:t xml:space="preserve"> grade, and did not improve in the 10</w:t>
      </w:r>
      <w:r w:rsidRPr="006B7861">
        <w:rPr>
          <w:rFonts w:eastAsia="Times New Roman" w:cs="Times New Roman"/>
          <w:vertAlign w:val="superscript"/>
        </w:rPr>
        <w:t>th</w:t>
      </w:r>
      <w:r w:rsidRPr="006B7861">
        <w:rPr>
          <w:rFonts w:eastAsia="Times New Roman" w:cs="Times New Roman"/>
        </w:rPr>
        <w:t xml:space="preserve"> grade.</w:t>
      </w:r>
    </w:p>
    <w:p w:rsidR="006B7861" w:rsidRPr="006B7861" w:rsidRDefault="006F674F" w:rsidP="006B7861">
      <w:pPr>
        <w:numPr>
          <w:ilvl w:val="1"/>
          <w:numId w:val="40"/>
        </w:numPr>
        <w:spacing w:after="0" w:line="240" w:lineRule="auto"/>
        <w:contextualSpacing/>
        <w:rPr>
          <w:rFonts w:eastAsia="Times New Roman" w:cs="Times New Roman"/>
        </w:rPr>
      </w:pPr>
      <w:r>
        <w:rPr>
          <w:rFonts w:eastAsia="Times New Roman" w:cs="Times New Roman"/>
        </w:rPr>
        <w:t>In 2016, m</w:t>
      </w:r>
      <w:r w:rsidRPr="006B7861">
        <w:rPr>
          <w:rFonts w:eastAsia="Times New Roman" w:cs="Times New Roman"/>
        </w:rPr>
        <w:t xml:space="preserve">ath </w:t>
      </w:r>
      <w:r w:rsidR="006B7861" w:rsidRPr="006B7861">
        <w:rPr>
          <w:rFonts w:eastAsia="Times New Roman" w:cs="Times New Roman"/>
        </w:rPr>
        <w:t>proficiency in the 10</w:t>
      </w:r>
      <w:r w:rsidR="006B7861" w:rsidRPr="006B7861">
        <w:rPr>
          <w:rFonts w:eastAsia="Times New Roman" w:cs="Times New Roman"/>
          <w:vertAlign w:val="superscript"/>
        </w:rPr>
        <w:t>th</w:t>
      </w:r>
      <w:r w:rsidR="006B7861" w:rsidRPr="006B7861">
        <w:rPr>
          <w:rFonts w:eastAsia="Times New Roman" w:cs="Times New Roman"/>
        </w:rPr>
        <w:t xml:space="preserve"> grade was 83 percent in 2016, 5 percentage points above the </w:t>
      </w:r>
      <w:r>
        <w:rPr>
          <w:rFonts w:eastAsia="Times New Roman" w:cs="Times New Roman"/>
        </w:rPr>
        <w:t xml:space="preserve">2016 </w:t>
      </w:r>
      <w:r w:rsidR="006B7861" w:rsidRPr="006B7861">
        <w:rPr>
          <w:rFonts w:eastAsia="Times New Roman" w:cs="Times New Roman"/>
        </w:rPr>
        <w:t>state rate of 78 percent.</w:t>
      </w:r>
    </w:p>
    <w:p w:rsidR="006B7861" w:rsidRPr="006B7861" w:rsidRDefault="006B7861" w:rsidP="006B7861">
      <w:pPr>
        <w:spacing w:after="0" w:line="240" w:lineRule="auto"/>
        <w:contextualSpacing/>
        <w:rPr>
          <w:rFonts w:eastAsia="Times New Roman" w:cs="Times New Roman"/>
          <w:b/>
        </w:rPr>
      </w:pPr>
    </w:p>
    <w:p w:rsidR="006B7861" w:rsidRPr="006B7861" w:rsidRDefault="006B7861" w:rsidP="006B7861">
      <w:pPr>
        <w:numPr>
          <w:ilvl w:val="0"/>
          <w:numId w:val="40"/>
        </w:numPr>
        <w:spacing w:after="0" w:line="240" w:lineRule="auto"/>
        <w:contextualSpacing/>
        <w:rPr>
          <w:rFonts w:eastAsia="Times New Roman" w:cs="Times New Roman"/>
        </w:rPr>
      </w:pPr>
      <w:r w:rsidRPr="006B7861">
        <w:rPr>
          <w:rFonts w:eastAsia="Times New Roman" w:cs="Times New Roman"/>
        </w:rPr>
        <w:t>Math proficiency rates improved by 5 percentage points in the 3</w:t>
      </w:r>
      <w:r w:rsidRPr="006B7861">
        <w:rPr>
          <w:rFonts w:eastAsia="Times New Roman" w:cs="Times New Roman"/>
          <w:vertAlign w:val="superscript"/>
        </w:rPr>
        <w:t>rd</w:t>
      </w:r>
      <w:r w:rsidRPr="006B7861">
        <w:rPr>
          <w:rFonts w:eastAsia="Times New Roman" w:cs="Times New Roman"/>
        </w:rPr>
        <w:t xml:space="preserve"> grade, </w:t>
      </w:r>
      <w:r w:rsidR="006F674F">
        <w:rPr>
          <w:rFonts w:eastAsia="Times New Roman" w:cs="Times New Roman"/>
        </w:rPr>
        <w:t xml:space="preserve">by </w:t>
      </w:r>
      <w:r w:rsidRPr="006B7861">
        <w:rPr>
          <w:rFonts w:eastAsia="Times New Roman" w:cs="Times New Roman"/>
        </w:rPr>
        <w:t>2 percentage points in the 4</w:t>
      </w:r>
      <w:r w:rsidRPr="006B7861">
        <w:rPr>
          <w:rFonts w:eastAsia="Times New Roman" w:cs="Times New Roman"/>
          <w:vertAlign w:val="superscript"/>
        </w:rPr>
        <w:t>th</w:t>
      </w:r>
      <w:r w:rsidRPr="006B7861">
        <w:rPr>
          <w:rFonts w:eastAsia="Times New Roman" w:cs="Times New Roman"/>
        </w:rPr>
        <w:t xml:space="preserve"> grade, and </w:t>
      </w:r>
      <w:r w:rsidR="006F674F">
        <w:rPr>
          <w:rFonts w:eastAsia="Times New Roman" w:cs="Times New Roman"/>
        </w:rPr>
        <w:t xml:space="preserve">by </w:t>
      </w:r>
      <w:r w:rsidRPr="006B7861">
        <w:rPr>
          <w:rFonts w:eastAsia="Times New Roman" w:cs="Times New Roman"/>
        </w:rPr>
        <w:t>3 percentage points in the 6</w:t>
      </w:r>
      <w:r w:rsidRPr="006B7861">
        <w:rPr>
          <w:rFonts w:eastAsia="Times New Roman" w:cs="Times New Roman"/>
          <w:vertAlign w:val="superscript"/>
        </w:rPr>
        <w:t>th</w:t>
      </w:r>
      <w:r w:rsidRPr="006B7861">
        <w:rPr>
          <w:rFonts w:eastAsia="Times New Roman" w:cs="Times New Roman"/>
        </w:rPr>
        <w:t xml:space="preserve"> grade.</w:t>
      </w:r>
    </w:p>
    <w:p w:rsidR="006B7861" w:rsidRDefault="006B7861" w:rsidP="006B7861">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6B7861" w:rsidRPr="006B7861" w:rsidTr="008F0BE1">
        <w:tc>
          <w:tcPr>
            <w:tcW w:w="9576" w:type="dxa"/>
            <w:gridSpan w:val="9"/>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15: Dighton-Rehoboth Public Schools</w:t>
            </w:r>
          </w:p>
          <w:p w:rsidR="00DC432A" w:rsidRDefault="006B7861">
            <w:pPr>
              <w:spacing w:after="0" w:line="240" w:lineRule="auto"/>
              <w:jc w:val="center"/>
              <w:rPr>
                <w:b/>
                <w:sz w:val="20"/>
                <w:szCs w:val="20"/>
              </w:rPr>
            </w:pPr>
            <w:r w:rsidRPr="006B7861">
              <w:rPr>
                <w:b/>
                <w:sz w:val="20"/>
                <w:szCs w:val="20"/>
              </w:rPr>
              <w:t>Math Percent Proficient or Advanced by Grade 2013</w:t>
            </w:r>
            <w:r w:rsidR="00F80E94">
              <w:rPr>
                <w:b/>
                <w:sz w:val="20"/>
                <w:szCs w:val="20"/>
              </w:rPr>
              <w:t>–</w:t>
            </w:r>
            <w:r w:rsidRPr="006B7861">
              <w:rPr>
                <w:b/>
                <w:sz w:val="20"/>
                <w:szCs w:val="20"/>
              </w:rPr>
              <w:t>2016</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Grade</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Number</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State</w:t>
            </w:r>
            <w:r w:rsidR="005C421A">
              <w:rPr>
                <w:b/>
                <w:sz w:val="20"/>
                <w:szCs w:val="20"/>
              </w:rPr>
              <w:t xml:space="preserve"> (2016)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4-Year Trend</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2-Year Trend</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208</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65%</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70%</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4</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39%</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5</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231</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227</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57%</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7</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61%</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49%</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62%</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243</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51%</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10</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213</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83%</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82%</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86%</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83%</w:t>
            </w:r>
          </w:p>
        </w:tc>
        <w:tc>
          <w:tcPr>
            <w:tcW w:w="1078" w:type="dxa"/>
            <w:vAlign w:val="center"/>
          </w:tcPr>
          <w:p w:rsidR="006B7861" w:rsidRPr="006B7861" w:rsidRDefault="006B7861" w:rsidP="006B7861">
            <w:pPr>
              <w:spacing w:after="0" w:line="240" w:lineRule="auto"/>
              <w:jc w:val="center"/>
              <w:rPr>
                <w:sz w:val="20"/>
                <w:szCs w:val="20"/>
              </w:rPr>
            </w:pPr>
            <w:r w:rsidRPr="006B7861">
              <w:rPr>
                <w:sz w:val="20"/>
                <w:szCs w:val="20"/>
              </w:rPr>
              <w:t>78%</w:t>
            </w:r>
          </w:p>
        </w:tc>
        <w:tc>
          <w:tcPr>
            <w:tcW w:w="1077"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w:t>
            </w:r>
          </w:p>
        </w:tc>
        <w:tc>
          <w:tcPr>
            <w:tcW w:w="1078" w:type="dxa"/>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All</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1,613</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62%</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F674F" w:rsidP="006B7861">
      <w:pPr>
        <w:spacing w:after="0" w:line="240" w:lineRule="auto"/>
        <w:rPr>
          <w:b/>
        </w:rPr>
      </w:pPr>
      <w:r>
        <w:rPr>
          <w:b/>
        </w:rPr>
        <w:t>In 2016, m</w:t>
      </w:r>
      <w:r w:rsidRPr="006B7861">
        <w:rPr>
          <w:b/>
        </w:rPr>
        <w:t xml:space="preserve">ath </w:t>
      </w:r>
      <w:r w:rsidR="006B7861" w:rsidRPr="006B7861">
        <w:rPr>
          <w:b/>
        </w:rPr>
        <w:t xml:space="preserve">proficiency rates were 67 </w:t>
      </w:r>
      <w:r>
        <w:rPr>
          <w:b/>
        </w:rPr>
        <w:t xml:space="preserve">percent </w:t>
      </w:r>
      <w:r w:rsidR="006B7861" w:rsidRPr="006B7861">
        <w:rPr>
          <w:b/>
        </w:rPr>
        <w:t>and 60 percent in the 3</w:t>
      </w:r>
      <w:r w:rsidR="006B7861" w:rsidRPr="006B7861">
        <w:rPr>
          <w:b/>
          <w:vertAlign w:val="superscript"/>
        </w:rPr>
        <w:t>rd</w:t>
      </w:r>
      <w:r w:rsidR="006B7861" w:rsidRPr="006B7861">
        <w:rPr>
          <w:b/>
        </w:rPr>
        <w:t xml:space="preserve"> and 4</w:t>
      </w:r>
      <w:r w:rsidR="006B7861" w:rsidRPr="006B7861">
        <w:rPr>
          <w:b/>
          <w:vertAlign w:val="superscript"/>
        </w:rPr>
        <w:t>th</w:t>
      </w:r>
      <w:r w:rsidR="006B7861" w:rsidRPr="006B7861">
        <w:rPr>
          <w:b/>
        </w:rPr>
        <w:t xml:space="preserve"> grades</w:t>
      </w:r>
      <w:r>
        <w:rPr>
          <w:b/>
        </w:rPr>
        <w:t xml:space="preserve">, respectively, </w:t>
      </w:r>
      <w:r w:rsidR="006B7861" w:rsidRPr="006B7861">
        <w:rPr>
          <w:b/>
        </w:rPr>
        <w:t xml:space="preserve"> </w:t>
      </w:r>
      <w:r w:rsidRPr="006B7861">
        <w:rPr>
          <w:b/>
        </w:rPr>
        <w:t xml:space="preserve">at Dighton Elementary </w:t>
      </w:r>
      <w:r>
        <w:rPr>
          <w:b/>
        </w:rPr>
        <w:t xml:space="preserve"> </w:t>
      </w:r>
      <w:r w:rsidR="006B7861" w:rsidRPr="006B7861">
        <w:rPr>
          <w:b/>
        </w:rPr>
        <w:t xml:space="preserve">and 73 </w:t>
      </w:r>
      <w:r>
        <w:rPr>
          <w:b/>
        </w:rPr>
        <w:t xml:space="preserve">percent </w:t>
      </w:r>
      <w:r w:rsidR="006B7861" w:rsidRPr="006B7861">
        <w:rPr>
          <w:b/>
        </w:rPr>
        <w:t>and 55 percent in the 3</w:t>
      </w:r>
      <w:r w:rsidR="006B7861" w:rsidRPr="006B7861">
        <w:rPr>
          <w:b/>
          <w:vertAlign w:val="superscript"/>
        </w:rPr>
        <w:t>rd</w:t>
      </w:r>
      <w:r w:rsidR="006B7861" w:rsidRPr="006B7861">
        <w:rPr>
          <w:b/>
        </w:rPr>
        <w:t xml:space="preserve"> and 4</w:t>
      </w:r>
      <w:r w:rsidR="006B7861" w:rsidRPr="006B7861">
        <w:rPr>
          <w:b/>
          <w:vertAlign w:val="superscript"/>
        </w:rPr>
        <w:t>th</w:t>
      </w:r>
      <w:r w:rsidR="006B7861" w:rsidRPr="006B7861">
        <w:rPr>
          <w:b/>
        </w:rPr>
        <w:t xml:space="preserve"> grades</w:t>
      </w:r>
      <w:r>
        <w:rPr>
          <w:b/>
        </w:rPr>
        <w:t xml:space="preserve">, respectively, </w:t>
      </w:r>
      <w:r w:rsidRPr="006B7861">
        <w:rPr>
          <w:b/>
        </w:rPr>
        <w:t xml:space="preserve"> </w:t>
      </w:r>
      <w:r w:rsidR="006B7861" w:rsidRPr="006B7861">
        <w:rPr>
          <w:b/>
        </w:rPr>
        <w:t xml:space="preserve"> at Palmer River.  Math proficiency was 57</w:t>
      </w:r>
      <w:r>
        <w:rPr>
          <w:b/>
        </w:rPr>
        <w:t xml:space="preserve"> percent</w:t>
      </w:r>
      <w:r w:rsidR="006B7861" w:rsidRPr="006B7861">
        <w:rPr>
          <w:b/>
        </w:rPr>
        <w:t>, 52</w:t>
      </w:r>
      <w:r>
        <w:rPr>
          <w:b/>
        </w:rPr>
        <w:t xml:space="preserve"> percent</w:t>
      </w:r>
      <w:r w:rsidR="006B7861" w:rsidRPr="006B7861">
        <w:rPr>
          <w:b/>
        </w:rPr>
        <w:t>, 61</w:t>
      </w:r>
      <w:r>
        <w:rPr>
          <w:b/>
        </w:rPr>
        <w:t xml:space="preserve"> percent</w:t>
      </w:r>
      <w:r w:rsidR="006B7861" w:rsidRPr="006B7861">
        <w:rPr>
          <w:b/>
        </w:rPr>
        <w:t xml:space="preserve">, and 45 percent </w:t>
      </w:r>
      <w:r>
        <w:rPr>
          <w:b/>
        </w:rPr>
        <w:t>in the 5</w:t>
      </w:r>
      <w:r w:rsidR="00D01479">
        <w:rPr>
          <w:b/>
          <w:vertAlign w:val="superscript"/>
        </w:rPr>
        <w:t>th</w:t>
      </w:r>
      <w:r>
        <w:rPr>
          <w:b/>
        </w:rPr>
        <w:t>, 6</w:t>
      </w:r>
      <w:r w:rsidR="00D01479">
        <w:rPr>
          <w:b/>
          <w:vertAlign w:val="superscript"/>
        </w:rPr>
        <w:t>th</w:t>
      </w:r>
      <w:r>
        <w:rPr>
          <w:b/>
        </w:rPr>
        <w:t>, 7</w:t>
      </w:r>
      <w:r w:rsidR="00D01479">
        <w:rPr>
          <w:b/>
          <w:vertAlign w:val="superscript"/>
        </w:rPr>
        <w:t>th</w:t>
      </w:r>
      <w:r>
        <w:rPr>
          <w:b/>
        </w:rPr>
        <w:t>, and 8</w:t>
      </w:r>
      <w:r w:rsidR="00D01479">
        <w:rPr>
          <w:b/>
          <w:vertAlign w:val="superscript"/>
        </w:rPr>
        <w:t>th</w:t>
      </w:r>
      <w:r>
        <w:rPr>
          <w:b/>
        </w:rPr>
        <w:t xml:space="preserve"> grades</w:t>
      </w:r>
      <w:r w:rsidR="00F52FEE">
        <w:rPr>
          <w:b/>
        </w:rPr>
        <w:t>, respectively,</w:t>
      </w:r>
      <w:r>
        <w:rPr>
          <w:b/>
        </w:rPr>
        <w:t xml:space="preserve"> </w:t>
      </w:r>
      <w:r w:rsidR="006B7861" w:rsidRPr="006B7861">
        <w:rPr>
          <w:b/>
        </w:rPr>
        <w:t>at Dighton Middle and 62</w:t>
      </w:r>
      <w:r>
        <w:rPr>
          <w:b/>
        </w:rPr>
        <w:t xml:space="preserve"> percent</w:t>
      </w:r>
      <w:r w:rsidR="006B7861" w:rsidRPr="006B7861">
        <w:rPr>
          <w:b/>
        </w:rPr>
        <w:t>, 66</w:t>
      </w:r>
      <w:r>
        <w:rPr>
          <w:b/>
        </w:rPr>
        <w:t xml:space="preserve"> percent</w:t>
      </w:r>
      <w:r w:rsidR="006B7861" w:rsidRPr="006B7861">
        <w:rPr>
          <w:b/>
        </w:rPr>
        <w:t>, 50</w:t>
      </w:r>
      <w:r>
        <w:rPr>
          <w:b/>
        </w:rPr>
        <w:t xml:space="preserve"> percent</w:t>
      </w:r>
      <w:r w:rsidR="006B7861" w:rsidRPr="006B7861">
        <w:rPr>
          <w:b/>
        </w:rPr>
        <w:t xml:space="preserve">, and 56 percent </w:t>
      </w:r>
      <w:r>
        <w:rPr>
          <w:b/>
        </w:rPr>
        <w:t>in the 5</w:t>
      </w:r>
      <w:r w:rsidRPr="006F674F">
        <w:rPr>
          <w:b/>
          <w:vertAlign w:val="superscript"/>
        </w:rPr>
        <w:t>th</w:t>
      </w:r>
      <w:r>
        <w:rPr>
          <w:b/>
        </w:rPr>
        <w:t>, 6</w:t>
      </w:r>
      <w:r w:rsidRPr="006F674F">
        <w:rPr>
          <w:b/>
          <w:vertAlign w:val="superscript"/>
        </w:rPr>
        <w:t>th</w:t>
      </w:r>
      <w:r>
        <w:rPr>
          <w:b/>
        </w:rPr>
        <w:t>, 7</w:t>
      </w:r>
      <w:r w:rsidRPr="006F674F">
        <w:rPr>
          <w:b/>
          <w:vertAlign w:val="superscript"/>
        </w:rPr>
        <w:t>th</w:t>
      </w:r>
      <w:r>
        <w:rPr>
          <w:b/>
        </w:rPr>
        <w:t>, and 8</w:t>
      </w:r>
      <w:r w:rsidRPr="006F674F">
        <w:rPr>
          <w:b/>
          <w:vertAlign w:val="superscript"/>
        </w:rPr>
        <w:t>th</w:t>
      </w:r>
      <w:r>
        <w:rPr>
          <w:b/>
        </w:rPr>
        <w:t xml:space="preserve"> grades</w:t>
      </w:r>
      <w:r w:rsidR="00F52FEE">
        <w:rPr>
          <w:b/>
        </w:rPr>
        <w:t>, respectively,</w:t>
      </w:r>
      <w:r>
        <w:rPr>
          <w:b/>
        </w:rPr>
        <w:t xml:space="preserve"> </w:t>
      </w:r>
      <w:r w:rsidR="006B7861" w:rsidRPr="006B7861">
        <w:rPr>
          <w:b/>
        </w:rPr>
        <w:t xml:space="preserve">at Beckwith.  </w:t>
      </w:r>
      <w:r>
        <w:rPr>
          <w:b/>
        </w:rPr>
        <w:t>In 2016, s</w:t>
      </w:r>
      <w:r w:rsidRPr="006B7861">
        <w:rPr>
          <w:b/>
        </w:rPr>
        <w:t xml:space="preserve">cience </w:t>
      </w:r>
      <w:r w:rsidR="006B7861" w:rsidRPr="006B7861">
        <w:rPr>
          <w:b/>
        </w:rPr>
        <w:t>proficiency in the 10</w:t>
      </w:r>
      <w:r w:rsidR="006B7861" w:rsidRPr="006B7861">
        <w:rPr>
          <w:b/>
          <w:vertAlign w:val="superscript"/>
        </w:rPr>
        <w:t>th</w:t>
      </w:r>
      <w:r w:rsidR="006B7861" w:rsidRPr="006B7861">
        <w:rPr>
          <w:b/>
        </w:rPr>
        <w:t xml:space="preserve"> grade at </w:t>
      </w:r>
      <w:r w:rsidRPr="006B7861">
        <w:rPr>
          <w:b/>
        </w:rPr>
        <w:t>Dighton</w:t>
      </w:r>
      <w:r>
        <w:rPr>
          <w:b/>
        </w:rPr>
        <w:t>-</w:t>
      </w:r>
      <w:r w:rsidR="006B7861" w:rsidRPr="006B7861">
        <w:rPr>
          <w:b/>
        </w:rPr>
        <w:t>Rehoboth Regional High was 85 percent</w:t>
      </w:r>
      <w:r>
        <w:rPr>
          <w:b/>
        </w:rPr>
        <w:t>,</w:t>
      </w:r>
      <w:r w:rsidR="006B7861" w:rsidRPr="006B7861">
        <w:rPr>
          <w:b/>
        </w:rPr>
        <w:t xml:space="preserve"> </w:t>
      </w:r>
      <w:r w:rsidR="00C46EB7">
        <w:rPr>
          <w:b/>
        </w:rPr>
        <w:t xml:space="preserve">7 percentage points </w:t>
      </w:r>
      <w:r w:rsidR="006B7861" w:rsidRPr="006B7861">
        <w:rPr>
          <w:b/>
        </w:rPr>
        <w:t xml:space="preserve">above the </w:t>
      </w:r>
      <w:r>
        <w:rPr>
          <w:b/>
        </w:rPr>
        <w:t xml:space="preserve">2016 </w:t>
      </w:r>
      <w:r w:rsidR="006B7861" w:rsidRPr="006B7861">
        <w:rPr>
          <w:b/>
        </w:rPr>
        <w:t>state rate of 78 percent.</w:t>
      </w:r>
    </w:p>
    <w:p w:rsidR="006B7861" w:rsidRPr="006B7861" w:rsidRDefault="006B7861" w:rsidP="006B7861">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6B7861" w:rsidRPr="006B7861" w:rsidTr="008F0BE1">
        <w:tc>
          <w:tcPr>
            <w:tcW w:w="9558" w:type="dxa"/>
            <w:gridSpan w:val="9"/>
            <w:tcBorders>
              <w:top w:val="nil"/>
              <w:left w:val="nil"/>
              <w:right w:val="nil"/>
            </w:tcBorders>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Table 16: </w:t>
            </w:r>
            <w:r w:rsidRPr="006B7861">
              <w:rPr>
                <w:b/>
                <w:sz w:val="20"/>
                <w:szCs w:val="20"/>
              </w:rPr>
              <w:t>Dighton-Rehoboth</w:t>
            </w:r>
            <w:r w:rsidRPr="006B7861">
              <w:rPr>
                <w:rFonts w:eastAsia="Times New Roman" w:cs="Times New Roman"/>
                <w:b/>
                <w:sz w:val="20"/>
                <w:szCs w:val="20"/>
              </w:rPr>
              <w:t xml:space="preserve"> Public Schools</w:t>
            </w:r>
          </w:p>
          <w:p w:rsidR="00DC432A" w:rsidRDefault="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Math </w:t>
            </w:r>
            <w:r w:rsidR="00F52FEE">
              <w:rPr>
                <w:rFonts w:eastAsia="Times New Roman" w:cs="Times New Roman"/>
                <w:b/>
                <w:sz w:val="20"/>
                <w:szCs w:val="20"/>
              </w:rPr>
              <w:t xml:space="preserve">Percent </w:t>
            </w:r>
            <w:r w:rsidRPr="006B7861">
              <w:rPr>
                <w:rFonts w:eastAsia="Times New Roman" w:cs="Times New Roman"/>
                <w:b/>
                <w:sz w:val="20"/>
                <w:szCs w:val="20"/>
              </w:rPr>
              <w:t>Proficient or Advanced by School and Grade 2015</w:t>
            </w:r>
            <w:r w:rsidR="001D3BEF">
              <w:rPr>
                <w:rFonts w:eastAsia="Times New Roman" w:cs="Times New Roman"/>
                <w:b/>
                <w:sz w:val="20"/>
                <w:szCs w:val="20"/>
              </w:rPr>
              <w:t>–</w:t>
            </w:r>
            <w:r w:rsidRPr="006B7861">
              <w:rPr>
                <w:rFonts w:eastAsia="Times New Roman" w:cs="Times New Roman"/>
                <w:b/>
                <w:sz w:val="20"/>
                <w:szCs w:val="20"/>
              </w:rPr>
              <w:t>2016</w:t>
            </w:r>
          </w:p>
        </w:tc>
      </w:tr>
      <w:tr w:rsidR="006B7861" w:rsidRPr="006B7861" w:rsidTr="008F0BE1">
        <w:tc>
          <w:tcPr>
            <w:tcW w:w="3330" w:type="dxa"/>
            <w:shd w:val="clear" w:color="auto" w:fill="D9D9D9" w:themeFill="background1" w:themeFillShade="D9"/>
          </w:tcPr>
          <w:p w:rsidR="006B7861" w:rsidRPr="006B7861" w:rsidRDefault="006B7861" w:rsidP="006B7861">
            <w:pPr>
              <w:spacing w:after="0" w:line="240" w:lineRule="auto"/>
              <w:rPr>
                <w:rFonts w:eastAsia="Times New Roman" w:cs="Times New Roman"/>
                <w:b/>
                <w:sz w:val="20"/>
                <w:szCs w:val="20"/>
              </w:rPr>
            </w:pPr>
            <w:r w:rsidRPr="006B7861">
              <w:rPr>
                <w:rFonts w:eastAsia="Times New Roman" w:cs="Times New Roman"/>
                <w:b/>
                <w:sz w:val="20"/>
                <w:szCs w:val="20"/>
              </w:rPr>
              <w:t>School</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3</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4</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5</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6</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7</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8</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10</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Total</w:t>
            </w:r>
          </w:p>
        </w:tc>
      </w:tr>
      <w:tr w:rsidR="006B7861" w:rsidRPr="006B7861" w:rsidTr="008F0BE1">
        <w:tc>
          <w:tcPr>
            <w:tcW w:w="3330" w:type="dxa"/>
            <w:vAlign w:val="bottom"/>
          </w:tcPr>
          <w:p w:rsidR="006B7861" w:rsidRPr="006B7861" w:rsidRDefault="006B7861" w:rsidP="006B7861">
            <w:pPr>
              <w:spacing w:after="0" w:line="240" w:lineRule="auto"/>
              <w:rPr>
                <w:sz w:val="20"/>
                <w:szCs w:val="20"/>
              </w:rPr>
            </w:pPr>
            <w:r w:rsidRPr="006B7861">
              <w:rPr>
                <w:sz w:val="20"/>
                <w:szCs w:val="20"/>
              </w:rPr>
              <w:t>Dighton Elementary</w:t>
            </w:r>
          </w:p>
        </w:tc>
        <w:tc>
          <w:tcPr>
            <w:tcW w:w="778" w:type="dxa"/>
            <w:vAlign w:val="bottom"/>
          </w:tcPr>
          <w:p w:rsidR="006B7861" w:rsidRPr="006B7861" w:rsidRDefault="006B7861" w:rsidP="006B7861">
            <w:pPr>
              <w:spacing w:after="0" w:line="240" w:lineRule="auto"/>
              <w:jc w:val="center"/>
              <w:rPr>
                <w:sz w:val="20"/>
                <w:szCs w:val="20"/>
              </w:rPr>
            </w:pPr>
            <w:r w:rsidRPr="006B7861">
              <w:rPr>
                <w:sz w:val="20"/>
                <w:szCs w:val="20"/>
              </w:rPr>
              <w:t>67%</w:t>
            </w:r>
          </w:p>
        </w:tc>
        <w:tc>
          <w:tcPr>
            <w:tcW w:w="779" w:type="dxa"/>
            <w:vAlign w:val="bottom"/>
          </w:tcPr>
          <w:p w:rsidR="006B7861" w:rsidRPr="006B7861" w:rsidRDefault="006B7861" w:rsidP="006B7861">
            <w:pPr>
              <w:spacing w:after="0" w:line="240" w:lineRule="auto"/>
              <w:jc w:val="center"/>
              <w:rPr>
                <w:sz w:val="20"/>
                <w:szCs w:val="20"/>
              </w:rPr>
            </w:pPr>
            <w:r w:rsidRPr="006B7861">
              <w:rPr>
                <w:sz w:val="20"/>
                <w:szCs w:val="20"/>
              </w:rPr>
              <w:t>60%</w:t>
            </w:r>
          </w:p>
        </w:tc>
        <w:tc>
          <w:tcPr>
            <w:tcW w:w="778" w:type="dxa"/>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vAlign w:val="bottom"/>
          </w:tcPr>
          <w:p w:rsidR="006B7861" w:rsidRPr="006B7861" w:rsidRDefault="006B7861" w:rsidP="006B7861">
            <w:pPr>
              <w:spacing w:after="0" w:line="240" w:lineRule="auto"/>
              <w:jc w:val="center"/>
              <w:rPr>
                <w:sz w:val="20"/>
                <w:szCs w:val="20"/>
              </w:rPr>
            </w:pPr>
            <w:r w:rsidRPr="006B7861">
              <w:rPr>
                <w:sz w:val="20"/>
                <w:szCs w:val="20"/>
              </w:rPr>
              <w:t>63%</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Palmer River</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73%</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55%</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64%</w:t>
            </w:r>
          </w:p>
        </w:tc>
      </w:tr>
      <w:tr w:rsidR="006B7861" w:rsidRPr="006B7861" w:rsidTr="008F0BE1">
        <w:tc>
          <w:tcPr>
            <w:tcW w:w="333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Dighton Middle</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57%</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52%</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61%</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45%</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54%</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Beckwith</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62%</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66%</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50%</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56%</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59%</w:t>
            </w:r>
          </w:p>
        </w:tc>
      </w:tr>
      <w:tr w:rsidR="006B7861" w:rsidRPr="006B7861" w:rsidTr="008F0BE1">
        <w:tc>
          <w:tcPr>
            <w:tcW w:w="3330" w:type="dxa"/>
            <w:shd w:val="clear" w:color="auto" w:fill="auto"/>
            <w:vAlign w:val="bottom"/>
          </w:tcPr>
          <w:p w:rsidR="006B7861" w:rsidRPr="006B7861" w:rsidRDefault="006B7861" w:rsidP="006F674F">
            <w:pPr>
              <w:spacing w:after="0" w:line="240" w:lineRule="auto"/>
              <w:rPr>
                <w:sz w:val="20"/>
                <w:szCs w:val="20"/>
              </w:rPr>
            </w:pPr>
            <w:r w:rsidRPr="006B7861">
              <w:rPr>
                <w:sz w:val="20"/>
                <w:szCs w:val="20"/>
              </w:rPr>
              <w:t xml:space="preserve">Dighton-Rehoboth </w:t>
            </w:r>
            <w:r w:rsidR="006F674F" w:rsidRPr="006B7861">
              <w:rPr>
                <w:sz w:val="20"/>
                <w:szCs w:val="20"/>
              </w:rPr>
              <w:t>Reg</w:t>
            </w:r>
            <w:r w:rsidR="006F674F">
              <w:rPr>
                <w:sz w:val="20"/>
                <w:szCs w:val="20"/>
              </w:rPr>
              <w:t>iona</w:t>
            </w:r>
            <w:r w:rsidR="006F674F" w:rsidRPr="006B7861">
              <w:rPr>
                <w:sz w:val="20"/>
                <w:szCs w:val="20"/>
              </w:rPr>
              <w:t xml:space="preserve">l </w:t>
            </w:r>
            <w:r w:rsidRPr="006B7861">
              <w:rPr>
                <w:sz w:val="20"/>
                <w:szCs w:val="20"/>
              </w:rPr>
              <w:t>High</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85%</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85%</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rPr>
                <w:sz w:val="20"/>
                <w:szCs w:val="20"/>
              </w:rPr>
            </w:pPr>
            <w:r w:rsidRPr="006B7861">
              <w:rPr>
                <w:sz w:val="20"/>
                <w:szCs w:val="20"/>
              </w:rPr>
              <w:t>District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70%</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56%</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60%</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60%</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55%</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51%</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83%</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62%</w:t>
            </w:r>
          </w:p>
        </w:tc>
      </w:tr>
      <w:tr w:rsidR="006B7861" w:rsidRPr="006B7861" w:rsidTr="008F0BE1">
        <w:tc>
          <w:tcPr>
            <w:tcW w:w="3330" w:type="dxa"/>
            <w:shd w:val="clear" w:color="auto" w:fill="auto"/>
            <w:vAlign w:val="bottom"/>
          </w:tcPr>
          <w:p w:rsidR="006B7861" w:rsidRPr="006B7861" w:rsidRDefault="006B7861" w:rsidP="006B7861">
            <w:pPr>
              <w:spacing w:after="0" w:line="240" w:lineRule="auto"/>
              <w:rPr>
                <w:sz w:val="20"/>
                <w:szCs w:val="20"/>
              </w:rPr>
            </w:pPr>
            <w:r w:rsidRPr="006B7861">
              <w:rPr>
                <w:sz w:val="20"/>
                <w:szCs w:val="20"/>
              </w:rPr>
              <w:t>State</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78%</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r>
    </w:tbl>
    <w:p w:rsidR="006F674F" w:rsidRDefault="006F674F" w:rsidP="006B7861">
      <w:pPr>
        <w:spacing w:after="0" w:line="240" w:lineRule="auto"/>
        <w:rPr>
          <w:b/>
        </w:rPr>
      </w:pPr>
    </w:p>
    <w:p w:rsidR="004350C3" w:rsidRDefault="004350C3" w:rsidP="006B7861">
      <w:pPr>
        <w:spacing w:after="0" w:line="240" w:lineRule="auto"/>
        <w:rPr>
          <w:b/>
        </w:rPr>
      </w:pPr>
    </w:p>
    <w:p w:rsidR="006B7861" w:rsidRPr="006B7861" w:rsidRDefault="006B7861" w:rsidP="006B7861">
      <w:pPr>
        <w:spacing w:after="0" w:line="240" w:lineRule="auto"/>
        <w:rPr>
          <w:b/>
        </w:rPr>
      </w:pPr>
      <w:r w:rsidRPr="006B7861">
        <w:rPr>
          <w:b/>
        </w:rPr>
        <w:t>Between 2013 and 2016</w:t>
      </w:r>
      <w:r w:rsidR="006F674F">
        <w:rPr>
          <w:b/>
        </w:rPr>
        <w:t>,</w:t>
      </w:r>
      <w:r w:rsidRPr="006B7861">
        <w:rPr>
          <w:b/>
        </w:rPr>
        <w:t xml:space="preserve"> math proficiency rates improved by 3, 5, and 2 percentage points at Dighton Elementary, Palmer River, and Dighton-Rehoboth Regional, </w:t>
      </w:r>
      <w:r w:rsidR="00F52FEE">
        <w:rPr>
          <w:b/>
        </w:rPr>
        <w:t xml:space="preserve">respectively, </w:t>
      </w:r>
      <w:r w:rsidRPr="006B7861">
        <w:rPr>
          <w:b/>
        </w:rPr>
        <w:t>and declined by 5 and 2 percentage points at Dighton Middle and Beckwith</w:t>
      </w:r>
      <w:r w:rsidR="00F52FEE">
        <w:rPr>
          <w:b/>
        </w:rPr>
        <w:t>, respectively</w:t>
      </w:r>
      <w:r w:rsidRPr="006B7861">
        <w:rPr>
          <w:b/>
        </w:rPr>
        <w:t>.</w:t>
      </w:r>
    </w:p>
    <w:p w:rsidR="006B7861" w:rsidRPr="006B7861" w:rsidRDefault="00F52FEE" w:rsidP="006B7861">
      <w:pPr>
        <w:numPr>
          <w:ilvl w:val="0"/>
          <w:numId w:val="43"/>
        </w:numPr>
        <w:spacing w:after="0" w:line="240" w:lineRule="auto"/>
        <w:contextualSpacing/>
      </w:pPr>
      <w:r>
        <w:lastRenderedPageBreak/>
        <w:t>M</w:t>
      </w:r>
      <w:r w:rsidR="006B7861" w:rsidRPr="006B7861">
        <w:t>ath proficiency rates for high needs students improved by 6 and 8 percentage points at Dighton Elementary and Palmer River</w:t>
      </w:r>
      <w:r>
        <w:t>, respectively,</w:t>
      </w:r>
      <w:r w:rsidR="006B7861" w:rsidRPr="006B7861">
        <w:t xml:space="preserve"> and by 2 and 3 percentage points at Dighton Middle and Dighton-Rehoboth Regional High, </w:t>
      </w:r>
      <w:r>
        <w:t xml:space="preserve">respectively, </w:t>
      </w:r>
      <w:r w:rsidR="006B7861" w:rsidRPr="006B7861">
        <w:t>and declined by 3 percentage points at Beckwith.</w:t>
      </w:r>
    </w:p>
    <w:p w:rsidR="006B7861" w:rsidRDefault="00F52FEE" w:rsidP="006B7861">
      <w:pPr>
        <w:numPr>
          <w:ilvl w:val="0"/>
          <w:numId w:val="43"/>
        </w:numPr>
        <w:spacing w:after="0" w:line="240" w:lineRule="auto"/>
        <w:contextualSpacing/>
      </w:pPr>
      <w:r>
        <w:t>M</w:t>
      </w:r>
      <w:r w:rsidR="006B7861" w:rsidRPr="006B7861">
        <w:t>ath proficiency rates for students with disabilities improved by 4 and 11 percentage points at Dighton Elementary and Palmer River</w:t>
      </w:r>
      <w:r>
        <w:t>,</w:t>
      </w:r>
      <w:r w:rsidRPr="00F52FEE">
        <w:t xml:space="preserve"> </w:t>
      </w:r>
      <w:r>
        <w:t>respectively,</w:t>
      </w:r>
      <w:r w:rsidR="006B7861" w:rsidRPr="006B7861">
        <w:t xml:space="preserve"> and by 9 and 11 percentage points at Dighton Middle and Dighton-Rehoboth Regional High, </w:t>
      </w:r>
      <w:r>
        <w:t xml:space="preserve">respectively, </w:t>
      </w:r>
      <w:r w:rsidR="006B7861" w:rsidRPr="006B7861">
        <w:t>and declined by 3 percentage points at Beckwith.</w:t>
      </w:r>
    </w:p>
    <w:p w:rsidR="00F55563" w:rsidRDefault="00F55563" w:rsidP="00F55563">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6B7861" w:rsidRPr="006B7861" w:rsidTr="008F0BE1">
        <w:tc>
          <w:tcPr>
            <w:tcW w:w="9576" w:type="dxa"/>
            <w:gridSpan w:val="6"/>
            <w:tcBorders>
              <w:top w:val="nil"/>
              <w:left w:val="nil"/>
              <w:right w:val="nil"/>
            </w:tcBorders>
          </w:tcPr>
          <w:p w:rsidR="006B7861" w:rsidRPr="006B7861" w:rsidRDefault="006B7861" w:rsidP="006B7861">
            <w:pPr>
              <w:spacing w:after="0" w:line="240" w:lineRule="auto"/>
              <w:jc w:val="center"/>
              <w:rPr>
                <w:b/>
                <w:sz w:val="20"/>
                <w:szCs w:val="20"/>
              </w:rPr>
            </w:pPr>
            <w:r w:rsidRPr="006B7861">
              <w:rPr>
                <w:b/>
                <w:sz w:val="20"/>
                <w:szCs w:val="20"/>
              </w:rPr>
              <w:t>Table 17: Dighton-Rehoboth Public Schools</w:t>
            </w:r>
          </w:p>
          <w:p w:rsidR="00DC432A" w:rsidRDefault="006B7861">
            <w:pPr>
              <w:spacing w:after="0" w:line="240" w:lineRule="auto"/>
              <w:jc w:val="center"/>
              <w:rPr>
                <w:b/>
                <w:sz w:val="20"/>
                <w:szCs w:val="20"/>
              </w:rPr>
            </w:pPr>
            <w:r w:rsidRPr="006B7861">
              <w:rPr>
                <w:b/>
                <w:sz w:val="20"/>
                <w:szCs w:val="20"/>
              </w:rPr>
              <w:t xml:space="preserve">Math </w:t>
            </w:r>
            <w:r w:rsidR="00F52FEE">
              <w:rPr>
                <w:b/>
                <w:sz w:val="20"/>
                <w:szCs w:val="20"/>
              </w:rPr>
              <w:t xml:space="preserve">Percent </w:t>
            </w:r>
            <w:r w:rsidRPr="006B7861">
              <w:rPr>
                <w:b/>
                <w:sz w:val="20"/>
                <w:szCs w:val="20"/>
              </w:rPr>
              <w:t>Proficient or Advanced by School and Subgroup 2013</w:t>
            </w:r>
            <w:r w:rsidR="001D3BEF">
              <w:rPr>
                <w:b/>
                <w:sz w:val="20"/>
                <w:szCs w:val="20"/>
              </w:rPr>
              <w:t>–</w:t>
            </w:r>
            <w:r w:rsidRPr="006B7861">
              <w:rPr>
                <w:b/>
                <w:sz w:val="20"/>
                <w:szCs w:val="20"/>
              </w:rPr>
              <w:t>2016</w:t>
            </w:r>
          </w:p>
        </w:tc>
      </w:tr>
      <w:tr w:rsidR="006B7861" w:rsidRPr="006B7861" w:rsidTr="008F0BE1">
        <w:tc>
          <w:tcPr>
            <w:tcW w:w="3438" w:type="dxa"/>
            <w:shd w:val="clear" w:color="auto" w:fill="D9D9D9" w:themeFill="background1" w:themeFillShade="D9"/>
          </w:tcPr>
          <w:p w:rsidR="006B7861" w:rsidRPr="006B7861" w:rsidRDefault="006B7861" w:rsidP="006B7861">
            <w:pPr>
              <w:spacing w:after="0" w:line="240" w:lineRule="auto"/>
              <w:rPr>
                <w:b/>
                <w:sz w:val="20"/>
                <w:szCs w:val="20"/>
              </w:rPr>
            </w:pP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2013</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2014</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2015</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2016</w:t>
            </w:r>
          </w:p>
        </w:tc>
        <w:tc>
          <w:tcPr>
            <w:tcW w:w="1818"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3- or 4-Year Trend</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Elementary</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60%</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63%</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44%</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Palmer River</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53%</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55%</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64%</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15%</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Middle</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33%</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9%</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Beckwith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61%</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58%</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shd w:val="clear" w:color="auto" w:fill="D9D9D9" w:themeFill="background1" w:themeFillShade="D9"/>
            <w:vAlign w:val="bottom"/>
          </w:tcPr>
          <w:p w:rsidR="006B7861" w:rsidRPr="006B7861" w:rsidRDefault="006B7861" w:rsidP="00AB1BA9">
            <w:pPr>
              <w:spacing w:after="0" w:line="240" w:lineRule="auto"/>
              <w:jc w:val="center"/>
              <w:rPr>
                <w:rFonts w:ascii="Calibri" w:hAnsi="Calibri"/>
                <w:sz w:val="20"/>
                <w:szCs w:val="20"/>
              </w:rPr>
            </w:pPr>
            <w:r w:rsidRPr="006B7861">
              <w:rPr>
                <w:rFonts w:ascii="Calibri" w:hAnsi="Calibri"/>
                <w:sz w:val="20"/>
                <w:szCs w:val="20"/>
              </w:rPr>
              <w:t xml:space="preserve">Dighton-Rehoboth </w:t>
            </w:r>
            <w:r w:rsidR="00AB1BA9" w:rsidRPr="006B7861">
              <w:rPr>
                <w:rFonts w:ascii="Calibri" w:hAnsi="Calibri"/>
                <w:sz w:val="20"/>
                <w:szCs w:val="20"/>
              </w:rPr>
              <w:t>Reg</w:t>
            </w:r>
            <w:r w:rsidR="00AB1BA9">
              <w:rPr>
                <w:rFonts w:ascii="Calibri" w:hAnsi="Calibri"/>
                <w:sz w:val="20"/>
                <w:szCs w:val="20"/>
              </w:rPr>
              <w:t>iona</w:t>
            </w:r>
            <w:r w:rsidR="00AB1BA9" w:rsidRPr="006B7861">
              <w:rPr>
                <w:rFonts w:ascii="Calibri" w:hAnsi="Calibri"/>
                <w:sz w:val="20"/>
                <w:szCs w:val="20"/>
              </w:rPr>
              <w:t xml:space="preserve">l </w:t>
            </w:r>
            <w:r w:rsidRPr="006B7861">
              <w:rPr>
                <w:rFonts w:ascii="Calibri" w:hAnsi="Calibri"/>
                <w:sz w:val="20"/>
                <w:szCs w:val="20"/>
              </w:rPr>
              <w:t>High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83%</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83%</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85%</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73%</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35%</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Default="006B7861" w:rsidP="006B7861">
      <w:pPr>
        <w:spacing w:after="0" w:line="240" w:lineRule="auto"/>
      </w:pPr>
    </w:p>
    <w:p w:rsidR="007C26E9" w:rsidRDefault="007C26E9" w:rsidP="006B7861">
      <w:pPr>
        <w:spacing w:after="0" w:line="240" w:lineRule="auto"/>
      </w:pPr>
    </w:p>
    <w:p w:rsidR="007C26E9" w:rsidRPr="006B7861" w:rsidRDefault="007C26E9" w:rsidP="006B7861">
      <w:pPr>
        <w:spacing w:after="0" w:line="240" w:lineRule="auto"/>
      </w:pPr>
    </w:p>
    <w:p w:rsidR="006B7861" w:rsidRPr="006B7861" w:rsidRDefault="006B7861" w:rsidP="006B7861">
      <w:pPr>
        <w:spacing w:after="0" w:line="240" w:lineRule="auto"/>
        <w:rPr>
          <w:rFonts w:eastAsia="Times New Roman" w:cs="Times New Roman"/>
          <w:b/>
        </w:rPr>
      </w:pPr>
      <w:r w:rsidRPr="006B7861">
        <w:rPr>
          <w:rFonts w:eastAsia="Times New Roman" w:cs="Times New Roman"/>
          <w:b/>
        </w:rPr>
        <w:lastRenderedPageBreak/>
        <w:t>Between 2013 and 2016</w:t>
      </w:r>
      <w:r w:rsidR="009047F5">
        <w:rPr>
          <w:rFonts w:eastAsia="Times New Roman" w:cs="Times New Roman"/>
          <w:b/>
        </w:rPr>
        <w:t>,</w:t>
      </w:r>
      <w:r w:rsidRPr="006B7861">
        <w:rPr>
          <w:rFonts w:eastAsia="Times New Roman" w:cs="Times New Roman"/>
          <w:b/>
        </w:rPr>
        <w:t xml:space="preserve"> science proficiency rates improved by 4 percentage points in the district as whole</w:t>
      </w:r>
      <w:r w:rsidR="000F7F20">
        <w:rPr>
          <w:rFonts w:eastAsia="Times New Roman" w:cs="Times New Roman"/>
          <w:b/>
        </w:rPr>
        <w:t>,</w:t>
      </w:r>
      <w:r w:rsidRPr="006B7861">
        <w:rPr>
          <w:rFonts w:eastAsia="Times New Roman" w:cs="Times New Roman"/>
          <w:b/>
        </w:rPr>
        <w:t xml:space="preserve"> from 50 percent in 2013 to 54 percent in 2016, equal to the </w:t>
      </w:r>
      <w:r w:rsidR="009047F5">
        <w:rPr>
          <w:rFonts w:eastAsia="Times New Roman" w:cs="Times New Roman"/>
          <w:b/>
        </w:rPr>
        <w:t xml:space="preserve">2016 </w:t>
      </w:r>
      <w:r w:rsidRPr="006B7861">
        <w:rPr>
          <w:rFonts w:eastAsia="Times New Roman" w:cs="Times New Roman"/>
          <w:b/>
        </w:rPr>
        <w:t xml:space="preserve">state rate of 54 percent. </w:t>
      </w:r>
    </w:p>
    <w:p w:rsidR="006B7861" w:rsidRPr="006B7861" w:rsidRDefault="006B7861" w:rsidP="006B7861">
      <w:pPr>
        <w:spacing w:after="0" w:line="240" w:lineRule="auto"/>
        <w:rPr>
          <w:rFonts w:eastAsia="Times New Roman" w:cs="Times New Roman"/>
        </w:rPr>
      </w:pPr>
    </w:p>
    <w:p w:rsidR="006B7861" w:rsidRPr="006B7861" w:rsidRDefault="006B7861" w:rsidP="006B7861">
      <w:pPr>
        <w:numPr>
          <w:ilvl w:val="0"/>
          <w:numId w:val="42"/>
        </w:numPr>
        <w:spacing w:after="0" w:line="240" w:lineRule="auto"/>
        <w:contextualSpacing/>
        <w:rPr>
          <w:rFonts w:eastAsia="Times New Roman" w:cs="Times New Roman"/>
        </w:rPr>
      </w:pPr>
      <w:r w:rsidRPr="006B7861">
        <w:rPr>
          <w:rFonts w:eastAsia="Times New Roman" w:cs="Times New Roman"/>
        </w:rPr>
        <w:t>5</w:t>
      </w:r>
      <w:r w:rsidRPr="006B7861">
        <w:rPr>
          <w:rFonts w:eastAsia="Times New Roman" w:cs="Times New Roman"/>
          <w:vertAlign w:val="superscript"/>
        </w:rPr>
        <w:t>th</w:t>
      </w:r>
      <w:r w:rsidRPr="006B7861">
        <w:rPr>
          <w:rFonts w:eastAsia="Times New Roman" w:cs="Times New Roman"/>
        </w:rPr>
        <w:t xml:space="preserve"> grade science proficiency rates declined by 11 percentage points from 51 percent in 2013 to 40 percent in 2016, 7 percentage points below the </w:t>
      </w:r>
      <w:r w:rsidR="009047F5">
        <w:rPr>
          <w:rFonts w:eastAsia="Times New Roman" w:cs="Times New Roman"/>
        </w:rPr>
        <w:t xml:space="preserve">2016 </w:t>
      </w:r>
      <w:r w:rsidRPr="006B7861">
        <w:rPr>
          <w:rFonts w:eastAsia="Times New Roman" w:cs="Times New Roman"/>
        </w:rPr>
        <w:t>state rate of 47 percent.</w:t>
      </w:r>
    </w:p>
    <w:p w:rsidR="006B7861" w:rsidRPr="006B7861" w:rsidRDefault="006B7861" w:rsidP="006B7861">
      <w:pPr>
        <w:spacing w:after="0" w:line="240" w:lineRule="auto"/>
        <w:ind w:left="720"/>
        <w:contextualSpacing/>
        <w:rPr>
          <w:rFonts w:eastAsia="Times New Roman" w:cs="Times New Roman"/>
        </w:rPr>
      </w:pPr>
    </w:p>
    <w:p w:rsidR="006B7861" w:rsidRPr="006B7861" w:rsidRDefault="006B7861" w:rsidP="006B7861">
      <w:pPr>
        <w:numPr>
          <w:ilvl w:val="0"/>
          <w:numId w:val="42"/>
        </w:numPr>
        <w:spacing w:after="0" w:line="240" w:lineRule="auto"/>
        <w:contextualSpacing/>
        <w:rPr>
          <w:rFonts w:eastAsia="Times New Roman" w:cs="Times New Roman"/>
        </w:rPr>
      </w:pPr>
      <w:r w:rsidRPr="006B7861">
        <w:rPr>
          <w:rFonts w:eastAsia="Times New Roman" w:cs="Times New Roman"/>
        </w:rPr>
        <w:t>8</w:t>
      </w:r>
      <w:r w:rsidRPr="006B7861">
        <w:rPr>
          <w:rFonts w:eastAsia="Times New Roman" w:cs="Times New Roman"/>
          <w:vertAlign w:val="superscript"/>
        </w:rPr>
        <w:t>th</w:t>
      </w:r>
      <w:r w:rsidRPr="006B7861">
        <w:rPr>
          <w:rFonts w:eastAsia="Times New Roman" w:cs="Times New Roman"/>
        </w:rPr>
        <w:t xml:space="preserve"> grade science proficiency rates improved by 2 percentage points from 37 percent in 2013 to 39 percent in 2016, 2 percentage points below the </w:t>
      </w:r>
      <w:r w:rsidR="009047F5">
        <w:rPr>
          <w:rFonts w:eastAsia="Times New Roman" w:cs="Times New Roman"/>
        </w:rPr>
        <w:t xml:space="preserve">2016 </w:t>
      </w:r>
      <w:r w:rsidRPr="006B7861">
        <w:rPr>
          <w:rFonts w:eastAsia="Times New Roman" w:cs="Times New Roman"/>
        </w:rPr>
        <w:t>state rate of 41 percent.</w:t>
      </w:r>
    </w:p>
    <w:p w:rsidR="006B7861" w:rsidRPr="006B7861" w:rsidRDefault="006B7861" w:rsidP="006B7861">
      <w:pPr>
        <w:spacing w:after="0" w:line="240" w:lineRule="auto"/>
        <w:ind w:left="720"/>
        <w:contextualSpacing/>
        <w:rPr>
          <w:rFonts w:eastAsia="Times New Roman" w:cs="Times New Roman"/>
        </w:rPr>
      </w:pPr>
    </w:p>
    <w:p w:rsidR="006B7861" w:rsidRPr="006B7861" w:rsidRDefault="006B7861" w:rsidP="006B7861">
      <w:pPr>
        <w:numPr>
          <w:ilvl w:val="0"/>
          <w:numId w:val="42"/>
        </w:numPr>
        <w:spacing w:after="0" w:line="240" w:lineRule="auto"/>
        <w:contextualSpacing/>
        <w:rPr>
          <w:rFonts w:eastAsia="Times New Roman" w:cs="Times New Roman"/>
        </w:rPr>
      </w:pPr>
      <w:r w:rsidRPr="006B7861">
        <w:rPr>
          <w:rFonts w:eastAsia="Times New Roman" w:cs="Times New Roman"/>
        </w:rPr>
        <w:t>10</w:t>
      </w:r>
      <w:r w:rsidRPr="006B7861">
        <w:rPr>
          <w:rFonts w:eastAsia="Times New Roman" w:cs="Times New Roman"/>
          <w:vertAlign w:val="superscript"/>
        </w:rPr>
        <w:t>th</w:t>
      </w:r>
      <w:r w:rsidRPr="006B7861">
        <w:rPr>
          <w:rFonts w:eastAsia="Times New Roman" w:cs="Times New Roman"/>
        </w:rPr>
        <w:t xml:space="preserve"> grade science proficiency rates improved by 22 percentage points from 66 percent in 2013 to 88 percent in 2016, 15 percentage points above the </w:t>
      </w:r>
      <w:r w:rsidR="009047F5">
        <w:rPr>
          <w:rFonts w:eastAsia="Times New Roman" w:cs="Times New Roman"/>
        </w:rPr>
        <w:t xml:space="preserve">2016 </w:t>
      </w:r>
      <w:r w:rsidRPr="006B7861">
        <w:rPr>
          <w:rFonts w:eastAsia="Times New Roman" w:cs="Times New Roman"/>
        </w:rPr>
        <w:t>state rate of 73 percent.</w:t>
      </w:r>
    </w:p>
    <w:p w:rsidR="006B7861" w:rsidRPr="006B7861" w:rsidRDefault="006B7861" w:rsidP="006B7861">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6B7861" w:rsidRPr="006B7861" w:rsidTr="008F0BE1">
        <w:tc>
          <w:tcPr>
            <w:tcW w:w="9576" w:type="dxa"/>
            <w:gridSpan w:val="9"/>
            <w:tcBorders>
              <w:top w:val="nil"/>
              <w:left w:val="nil"/>
              <w:right w:val="nil"/>
            </w:tcBorders>
            <w:vAlign w:val="center"/>
          </w:tcPr>
          <w:p w:rsidR="006B7861" w:rsidRPr="006B7861" w:rsidRDefault="006B7861" w:rsidP="006B7861">
            <w:pPr>
              <w:spacing w:after="0" w:line="240" w:lineRule="auto"/>
              <w:jc w:val="center"/>
              <w:rPr>
                <w:b/>
                <w:sz w:val="20"/>
                <w:szCs w:val="20"/>
              </w:rPr>
            </w:pPr>
            <w:r w:rsidRPr="006B7861">
              <w:rPr>
                <w:b/>
                <w:sz w:val="20"/>
                <w:szCs w:val="20"/>
              </w:rPr>
              <w:t>Table 18: Dighton-Rehoboth Public Schools</w:t>
            </w:r>
          </w:p>
          <w:p w:rsidR="00DC432A" w:rsidRDefault="006B7861">
            <w:pPr>
              <w:spacing w:after="0" w:line="240" w:lineRule="auto"/>
              <w:jc w:val="center"/>
              <w:rPr>
                <w:b/>
                <w:sz w:val="20"/>
                <w:szCs w:val="20"/>
              </w:rPr>
            </w:pPr>
            <w:r w:rsidRPr="006B7861">
              <w:rPr>
                <w:b/>
                <w:sz w:val="20"/>
                <w:szCs w:val="20"/>
              </w:rPr>
              <w:t>Science Percent Proficient or Advanced by Grade 2013</w:t>
            </w:r>
            <w:r w:rsidR="00E01B2E">
              <w:rPr>
                <w:b/>
                <w:sz w:val="20"/>
                <w:szCs w:val="20"/>
              </w:rPr>
              <w:t>–</w:t>
            </w:r>
            <w:r w:rsidRPr="006B7861">
              <w:rPr>
                <w:b/>
                <w:sz w:val="20"/>
                <w:szCs w:val="20"/>
              </w:rPr>
              <w:t>2016</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Grade</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Number</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2013</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2014</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2015</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2016</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State</w:t>
            </w:r>
            <w:r w:rsidR="008B2BB3">
              <w:rPr>
                <w:b/>
                <w:sz w:val="20"/>
                <w:szCs w:val="20"/>
              </w:rPr>
              <w:t xml:space="preserve"> (2016)</w:t>
            </w:r>
          </w:p>
        </w:tc>
        <w:tc>
          <w:tcPr>
            <w:tcW w:w="1077"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4-Year Trend</w:t>
            </w:r>
          </w:p>
        </w:tc>
        <w:tc>
          <w:tcPr>
            <w:tcW w:w="1078" w:type="dxa"/>
            <w:shd w:val="clear" w:color="auto" w:fill="D9D9D9" w:themeFill="background1" w:themeFillShade="D9"/>
            <w:vAlign w:val="center"/>
          </w:tcPr>
          <w:p w:rsidR="006B7861" w:rsidRPr="006B7861" w:rsidRDefault="006B7861" w:rsidP="006B7861">
            <w:pPr>
              <w:spacing w:after="0" w:line="240" w:lineRule="auto"/>
              <w:jc w:val="center"/>
              <w:rPr>
                <w:b/>
                <w:sz w:val="20"/>
                <w:szCs w:val="20"/>
              </w:rPr>
            </w:pPr>
            <w:r w:rsidRPr="006B7861">
              <w:rPr>
                <w:b/>
                <w:sz w:val="20"/>
                <w:szCs w:val="20"/>
              </w:rPr>
              <w:t>2-Year Trend</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5</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231</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51%</w:t>
            </w:r>
          </w:p>
        </w:tc>
        <w:tc>
          <w:tcPr>
            <w:tcW w:w="107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51%</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41%</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40%</w:t>
            </w:r>
          </w:p>
        </w:tc>
        <w:tc>
          <w:tcPr>
            <w:tcW w:w="107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77" w:type="dxa"/>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-11%</w:t>
            </w:r>
          </w:p>
        </w:tc>
        <w:tc>
          <w:tcPr>
            <w:tcW w:w="1078" w:type="dxa"/>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-1%</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8</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242</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10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40%</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39%</w:t>
            </w:r>
          </w:p>
        </w:tc>
        <w:tc>
          <w:tcPr>
            <w:tcW w:w="10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41%</w:t>
            </w:r>
          </w:p>
        </w:tc>
        <w:tc>
          <w:tcPr>
            <w:tcW w:w="1077" w:type="dxa"/>
            <w:shd w:val="clear" w:color="auto" w:fill="D9D9D9" w:themeFill="background1" w:themeFillShade="D9"/>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2%</w:t>
            </w:r>
          </w:p>
        </w:tc>
        <w:tc>
          <w:tcPr>
            <w:tcW w:w="1078" w:type="dxa"/>
            <w:shd w:val="clear" w:color="auto" w:fill="D9D9D9" w:themeFill="background1" w:themeFillShade="D9"/>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-1%</w:t>
            </w:r>
          </w:p>
        </w:tc>
      </w:tr>
      <w:tr w:rsidR="006B7861" w:rsidRPr="006B7861" w:rsidTr="008F0BE1">
        <w:tc>
          <w:tcPr>
            <w:tcW w:w="957" w:type="dxa"/>
            <w:vAlign w:val="center"/>
          </w:tcPr>
          <w:p w:rsidR="006B7861" w:rsidRPr="006B7861" w:rsidRDefault="006B7861" w:rsidP="006B7861">
            <w:pPr>
              <w:spacing w:after="0" w:line="240" w:lineRule="auto"/>
              <w:jc w:val="center"/>
              <w:rPr>
                <w:sz w:val="20"/>
                <w:szCs w:val="20"/>
              </w:rPr>
            </w:pPr>
            <w:r w:rsidRPr="006B7861">
              <w:rPr>
                <w:sz w:val="20"/>
                <w:szCs w:val="20"/>
              </w:rPr>
              <w:t>10</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199</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66%</w:t>
            </w:r>
          </w:p>
        </w:tc>
        <w:tc>
          <w:tcPr>
            <w:tcW w:w="107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75%</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87%</w:t>
            </w:r>
          </w:p>
        </w:tc>
        <w:tc>
          <w:tcPr>
            <w:tcW w:w="1077"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07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73%</w:t>
            </w:r>
          </w:p>
        </w:tc>
        <w:tc>
          <w:tcPr>
            <w:tcW w:w="1077" w:type="dxa"/>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22%</w:t>
            </w:r>
          </w:p>
        </w:tc>
        <w:tc>
          <w:tcPr>
            <w:tcW w:w="1078" w:type="dxa"/>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1%</w:t>
            </w:r>
          </w:p>
        </w:tc>
      </w:tr>
      <w:tr w:rsidR="006B7861" w:rsidRPr="006B7861" w:rsidTr="008F0BE1">
        <w:tc>
          <w:tcPr>
            <w:tcW w:w="957" w:type="dxa"/>
            <w:shd w:val="clear" w:color="auto" w:fill="D9D9D9" w:themeFill="background1" w:themeFillShade="D9"/>
            <w:vAlign w:val="center"/>
          </w:tcPr>
          <w:p w:rsidR="006B7861" w:rsidRPr="006B7861" w:rsidRDefault="006B7861" w:rsidP="006B7861">
            <w:pPr>
              <w:spacing w:after="0" w:line="240" w:lineRule="auto"/>
              <w:jc w:val="center"/>
              <w:rPr>
                <w:sz w:val="20"/>
                <w:szCs w:val="20"/>
              </w:rPr>
            </w:pPr>
            <w:r w:rsidRPr="006B7861">
              <w:rPr>
                <w:sz w:val="20"/>
                <w:szCs w:val="20"/>
              </w:rPr>
              <w:t>All</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672</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50%</w:t>
            </w:r>
          </w:p>
        </w:tc>
        <w:tc>
          <w:tcPr>
            <w:tcW w:w="10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56%</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77"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c>
          <w:tcPr>
            <w:tcW w:w="1077" w:type="dxa"/>
            <w:shd w:val="clear" w:color="auto" w:fill="D9D9D9" w:themeFill="background1" w:themeFillShade="D9"/>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4%</w:t>
            </w:r>
          </w:p>
        </w:tc>
        <w:tc>
          <w:tcPr>
            <w:tcW w:w="1078" w:type="dxa"/>
            <w:shd w:val="clear" w:color="auto" w:fill="D9D9D9" w:themeFill="background1" w:themeFillShade="D9"/>
            <w:vAlign w:val="bottom"/>
          </w:tcPr>
          <w:p w:rsidR="006B7861" w:rsidRPr="006B7861" w:rsidRDefault="006B7861" w:rsidP="006B7861">
            <w:pPr>
              <w:spacing w:after="0" w:line="240" w:lineRule="auto"/>
              <w:jc w:val="right"/>
              <w:rPr>
                <w:rFonts w:ascii="Calibri" w:hAnsi="Calibri"/>
                <w:sz w:val="20"/>
                <w:szCs w:val="20"/>
              </w:rPr>
            </w:pPr>
            <w:r w:rsidRPr="006B7861">
              <w:rPr>
                <w:rFonts w:ascii="Calibri" w:hAnsi="Calibri"/>
                <w:sz w:val="20"/>
                <w:szCs w:val="20"/>
              </w:rPr>
              <w:t>0%</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rPr>
          <w:b/>
        </w:rPr>
      </w:pPr>
      <w:r w:rsidRPr="006B7861">
        <w:rPr>
          <w:b/>
        </w:rPr>
        <w:t>In 2016</w:t>
      </w:r>
      <w:r w:rsidR="009047F5">
        <w:rPr>
          <w:b/>
        </w:rPr>
        <w:t>,</w:t>
      </w:r>
      <w:r w:rsidRPr="006B7861">
        <w:rPr>
          <w:b/>
        </w:rPr>
        <w:t xml:space="preserve"> science proficiency rates in the 5</w:t>
      </w:r>
      <w:r w:rsidRPr="006B7861">
        <w:rPr>
          <w:b/>
          <w:vertAlign w:val="superscript"/>
        </w:rPr>
        <w:t>th</w:t>
      </w:r>
      <w:r w:rsidRPr="006B7861">
        <w:rPr>
          <w:b/>
        </w:rPr>
        <w:t xml:space="preserve"> grade </w:t>
      </w:r>
      <w:r w:rsidR="009047F5">
        <w:rPr>
          <w:b/>
        </w:rPr>
        <w:t xml:space="preserve">were 54 </w:t>
      </w:r>
      <w:r w:rsidRPr="006B7861">
        <w:rPr>
          <w:b/>
        </w:rPr>
        <w:t>and 36 percent at Dighton Middle and Beckwith</w:t>
      </w:r>
      <w:r w:rsidR="009047F5" w:rsidRPr="009047F5">
        <w:rPr>
          <w:b/>
        </w:rPr>
        <w:t>,</w:t>
      </w:r>
      <w:r w:rsidR="00BD44BB" w:rsidRPr="00BD44BB">
        <w:rPr>
          <w:b/>
        </w:rPr>
        <w:t xml:space="preserve"> respectively,</w:t>
      </w:r>
      <w:r w:rsidRPr="006B7861">
        <w:rPr>
          <w:b/>
        </w:rPr>
        <w:t xml:space="preserve"> compared </w:t>
      </w:r>
      <w:r w:rsidR="009047F5">
        <w:rPr>
          <w:b/>
        </w:rPr>
        <w:t>with</w:t>
      </w:r>
      <w:r w:rsidR="009047F5" w:rsidRPr="006B7861">
        <w:rPr>
          <w:b/>
        </w:rPr>
        <w:t xml:space="preserve"> </w:t>
      </w:r>
      <w:r w:rsidRPr="006B7861">
        <w:rPr>
          <w:b/>
        </w:rPr>
        <w:t xml:space="preserve">the </w:t>
      </w:r>
      <w:r w:rsidR="009047F5">
        <w:rPr>
          <w:b/>
        </w:rPr>
        <w:t xml:space="preserve">2016 </w:t>
      </w:r>
      <w:r w:rsidRPr="006B7861">
        <w:rPr>
          <w:b/>
        </w:rPr>
        <w:t>state rate of 47 percent. In the 8</w:t>
      </w:r>
      <w:r w:rsidRPr="006B7861">
        <w:rPr>
          <w:b/>
          <w:vertAlign w:val="superscript"/>
        </w:rPr>
        <w:t>th</w:t>
      </w:r>
      <w:r w:rsidRPr="006B7861">
        <w:rPr>
          <w:b/>
        </w:rPr>
        <w:t xml:space="preserve"> grade science proficiency </w:t>
      </w:r>
      <w:r w:rsidR="009047F5">
        <w:rPr>
          <w:b/>
        </w:rPr>
        <w:t xml:space="preserve">rates were </w:t>
      </w:r>
      <w:r w:rsidRPr="006B7861">
        <w:rPr>
          <w:b/>
        </w:rPr>
        <w:t xml:space="preserve">42 </w:t>
      </w:r>
      <w:r w:rsidR="009047F5">
        <w:rPr>
          <w:b/>
        </w:rPr>
        <w:t xml:space="preserve">percent </w:t>
      </w:r>
      <w:r w:rsidRPr="006B7861">
        <w:rPr>
          <w:b/>
        </w:rPr>
        <w:t>and 37 percent at Dighton Middle and Beckwith</w:t>
      </w:r>
      <w:r w:rsidR="009047F5" w:rsidRPr="009047F5">
        <w:rPr>
          <w:b/>
        </w:rPr>
        <w:t>,</w:t>
      </w:r>
      <w:r w:rsidR="00BD44BB" w:rsidRPr="00BD44BB">
        <w:rPr>
          <w:b/>
        </w:rPr>
        <w:t xml:space="preserve"> respectively,</w:t>
      </w:r>
      <w:r w:rsidRPr="006B7861">
        <w:rPr>
          <w:b/>
        </w:rPr>
        <w:t xml:space="preserve"> compared </w:t>
      </w:r>
      <w:r w:rsidR="009047F5">
        <w:rPr>
          <w:b/>
        </w:rPr>
        <w:t>with</w:t>
      </w:r>
      <w:r w:rsidR="009047F5" w:rsidRPr="006B7861">
        <w:rPr>
          <w:b/>
        </w:rPr>
        <w:t xml:space="preserve"> </w:t>
      </w:r>
      <w:r w:rsidRPr="006B7861">
        <w:rPr>
          <w:b/>
        </w:rPr>
        <w:t xml:space="preserve">the </w:t>
      </w:r>
      <w:r w:rsidR="009047F5">
        <w:rPr>
          <w:b/>
        </w:rPr>
        <w:t xml:space="preserve">2016 </w:t>
      </w:r>
      <w:r w:rsidRPr="006B7861">
        <w:rPr>
          <w:b/>
        </w:rPr>
        <w:t xml:space="preserve">state rate of 41 percent.  In grade 10, science proficiency was 88 percent at Dighton-Rehoboth Regional High, </w:t>
      </w:r>
      <w:r w:rsidR="000F7F20">
        <w:rPr>
          <w:b/>
        </w:rPr>
        <w:t xml:space="preserve">15 percentage points </w:t>
      </w:r>
      <w:r w:rsidRPr="006B7861">
        <w:rPr>
          <w:b/>
        </w:rPr>
        <w:t xml:space="preserve">above the </w:t>
      </w:r>
      <w:r w:rsidR="009047F5">
        <w:rPr>
          <w:b/>
        </w:rPr>
        <w:t xml:space="preserve">2016 </w:t>
      </w:r>
      <w:r w:rsidRPr="006B7861">
        <w:rPr>
          <w:b/>
        </w:rPr>
        <w:t>state rate of 73 percent.</w:t>
      </w:r>
    </w:p>
    <w:p w:rsidR="006B7861" w:rsidRPr="006B7861" w:rsidRDefault="006B7861" w:rsidP="006B7861">
      <w:pPr>
        <w:spacing w:after="0" w:line="240" w:lineRule="auto"/>
        <w:rPr>
          <w:b/>
        </w:rPr>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6B7861" w:rsidRPr="006B7861" w:rsidTr="008F0BE1">
        <w:tc>
          <w:tcPr>
            <w:tcW w:w="9558" w:type="dxa"/>
            <w:gridSpan w:val="9"/>
            <w:tcBorders>
              <w:top w:val="nil"/>
              <w:left w:val="nil"/>
              <w:right w:val="nil"/>
            </w:tcBorders>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Table 19: </w:t>
            </w:r>
            <w:r w:rsidRPr="006B7861">
              <w:rPr>
                <w:b/>
                <w:sz w:val="20"/>
                <w:szCs w:val="20"/>
              </w:rPr>
              <w:t>Dighton-Rehoboth</w:t>
            </w:r>
            <w:r w:rsidRPr="006B7861">
              <w:rPr>
                <w:rFonts w:eastAsia="Times New Roman" w:cs="Times New Roman"/>
                <w:b/>
                <w:sz w:val="20"/>
                <w:szCs w:val="20"/>
              </w:rPr>
              <w:t xml:space="preserve"> Public Schools</w:t>
            </w:r>
          </w:p>
          <w:p w:rsidR="006B7861" w:rsidRPr="006B7861" w:rsidRDefault="006B7861" w:rsidP="009047F5">
            <w:pPr>
              <w:spacing w:after="0" w:line="240" w:lineRule="auto"/>
              <w:jc w:val="center"/>
              <w:rPr>
                <w:rFonts w:eastAsia="Times New Roman" w:cs="Times New Roman"/>
                <w:b/>
                <w:sz w:val="20"/>
                <w:szCs w:val="20"/>
              </w:rPr>
            </w:pPr>
            <w:r w:rsidRPr="006B7861">
              <w:rPr>
                <w:rFonts w:eastAsia="Times New Roman" w:cs="Times New Roman"/>
                <w:b/>
                <w:sz w:val="20"/>
                <w:szCs w:val="20"/>
              </w:rPr>
              <w:t xml:space="preserve">Science </w:t>
            </w:r>
            <w:r w:rsidR="000D2990">
              <w:rPr>
                <w:rFonts w:eastAsia="Times New Roman" w:cs="Times New Roman"/>
                <w:b/>
                <w:sz w:val="20"/>
                <w:szCs w:val="20"/>
              </w:rPr>
              <w:t xml:space="preserve">Percent </w:t>
            </w:r>
            <w:r w:rsidRPr="006B7861">
              <w:rPr>
                <w:rFonts w:eastAsia="Times New Roman" w:cs="Times New Roman"/>
                <w:b/>
                <w:sz w:val="20"/>
                <w:szCs w:val="20"/>
              </w:rPr>
              <w:t>Proficient or Advanced by School and Grade 2015</w:t>
            </w:r>
            <w:r w:rsidR="009047F5">
              <w:rPr>
                <w:rFonts w:eastAsia="Times New Roman" w:cs="Times New Roman"/>
                <w:b/>
                <w:sz w:val="20"/>
                <w:szCs w:val="20"/>
              </w:rPr>
              <w:t>-</w:t>
            </w:r>
            <w:r w:rsidRPr="006B7861">
              <w:rPr>
                <w:rFonts w:eastAsia="Times New Roman" w:cs="Times New Roman"/>
                <w:b/>
                <w:sz w:val="20"/>
                <w:szCs w:val="20"/>
              </w:rPr>
              <w:t>2016</w:t>
            </w:r>
          </w:p>
        </w:tc>
      </w:tr>
      <w:tr w:rsidR="006B7861" w:rsidRPr="006B7861" w:rsidTr="008F0BE1">
        <w:tc>
          <w:tcPr>
            <w:tcW w:w="3330" w:type="dxa"/>
            <w:shd w:val="clear" w:color="auto" w:fill="D9D9D9" w:themeFill="background1" w:themeFillShade="D9"/>
          </w:tcPr>
          <w:p w:rsidR="006B7861" w:rsidRPr="006B7861" w:rsidRDefault="006B7861" w:rsidP="006B7861">
            <w:pPr>
              <w:spacing w:after="0" w:line="240" w:lineRule="auto"/>
              <w:rPr>
                <w:rFonts w:eastAsia="Times New Roman" w:cs="Times New Roman"/>
                <w:b/>
                <w:sz w:val="20"/>
                <w:szCs w:val="20"/>
              </w:rPr>
            </w:pPr>
            <w:r w:rsidRPr="006B7861">
              <w:rPr>
                <w:rFonts w:eastAsia="Times New Roman" w:cs="Times New Roman"/>
                <w:b/>
                <w:sz w:val="20"/>
                <w:szCs w:val="20"/>
              </w:rPr>
              <w:t>School</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3</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4</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5</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6</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7</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8</w:t>
            </w:r>
          </w:p>
        </w:tc>
        <w:tc>
          <w:tcPr>
            <w:tcW w:w="778"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10</w:t>
            </w:r>
          </w:p>
        </w:tc>
        <w:tc>
          <w:tcPr>
            <w:tcW w:w="779" w:type="dxa"/>
            <w:shd w:val="clear" w:color="auto" w:fill="D9D9D9" w:themeFill="background1" w:themeFillShade="D9"/>
          </w:tcPr>
          <w:p w:rsidR="006B7861" w:rsidRPr="006B7861" w:rsidRDefault="006B7861" w:rsidP="006B7861">
            <w:pPr>
              <w:spacing w:after="0" w:line="240" w:lineRule="auto"/>
              <w:jc w:val="center"/>
              <w:rPr>
                <w:rFonts w:eastAsia="Times New Roman" w:cs="Times New Roman"/>
                <w:b/>
                <w:sz w:val="20"/>
                <w:szCs w:val="20"/>
              </w:rPr>
            </w:pPr>
            <w:r w:rsidRPr="006B7861">
              <w:rPr>
                <w:rFonts w:eastAsia="Times New Roman" w:cs="Times New Roman"/>
                <w:b/>
                <w:sz w:val="20"/>
                <w:szCs w:val="20"/>
              </w:rPr>
              <w:t>Total</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Elementary</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Palmer River</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Middle</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44%</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Beckwith</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36%</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37%</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36%</w:t>
            </w:r>
          </w:p>
        </w:tc>
      </w:tr>
      <w:tr w:rsidR="006B7861" w:rsidRPr="006B7861" w:rsidTr="008F0BE1">
        <w:tc>
          <w:tcPr>
            <w:tcW w:w="3330" w:type="dxa"/>
            <w:shd w:val="clear" w:color="auto" w:fill="auto"/>
            <w:vAlign w:val="bottom"/>
          </w:tcPr>
          <w:p w:rsidR="006B7861" w:rsidRPr="006B7861" w:rsidRDefault="006B7861" w:rsidP="009047F5">
            <w:pPr>
              <w:spacing w:after="0" w:line="240" w:lineRule="auto"/>
              <w:jc w:val="center"/>
              <w:rPr>
                <w:rFonts w:ascii="Calibri" w:hAnsi="Calibri"/>
                <w:sz w:val="20"/>
                <w:szCs w:val="20"/>
              </w:rPr>
            </w:pPr>
            <w:r w:rsidRPr="006B7861">
              <w:rPr>
                <w:rFonts w:ascii="Calibri" w:hAnsi="Calibri"/>
                <w:sz w:val="20"/>
                <w:szCs w:val="20"/>
              </w:rPr>
              <w:t xml:space="preserve">Dighton-Rehoboth </w:t>
            </w:r>
            <w:r w:rsidR="009047F5" w:rsidRPr="006B7861">
              <w:rPr>
                <w:rFonts w:ascii="Calibri" w:hAnsi="Calibri"/>
                <w:sz w:val="20"/>
                <w:szCs w:val="20"/>
              </w:rPr>
              <w:t>Reg</w:t>
            </w:r>
            <w:r w:rsidR="009047F5">
              <w:rPr>
                <w:rFonts w:ascii="Calibri" w:hAnsi="Calibri"/>
                <w:sz w:val="20"/>
                <w:szCs w:val="20"/>
              </w:rPr>
              <w:t>iona</w:t>
            </w:r>
            <w:r w:rsidR="009047F5" w:rsidRPr="006B7861">
              <w:rPr>
                <w:rFonts w:ascii="Calibri" w:hAnsi="Calibri"/>
                <w:sz w:val="20"/>
                <w:szCs w:val="20"/>
              </w:rPr>
              <w:t xml:space="preserve">l </w:t>
            </w:r>
            <w:r w:rsidRPr="006B7861">
              <w:rPr>
                <w:rFonts w:ascii="Calibri" w:hAnsi="Calibri"/>
                <w:sz w:val="20"/>
                <w:szCs w:val="20"/>
              </w:rPr>
              <w:t>High</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779" w:type="dxa"/>
            <w:shd w:val="clear" w:color="auto" w:fill="auto"/>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r>
      <w:tr w:rsidR="006B7861" w:rsidRPr="006B7861" w:rsidTr="008F0BE1">
        <w:tc>
          <w:tcPr>
            <w:tcW w:w="3330" w:type="dxa"/>
            <w:shd w:val="clear" w:color="auto" w:fill="D9D9D9" w:themeFill="background1" w:themeFillShade="D9"/>
            <w:vAlign w:val="bottom"/>
          </w:tcPr>
          <w:p w:rsidR="006B7861" w:rsidRPr="006B7861" w:rsidRDefault="006B7861" w:rsidP="006B7861">
            <w:pPr>
              <w:spacing w:after="0" w:line="240" w:lineRule="auto"/>
              <w:jc w:val="center"/>
              <w:rPr>
                <w:sz w:val="20"/>
                <w:szCs w:val="20"/>
              </w:rPr>
            </w:pPr>
            <w:r w:rsidRPr="006B7861">
              <w:rPr>
                <w:sz w:val="20"/>
                <w:szCs w:val="20"/>
              </w:rPr>
              <w:t>District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40%</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39%</w:t>
            </w:r>
          </w:p>
        </w:tc>
        <w:tc>
          <w:tcPr>
            <w:tcW w:w="77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779"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54%</w:t>
            </w:r>
          </w:p>
        </w:tc>
      </w:tr>
      <w:tr w:rsidR="006B7861" w:rsidRPr="006B7861" w:rsidTr="008F0BE1">
        <w:tc>
          <w:tcPr>
            <w:tcW w:w="3330"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State</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47%</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41%</w:t>
            </w:r>
          </w:p>
        </w:tc>
        <w:tc>
          <w:tcPr>
            <w:tcW w:w="778"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73%</w:t>
            </w:r>
          </w:p>
        </w:tc>
        <w:tc>
          <w:tcPr>
            <w:tcW w:w="779" w:type="dxa"/>
            <w:shd w:val="clear" w:color="auto" w:fill="auto"/>
            <w:vAlign w:val="bottom"/>
          </w:tcPr>
          <w:p w:rsidR="006B7861" w:rsidRPr="006B7861" w:rsidRDefault="006B7861" w:rsidP="006B7861">
            <w:pPr>
              <w:spacing w:after="0" w:line="240" w:lineRule="auto"/>
              <w:jc w:val="center"/>
              <w:rPr>
                <w:sz w:val="20"/>
                <w:szCs w:val="20"/>
              </w:rPr>
            </w:pPr>
            <w:r w:rsidRPr="006B7861">
              <w:rPr>
                <w:sz w:val="20"/>
                <w:szCs w:val="20"/>
              </w:rPr>
              <w:t>54%</w:t>
            </w:r>
          </w:p>
        </w:tc>
      </w:tr>
    </w:tbl>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Pr="006B7861" w:rsidRDefault="006B7861" w:rsidP="006B7861">
      <w:pPr>
        <w:spacing w:after="0" w:line="240" w:lineRule="auto"/>
      </w:pPr>
    </w:p>
    <w:p w:rsidR="006B7861" w:rsidRDefault="006B7861" w:rsidP="006B7861">
      <w:pPr>
        <w:spacing w:after="0" w:line="240" w:lineRule="auto"/>
      </w:pPr>
    </w:p>
    <w:p w:rsidR="00EA1082" w:rsidRDefault="00EA1082" w:rsidP="006B7861">
      <w:pPr>
        <w:spacing w:after="0" w:line="240" w:lineRule="auto"/>
      </w:pPr>
    </w:p>
    <w:p w:rsidR="00EA1082" w:rsidRDefault="00EA1082" w:rsidP="006B7861">
      <w:pPr>
        <w:spacing w:after="0" w:line="240" w:lineRule="auto"/>
      </w:pPr>
    </w:p>
    <w:p w:rsidR="00EA1082" w:rsidRPr="006B7861" w:rsidRDefault="00EA1082" w:rsidP="006B7861">
      <w:pPr>
        <w:spacing w:after="0" w:line="240" w:lineRule="auto"/>
      </w:pPr>
    </w:p>
    <w:p w:rsidR="006B7861" w:rsidRDefault="006B7861" w:rsidP="006B7861">
      <w:pPr>
        <w:spacing w:after="0" w:line="240" w:lineRule="auto"/>
      </w:pPr>
    </w:p>
    <w:p w:rsidR="004350C3" w:rsidRPr="006B7861" w:rsidRDefault="004350C3" w:rsidP="006B7861">
      <w:pPr>
        <w:spacing w:after="0" w:line="240" w:lineRule="auto"/>
      </w:pPr>
    </w:p>
    <w:p w:rsidR="006B7861" w:rsidRPr="006B7861" w:rsidRDefault="006B7861" w:rsidP="006B7861">
      <w:pPr>
        <w:spacing w:after="0" w:line="240" w:lineRule="auto"/>
        <w:rPr>
          <w:b/>
        </w:rPr>
      </w:pPr>
      <w:r w:rsidRPr="006B7861">
        <w:rPr>
          <w:b/>
        </w:rPr>
        <w:t>Between 2013 and 2016</w:t>
      </w:r>
      <w:r w:rsidR="000D2990">
        <w:rPr>
          <w:b/>
        </w:rPr>
        <w:t>,</w:t>
      </w:r>
      <w:r w:rsidRPr="006B7861">
        <w:rPr>
          <w:b/>
        </w:rPr>
        <w:t xml:space="preserve"> science proficiency rates for all students declined by 3 and 6 percentage points at Dighton Middle and Beckwith</w:t>
      </w:r>
      <w:r w:rsidR="000D2990">
        <w:rPr>
          <w:b/>
        </w:rPr>
        <w:t>, respectively,</w:t>
      </w:r>
      <w:r w:rsidRPr="006B7861">
        <w:rPr>
          <w:b/>
        </w:rPr>
        <w:t xml:space="preserve"> and improved by 22 percentage points at Dighton-Rehoboth</w:t>
      </w:r>
      <w:r w:rsidR="000D2990">
        <w:rPr>
          <w:b/>
        </w:rPr>
        <w:t xml:space="preserve"> Regional High</w:t>
      </w:r>
      <w:r w:rsidRPr="006B7861">
        <w:rPr>
          <w:b/>
        </w:rPr>
        <w:t>.</w:t>
      </w:r>
    </w:p>
    <w:p w:rsidR="006B7861" w:rsidRPr="006B7861" w:rsidRDefault="000D2990" w:rsidP="006B7861">
      <w:pPr>
        <w:numPr>
          <w:ilvl w:val="0"/>
          <w:numId w:val="43"/>
        </w:numPr>
        <w:spacing w:after="0" w:line="240" w:lineRule="auto"/>
        <w:contextualSpacing/>
      </w:pPr>
      <w:r>
        <w:t>S</w:t>
      </w:r>
      <w:r w:rsidR="006B7861" w:rsidRPr="006B7861">
        <w:t xml:space="preserve">cience proficiency rates for high needs students declined by 5 and 10 percentage points at Dighton Middle and Beckwith, </w:t>
      </w:r>
      <w:r>
        <w:t xml:space="preserve">respectively, </w:t>
      </w:r>
      <w:r w:rsidR="006B7861" w:rsidRPr="006B7861">
        <w:t xml:space="preserve">and improved by 33 percentage points at </w:t>
      </w:r>
      <w:r w:rsidRPr="006B7861">
        <w:t>Dighton</w:t>
      </w:r>
      <w:r>
        <w:t>-</w:t>
      </w:r>
      <w:r w:rsidR="006B7861" w:rsidRPr="006B7861">
        <w:t>Rehoboth Regional High.</w:t>
      </w:r>
    </w:p>
    <w:p w:rsidR="006B7861" w:rsidRPr="006B7861" w:rsidRDefault="000D2990" w:rsidP="006B7861">
      <w:pPr>
        <w:numPr>
          <w:ilvl w:val="0"/>
          <w:numId w:val="43"/>
        </w:numPr>
        <w:spacing w:after="0" w:line="240" w:lineRule="auto"/>
        <w:contextualSpacing/>
      </w:pPr>
      <w:r>
        <w:t>S</w:t>
      </w:r>
      <w:r w:rsidR="006B7861" w:rsidRPr="006B7861">
        <w:t xml:space="preserve">cience proficiency rates for students with disabilities declined by 15 and 5 percentage points at Dighton Middle and Beckwith, </w:t>
      </w:r>
      <w:r>
        <w:t xml:space="preserve">respectively, </w:t>
      </w:r>
      <w:r w:rsidR="006B7861" w:rsidRPr="006B7861">
        <w:t xml:space="preserve">and improved by 25 percentage points at </w:t>
      </w:r>
      <w:r w:rsidRPr="006B7861">
        <w:t>Dighton</w:t>
      </w:r>
      <w:r>
        <w:t>-</w:t>
      </w:r>
      <w:r w:rsidR="006B7861" w:rsidRPr="006B7861">
        <w:t>Rehoboth Regional</w:t>
      </w:r>
      <w:r>
        <w:t xml:space="preserve"> High</w:t>
      </w:r>
      <w:r w:rsidR="006B7861" w:rsidRPr="006B7861">
        <w:t>.</w:t>
      </w:r>
    </w:p>
    <w:p w:rsidR="006B7861" w:rsidRDefault="006B7861" w:rsidP="006B7861">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6B7861" w:rsidRPr="006B7861" w:rsidTr="008F0BE1">
        <w:tc>
          <w:tcPr>
            <w:tcW w:w="9576" w:type="dxa"/>
            <w:gridSpan w:val="6"/>
            <w:tcBorders>
              <w:top w:val="nil"/>
              <w:left w:val="nil"/>
              <w:right w:val="nil"/>
            </w:tcBorders>
          </w:tcPr>
          <w:p w:rsidR="006B7861" w:rsidRPr="006B7861" w:rsidRDefault="006B7861" w:rsidP="006B7861">
            <w:pPr>
              <w:spacing w:after="0" w:line="240" w:lineRule="auto"/>
              <w:jc w:val="center"/>
              <w:rPr>
                <w:b/>
                <w:sz w:val="20"/>
                <w:szCs w:val="20"/>
              </w:rPr>
            </w:pPr>
            <w:r w:rsidRPr="006B7861">
              <w:rPr>
                <w:b/>
                <w:sz w:val="20"/>
                <w:szCs w:val="20"/>
              </w:rPr>
              <w:t>Table 20: Dighton-Rehoboth Public Schools</w:t>
            </w:r>
          </w:p>
          <w:p w:rsidR="006B7861" w:rsidRPr="006B7861" w:rsidRDefault="006B7861" w:rsidP="006B7861">
            <w:pPr>
              <w:spacing w:after="0" w:line="240" w:lineRule="auto"/>
              <w:jc w:val="center"/>
              <w:rPr>
                <w:b/>
                <w:sz w:val="20"/>
                <w:szCs w:val="20"/>
              </w:rPr>
            </w:pPr>
            <w:r w:rsidRPr="006B7861">
              <w:rPr>
                <w:b/>
                <w:sz w:val="20"/>
                <w:szCs w:val="20"/>
              </w:rPr>
              <w:t xml:space="preserve">Science </w:t>
            </w:r>
            <w:r w:rsidR="006D0813">
              <w:rPr>
                <w:b/>
                <w:sz w:val="20"/>
                <w:szCs w:val="20"/>
              </w:rPr>
              <w:t xml:space="preserve">Percent </w:t>
            </w:r>
            <w:r w:rsidRPr="006B7861">
              <w:rPr>
                <w:b/>
                <w:sz w:val="20"/>
                <w:szCs w:val="20"/>
              </w:rPr>
              <w:t>Proficient or Advanced by School and Subgroup 2013–2016</w:t>
            </w:r>
          </w:p>
        </w:tc>
      </w:tr>
      <w:tr w:rsidR="006B7861" w:rsidRPr="006B7861" w:rsidTr="008F0BE1">
        <w:tc>
          <w:tcPr>
            <w:tcW w:w="3438" w:type="dxa"/>
            <w:shd w:val="clear" w:color="auto" w:fill="D9D9D9" w:themeFill="background1" w:themeFillShade="D9"/>
          </w:tcPr>
          <w:p w:rsidR="006B7861" w:rsidRPr="006B7861" w:rsidRDefault="006B7861" w:rsidP="006B7861">
            <w:pPr>
              <w:spacing w:after="0" w:line="240" w:lineRule="auto"/>
              <w:rPr>
                <w:b/>
                <w:sz w:val="20"/>
                <w:szCs w:val="20"/>
              </w:rPr>
            </w:pP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2013</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2014</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2015</w:t>
            </w:r>
          </w:p>
        </w:tc>
        <w:tc>
          <w:tcPr>
            <w:tcW w:w="1080"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2016</w:t>
            </w:r>
          </w:p>
        </w:tc>
        <w:tc>
          <w:tcPr>
            <w:tcW w:w="1818" w:type="dxa"/>
            <w:shd w:val="clear" w:color="auto" w:fill="D9D9D9" w:themeFill="background1" w:themeFillShade="D9"/>
          </w:tcPr>
          <w:p w:rsidR="006B7861" w:rsidRPr="006B7861" w:rsidRDefault="006B7861" w:rsidP="006B7861">
            <w:pPr>
              <w:spacing w:after="0" w:line="240" w:lineRule="auto"/>
              <w:jc w:val="center"/>
              <w:rPr>
                <w:b/>
                <w:sz w:val="20"/>
                <w:szCs w:val="20"/>
              </w:rPr>
            </w:pPr>
            <w:r w:rsidRPr="006B7861">
              <w:rPr>
                <w:b/>
                <w:sz w:val="20"/>
                <w:szCs w:val="20"/>
              </w:rPr>
              <w:t>3- or 4-Year Trend</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Elementary</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Palmer River</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Dighton Middle</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44%</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32%</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31%</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D0813" w:rsidP="006B786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14%</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-15%</w:t>
            </w:r>
          </w:p>
        </w:tc>
      </w:tr>
      <w:tr w:rsidR="006B7861" w:rsidRPr="006B7861" w:rsidTr="008F0BE1">
        <w:tc>
          <w:tcPr>
            <w:tcW w:w="343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Beckwith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42%</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47%</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41%</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36%</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w:t>
            </w:r>
          </w:p>
        </w:tc>
      </w:tr>
      <w:tr w:rsidR="006B7861" w:rsidRPr="006B7861" w:rsidTr="008F0BE1">
        <w:tc>
          <w:tcPr>
            <w:tcW w:w="3438" w:type="dxa"/>
            <w:shd w:val="clear" w:color="auto" w:fill="auto"/>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13%</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-10%</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23%</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561D6B" w:rsidP="006B786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-5%</w:t>
            </w:r>
          </w:p>
        </w:tc>
      </w:tr>
      <w:tr w:rsidR="006B7861" w:rsidRPr="006B7861" w:rsidTr="008F0BE1">
        <w:tc>
          <w:tcPr>
            <w:tcW w:w="3438" w:type="dxa"/>
            <w:shd w:val="clear" w:color="auto" w:fill="D9D9D9" w:themeFill="background1" w:themeFillShade="D9"/>
            <w:vAlign w:val="bottom"/>
          </w:tcPr>
          <w:p w:rsidR="006B7861" w:rsidRPr="006B7861" w:rsidRDefault="006B7861" w:rsidP="006D0813">
            <w:pPr>
              <w:spacing w:after="0" w:line="240" w:lineRule="auto"/>
              <w:jc w:val="center"/>
              <w:rPr>
                <w:rFonts w:ascii="Calibri" w:hAnsi="Calibri"/>
                <w:sz w:val="20"/>
                <w:szCs w:val="20"/>
              </w:rPr>
            </w:pPr>
            <w:r w:rsidRPr="006B7861">
              <w:rPr>
                <w:rFonts w:ascii="Calibri" w:hAnsi="Calibri"/>
                <w:sz w:val="20"/>
                <w:szCs w:val="20"/>
              </w:rPr>
              <w:t xml:space="preserve">Dighton-Rehoboth </w:t>
            </w:r>
            <w:r w:rsidR="006D0813" w:rsidRPr="006B7861">
              <w:rPr>
                <w:rFonts w:ascii="Calibri" w:hAnsi="Calibri"/>
                <w:sz w:val="20"/>
                <w:szCs w:val="20"/>
              </w:rPr>
              <w:t>Reg</w:t>
            </w:r>
            <w:r w:rsidR="006D0813">
              <w:rPr>
                <w:rFonts w:ascii="Calibri" w:hAnsi="Calibri"/>
                <w:sz w:val="20"/>
                <w:szCs w:val="20"/>
              </w:rPr>
              <w:t>iona</w:t>
            </w:r>
            <w:r w:rsidR="006D0813" w:rsidRPr="006B7861">
              <w:rPr>
                <w:rFonts w:ascii="Calibri" w:hAnsi="Calibri"/>
                <w:sz w:val="20"/>
                <w:szCs w:val="20"/>
              </w:rPr>
              <w:t xml:space="preserve">l </w:t>
            </w:r>
            <w:r w:rsidRPr="006B7861">
              <w:rPr>
                <w:rFonts w:ascii="Calibri" w:hAnsi="Calibri"/>
                <w:sz w:val="20"/>
                <w:szCs w:val="20"/>
              </w:rPr>
              <w:t>High</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66%</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76%</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080"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88%</w:t>
            </w:r>
          </w:p>
        </w:tc>
        <w:tc>
          <w:tcPr>
            <w:tcW w:w="1818" w:type="dxa"/>
            <w:shd w:val="clear" w:color="auto" w:fill="D9D9D9" w:themeFill="background1" w:themeFillShade="D9"/>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22%</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High Needs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34%</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49%</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78%</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67%</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33%</w:t>
            </w:r>
          </w:p>
        </w:tc>
      </w:tr>
      <w:tr w:rsidR="006B7861" w:rsidRPr="006B7861" w:rsidTr="008F0BE1">
        <w:tc>
          <w:tcPr>
            <w:tcW w:w="3438" w:type="dxa"/>
            <w:vAlign w:val="bottom"/>
          </w:tcPr>
          <w:p w:rsidR="006B7861" w:rsidRPr="006B7861" w:rsidRDefault="00572746" w:rsidP="006B786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86%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72%</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6B7861" w:rsidP="006B7861">
            <w:pPr>
              <w:spacing w:after="0" w:line="240" w:lineRule="auto"/>
              <w:rPr>
                <w:rFonts w:ascii="Calibri" w:hAnsi="Calibri"/>
                <w:sz w:val="20"/>
                <w:szCs w:val="20"/>
              </w:rPr>
            </w:pPr>
            <w:r w:rsidRPr="006B7861">
              <w:rPr>
                <w:rFonts w:ascii="Calibri" w:hAnsi="Calibri"/>
                <w:sz w:val="20"/>
                <w:szCs w:val="20"/>
              </w:rPr>
              <w:t>ELLs</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w:t>
            </w:r>
          </w:p>
        </w:tc>
      </w:tr>
      <w:tr w:rsidR="006B7861" w:rsidRPr="006B7861" w:rsidTr="008F0BE1">
        <w:tc>
          <w:tcPr>
            <w:tcW w:w="3438" w:type="dxa"/>
            <w:vAlign w:val="bottom"/>
          </w:tcPr>
          <w:p w:rsidR="006B7861" w:rsidRPr="006B7861" w:rsidRDefault="00561D6B" w:rsidP="006B786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20%</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26%</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61%</w:t>
            </w:r>
          </w:p>
        </w:tc>
        <w:tc>
          <w:tcPr>
            <w:tcW w:w="1080"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45%</w:t>
            </w:r>
          </w:p>
        </w:tc>
        <w:tc>
          <w:tcPr>
            <w:tcW w:w="1818" w:type="dxa"/>
            <w:vAlign w:val="bottom"/>
          </w:tcPr>
          <w:p w:rsidR="006B7861" w:rsidRPr="006B7861" w:rsidRDefault="006B7861" w:rsidP="006B7861">
            <w:pPr>
              <w:spacing w:after="0" w:line="240" w:lineRule="auto"/>
              <w:jc w:val="center"/>
              <w:rPr>
                <w:rFonts w:ascii="Calibri" w:hAnsi="Calibri"/>
                <w:sz w:val="20"/>
                <w:szCs w:val="20"/>
              </w:rPr>
            </w:pPr>
            <w:r w:rsidRPr="006B7861">
              <w:rPr>
                <w:rFonts w:ascii="Calibri" w:hAnsi="Calibri"/>
                <w:sz w:val="20"/>
                <w:szCs w:val="20"/>
              </w:rPr>
              <w:t>25%</w:t>
            </w:r>
          </w:p>
        </w:tc>
      </w:tr>
    </w:tbl>
    <w:p w:rsidR="006B7861" w:rsidRPr="006B7861" w:rsidRDefault="006B7861" w:rsidP="006B7861"/>
    <w:p w:rsidR="006B7861" w:rsidRPr="006B7861" w:rsidRDefault="006B7861" w:rsidP="006B7861"/>
    <w:p w:rsidR="007C01ED" w:rsidRPr="00E06CDE" w:rsidRDefault="00DD1279"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84613522"/>
      <w:bookmarkStart w:id="10" w:name="_Toc350870261"/>
      <w:r>
        <w:lastRenderedPageBreak/>
        <w:t>Leadership and Governance</w:t>
      </w:r>
      <w:bookmarkEnd w:id="9"/>
    </w:p>
    <w:p w:rsidR="00E66726" w:rsidRPr="00E66726" w:rsidRDefault="00E66726" w:rsidP="00E66726">
      <w:pPr>
        <w:tabs>
          <w:tab w:val="left" w:pos="360"/>
          <w:tab w:val="left" w:pos="720"/>
          <w:tab w:val="left" w:pos="1080"/>
          <w:tab w:val="left" w:pos="1440"/>
          <w:tab w:val="left" w:pos="1800"/>
          <w:tab w:val="left" w:pos="2160"/>
        </w:tabs>
        <w:rPr>
          <w:rFonts w:eastAsia="Times New Roman" w:cs="Times New Roman"/>
          <w:b/>
          <w:sz w:val="28"/>
          <w:szCs w:val="28"/>
        </w:rPr>
      </w:pPr>
      <w:r w:rsidRPr="00E66726">
        <w:rPr>
          <w:rFonts w:eastAsia="Times New Roman" w:cs="Times New Roman"/>
          <w:b/>
          <w:sz w:val="28"/>
          <w:szCs w:val="28"/>
        </w:rPr>
        <w:t>Contextual Background</w:t>
      </w:r>
    </w:p>
    <w:p w:rsidR="005C421A" w:rsidRDefault="00E66726" w:rsidP="00E66726">
      <w:pPr>
        <w:rPr>
          <w:rFonts w:eastAsia="Times New Roman" w:cs="Times New Roman"/>
        </w:rPr>
      </w:pPr>
      <w:r w:rsidRPr="00E66726">
        <w:rPr>
          <w:rFonts w:eastAsia="Times New Roman" w:cs="Times New Roman"/>
        </w:rPr>
        <w:t xml:space="preserve">For several years, the district experienced frequent </w:t>
      </w:r>
      <w:r w:rsidR="00110B85">
        <w:rPr>
          <w:rFonts w:eastAsia="Times New Roman" w:cs="Times New Roman"/>
        </w:rPr>
        <w:t xml:space="preserve">administrative </w:t>
      </w:r>
      <w:r w:rsidRPr="00E66726">
        <w:rPr>
          <w:rFonts w:eastAsia="Times New Roman" w:cs="Times New Roman"/>
        </w:rPr>
        <w:t xml:space="preserve">turnover.  </w:t>
      </w:r>
      <w:r w:rsidR="002F0C0B" w:rsidRPr="00E66726">
        <w:rPr>
          <w:rFonts w:eastAsia="Times New Roman" w:cs="Times New Roman"/>
        </w:rPr>
        <w:t>Th</w:t>
      </w:r>
      <w:r w:rsidR="002F0C0B">
        <w:rPr>
          <w:rFonts w:eastAsia="Times New Roman" w:cs="Times New Roman"/>
        </w:rPr>
        <w:t>ese</w:t>
      </w:r>
      <w:r w:rsidR="002F0C0B" w:rsidRPr="00E66726">
        <w:rPr>
          <w:rFonts w:eastAsia="Times New Roman" w:cs="Times New Roman"/>
        </w:rPr>
        <w:t xml:space="preserve"> </w:t>
      </w:r>
      <w:r w:rsidR="002F0C0B">
        <w:rPr>
          <w:rFonts w:eastAsia="Times New Roman" w:cs="Times New Roman"/>
        </w:rPr>
        <w:t xml:space="preserve">changes in </w:t>
      </w:r>
      <w:r w:rsidRPr="00E66726">
        <w:rPr>
          <w:rFonts w:eastAsia="Times New Roman" w:cs="Times New Roman"/>
        </w:rPr>
        <w:t xml:space="preserve">leadership resulted in a district composed of five </w:t>
      </w:r>
      <w:r w:rsidR="002F0C0B">
        <w:rPr>
          <w:rFonts w:eastAsia="Times New Roman" w:cs="Times New Roman"/>
        </w:rPr>
        <w:t>insular</w:t>
      </w:r>
      <w:r w:rsidR="002F0C0B" w:rsidRPr="00E66726">
        <w:rPr>
          <w:rFonts w:eastAsia="Times New Roman" w:cs="Times New Roman"/>
        </w:rPr>
        <w:t xml:space="preserve"> </w:t>
      </w:r>
      <w:r w:rsidRPr="00E66726">
        <w:rPr>
          <w:rFonts w:eastAsia="Times New Roman" w:cs="Times New Roman"/>
        </w:rPr>
        <w:t xml:space="preserve">schools rather than a unified school district. </w:t>
      </w:r>
    </w:p>
    <w:p w:rsidR="00E66726" w:rsidRPr="00E66726" w:rsidRDefault="002F0C0B" w:rsidP="00E66726">
      <w:pPr>
        <w:rPr>
          <w:rFonts w:eastAsia="Times New Roman" w:cs="Times New Roman"/>
        </w:rPr>
      </w:pPr>
      <w:r>
        <w:rPr>
          <w:rFonts w:eastAsia="Times New Roman" w:cs="Times New Roman"/>
        </w:rPr>
        <w:t>Since assum</w:t>
      </w:r>
      <w:r w:rsidR="004F20F7">
        <w:rPr>
          <w:rFonts w:eastAsia="Times New Roman" w:cs="Times New Roman"/>
        </w:rPr>
        <w:t>ing</w:t>
      </w:r>
      <w:r>
        <w:rPr>
          <w:rFonts w:eastAsia="Times New Roman" w:cs="Times New Roman"/>
        </w:rPr>
        <w:t xml:space="preserve"> leadership of the district in June 2014</w:t>
      </w:r>
      <w:r w:rsidR="00E66726" w:rsidRPr="00E66726">
        <w:rPr>
          <w:rFonts w:eastAsia="Times New Roman" w:cs="Times New Roman"/>
        </w:rPr>
        <w:t>, the superintendent has increased coherence, transparency, and public confidence</w:t>
      </w:r>
      <w:r w:rsidR="00B14E50">
        <w:rPr>
          <w:rFonts w:eastAsia="Times New Roman" w:cs="Times New Roman"/>
        </w:rPr>
        <w:t>—</w:t>
      </w:r>
      <w:r w:rsidR="00E66726" w:rsidRPr="00E66726">
        <w:rPr>
          <w:rFonts w:eastAsia="Times New Roman" w:cs="Times New Roman"/>
        </w:rPr>
        <w:t>most notably in the district’s budget development process</w:t>
      </w:r>
      <w:r w:rsidR="00B14E50">
        <w:rPr>
          <w:rFonts w:eastAsia="Times New Roman" w:cs="Times New Roman"/>
        </w:rPr>
        <w:t>—</w:t>
      </w:r>
      <w:r w:rsidR="004F20F7" w:rsidRPr="00E66726">
        <w:rPr>
          <w:rFonts w:eastAsia="Times New Roman" w:cs="Times New Roman"/>
        </w:rPr>
        <w:t>through effective team building, communications, and extensive community networking</w:t>
      </w:r>
      <w:r w:rsidR="0083691B">
        <w:rPr>
          <w:rFonts w:eastAsia="Times New Roman" w:cs="Times New Roman"/>
        </w:rPr>
        <w:t xml:space="preserve"> (see the Financial and Asset Management Strength finding below)</w:t>
      </w:r>
      <w:r w:rsidR="00E66726" w:rsidRPr="00E66726">
        <w:rPr>
          <w:rFonts w:eastAsia="Times New Roman" w:cs="Times New Roman"/>
        </w:rPr>
        <w:t xml:space="preserve">. The two towns that compose the regional district are dissatisfied with the regional agreement and funding issues. Officials from one town have expressed interest in ending the agreement; this “de-regionalizing” could return more instability to the schools.  District </w:t>
      </w:r>
      <w:r w:rsidR="00B70244">
        <w:rPr>
          <w:rFonts w:eastAsia="Times New Roman" w:cs="Times New Roman"/>
        </w:rPr>
        <w:t xml:space="preserve">and school </w:t>
      </w:r>
      <w:r w:rsidR="00E66726" w:rsidRPr="00E66726">
        <w:rPr>
          <w:rFonts w:eastAsia="Times New Roman" w:cs="Times New Roman"/>
        </w:rPr>
        <w:t xml:space="preserve">leaders have linked </w:t>
      </w:r>
      <w:r w:rsidR="008B1193">
        <w:rPr>
          <w:rFonts w:eastAsia="Times New Roman" w:cs="Times New Roman"/>
        </w:rPr>
        <w:t xml:space="preserve">district </w:t>
      </w:r>
      <w:r w:rsidR="00E66726" w:rsidRPr="00E66726">
        <w:rPr>
          <w:rFonts w:eastAsia="Times New Roman" w:cs="Times New Roman"/>
        </w:rPr>
        <w:t xml:space="preserve">planning and budget development. They use district </w:t>
      </w:r>
      <w:r w:rsidR="00926E94">
        <w:rPr>
          <w:rFonts w:eastAsia="Times New Roman" w:cs="Times New Roman"/>
        </w:rPr>
        <w:t xml:space="preserve">and school </w:t>
      </w:r>
      <w:r w:rsidR="00B70244">
        <w:rPr>
          <w:rFonts w:eastAsia="Times New Roman" w:cs="Times New Roman"/>
        </w:rPr>
        <w:t xml:space="preserve">improvement </w:t>
      </w:r>
      <w:r w:rsidR="00E66726" w:rsidRPr="00E66726">
        <w:rPr>
          <w:rFonts w:eastAsia="Times New Roman" w:cs="Times New Roman"/>
        </w:rPr>
        <w:t xml:space="preserve">plans </w:t>
      </w:r>
      <w:r w:rsidR="00F55563">
        <w:rPr>
          <w:rFonts w:eastAsia="Times New Roman" w:cs="Times New Roman"/>
        </w:rPr>
        <w:t xml:space="preserve">to </w:t>
      </w:r>
      <w:r w:rsidR="00B14E50">
        <w:rPr>
          <w:rFonts w:eastAsia="Times New Roman" w:cs="Times New Roman"/>
        </w:rPr>
        <w:t xml:space="preserve">accomplish a clearly defined set of improvement goals, </w:t>
      </w:r>
      <w:r w:rsidR="00E66726" w:rsidRPr="00E66726">
        <w:rPr>
          <w:rFonts w:eastAsia="Times New Roman" w:cs="Times New Roman"/>
        </w:rPr>
        <w:t xml:space="preserve">to evaluate progress, </w:t>
      </w:r>
      <w:r w:rsidR="00B70244">
        <w:rPr>
          <w:rFonts w:eastAsia="Times New Roman" w:cs="Times New Roman"/>
        </w:rPr>
        <w:t xml:space="preserve">to </w:t>
      </w:r>
      <w:r w:rsidR="00E66726" w:rsidRPr="00E66726">
        <w:rPr>
          <w:rFonts w:eastAsia="Times New Roman" w:cs="Times New Roman"/>
        </w:rPr>
        <w:t>adjust instructional strategies</w:t>
      </w:r>
      <w:r>
        <w:rPr>
          <w:rFonts w:eastAsia="Times New Roman" w:cs="Times New Roman"/>
        </w:rPr>
        <w:t>,</w:t>
      </w:r>
      <w:r w:rsidR="00E66726" w:rsidRPr="00E66726">
        <w:rPr>
          <w:rFonts w:eastAsia="Times New Roman" w:cs="Times New Roman"/>
        </w:rPr>
        <w:t xml:space="preserve"> and </w:t>
      </w:r>
      <w:r w:rsidR="00B70244">
        <w:rPr>
          <w:rFonts w:eastAsia="Times New Roman" w:cs="Times New Roman"/>
        </w:rPr>
        <w:t xml:space="preserve">to </w:t>
      </w:r>
      <w:r w:rsidR="00E66726" w:rsidRPr="00E66726">
        <w:rPr>
          <w:rFonts w:eastAsia="Times New Roman" w:cs="Times New Roman"/>
        </w:rPr>
        <w:t xml:space="preserve">allocate resources. Aligned planning processes have further increased consistency among the schools.   </w:t>
      </w:r>
    </w:p>
    <w:p w:rsidR="00E66726" w:rsidRPr="00E66726" w:rsidRDefault="00A3119E" w:rsidP="00E66726">
      <w:pPr>
        <w:rPr>
          <w:rFonts w:eastAsia="Times New Roman" w:cs="Times New Roman"/>
        </w:rPr>
      </w:pPr>
      <w:r>
        <w:rPr>
          <w:rFonts w:eastAsia="Times New Roman" w:cs="Times New Roman"/>
        </w:rPr>
        <w:t>On June 14, 2016, the Dighton Rehoboth Regional Teachers’ Association</w:t>
      </w:r>
      <w:r w:rsidRPr="00E66726">
        <w:rPr>
          <w:rFonts w:eastAsia="Times New Roman" w:cs="Times New Roman"/>
        </w:rPr>
        <w:t xml:space="preserve"> </w:t>
      </w:r>
      <w:r>
        <w:rPr>
          <w:rFonts w:eastAsia="Times New Roman" w:cs="Times New Roman"/>
        </w:rPr>
        <w:t xml:space="preserve">and the district’s school committee ratified </w:t>
      </w:r>
      <w:r w:rsidR="00E66726" w:rsidRPr="00E66726">
        <w:rPr>
          <w:rFonts w:eastAsia="Times New Roman" w:cs="Times New Roman"/>
        </w:rPr>
        <w:t xml:space="preserve">a three-year teachers’ </w:t>
      </w:r>
      <w:r>
        <w:rPr>
          <w:rFonts w:eastAsia="Times New Roman" w:cs="Times New Roman"/>
        </w:rPr>
        <w:t>collective bargaining agreement</w:t>
      </w:r>
      <w:r w:rsidR="00B14E50">
        <w:rPr>
          <w:rFonts w:eastAsia="Times New Roman" w:cs="Times New Roman"/>
        </w:rPr>
        <w:t xml:space="preserve"> (CBA)</w:t>
      </w:r>
      <w:r w:rsidR="00E66726" w:rsidRPr="00E66726">
        <w:rPr>
          <w:rFonts w:eastAsia="Times New Roman" w:cs="Times New Roman"/>
        </w:rPr>
        <w:t xml:space="preserve">, </w:t>
      </w:r>
      <w:r w:rsidR="00B14E50">
        <w:rPr>
          <w:rFonts w:eastAsia="Times New Roman" w:cs="Times New Roman"/>
        </w:rPr>
        <w:t>aft</w:t>
      </w:r>
      <w:r>
        <w:rPr>
          <w:rFonts w:eastAsia="Times New Roman" w:cs="Times New Roman"/>
        </w:rPr>
        <w:t xml:space="preserve">er six months of negotiations, which included mediation, </w:t>
      </w:r>
      <w:r w:rsidR="0083691B" w:rsidRPr="00E66726">
        <w:rPr>
          <w:rFonts w:eastAsia="Times New Roman" w:cs="Times New Roman"/>
        </w:rPr>
        <w:t>informational picketing</w:t>
      </w:r>
      <w:r w:rsidR="0083691B">
        <w:rPr>
          <w:rFonts w:eastAsia="Times New Roman" w:cs="Times New Roman"/>
        </w:rPr>
        <w:t xml:space="preserve">, and </w:t>
      </w:r>
      <w:r w:rsidR="00E66726" w:rsidRPr="00E66726">
        <w:rPr>
          <w:rFonts w:eastAsia="Times New Roman" w:cs="Times New Roman"/>
        </w:rPr>
        <w:t xml:space="preserve">the teachers’ association </w:t>
      </w:r>
      <w:r>
        <w:rPr>
          <w:rFonts w:eastAsia="Times New Roman" w:cs="Times New Roman"/>
        </w:rPr>
        <w:t>“</w:t>
      </w:r>
      <w:r w:rsidRPr="00E66726">
        <w:rPr>
          <w:rFonts w:eastAsia="Times New Roman" w:cs="Times New Roman"/>
        </w:rPr>
        <w:t>work</w:t>
      </w:r>
      <w:r>
        <w:rPr>
          <w:rFonts w:eastAsia="Times New Roman" w:cs="Times New Roman"/>
        </w:rPr>
        <w:t xml:space="preserve">ing </w:t>
      </w:r>
      <w:r w:rsidR="00E66726" w:rsidRPr="00E66726">
        <w:rPr>
          <w:rFonts w:eastAsia="Times New Roman" w:cs="Times New Roman"/>
        </w:rPr>
        <w:t>to rule</w:t>
      </w:r>
      <w:r w:rsidR="0083691B">
        <w:rPr>
          <w:rFonts w:eastAsia="Times New Roman" w:cs="Times New Roman"/>
        </w:rPr>
        <w:t>.</w:t>
      </w:r>
      <w:r>
        <w:rPr>
          <w:rFonts w:eastAsia="Times New Roman" w:cs="Times New Roman"/>
        </w:rPr>
        <w:t>”</w:t>
      </w:r>
      <w:r w:rsidR="00E66726" w:rsidRPr="00E66726">
        <w:rPr>
          <w:rFonts w:eastAsia="Times New Roman" w:cs="Times New Roman"/>
        </w:rPr>
        <w:t xml:space="preserve"> </w:t>
      </w:r>
      <w:r w:rsidR="00B14E50">
        <w:rPr>
          <w:rFonts w:eastAsia="Times New Roman" w:cs="Times New Roman"/>
        </w:rPr>
        <w:t>Since ratification of the CBA, t</w:t>
      </w:r>
      <w:r w:rsidR="00B14E50" w:rsidRPr="00E66726">
        <w:rPr>
          <w:rFonts w:eastAsia="Times New Roman" w:cs="Times New Roman"/>
        </w:rPr>
        <w:t>he</w:t>
      </w:r>
      <w:r w:rsidR="00E66726" w:rsidRPr="00E66726">
        <w:rPr>
          <w:rFonts w:eastAsia="Times New Roman" w:cs="Times New Roman"/>
        </w:rPr>
        <w:t xml:space="preserve"> positive working relationship between </w:t>
      </w:r>
      <w:r w:rsidR="00B14E50">
        <w:rPr>
          <w:rFonts w:eastAsia="Times New Roman" w:cs="Times New Roman"/>
        </w:rPr>
        <w:t xml:space="preserve">the </w:t>
      </w:r>
      <w:r w:rsidR="00E66726" w:rsidRPr="00E66726">
        <w:rPr>
          <w:rFonts w:eastAsia="Times New Roman" w:cs="Times New Roman"/>
        </w:rPr>
        <w:t xml:space="preserve">administration and the teachers’ association has declined, </w:t>
      </w:r>
      <w:r w:rsidR="003C4422">
        <w:rPr>
          <w:rFonts w:eastAsia="Times New Roman" w:cs="Times New Roman"/>
        </w:rPr>
        <w:t>and there are issues of trust and communication and ongoing differences about the interpretation of management rights</w:t>
      </w:r>
      <w:r w:rsidR="00E66726" w:rsidRPr="00E66726">
        <w:rPr>
          <w:rFonts w:eastAsia="Times New Roman" w:cs="Times New Roman"/>
        </w:rPr>
        <w:t xml:space="preserve">.  </w:t>
      </w:r>
    </w:p>
    <w:p w:rsidR="008043C2" w:rsidRDefault="008043C2" w:rsidP="00E66726">
      <w:pPr>
        <w:rPr>
          <w:rFonts w:eastAsia="Times New Roman" w:cs="Times New Roman"/>
        </w:rPr>
      </w:pPr>
    </w:p>
    <w:p w:rsidR="00E66726" w:rsidRPr="00E66726" w:rsidRDefault="00E66726" w:rsidP="00E66726">
      <w:pPr>
        <w:rPr>
          <w:rFonts w:eastAsia="Times New Roman" w:cs="Times New Roman"/>
          <w:b/>
          <w:sz w:val="28"/>
          <w:szCs w:val="28"/>
        </w:rPr>
      </w:pPr>
      <w:r w:rsidRPr="00E66726">
        <w:rPr>
          <w:rFonts w:eastAsia="Times New Roman" w:cs="Times New Roman"/>
        </w:rPr>
        <w:t xml:space="preserve"> </w:t>
      </w:r>
      <w:r w:rsidRPr="00E66726">
        <w:rPr>
          <w:rFonts w:eastAsia="Times New Roman" w:cs="Times New Roman"/>
          <w:b/>
          <w:sz w:val="28"/>
          <w:szCs w:val="28"/>
        </w:rPr>
        <w:t xml:space="preserve">Strength Findings </w:t>
      </w:r>
    </w:p>
    <w:p w:rsidR="00BD44BB" w:rsidRDefault="00F20CEA" w:rsidP="00BD44BB">
      <w:pPr>
        <w:numPr>
          <w:ilvl w:val="0"/>
          <w:numId w:val="29"/>
        </w:numPr>
        <w:tabs>
          <w:tab w:val="left" w:pos="360"/>
          <w:tab w:val="left" w:pos="720"/>
          <w:tab w:val="left" w:pos="1080"/>
          <w:tab w:val="left" w:pos="1440"/>
          <w:tab w:val="left" w:pos="1800"/>
          <w:tab w:val="left" w:pos="2160"/>
        </w:tabs>
        <w:rPr>
          <w:rFonts w:eastAsia="Times New Roman" w:cs="Times New Roman"/>
          <w:b/>
        </w:rPr>
      </w:pPr>
      <w:r>
        <w:rPr>
          <w:rFonts w:eastAsia="Times New Roman" w:cs="Times New Roman"/>
          <w:b/>
        </w:rPr>
        <w:t>T</w:t>
      </w:r>
      <w:r w:rsidR="00E66726" w:rsidRPr="00210F97">
        <w:rPr>
          <w:rFonts w:eastAsia="Times New Roman" w:cs="Times New Roman"/>
          <w:b/>
        </w:rPr>
        <w:t xml:space="preserve">he superintendent effectively promotes a culture of collaboration and transparency. </w:t>
      </w:r>
    </w:p>
    <w:p w:rsidR="00E66726" w:rsidRPr="00E66726" w:rsidRDefault="00E66726" w:rsidP="00A62E7B">
      <w:pPr>
        <w:numPr>
          <w:ilvl w:val="0"/>
          <w:numId w:val="5"/>
        </w:numPr>
        <w:tabs>
          <w:tab w:val="left" w:pos="0"/>
          <w:tab w:val="left" w:pos="360"/>
          <w:tab w:val="left" w:pos="1080"/>
          <w:tab w:val="left" w:pos="1800"/>
          <w:tab w:val="left" w:pos="2160"/>
        </w:tabs>
        <w:spacing w:after="120"/>
        <w:ind w:left="720"/>
        <w:rPr>
          <w:rFonts w:eastAsia="Times New Roman" w:cs="Times New Roman"/>
        </w:rPr>
      </w:pPr>
      <w:r w:rsidRPr="00E66726">
        <w:rPr>
          <w:rFonts w:eastAsia="Times New Roman" w:cs="Times New Roman"/>
        </w:rPr>
        <w:t xml:space="preserve">School committee members observed that the superintendent’s “strong collaboration approach” </w:t>
      </w:r>
      <w:r w:rsidR="00C60002" w:rsidRPr="00E66726">
        <w:rPr>
          <w:rFonts w:eastAsia="Times New Roman" w:cs="Times New Roman"/>
        </w:rPr>
        <w:t>ha</w:t>
      </w:r>
      <w:r w:rsidR="00C60002">
        <w:rPr>
          <w:rFonts w:eastAsia="Times New Roman" w:cs="Times New Roman"/>
        </w:rPr>
        <w:t>s</w:t>
      </w:r>
      <w:r w:rsidR="00C60002" w:rsidRPr="00E66726">
        <w:rPr>
          <w:rFonts w:eastAsia="Times New Roman" w:cs="Times New Roman"/>
        </w:rPr>
        <w:t xml:space="preserve"> </w:t>
      </w:r>
      <w:r w:rsidRPr="00E66726">
        <w:rPr>
          <w:rFonts w:eastAsia="Times New Roman" w:cs="Times New Roman"/>
        </w:rPr>
        <w:t xml:space="preserve">increased teamwork among staff members and </w:t>
      </w:r>
      <w:r w:rsidR="00B15A61">
        <w:rPr>
          <w:rFonts w:eastAsia="Times New Roman" w:cs="Times New Roman"/>
        </w:rPr>
        <w:t xml:space="preserve">said </w:t>
      </w:r>
      <w:r w:rsidRPr="00E66726">
        <w:rPr>
          <w:rFonts w:eastAsia="Times New Roman" w:cs="Times New Roman"/>
        </w:rPr>
        <w:t xml:space="preserve">that his high visibility </w:t>
      </w:r>
      <w:r w:rsidR="00B15A61">
        <w:rPr>
          <w:rFonts w:eastAsia="Times New Roman" w:cs="Times New Roman"/>
        </w:rPr>
        <w:t>ha</w:t>
      </w:r>
      <w:r w:rsidR="00C60002">
        <w:rPr>
          <w:rFonts w:eastAsia="Times New Roman" w:cs="Times New Roman"/>
        </w:rPr>
        <w:t>s</w:t>
      </w:r>
      <w:r w:rsidR="00B15A61">
        <w:rPr>
          <w:rFonts w:eastAsia="Times New Roman" w:cs="Times New Roman"/>
        </w:rPr>
        <w:t xml:space="preserve"> </w:t>
      </w:r>
      <w:r w:rsidRPr="00E66726">
        <w:rPr>
          <w:rFonts w:eastAsia="Times New Roman" w:cs="Times New Roman"/>
        </w:rPr>
        <w:t>improved staff culture and climate.</w:t>
      </w:r>
    </w:p>
    <w:p w:rsidR="00E66726" w:rsidRPr="00210F97" w:rsidRDefault="00E66726" w:rsidP="00A62E7B">
      <w:pPr>
        <w:numPr>
          <w:ilvl w:val="0"/>
          <w:numId w:val="5"/>
        </w:numPr>
        <w:tabs>
          <w:tab w:val="left" w:pos="0"/>
          <w:tab w:val="left" w:pos="360"/>
          <w:tab w:val="left" w:pos="1080"/>
          <w:tab w:val="left" w:pos="1800"/>
          <w:tab w:val="left" w:pos="2160"/>
        </w:tabs>
        <w:spacing w:after="120"/>
        <w:ind w:left="720"/>
        <w:rPr>
          <w:rFonts w:eastAsia="Times New Roman" w:cs="Times New Roman"/>
          <w:b/>
          <w:i/>
        </w:rPr>
      </w:pPr>
      <w:r w:rsidRPr="00E66726">
        <w:rPr>
          <w:rFonts w:eastAsia="Times New Roman" w:cs="Times New Roman"/>
        </w:rPr>
        <w:t xml:space="preserve">Interviews and </w:t>
      </w:r>
      <w:r w:rsidR="004C73AE">
        <w:rPr>
          <w:rFonts w:eastAsia="Times New Roman" w:cs="Times New Roman"/>
        </w:rPr>
        <w:t xml:space="preserve">a </w:t>
      </w:r>
      <w:r w:rsidRPr="00E66726">
        <w:rPr>
          <w:rFonts w:eastAsia="Times New Roman" w:cs="Times New Roman"/>
        </w:rPr>
        <w:t>document review indicate</w:t>
      </w:r>
      <w:r w:rsidR="004C73AE">
        <w:rPr>
          <w:rFonts w:eastAsia="Times New Roman" w:cs="Times New Roman"/>
        </w:rPr>
        <w:t>d</w:t>
      </w:r>
      <w:r w:rsidRPr="00E66726">
        <w:rPr>
          <w:rFonts w:eastAsia="Times New Roman" w:cs="Times New Roman"/>
        </w:rPr>
        <w:t xml:space="preserve"> that the superintendent</w:t>
      </w:r>
      <w:r w:rsidR="00ED623C">
        <w:rPr>
          <w:rFonts w:eastAsia="Times New Roman" w:cs="Times New Roman"/>
        </w:rPr>
        <w:t xml:space="preserve"> has </w:t>
      </w:r>
      <w:r w:rsidR="00ED623C" w:rsidRPr="00E66726">
        <w:rPr>
          <w:rFonts w:eastAsia="Times New Roman" w:cs="Times New Roman"/>
        </w:rPr>
        <w:t xml:space="preserve">helped to </w:t>
      </w:r>
      <w:r w:rsidR="00ED623C">
        <w:rPr>
          <w:rFonts w:eastAsia="Times New Roman" w:cs="Times New Roman"/>
        </w:rPr>
        <w:t xml:space="preserve">improve </w:t>
      </w:r>
      <w:r w:rsidR="00ED623C" w:rsidRPr="00E66726">
        <w:rPr>
          <w:rFonts w:eastAsia="Times New Roman" w:cs="Times New Roman"/>
        </w:rPr>
        <w:t>the district’s annual budget development</w:t>
      </w:r>
      <w:r w:rsidR="00ED623C">
        <w:rPr>
          <w:rFonts w:eastAsia="Times New Roman" w:cs="Times New Roman"/>
        </w:rPr>
        <w:t xml:space="preserve"> process</w:t>
      </w:r>
      <w:r w:rsidRPr="00E66726">
        <w:rPr>
          <w:rFonts w:eastAsia="Times New Roman" w:cs="Times New Roman"/>
        </w:rPr>
        <w:t xml:space="preserve"> </w:t>
      </w:r>
      <w:r w:rsidR="00ED623C">
        <w:rPr>
          <w:rFonts w:eastAsia="Times New Roman" w:cs="Times New Roman"/>
        </w:rPr>
        <w:t>by w</w:t>
      </w:r>
      <w:r w:rsidRPr="00E66726">
        <w:rPr>
          <w:rFonts w:eastAsia="Times New Roman" w:cs="Times New Roman"/>
        </w:rPr>
        <w:t>orking closely with school committee members and officials from both towns</w:t>
      </w:r>
      <w:r w:rsidR="00A62E7B">
        <w:rPr>
          <w:rFonts w:eastAsia="Times New Roman" w:cs="Times New Roman"/>
        </w:rPr>
        <w:t xml:space="preserve">. </w:t>
      </w:r>
    </w:p>
    <w:p w:rsidR="00E66726" w:rsidRPr="00E66726" w:rsidRDefault="00E66726" w:rsidP="00210F97">
      <w:pPr>
        <w:numPr>
          <w:ilvl w:val="3"/>
          <w:numId w:val="5"/>
        </w:numPr>
        <w:tabs>
          <w:tab w:val="left" w:pos="360"/>
          <w:tab w:val="left" w:pos="720"/>
          <w:tab w:val="left" w:pos="1080"/>
          <w:tab w:val="left" w:pos="1440"/>
          <w:tab w:val="left" w:pos="1800"/>
          <w:tab w:val="left" w:pos="2160"/>
        </w:tabs>
        <w:spacing w:after="120"/>
        <w:rPr>
          <w:rFonts w:eastAsia="Times New Roman" w:cs="Times New Roman"/>
          <w:b/>
          <w:i/>
        </w:rPr>
      </w:pPr>
      <w:r w:rsidRPr="00E66726">
        <w:rPr>
          <w:rFonts w:eastAsia="Times New Roman" w:cs="Times New Roman"/>
        </w:rPr>
        <w:t xml:space="preserve">School committee members noted that the superintendent </w:t>
      </w:r>
      <w:r w:rsidR="00EC4548" w:rsidRPr="00E66726">
        <w:rPr>
          <w:rFonts w:eastAsia="Times New Roman" w:cs="Times New Roman"/>
        </w:rPr>
        <w:t>ha</w:t>
      </w:r>
      <w:r w:rsidR="00EC4548">
        <w:rPr>
          <w:rFonts w:eastAsia="Times New Roman" w:cs="Times New Roman"/>
        </w:rPr>
        <w:t>s</w:t>
      </w:r>
      <w:r w:rsidR="00EC4548" w:rsidRPr="00E66726">
        <w:rPr>
          <w:rFonts w:eastAsia="Times New Roman" w:cs="Times New Roman"/>
        </w:rPr>
        <w:t xml:space="preserve"> </w:t>
      </w:r>
      <w:r w:rsidRPr="00E66726">
        <w:rPr>
          <w:rFonts w:eastAsia="Times New Roman" w:cs="Times New Roman"/>
        </w:rPr>
        <w:t xml:space="preserve">helped to repair the strained trust that previous budget </w:t>
      </w:r>
      <w:r w:rsidR="007865E5">
        <w:rPr>
          <w:rFonts w:eastAsia="Times New Roman" w:cs="Times New Roman"/>
        </w:rPr>
        <w:t xml:space="preserve">development </w:t>
      </w:r>
      <w:r w:rsidRPr="00E66726">
        <w:rPr>
          <w:rFonts w:eastAsia="Times New Roman" w:cs="Times New Roman"/>
        </w:rPr>
        <w:t xml:space="preserve">processes had produced. </w:t>
      </w:r>
    </w:p>
    <w:p w:rsidR="00E66726" w:rsidRPr="00E66726" w:rsidRDefault="00E66726" w:rsidP="00210F97">
      <w:pPr>
        <w:numPr>
          <w:ilvl w:val="3"/>
          <w:numId w:val="5"/>
        </w:numPr>
        <w:tabs>
          <w:tab w:val="left" w:pos="360"/>
          <w:tab w:val="left" w:pos="720"/>
          <w:tab w:val="left" w:pos="1080"/>
          <w:tab w:val="left" w:pos="1440"/>
          <w:tab w:val="left" w:pos="1800"/>
          <w:tab w:val="left" w:pos="2160"/>
        </w:tabs>
        <w:spacing w:after="120"/>
        <w:rPr>
          <w:rFonts w:eastAsia="Times New Roman" w:cs="Times New Roman"/>
          <w:b/>
          <w:i/>
        </w:rPr>
      </w:pPr>
      <w:r w:rsidRPr="00E66726">
        <w:rPr>
          <w:rFonts w:eastAsia="Times New Roman" w:cs="Times New Roman"/>
        </w:rPr>
        <w:t xml:space="preserve">A town official referred to the superintendent as a “shining light” </w:t>
      </w:r>
      <w:r w:rsidR="008E3791">
        <w:rPr>
          <w:rFonts w:eastAsia="Times New Roman" w:cs="Times New Roman"/>
        </w:rPr>
        <w:t>when describing</w:t>
      </w:r>
      <w:r w:rsidR="008E3791" w:rsidRPr="00E66726">
        <w:rPr>
          <w:rFonts w:eastAsia="Times New Roman" w:cs="Times New Roman"/>
        </w:rPr>
        <w:t xml:space="preserve"> </w:t>
      </w:r>
      <w:r w:rsidRPr="00E66726">
        <w:rPr>
          <w:rFonts w:eastAsia="Times New Roman" w:cs="Times New Roman"/>
        </w:rPr>
        <w:t>his leadership in developing and completing a balanced 2016</w:t>
      </w:r>
      <w:r w:rsidR="004C73AE">
        <w:rPr>
          <w:rFonts w:eastAsia="Times New Roman" w:cs="Times New Roman"/>
        </w:rPr>
        <w:t>–20</w:t>
      </w:r>
      <w:r w:rsidRPr="00E66726">
        <w:rPr>
          <w:rFonts w:eastAsia="Times New Roman" w:cs="Times New Roman"/>
        </w:rPr>
        <w:t xml:space="preserve">17 district budget. </w:t>
      </w:r>
    </w:p>
    <w:p w:rsidR="00E66726" w:rsidRPr="00E66726" w:rsidRDefault="00E66726" w:rsidP="00210F97">
      <w:pPr>
        <w:numPr>
          <w:ilvl w:val="3"/>
          <w:numId w:val="5"/>
        </w:numPr>
        <w:tabs>
          <w:tab w:val="left" w:pos="360"/>
          <w:tab w:val="left" w:pos="720"/>
          <w:tab w:val="left" w:pos="1080"/>
          <w:tab w:val="left" w:pos="1440"/>
          <w:tab w:val="left" w:pos="1800"/>
          <w:tab w:val="left" w:pos="2160"/>
        </w:tabs>
        <w:spacing w:after="120"/>
        <w:rPr>
          <w:rFonts w:eastAsia="Times New Roman" w:cs="Times New Roman"/>
          <w:b/>
          <w:i/>
        </w:rPr>
      </w:pPr>
      <w:r w:rsidRPr="00E66726">
        <w:rPr>
          <w:rFonts w:eastAsia="Times New Roman" w:cs="Times New Roman"/>
        </w:rPr>
        <w:lastRenderedPageBreak/>
        <w:t xml:space="preserve">A district leader </w:t>
      </w:r>
      <w:r w:rsidR="00B272E6">
        <w:rPr>
          <w:rFonts w:eastAsia="Times New Roman" w:cs="Times New Roman"/>
        </w:rPr>
        <w:t>characterized</w:t>
      </w:r>
      <w:r w:rsidR="004C73AE" w:rsidRPr="00E66726">
        <w:rPr>
          <w:rFonts w:eastAsia="Times New Roman" w:cs="Times New Roman"/>
        </w:rPr>
        <w:t xml:space="preserve"> </w:t>
      </w:r>
      <w:r w:rsidRPr="00E66726">
        <w:rPr>
          <w:rFonts w:eastAsia="Times New Roman" w:cs="Times New Roman"/>
        </w:rPr>
        <w:t xml:space="preserve">the superintendent as a master at building relationships with the region’s two towns. </w:t>
      </w:r>
      <w:r w:rsidR="00BF6731">
        <w:rPr>
          <w:rFonts w:eastAsia="Times New Roman" w:cs="Times New Roman"/>
        </w:rPr>
        <w:t>He described t</w:t>
      </w:r>
      <w:r w:rsidR="00BF6731" w:rsidRPr="00E66726">
        <w:rPr>
          <w:rFonts w:eastAsia="Times New Roman" w:cs="Times New Roman"/>
        </w:rPr>
        <w:t xml:space="preserve">he </w:t>
      </w:r>
      <w:r w:rsidRPr="00E66726">
        <w:rPr>
          <w:rFonts w:eastAsia="Times New Roman" w:cs="Times New Roman"/>
        </w:rPr>
        <w:t xml:space="preserve">superintendent </w:t>
      </w:r>
      <w:r w:rsidR="00893453">
        <w:rPr>
          <w:rFonts w:eastAsia="Times New Roman" w:cs="Times New Roman"/>
        </w:rPr>
        <w:t xml:space="preserve">as </w:t>
      </w:r>
      <w:r w:rsidR="00BF6731">
        <w:rPr>
          <w:rFonts w:eastAsia="Times New Roman" w:cs="Times New Roman"/>
        </w:rPr>
        <w:t xml:space="preserve">having </w:t>
      </w:r>
      <w:r w:rsidR="00893453" w:rsidRPr="00E66726">
        <w:rPr>
          <w:rFonts w:eastAsia="Times New Roman" w:cs="Times New Roman"/>
        </w:rPr>
        <w:t>work</w:t>
      </w:r>
      <w:r w:rsidR="00893453">
        <w:rPr>
          <w:rFonts w:eastAsia="Times New Roman" w:cs="Times New Roman"/>
        </w:rPr>
        <w:t xml:space="preserve">ed </w:t>
      </w:r>
      <w:r w:rsidR="00BF6731">
        <w:rPr>
          <w:rFonts w:eastAsia="Times New Roman" w:cs="Times New Roman"/>
        </w:rPr>
        <w:t>“</w:t>
      </w:r>
      <w:r w:rsidR="00893453">
        <w:rPr>
          <w:rFonts w:eastAsia="Times New Roman" w:cs="Times New Roman"/>
        </w:rPr>
        <w:t>very hard</w:t>
      </w:r>
      <w:r w:rsidR="00BF6731">
        <w:rPr>
          <w:rFonts w:eastAsia="Times New Roman" w:cs="Times New Roman"/>
        </w:rPr>
        <w:t>”</w:t>
      </w:r>
      <w:r w:rsidR="00893453">
        <w:rPr>
          <w:rFonts w:eastAsia="Times New Roman" w:cs="Times New Roman"/>
        </w:rPr>
        <w:t xml:space="preserve"> to establish partnerships </w:t>
      </w:r>
      <w:r w:rsidRPr="00E66726">
        <w:rPr>
          <w:rFonts w:eastAsia="Times New Roman" w:cs="Times New Roman"/>
        </w:rPr>
        <w:t xml:space="preserve">with </w:t>
      </w:r>
      <w:r w:rsidR="00893453">
        <w:rPr>
          <w:rFonts w:eastAsia="Times New Roman" w:cs="Times New Roman"/>
        </w:rPr>
        <w:t xml:space="preserve">the Rehoboth finance committee members and the Dighton finance committee members as well as selectmen from both towns </w:t>
      </w:r>
      <w:r w:rsidR="00BF6731">
        <w:rPr>
          <w:rFonts w:eastAsia="Times New Roman" w:cs="Times New Roman"/>
        </w:rPr>
        <w:t>“</w:t>
      </w:r>
      <w:r w:rsidR="00893453">
        <w:rPr>
          <w:rFonts w:eastAsia="Times New Roman" w:cs="Times New Roman"/>
        </w:rPr>
        <w:t>to advocate for money to support the schools in the community</w:t>
      </w:r>
      <w:r w:rsidRPr="00E66726">
        <w:rPr>
          <w:rFonts w:eastAsia="Times New Roman" w:cs="Times New Roman"/>
        </w:rPr>
        <w:t>.</w:t>
      </w:r>
      <w:r w:rsidR="00893453">
        <w:rPr>
          <w:rFonts w:eastAsia="Times New Roman" w:cs="Times New Roman"/>
        </w:rPr>
        <w:t>”</w:t>
      </w:r>
      <w:r w:rsidRPr="00E66726">
        <w:rPr>
          <w:rFonts w:eastAsia="Times New Roman" w:cs="Times New Roman"/>
        </w:rPr>
        <w:t xml:space="preserve"> </w:t>
      </w:r>
    </w:p>
    <w:p w:rsidR="00E66726" w:rsidRPr="00210F97" w:rsidRDefault="00E66726" w:rsidP="00210F97">
      <w:pPr>
        <w:numPr>
          <w:ilvl w:val="0"/>
          <w:numId w:val="5"/>
        </w:numPr>
        <w:tabs>
          <w:tab w:val="left" w:pos="360"/>
          <w:tab w:val="left" w:pos="720"/>
          <w:tab w:val="left" w:pos="1080"/>
          <w:tab w:val="left" w:pos="1440"/>
          <w:tab w:val="left" w:pos="1800"/>
        </w:tabs>
        <w:spacing w:after="120"/>
        <w:ind w:left="720"/>
        <w:rPr>
          <w:rFonts w:eastAsia="Times New Roman" w:cs="Times New Roman"/>
        </w:rPr>
      </w:pPr>
      <w:r w:rsidRPr="00E66726">
        <w:rPr>
          <w:rFonts w:eastAsia="Times New Roman" w:cs="Times New Roman"/>
        </w:rPr>
        <w:t xml:space="preserve">The superintendent </w:t>
      </w:r>
      <w:r w:rsidR="00893453">
        <w:rPr>
          <w:rFonts w:eastAsia="Times New Roman" w:cs="Times New Roman"/>
        </w:rPr>
        <w:t xml:space="preserve">has </w:t>
      </w:r>
      <w:r w:rsidRPr="00E66726">
        <w:rPr>
          <w:rFonts w:eastAsia="Times New Roman" w:cs="Times New Roman"/>
        </w:rPr>
        <w:t xml:space="preserve">increased transparency by </w:t>
      </w:r>
      <w:r w:rsidR="00893453">
        <w:rPr>
          <w:rFonts w:eastAsia="Times New Roman" w:cs="Times New Roman"/>
        </w:rPr>
        <w:t>providing</w:t>
      </w:r>
      <w:r w:rsidR="00A62E7B">
        <w:rPr>
          <w:rFonts w:eastAsia="Times New Roman" w:cs="Times New Roman"/>
        </w:rPr>
        <w:t xml:space="preserve"> town officials and the</w:t>
      </w:r>
      <w:r w:rsidRPr="00E66726">
        <w:rPr>
          <w:rFonts w:eastAsia="Times New Roman" w:cs="Times New Roman"/>
        </w:rPr>
        <w:t xml:space="preserve"> public </w:t>
      </w:r>
      <w:r w:rsidR="00893453">
        <w:rPr>
          <w:rFonts w:eastAsia="Times New Roman" w:cs="Times New Roman"/>
        </w:rPr>
        <w:t xml:space="preserve">with </w:t>
      </w:r>
      <w:r w:rsidRPr="00E66726">
        <w:rPr>
          <w:rFonts w:eastAsia="Times New Roman" w:cs="Times New Roman"/>
        </w:rPr>
        <w:t xml:space="preserve">school department documents and information </w:t>
      </w:r>
      <w:r w:rsidR="00C60002">
        <w:rPr>
          <w:rFonts w:eastAsia="Times New Roman" w:cs="Times New Roman"/>
        </w:rPr>
        <w:t>about</w:t>
      </w:r>
      <w:r w:rsidR="00C60002" w:rsidRPr="00E66726">
        <w:rPr>
          <w:rFonts w:eastAsia="Times New Roman" w:cs="Times New Roman"/>
        </w:rPr>
        <w:t xml:space="preserve"> </w:t>
      </w:r>
      <w:r w:rsidRPr="00E66726">
        <w:rPr>
          <w:rFonts w:eastAsia="Times New Roman" w:cs="Times New Roman"/>
        </w:rPr>
        <w:t>the budget.</w:t>
      </w:r>
    </w:p>
    <w:p w:rsidR="00E66726" w:rsidRPr="00E66726" w:rsidRDefault="00A62E7B" w:rsidP="00210F97">
      <w:pPr>
        <w:numPr>
          <w:ilvl w:val="2"/>
          <w:numId w:val="5"/>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The s</w:t>
      </w:r>
      <w:r w:rsidR="00E66726" w:rsidRPr="00E66726">
        <w:rPr>
          <w:rFonts w:eastAsia="Times New Roman" w:cs="Times New Roman"/>
        </w:rPr>
        <w:t xml:space="preserve">uperintendent </w:t>
      </w:r>
      <w:r w:rsidR="00C62855">
        <w:rPr>
          <w:rFonts w:eastAsia="Times New Roman" w:cs="Times New Roman"/>
        </w:rPr>
        <w:t xml:space="preserve">has </w:t>
      </w:r>
      <w:r w:rsidR="00E66726" w:rsidRPr="00E66726">
        <w:rPr>
          <w:rFonts w:eastAsia="Times New Roman" w:cs="Times New Roman"/>
        </w:rPr>
        <w:t xml:space="preserve">attended meetings with the towns’ </w:t>
      </w:r>
      <w:r w:rsidR="00893453">
        <w:rPr>
          <w:rFonts w:eastAsia="Times New Roman" w:cs="Times New Roman"/>
        </w:rPr>
        <w:t>b</w:t>
      </w:r>
      <w:r w:rsidR="00893453" w:rsidRPr="00E66726">
        <w:rPr>
          <w:rFonts w:eastAsia="Times New Roman" w:cs="Times New Roman"/>
        </w:rPr>
        <w:t xml:space="preserve">oards </w:t>
      </w:r>
      <w:r w:rsidR="00E66726" w:rsidRPr="00E66726">
        <w:rPr>
          <w:rFonts w:eastAsia="Times New Roman" w:cs="Times New Roman"/>
        </w:rPr>
        <w:t xml:space="preserve">of </w:t>
      </w:r>
      <w:r w:rsidR="00893453">
        <w:rPr>
          <w:rFonts w:eastAsia="Times New Roman" w:cs="Times New Roman"/>
        </w:rPr>
        <w:t>s</w:t>
      </w:r>
      <w:r w:rsidR="00893453" w:rsidRPr="00E66726">
        <w:rPr>
          <w:rFonts w:eastAsia="Times New Roman" w:cs="Times New Roman"/>
        </w:rPr>
        <w:t>electmen</w:t>
      </w:r>
      <w:r w:rsidR="00E66726" w:rsidRPr="00E66726">
        <w:rPr>
          <w:rFonts w:eastAsia="Times New Roman" w:cs="Times New Roman"/>
        </w:rPr>
        <w:t xml:space="preserve">, </w:t>
      </w:r>
      <w:r w:rsidR="00893453">
        <w:rPr>
          <w:rFonts w:eastAsia="Times New Roman" w:cs="Times New Roman"/>
        </w:rPr>
        <w:t>f</w:t>
      </w:r>
      <w:r w:rsidR="00893453" w:rsidRPr="00E66726">
        <w:rPr>
          <w:rFonts w:eastAsia="Times New Roman" w:cs="Times New Roman"/>
        </w:rPr>
        <w:t xml:space="preserve">inance </w:t>
      </w:r>
      <w:r w:rsidR="00893453">
        <w:rPr>
          <w:rFonts w:eastAsia="Times New Roman" w:cs="Times New Roman"/>
        </w:rPr>
        <w:t>c</w:t>
      </w:r>
      <w:r w:rsidR="00893453" w:rsidRPr="00E66726">
        <w:rPr>
          <w:rFonts w:eastAsia="Times New Roman" w:cs="Times New Roman"/>
        </w:rPr>
        <w:t>ommittees</w:t>
      </w:r>
      <w:r w:rsidR="00E66726" w:rsidRPr="00E66726">
        <w:rPr>
          <w:rFonts w:eastAsia="Times New Roman" w:cs="Times New Roman"/>
        </w:rPr>
        <w:t xml:space="preserve">, the </w:t>
      </w:r>
      <w:r w:rsidR="00893453">
        <w:rPr>
          <w:rFonts w:eastAsia="Times New Roman" w:cs="Times New Roman"/>
        </w:rPr>
        <w:t>t</w:t>
      </w:r>
      <w:r w:rsidR="00893453" w:rsidRPr="00E66726">
        <w:rPr>
          <w:rFonts w:eastAsia="Times New Roman" w:cs="Times New Roman"/>
        </w:rPr>
        <w:t xml:space="preserve">own </w:t>
      </w:r>
      <w:r w:rsidR="00893453">
        <w:rPr>
          <w:rFonts w:eastAsia="Times New Roman" w:cs="Times New Roman"/>
        </w:rPr>
        <w:t>a</w:t>
      </w:r>
      <w:r w:rsidR="00893453" w:rsidRPr="00E66726">
        <w:rPr>
          <w:rFonts w:eastAsia="Times New Roman" w:cs="Times New Roman"/>
        </w:rPr>
        <w:t>dministrator</w:t>
      </w:r>
      <w:r w:rsidR="00E66726" w:rsidRPr="00E66726">
        <w:rPr>
          <w:rFonts w:eastAsia="Times New Roman" w:cs="Times New Roman"/>
        </w:rPr>
        <w:t xml:space="preserve">, and the </w:t>
      </w:r>
      <w:r w:rsidR="00893453">
        <w:rPr>
          <w:rFonts w:eastAsia="Times New Roman" w:cs="Times New Roman"/>
        </w:rPr>
        <w:t>s</w:t>
      </w:r>
      <w:r w:rsidR="00893453" w:rsidRPr="00E66726">
        <w:rPr>
          <w:rFonts w:eastAsia="Times New Roman" w:cs="Times New Roman"/>
        </w:rPr>
        <w:t xml:space="preserve">chool </w:t>
      </w:r>
      <w:r w:rsidR="00893453">
        <w:rPr>
          <w:rFonts w:eastAsia="Times New Roman" w:cs="Times New Roman"/>
        </w:rPr>
        <w:t>c</w:t>
      </w:r>
      <w:r w:rsidR="00893453" w:rsidRPr="00E66726">
        <w:rPr>
          <w:rFonts w:eastAsia="Times New Roman" w:cs="Times New Roman"/>
        </w:rPr>
        <w:t xml:space="preserve">ommittee </w:t>
      </w:r>
      <w:r w:rsidR="00893453">
        <w:rPr>
          <w:rFonts w:eastAsia="Times New Roman" w:cs="Times New Roman"/>
        </w:rPr>
        <w:t>b</w:t>
      </w:r>
      <w:r w:rsidR="00893453" w:rsidRPr="00E66726">
        <w:rPr>
          <w:rFonts w:eastAsia="Times New Roman" w:cs="Times New Roman"/>
        </w:rPr>
        <w:t xml:space="preserve">udget </w:t>
      </w:r>
      <w:r w:rsidR="00893453">
        <w:rPr>
          <w:rFonts w:eastAsia="Times New Roman" w:cs="Times New Roman"/>
        </w:rPr>
        <w:t>a</w:t>
      </w:r>
      <w:r w:rsidR="00893453" w:rsidRPr="00E66726">
        <w:rPr>
          <w:rFonts w:eastAsia="Times New Roman" w:cs="Times New Roman"/>
        </w:rPr>
        <w:t xml:space="preserve">dvisory </w:t>
      </w:r>
      <w:r w:rsidR="007C7741">
        <w:rPr>
          <w:rFonts w:eastAsia="Times New Roman" w:cs="Times New Roman"/>
        </w:rPr>
        <w:t>sub</w:t>
      </w:r>
      <w:r w:rsidR="00893453">
        <w:rPr>
          <w:rFonts w:eastAsia="Times New Roman" w:cs="Times New Roman"/>
        </w:rPr>
        <w:t>c</w:t>
      </w:r>
      <w:r w:rsidR="00893453" w:rsidRPr="00E66726">
        <w:rPr>
          <w:rFonts w:eastAsia="Times New Roman" w:cs="Times New Roman"/>
        </w:rPr>
        <w:t xml:space="preserve">ommittee </w:t>
      </w:r>
      <w:r w:rsidR="00E66726" w:rsidRPr="00E66726">
        <w:rPr>
          <w:rFonts w:eastAsia="Times New Roman" w:cs="Times New Roman"/>
        </w:rPr>
        <w:t xml:space="preserve">in order to provide information and answer questions about district </w:t>
      </w:r>
      <w:r w:rsidR="00893453" w:rsidRPr="00E66726">
        <w:rPr>
          <w:rFonts w:eastAsia="Times New Roman" w:cs="Times New Roman"/>
        </w:rPr>
        <w:t>financ</w:t>
      </w:r>
      <w:r w:rsidR="00893453">
        <w:rPr>
          <w:rFonts w:eastAsia="Times New Roman" w:cs="Times New Roman"/>
        </w:rPr>
        <w:t xml:space="preserve">e </w:t>
      </w:r>
      <w:r w:rsidR="00E66726" w:rsidRPr="00E66726">
        <w:rPr>
          <w:rFonts w:eastAsia="Times New Roman" w:cs="Times New Roman"/>
        </w:rPr>
        <w:t>and operation</w:t>
      </w:r>
      <w:r w:rsidR="00C62855">
        <w:rPr>
          <w:rFonts w:eastAsia="Times New Roman" w:cs="Times New Roman"/>
        </w:rPr>
        <w:t>.</w:t>
      </w:r>
    </w:p>
    <w:p w:rsidR="00E66726" w:rsidRPr="00E66726" w:rsidRDefault="00E66726" w:rsidP="00210F97">
      <w:pPr>
        <w:numPr>
          <w:ilvl w:val="2"/>
          <w:numId w:val="5"/>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E66726">
        <w:rPr>
          <w:rFonts w:eastAsia="Times New Roman" w:cs="Times New Roman"/>
        </w:rPr>
        <w:t>So that “all [regional district] residents know where</w:t>
      </w:r>
      <w:r w:rsidR="00A62E7B">
        <w:rPr>
          <w:rFonts w:eastAsia="Times New Roman" w:cs="Times New Roman"/>
        </w:rPr>
        <w:t xml:space="preserve"> their dollars are going,” the s</w:t>
      </w:r>
      <w:r w:rsidRPr="00E66726">
        <w:rPr>
          <w:rFonts w:eastAsia="Times New Roman" w:cs="Times New Roman"/>
        </w:rPr>
        <w:t>upe</w:t>
      </w:r>
      <w:r w:rsidR="00A62E7B">
        <w:rPr>
          <w:rFonts w:eastAsia="Times New Roman" w:cs="Times New Roman"/>
        </w:rPr>
        <w:t>rintendent posted on the district</w:t>
      </w:r>
      <w:r w:rsidR="00893453">
        <w:rPr>
          <w:rFonts w:eastAsia="Times New Roman" w:cs="Times New Roman"/>
        </w:rPr>
        <w:t>’s</w:t>
      </w:r>
      <w:r w:rsidR="00A62E7B">
        <w:rPr>
          <w:rFonts w:eastAsia="Times New Roman" w:cs="Times New Roman"/>
        </w:rPr>
        <w:t xml:space="preserve"> web</w:t>
      </w:r>
      <w:r w:rsidRPr="00E66726">
        <w:rPr>
          <w:rFonts w:eastAsia="Times New Roman" w:cs="Times New Roman"/>
        </w:rPr>
        <w:t xml:space="preserve">site a detailed Power </w:t>
      </w:r>
      <w:r w:rsidR="00893453">
        <w:rPr>
          <w:rFonts w:eastAsia="Times New Roman" w:cs="Times New Roman"/>
        </w:rPr>
        <w:t>P</w:t>
      </w:r>
      <w:r w:rsidR="00893453" w:rsidRPr="00E66726">
        <w:rPr>
          <w:rFonts w:eastAsia="Times New Roman" w:cs="Times New Roman"/>
        </w:rPr>
        <w:t xml:space="preserve">oint </w:t>
      </w:r>
      <w:r w:rsidRPr="00E66726">
        <w:rPr>
          <w:rFonts w:eastAsia="Times New Roman" w:cs="Times New Roman"/>
        </w:rPr>
        <w:t xml:space="preserve">presentation on the </w:t>
      </w:r>
      <w:r w:rsidR="00893453">
        <w:rPr>
          <w:rFonts w:eastAsia="Times New Roman" w:cs="Times New Roman"/>
        </w:rPr>
        <w:t>fiscal year 20</w:t>
      </w:r>
      <w:r w:rsidR="00893453" w:rsidRPr="00E66726">
        <w:rPr>
          <w:rFonts w:eastAsia="Times New Roman" w:cs="Times New Roman"/>
        </w:rPr>
        <w:t xml:space="preserve">17 </w:t>
      </w:r>
      <w:r w:rsidRPr="00E66726">
        <w:rPr>
          <w:rFonts w:eastAsia="Times New Roman" w:cs="Times New Roman"/>
        </w:rPr>
        <w:t xml:space="preserve">budget that </w:t>
      </w:r>
      <w:r w:rsidR="00A62E7B">
        <w:rPr>
          <w:rFonts w:eastAsia="Times New Roman" w:cs="Times New Roman"/>
        </w:rPr>
        <w:t xml:space="preserve">he and district staff had </w:t>
      </w:r>
      <w:r w:rsidRPr="00E66726">
        <w:rPr>
          <w:rFonts w:eastAsia="Times New Roman" w:cs="Times New Roman"/>
        </w:rPr>
        <w:t xml:space="preserve">presented to the school committee. </w:t>
      </w:r>
    </w:p>
    <w:p w:rsidR="00E66726" w:rsidRPr="00E66726" w:rsidRDefault="00E66726" w:rsidP="00E66726">
      <w:pPr>
        <w:tabs>
          <w:tab w:val="left" w:pos="360"/>
          <w:tab w:val="left" w:pos="1080"/>
          <w:tab w:val="left" w:pos="1440"/>
          <w:tab w:val="left" w:pos="1800"/>
          <w:tab w:val="left" w:pos="2160"/>
        </w:tabs>
        <w:rPr>
          <w:rFonts w:eastAsia="Times New Roman" w:cs="Times New Roman"/>
        </w:rPr>
      </w:pPr>
      <w:r w:rsidRPr="00E66726">
        <w:rPr>
          <w:rFonts w:eastAsia="Times New Roman" w:cs="Times New Roman"/>
          <w:b/>
        </w:rPr>
        <w:t>Impact</w:t>
      </w:r>
      <w:r w:rsidRPr="00E66726">
        <w:rPr>
          <w:rFonts w:eastAsia="Times New Roman" w:cs="Times New Roman"/>
        </w:rPr>
        <w:t>: Through collaboration, transparency</w:t>
      </w:r>
      <w:r w:rsidR="00893453">
        <w:rPr>
          <w:rFonts w:eastAsia="Times New Roman" w:cs="Times New Roman"/>
        </w:rPr>
        <w:t>,</w:t>
      </w:r>
      <w:r w:rsidRPr="00E66726">
        <w:rPr>
          <w:rFonts w:eastAsia="Times New Roman" w:cs="Times New Roman"/>
        </w:rPr>
        <w:t xml:space="preserve"> and visibility among the district’s staff and stakeholders, the superintendent has </w:t>
      </w:r>
      <w:r w:rsidR="00B15A61">
        <w:rPr>
          <w:rFonts w:eastAsia="Times New Roman" w:cs="Times New Roman"/>
        </w:rPr>
        <w:t xml:space="preserve">helped </w:t>
      </w:r>
      <w:r w:rsidRPr="00E66726">
        <w:rPr>
          <w:rFonts w:eastAsia="Times New Roman" w:cs="Times New Roman"/>
        </w:rPr>
        <w:t>develop</w:t>
      </w:r>
      <w:r w:rsidR="00BF6C10">
        <w:rPr>
          <w:rFonts w:eastAsia="Times New Roman" w:cs="Times New Roman"/>
        </w:rPr>
        <w:t xml:space="preserve"> </w:t>
      </w:r>
      <w:r w:rsidRPr="00E66726">
        <w:rPr>
          <w:rFonts w:eastAsia="Times New Roman" w:cs="Times New Roman"/>
        </w:rPr>
        <w:t xml:space="preserve">a positive climate and culture and </w:t>
      </w:r>
      <w:r w:rsidR="00B15A61">
        <w:rPr>
          <w:rFonts w:eastAsia="Times New Roman" w:cs="Times New Roman"/>
        </w:rPr>
        <w:t xml:space="preserve">has improved </w:t>
      </w:r>
      <w:r w:rsidRPr="00E66726">
        <w:rPr>
          <w:rFonts w:eastAsia="Times New Roman" w:cs="Times New Roman"/>
        </w:rPr>
        <w:t xml:space="preserve">the </w:t>
      </w:r>
      <w:r w:rsidR="00B15A61">
        <w:rPr>
          <w:rFonts w:eastAsia="Times New Roman" w:cs="Times New Roman"/>
        </w:rPr>
        <w:t>budget development process</w:t>
      </w:r>
      <w:r w:rsidRPr="00E66726">
        <w:rPr>
          <w:rFonts w:eastAsia="Times New Roman" w:cs="Times New Roman"/>
        </w:rPr>
        <w:t xml:space="preserve">.   </w:t>
      </w:r>
    </w:p>
    <w:p w:rsidR="00E66726" w:rsidRPr="00E66726" w:rsidRDefault="00E66726" w:rsidP="00E66726">
      <w:pPr>
        <w:numPr>
          <w:ilvl w:val="0"/>
          <w:numId w:val="25"/>
        </w:numPr>
        <w:tabs>
          <w:tab w:val="left" w:pos="360"/>
          <w:tab w:val="left" w:pos="1080"/>
          <w:tab w:val="left" w:pos="1440"/>
          <w:tab w:val="left" w:pos="1800"/>
          <w:tab w:val="left" w:pos="2160"/>
        </w:tabs>
        <w:ind w:left="360"/>
        <w:rPr>
          <w:rFonts w:eastAsia="Times New Roman" w:cs="Times New Roman"/>
          <w:b/>
        </w:rPr>
      </w:pPr>
      <w:r w:rsidRPr="00E66726">
        <w:rPr>
          <w:rFonts w:eastAsia="Times New Roman" w:cs="Times New Roman"/>
          <w:b/>
        </w:rPr>
        <w:t>The school committee, superintendent, district</w:t>
      </w:r>
      <w:r w:rsidR="00B15A61">
        <w:rPr>
          <w:rFonts w:eastAsia="Times New Roman" w:cs="Times New Roman"/>
          <w:b/>
        </w:rPr>
        <w:t>,</w:t>
      </w:r>
      <w:r w:rsidRPr="00E66726">
        <w:rPr>
          <w:rFonts w:eastAsia="Times New Roman" w:cs="Times New Roman"/>
          <w:b/>
        </w:rPr>
        <w:t xml:space="preserve"> and school staff have developed and use</w:t>
      </w:r>
      <w:r w:rsidR="00A36631">
        <w:rPr>
          <w:rFonts w:eastAsia="Times New Roman" w:cs="Times New Roman"/>
          <w:b/>
        </w:rPr>
        <w:t xml:space="preserve"> </w:t>
      </w:r>
      <w:r w:rsidRPr="00E66726">
        <w:rPr>
          <w:rFonts w:eastAsia="Times New Roman" w:cs="Times New Roman"/>
          <w:b/>
        </w:rPr>
        <w:t xml:space="preserve">data-rich and </w:t>
      </w:r>
      <w:r w:rsidR="00B14E50">
        <w:rPr>
          <w:rFonts w:eastAsia="Times New Roman" w:cs="Times New Roman"/>
          <w:b/>
        </w:rPr>
        <w:t>aligned</w:t>
      </w:r>
      <w:r w:rsidRPr="00E66726">
        <w:rPr>
          <w:rFonts w:eastAsia="Times New Roman" w:cs="Times New Roman"/>
          <w:b/>
        </w:rPr>
        <w:t xml:space="preserve"> planning processes and documents focused on accomplishing a clearly defined set of improvement goals. </w:t>
      </w:r>
    </w:p>
    <w:p w:rsidR="00E66726" w:rsidRPr="00E66726" w:rsidRDefault="007F34F3" w:rsidP="00CA687D">
      <w:pPr>
        <w:numPr>
          <w:ilvl w:val="0"/>
          <w:numId w:val="27"/>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Interviews and a document review indicated that t</w:t>
      </w:r>
      <w:r w:rsidRPr="00E66726">
        <w:rPr>
          <w:rFonts w:eastAsia="Times New Roman" w:cs="Times New Roman"/>
        </w:rPr>
        <w:t xml:space="preserve">he </w:t>
      </w:r>
      <w:r w:rsidR="00E66726" w:rsidRPr="00E66726">
        <w:rPr>
          <w:rFonts w:eastAsia="Times New Roman" w:cs="Times New Roman"/>
        </w:rPr>
        <w:t>district’s 2016</w:t>
      </w:r>
      <w:r w:rsidR="001A2099">
        <w:rPr>
          <w:rFonts w:eastAsia="Times New Roman" w:cs="Times New Roman"/>
        </w:rPr>
        <w:t>–</w:t>
      </w:r>
      <w:r w:rsidR="00E66726" w:rsidRPr="00E66726">
        <w:rPr>
          <w:rFonts w:eastAsia="Times New Roman" w:cs="Times New Roman"/>
        </w:rPr>
        <w:t xml:space="preserve">2020 District Improvement Plan </w:t>
      </w:r>
      <w:r w:rsidR="001A2099">
        <w:rPr>
          <w:rFonts w:eastAsia="Times New Roman" w:cs="Times New Roman"/>
        </w:rPr>
        <w:t xml:space="preserve">(DIP) </w:t>
      </w:r>
      <w:r w:rsidR="00E66726" w:rsidRPr="00E66726">
        <w:rPr>
          <w:rFonts w:eastAsia="Times New Roman" w:cs="Times New Roman"/>
        </w:rPr>
        <w:t>and the 2016</w:t>
      </w:r>
      <w:r w:rsidR="001A2099">
        <w:rPr>
          <w:rFonts w:eastAsia="Times New Roman" w:cs="Times New Roman"/>
        </w:rPr>
        <w:t>–20</w:t>
      </w:r>
      <w:r w:rsidR="00E66726" w:rsidRPr="00E66726">
        <w:rPr>
          <w:rFonts w:eastAsia="Times New Roman" w:cs="Times New Roman"/>
        </w:rPr>
        <w:t xml:space="preserve">17 School Improvement Plans </w:t>
      </w:r>
      <w:r w:rsidR="001A2099">
        <w:rPr>
          <w:rFonts w:eastAsia="Times New Roman" w:cs="Times New Roman"/>
        </w:rPr>
        <w:t xml:space="preserve">(SIPs) </w:t>
      </w:r>
      <w:r w:rsidR="00E66726" w:rsidRPr="00E66726">
        <w:rPr>
          <w:rFonts w:eastAsia="Times New Roman" w:cs="Times New Roman"/>
        </w:rPr>
        <w:t xml:space="preserve">are closely aligned. </w:t>
      </w:r>
    </w:p>
    <w:p w:rsidR="00E66726" w:rsidRPr="00E66726" w:rsidRDefault="00E66726" w:rsidP="00210F97">
      <w:pPr>
        <w:numPr>
          <w:ilvl w:val="6"/>
          <w:numId w:val="26"/>
        </w:numPr>
        <w:tabs>
          <w:tab w:val="left" w:pos="360"/>
          <w:tab w:val="left" w:pos="720"/>
          <w:tab w:val="left" w:pos="1080"/>
          <w:tab w:val="left" w:pos="1440"/>
          <w:tab w:val="left" w:pos="1800"/>
          <w:tab w:val="left" w:pos="2160"/>
        </w:tabs>
        <w:spacing w:after="120"/>
        <w:ind w:left="1080"/>
        <w:rPr>
          <w:rFonts w:eastAsia="Times New Roman" w:cs="Times New Roman"/>
        </w:rPr>
      </w:pPr>
      <w:r w:rsidRPr="00E66726">
        <w:rPr>
          <w:rFonts w:eastAsia="Times New Roman" w:cs="Times New Roman"/>
        </w:rPr>
        <w:t>The DIP and the five SIPs</w:t>
      </w:r>
      <w:r w:rsidR="001A2099">
        <w:rPr>
          <w:rFonts w:eastAsia="Times New Roman" w:cs="Times New Roman"/>
        </w:rPr>
        <w:t xml:space="preserve"> </w:t>
      </w:r>
      <w:r w:rsidRPr="00E66726">
        <w:rPr>
          <w:rFonts w:eastAsia="Times New Roman" w:cs="Times New Roman"/>
        </w:rPr>
        <w:t xml:space="preserve">address five school improvement goals, called strategic objectives:  </w:t>
      </w:r>
      <w:r w:rsidR="001A2099">
        <w:rPr>
          <w:rFonts w:eastAsia="Times New Roman" w:cs="Times New Roman"/>
        </w:rPr>
        <w:t>c</w:t>
      </w:r>
      <w:r w:rsidR="001A2099" w:rsidRPr="00E66726">
        <w:rPr>
          <w:rFonts w:eastAsia="Times New Roman" w:cs="Times New Roman"/>
        </w:rPr>
        <w:t xml:space="preserve">ontinuously </w:t>
      </w:r>
      <w:r w:rsidRPr="00E66726">
        <w:rPr>
          <w:rFonts w:eastAsia="Times New Roman" w:cs="Times New Roman"/>
        </w:rPr>
        <w:t xml:space="preserve">improving student achievement; </w:t>
      </w:r>
      <w:r w:rsidR="001A2099">
        <w:rPr>
          <w:rFonts w:eastAsia="Times New Roman" w:cs="Times New Roman"/>
        </w:rPr>
        <w:t>u</w:t>
      </w:r>
      <w:r w:rsidR="001A2099" w:rsidRPr="00E66726">
        <w:rPr>
          <w:rFonts w:eastAsia="Times New Roman" w:cs="Times New Roman"/>
        </w:rPr>
        <w:t xml:space="preserve">sing </w:t>
      </w:r>
      <w:r w:rsidRPr="00E66726">
        <w:rPr>
          <w:rFonts w:eastAsia="Times New Roman" w:cs="Times New Roman"/>
        </w:rPr>
        <w:t xml:space="preserve">data and technology; </w:t>
      </w:r>
      <w:r w:rsidR="001A2099">
        <w:rPr>
          <w:rFonts w:eastAsia="Times New Roman" w:cs="Times New Roman"/>
        </w:rPr>
        <w:t>s</w:t>
      </w:r>
      <w:r w:rsidR="001A2099" w:rsidRPr="00E66726">
        <w:rPr>
          <w:rFonts w:eastAsia="Times New Roman" w:cs="Times New Roman"/>
        </w:rPr>
        <w:t xml:space="preserve">trengthening </w:t>
      </w:r>
      <w:r w:rsidRPr="00E66726">
        <w:rPr>
          <w:rFonts w:eastAsia="Times New Roman" w:cs="Times New Roman"/>
        </w:rPr>
        <w:t xml:space="preserve">teaching and learning; </w:t>
      </w:r>
      <w:r w:rsidR="001A2099">
        <w:rPr>
          <w:rFonts w:eastAsia="Times New Roman" w:cs="Times New Roman"/>
        </w:rPr>
        <w:t>c</w:t>
      </w:r>
      <w:r w:rsidR="001A2099" w:rsidRPr="00E66726">
        <w:rPr>
          <w:rFonts w:eastAsia="Times New Roman" w:cs="Times New Roman"/>
        </w:rPr>
        <w:t xml:space="preserve">reating </w:t>
      </w:r>
      <w:r w:rsidRPr="00E66726">
        <w:rPr>
          <w:rFonts w:eastAsia="Times New Roman" w:cs="Times New Roman"/>
        </w:rPr>
        <w:t xml:space="preserve">safe schools/culture and climate; and </w:t>
      </w:r>
      <w:r w:rsidR="001A2099">
        <w:rPr>
          <w:rFonts w:eastAsia="Times New Roman" w:cs="Times New Roman"/>
        </w:rPr>
        <w:t>i</w:t>
      </w:r>
      <w:r w:rsidR="001A2099" w:rsidRPr="00E66726">
        <w:rPr>
          <w:rFonts w:eastAsia="Times New Roman" w:cs="Times New Roman"/>
        </w:rPr>
        <w:t>nfrastructure</w:t>
      </w:r>
      <w:r w:rsidR="001C3AAE">
        <w:rPr>
          <w:rFonts w:eastAsia="Times New Roman" w:cs="Times New Roman"/>
        </w:rPr>
        <w:t xml:space="preserve"> </w:t>
      </w:r>
      <w:r w:rsidR="00A36631">
        <w:rPr>
          <w:rFonts w:eastAsia="Times New Roman" w:cs="Times New Roman"/>
        </w:rPr>
        <w:t>[</w:t>
      </w:r>
      <w:r w:rsidR="001C3AAE">
        <w:rPr>
          <w:rFonts w:eastAsia="Times New Roman" w:cs="Times New Roman"/>
        </w:rPr>
        <w:t>providing the tools, infrastructure, and systems to support district initiatives and learning environments</w:t>
      </w:r>
      <w:r w:rsidR="00A36631">
        <w:rPr>
          <w:rFonts w:eastAsia="Times New Roman" w:cs="Times New Roman"/>
        </w:rPr>
        <w:t>]</w:t>
      </w:r>
      <w:r w:rsidRPr="00E66726">
        <w:rPr>
          <w:rFonts w:eastAsia="Times New Roman" w:cs="Times New Roman"/>
        </w:rPr>
        <w:t xml:space="preserve">. </w:t>
      </w:r>
    </w:p>
    <w:p w:rsidR="00BD44BB" w:rsidRDefault="00BD44BB" w:rsidP="00BD44BB">
      <w:pPr>
        <w:tabs>
          <w:tab w:val="left" w:pos="360"/>
          <w:tab w:val="left" w:pos="720"/>
          <w:tab w:val="left" w:pos="1080"/>
          <w:tab w:val="left" w:pos="1440"/>
          <w:tab w:val="left" w:pos="1800"/>
          <w:tab w:val="left" w:pos="2160"/>
        </w:tabs>
        <w:ind w:left="720" w:hanging="360"/>
        <w:rPr>
          <w:rFonts w:eastAsia="Times New Roman" w:cs="Times New Roman"/>
        </w:rPr>
      </w:pPr>
      <w:r w:rsidRPr="00BD44BB">
        <w:rPr>
          <w:rFonts w:eastAsia="Times New Roman" w:cs="Times New Roman"/>
          <w:b/>
        </w:rPr>
        <w:t>B.</w:t>
      </w:r>
      <w:r w:rsidR="00250149">
        <w:rPr>
          <w:rFonts w:eastAsia="Times New Roman" w:cs="Times New Roman"/>
          <w:b/>
        </w:rPr>
        <w:tab/>
      </w:r>
      <w:r w:rsidR="00020BE0">
        <w:rPr>
          <w:rFonts w:eastAsia="Times New Roman" w:cs="Times New Roman"/>
        </w:rPr>
        <w:t xml:space="preserve">In general, </w:t>
      </w:r>
      <w:r w:rsidR="00E66726" w:rsidRPr="00E66726">
        <w:rPr>
          <w:rFonts w:eastAsia="Times New Roman" w:cs="Times New Roman"/>
        </w:rPr>
        <w:t>DIP and</w:t>
      </w:r>
      <w:r w:rsidR="00020BE0">
        <w:rPr>
          <w:rFonts w:eastAsia="Times New Roman" w:cs="Times New Roman"/>
        </w:rPr>
        <w:t xml:space="preserve"> </w:t>
      </w:r>
      <w:r w:rsidR="00E66726" w:rsidRPr="00E66726">
        <w:rPr>
          <w:rFonts w:eastAsia="Times New Roman" w:cs="Times New Roman"/>
        </w:rPr>
        <w:t>SIP</w:t>
      </w:r>
      <w:r w:rsidR="009229FE">
        <w:rPr>
          <w:rFonts w:eastAsia="Times New Roman" w:cs="Times New Roman"/>
        </w:rPr>
        <w:t xml:space="preserve"> </w:t>
      </w:r>
      <w:r w:rsidR="00034C5F">
        <w:rPr>
          <w:rFonts w:eastAsia="Times New Roman" w:cs="Times New Roman"/>
        </w:rPr>
        <w:t>goal</w:t>
      </w:r>
      <w:r w:rsidR="00020BE0">
        <w:rPr>
          <w:rFonts w:eastAsia="Times New Roman" w:cs="Times New Roman"/>
        </w:rPr>
        <w:t>s</w:t>
      </w:r>
      <w:r w:rsidR="00034C5F">
        <w:rPr>
          <w:rFonts w:eastAsia="Times New Roman" w:cs="Times New Roman"/>
        </w:rPr>
        <w:t xml:space="preserve"> </w:t>
      </w:r>
      <w:r w:rsidR="00020BE0">
        <w:rPr>
          <w:rFonts w:eastAsia="Times New Roman" w:cs="Times New Roman"/>
        </w:rPr>
        <w:t xml:space="preserve">are SMART: Specific and Strategic; Measureable; Action Oriented; </w:t>
      </w:r>
      <w:r w:rsidR="00020BE0" w:rsidRPr="00E66726">
        <w:rPr>
          <w:rFonts w:eastAsia="Times New Roman" w:cs="Times New Roman"/>
        </w:rPr>
        <w:t>Rigorous, Realistic</w:t>
      </w:r>
      <w:r w:rsidR="00020BE0">
        <w:rPr>
          <w:rFonts w:eastAsia="Times New Roman" w:cs="Times New Roman"/>
        </w:rPr>
        <w:t>,</w:t>
      </w:r>
      <w:r w:rsidR="00020BE0" w:rsidRPr="00E66726">
        <w:rPr>
          <w:rFonts w:eastAsia="Times New Roman" w:cs="Times New Roman"/>
        </w:rPr>
        <w:t xml:space="preserve"> and Results focused</w:t>
      </w:r>
      <w:r w:rsidR="00020BE0">
        <w:rPr>
          <w:rFonts w:eastAsia="Times New Roman" w:cs="Times New Roman"/>
        </w:rPr>
        <w:t>; and Timed and Tracked</w:t>
      </w:r>
      <w:r w:rsidR="00E66726" w:rsidRPr="00E66726">
        <w:rPr>
          <w:rFonts w:eastAsia="Times New Roman" w:cs="Times New Roman"/>
        </w:rPr>
        <w:t>.</w:t>
      </w:r>
      <w:r w:rsidR="009229FE">
        <w:rPr>
          <w:rStyle w:val="FootnoteReference"/>
          <w:rFonts w:eastAsia="Times New Roman" w:cs="Times New Roman"/>
        </w:rPr>
        <w:footnoteReference w:id="7"/>
      </w:r>
      <w:r w:rsidR="00E66726" w:rsidRPr="00E66726">
        <w:rPr>
          <w:rFonts w:eastAsia="Times New Roman" w:cs="Times New Roman"/>
        </w:rPr>
        <w:t xml:space="preserve"> </w:t>
      </w:r>
    </w:p>
    <w:p w:rsidR="00A07DAE" w:rsidRDefault="00855793" w:rsidP="00250149">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1.  </w:t>
      </w:r>
      <w:r w:rsidR="001914B4">
        <w:rPr>
          <w:rFonts w:eastAsia="Times New Roman" w:cs="Times New Roman"/>
        </w:rPr>
        <w:tab/>
      </w:r>
      <w:r w:rsidR="00E66726" w:rsidRPr="00E66726">
        <w:rPr>
          <w:rFonts w:eastAsia="Times New Roman" w:cs="Times New Roman"/>
        </w:rPr>
        <w:t xml:space="preserve">Specific and Strategic:    </w:t>
      </w:r>
      <w:r w:rsidR="00E547C1">
        <w:rPr>
          <w:rFonts w:eastAsia="Times New Roman" w:cs="Times New Roman"/>
        </w:rPr>
        <w:t>As a r</w:t>
      </w:r>
      <w:r w:rsidR="00E547C1" w:rsidRPr="00E66726">
        <w:rPr>
          <w:rFonts w:eastAsia="Times New Roman" w:cs="Times New Roman"/>
        </w:rPr>
        <w:t>esult</w:t>
      </w:r>
      <w:r w:rsidR="00BB777A">
        <w:rPr>
          <w:rFonts w:eastAsia="Times New Roman" w:cs="Times New Roman"/>
        </w:rPr>
        <w:t xml:space="preserve"> </w:t>
      </w:r>
      <w:r w:rsidR="00E547C1">
        <w:rPr>
          <w:rFonts w:eastAsia="Times New Roman" w:cs="Times New Roman"/>
        </w:rPr>
        <w:t>of</w:t>
      </w:r>
      <w:r w:rsidR="00E66726" w:rsidRPr="00E66726">
        <w:rPr>
          <w:rFonts w:eastAsia="Times New Roman" w:cs="Times New Roman"/>
        </w:rPr>
        <w:t xml:space="preserve"> analysis of 2016 MCAS </w:t>
      </w:r>
      <w:r w:rsidR="00E547C1">
        <w:rPr>
          <w:rFonts w:eastAsia="Times New Roman" w:cs="Times New Roman"/>
        </w:rPr>
        <w:t>data</w:t>
      </w:r>
      <w:r w:rsidR="00E66726" w:rsidRPr="00E66726">
        <w:rPr>
          <w:rFonts w:eastAsia="Times New Roman" w:cs="Times New Roman"/>
        </w:rPr>
        <w:t>, di</w:t>
      </w:r>
      <w:r w:rsidR="00034C5F">
        <w:rPr>
          <w:rFonts w:eastAsia="Times New Roman" w:cs="Times New Roman"/>
        </w:rPr>
        <w:t xml:space="preserve">strict staff included in plans </w:t>
      </w:r>
      <w:r w:rsidR="00E66726" w:rsidRPr="00E66726">
        <w:rPr>
          <w:rFonts w:eastAsia="Times New Roman" w:cs="Times New Roman"/>
        </w:rPr>
        <w:t>s</w:t>
      </w:r>
      <w:r w:rsidR="00A36631">
        <w:rPr>
          <w:rFonts w:eastAsia="Times New Roman" w:cs="Times New Roman"/>
        </w:rPr>
        <w:t>pecific intervention strategies</w:t>
      </w:r>
      <w:r w:rsidR="00A14598">
        <w:rPr>
          <w:rFonts w:eastAsia="Times New Roman" w:cs="Times New Roman"/>
        </w:rPr>
        <w:t>, including</w:t>
      </w:r>
      <w:r w:rsidR="00E547C1">
        <w:rPr>
          <w:rFonts w:eastAsia="Times New Roman" w:cs="Times New Roman"/>
        </w:rPr>
        <w:t>:</w:t>
      </w:r>
      <w:r w:rsidR="00E66726" w:rsidRPr="00E66726">
        <w:rPr>
          <w:rFonts w:eastAsia="Times New Roman" w:cs="Times New Roman"/>
        </w:rPr>
        <w:t xml:space="preserve"> </w:t>
      </w:r>
    </w:p>
    <w:p w:rsidR="00A07DAE" w:rsidRDefault="00A07DAE" w:rsidP="009E4BF5">
      <w:pPr>
        <w:tabs>
          <w:tab w:val="left" w:pos="360"/>
          <w:tab w:val="left" w:pos="720"/>
          <w:tab w:val="left" w:pos="1080"/>
          <w:tab w:val="left" w:pos="1440"/>
          <w:tab w:val="left" w:pos="1800"/>
          <w:tab w:val="left" w:pos="2160"/>
          <w:tab w:val="left" w:pos="2520"/>
          <w:tab w:val="left" w:pos="2880"/>
        </w:tabs>
        <w:ind w:left="1440" w:hanging="720"/>
        <w:rPr>
          <w:rFonts w:eastAsia="Times New Roman" w:cs="Times New Roman"/>
        </w:rPr>
      </w:pPr>
      <w:r>
        <w:rPr>
          <w:rFonts w:eastAsia="Times New Roman" w:cs="Times New Roman"/>
        </w:rPr>
        <w:lastRenderedPageBreak/>
        <w:tab/>
      </w:r>
      <w:r w:rsidR="00855793">
        <w:rPr>
          <w:rFonts w:eastAsia="Times New Roman" w:cs="Times New Roman"/>
        </w:rPr>
        <w:t>a</w:t>
      </w:r>
      <w:r>
        <w:rPr>
          <w:rFonts w:eastAsia="Times New Roman" w:cs="Times New Roman"/>
        </w:rPr>
        <w:t>.</w:t>
      </w:r>
      <w:r w:rsidR="00E66726" w:rsidRPr="00E66726">
        <w:rPr>
          <w:rFonts w:eastAsia="Times New Roman" w:cs="Times New Roman"/>
        </w:rPr>
        <w:t xml:space="preserve"> </w:t>
      </w:r>
      <w:r w:rsidR="009E4BF5">
        <w:rPr>
          <w:rFonts w:eastAsia="Times New Roman" w:cs="Times New Roman"/>
        </w:rPr>
        <w:tab/>
      </w:r>
      <w:r w:rsidR="00A14598">
        <w:rPr>
          <w:rFonts w:eastAsia="Times New Roman" w:cs="Times New Roman"/>
        </w:rPr>
        <w:t>To improve students’ m</w:t>
      </w:r>
      <w:r w:rsidR="00A14598" w:rsidRPr="00E66726">
        <w:rPr>
          <w:rFonts w:eastAsia="Times New Roman" w:cs="Times New Roman"/>
        </w:rPr>
        <w:t>ath performance</w:t>
      </w:r>
      <w:r w:rsidR="00A14598">
        <w:rPr>
          <w:rFonts w:eastAsia="Times New Roman" w:cs="Times New Roman"/>
        </w:rPr>
        <w:t xml:space="preserve"> at the middle schools</w:t>
      </w:r>
      <w:r w:rsidR="00107ECE">
        <w:rPr>
          <w:rFonts w:eastAsia="Times New Roman" w:cs="Times New Roman"/>
        </w:rPr>
        <w:t>,</w:t>
      </w:r>
      <w:r w:rsidR="00A14598">
        <w:rPr>
          <w:rFonts w:eastAsia="Times New Roman" w:cs="Times New Roman"/>
        </w:rPr>
        <w:t xml:space="preserve"> align math curriculum vertically and horizontally using new </w:t>
      </w:r>
      <w:r w:rsidR="00BD44BB" w:rsidRPr="00BD44BB">
        <w:rPr>
          <w:rFonts w:eastAsia="Times New Roman" w:cs="Times New Roman"/>
        </w:rPr>
        <w:t>Envision</w:t>
      </w:r>
      <w:r w:rsidR="00A14598">
        <w:rPr>
          <w:rFonts w:eastAsia="Times New Roman" w:cs="Times New Roman"/>
        </w:rPr>
        <w:t>MATH resources</w:t>
      </w:r>
      <w:r w:rsidR="00E66726" w:rsidRPr="00E66726">
        <w:rPr>
          <w:rFonts w:eastAsia="Times New Roman" w:cs="Times New Roman"/>
        </w:rPr>
        <w:t xml:space="preserve">; </w:t>
      </w:r>
    </w:p>
    <w:p w:rsidR="00A07DAE" w:rsidRDefault="00A07DAE" w:rsidP="009E4BF5">
      <w:pPr>
        <w:tabs>
          <w:tab w:val="left" w:pos="360"/>
          <w:tab w:val="left" w:pos="720"/>
          <w:tab w:val="left" w:pos="1080"/>
          <w:tab w:val="left" w:pos="1440"/>
          <w:tab w:val="left" w:pos="1800"/>
          <w:tab w:val="left" w:pos="2160"/>
          <w:tab w:val="left" w:pos="2520"/>
          <w:tab w:val="left" w:pos="2880"/>
        </w:tabs>
        <w:ind w:left="1440" w:hanging="720"/>
        <w:rPr>
          <w:rFonts w:eastAsia="Times New Roman" w:cs="Times New Roman"/>
        </w:rPr>
      </w:pPr>
      <w:r>
        <w:rPr>
          <w:rFonts w:eastAsia="Times New Roman" w:cs="Times New Roman"/>
        </w:rPr>
        <w:tab/>
      </w:r>
      <w:r w:rsidR="00855793">
        <w:rPr>
          <w:rFonts w:eastAsia="Times New Roman" w:cs="Times New Roman"/>
        </w:rPr>
        <w:t>b</w:t>
      </w:r>
      <w:r>
        <w:rPr>
          <w:rFonts w:eastAsia="Times New Roman" w:cs="Times New Roman"/>
        </w:rPr>
        <w:t>.</w:t>
      </w:r>
      <w:r w:rsidR="00E66726" w:rsidRPr="00E66726">
        <w:rPr>
          <w:rFonts w:eastAsia="Times New Roman" w:cs="Times New Roman"/>
        </w:rPr>
        <w:t xml:space="preserve"> </w:t>
      </w:r>
      <w:r w:rsidR="009E4BF5">
        <w:rPr>
          <w:rFonts w:eastAsia="Times New Roman" w:cs="Times New Roman"/>
        </w:rPr>
        <w:tab/>
      </w:r>
      <w:r w:rsidR="00A14598">
        <w:rPr>
          <w:rFonts w:eastAsia="Times New Roman" w:cs="Times New Roman"/>
        </w:rPr>
        <w:t xml:space="preserve">To improve </w:t>
      </w:r>
      <w:r w:rsidR="00107ECE">
        <w:rPr>
          <w:rFonts w:eastAsia="Times New Roman" w:cs="Times New Roman"/>
        </w:rPr>
        <w:t xml:space="preserve">the </w:t>
      </w:r>
      <w:r w:rsidR="00A14598">
        <w:rPr>
          <w:rFonts w:eastAsia="Times New Roman" w:cs="Times New Roman"/>
        </w:rPr>
        <w:t>m</w:t>
      </w:r>
      <w:r w:rsidR="00A14598" w:rsidRPr="00E66726">
        <w:rPr>
          <w:rFonts w:eastAsia="Times New Roman" w:cs="Times New Roman"/>
        </w:rPr>
        <w:t>ath performance</w:t>
      </w:r>
      <w:r w:rsidR="00A14598" w:rsidRPr="00867198">
        <w:rPr>
          <w:rFonts w:eastAsia="Times New Roman" w:cs="Times New Roman"/>
        </w:rPr>
        <w:t xml:space="preserve"> </w:t>
      </w:r>
      <w:r w:rsidR="00107ECE">
        <w:rPr>
          <w:rFonts w:eastAsia="Times New Roman" w:cs="Times New Roman"/>
        </w:rPr>
        <w:t xml:space="preserve">of students with disabilities </w:t>
      </w:r>
      <w:r w:rsidR="00A14598">
        <w:rPr>
          <w:rFonts w:eastAsia="Times New Roman" w:cs="Times New Roman"/>
        </w:rPr>
        <w:t xml:space="preserve">at the middle schools, continue </w:t>
      </w:r>
      <w:r w:rsidR="00107ECE">
        <w:rPr>
          <w:rFonts w:eastAsia="Times New Roman" w:cs="Times New Roman"/>
        </w:rPr>
        <w:t xml:space="preserve">training in </w:t>
      </w:r>
      <w:r w:rsidR="00DA4BDB">
        <w:rPr>
          <w:rFonts w:eastAsia="Times New Roman" w:cs="Times New Roman"/>
        </w:rPr>
        <w:t xml:space="preserve">a </w:t>
      </w:r>
      <w:r w:rsidR="00A14598">
        <w:rPr>
          <w:rFonts w:eastAsia="Times New Roman" w:cs="Times New Roman"/>
        </w:rPr>
        <w:t>c</w:t>
      </w:r>
      <w:r w:rsidR="00BD44BB" w:rsidRPr="00BD44BB">
        <w:rPr>
          <w:rFonts w:eastAsia="Times New Roman" w:cs="Times New Roman"/>
        </w:rPr>
        <w:t>o-</w:t>
      </w:r>
      <w:r w:rsidR="00A14598">
        <w:rPr>
          <w:rFonts w:eastAsia="Times New Roman" w:cs="Times New Roman"/>
        </w:rPr>
        <w:t>t</w:t>
      </w:r>
      <w:r w:rsidR="00BD44BB" w:rsidRPr="00BD44BB">
        <w:rPr>
          <w:rFonts w:eastAsia="Times New Roman" w:cs="Times New Roman"/>
        </w:rPr>
        <w:t>eaching program</w:t>
      </w:r>
      <w:r>
        <w:rPr>
          <w:rFonts w:eastAsia="Times New Roman" w:cs="Times New Roman"/>
        </w:rPr>
        <w:t xml:space="preserve">; </w:t>
      </w:r>
      <w:r w:rsidR="00E547C1">
        <w:rPr>
          <w:rFonts w:eastAsia="Times New Roman" w:cs="Times New Roman"/>
        </w:rPr>
        <w:t xml:space="preserve">and </w:t>
      </w:r>
    </w:p>
    <w:p w:rsidR="00E66726" w:rsidRPr="00E66726" w:rsidRDefault="00A07DAE" w:rsidP="009E4BF5">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855793">
        <w:rPr>
          <w:rFonts w:eastAsia="Times New Roman" w:cs="Times New Roman"/>
        </w:rPr>
        <w:t>c</w:t>
      </w:r>
      <w:r>
        <w:rPr>
          <w:rFonts w:eastAsia="Times New Roman" w:cs="Times New Roman"/>
        </w:rPr>
        <w:t>.</w:t>
      </w:r>
      <w:r w:rsidR="00F07F6A">
        <w:rPr>
          <w:rFonts w:eastAsia="Times New Roman" w:cs="Times New Roman"/>
        </w:rPr>
        <w:t xml:space="preserve"> </w:t>
      </w:r>
      <w:r w:rsidR="009E4BF5">
        <w:rPr>
          <w:rFonts w:eastAsia="Times New Roman" w:cs="Times New Roman"/>
        </w:rPr>
        <w:tab/>
      </w:r>
      <w:r w:rsidR="00A14598">
        <w:rPr>
          <w:rFonts w:eastAsia="Times New Roman" w:cs="Times New Roman"/>
        </w:rPr>
        <w:t xml:space="preserve">To </w:t>
      </w:r>
      <w:r w:rsidR="00A14598" w:rsidRPr="00E66726">
        <w:rPr>
          <w:rFonts w:eastAsia="Times New Roman" w:cs="Times New Roman"/>
        </w:rPr>
        <w:t>inc</w:t>
      </w:r>
      <w:r w:rsidR="00A14598">
        <w:rPr>
          <w:rFonts w:eastAsia="Times New Roman" w:cs="Times New Roman"/>
        </w:rPr>
        <w:t>rease elementary students’ performance on open-response/multiple-choice questions and short answers in ELA and m</w:t>
      </w:r>
      <w:r w:rsidR="00A14598" w:rsidRPr="00E66726">
        <w:rPr>
          <w:rFonts w:eastAsia="Times New Roman" w:cs="Times New Roman"/>
        </w:rPr>
        <w:t>ath</w:t>
      </w:r>
      <w:r w:rsidR="00A14598">
        <w:rPr>
          <w:rFonts w:eastAsia="Times New Roman" w:cs="Times New Roman"/>
        </w:rPr>
        <w:t>, develop w</w:t>
      </w:r>
      <w:r w:rsidR="00BD44BB" w:rsidRPr="00BD44BB">
        <w:rPr>
          <w:rFonts w:eastAsia="Times New Roman" w:cs="Times New Roman"/>
        </w:rPr>
        <w:t xml:space="preserve">riting </w:t>
      </w:r>
      <w:r w:rsidR="00A14598">
        <w:rPr>
          <w:rFonts w:eastAsia="Times New Roman" w:cs="Times New Roman"/>
        </w:rPr>
        <w:t>r</w:t>
      </w:r>
      <w:r w:rsidR="00BD44BB" w:rsidRPr="00BD44BB">
        <w:rPr>
          <w:rFonts w:eastAsia="Times New Roman" w:cs="Times New Roman"/>
        </w:rPr>
        <w:t>ubrics</w:t>
      </w:r>
      <w:r w:rsidR="00E66726" w:rsidRPr="00E66726">
        <w:rPr>
          <w:rFonts w:eastAsia="Times New Roman" w:cs="Times New Roman"/>
        </w:rPr>
        <w:t xml:space="preserve">.  </w:t>
      </w:r>
    </w:p>
    <w:p w:rsidR="00BD44BB" w:rsidRDefault="00855793" w:rsidP="00BD44BB">
      <w:pPr>
        <w:tabs>
          <w:tab w:val="left" w:pos="360"/>
          <w:tab w:val="left" w:pos="720"/>
          <w:tab w:val="left" w:pos="1080"/>
          <w:tab w:val="left" w:pos="1440"/>
          <w:tab w:val="left" w:pos="1800"/>
          <w:tab w:val="left" w:pos="2160"/>
        </w:tabs>
        <w:ind w:left="1080" w:hanging="1080"/>
        <w:rPr>
          <w:rFonts w:eastAsia="Times New Roman" w:cs="Times New Roman"/>
          <w:b/>
        </w:rPr>
      </w:pPr>
      <w:r>
        <w:rPr>
          <w:rFonts w:eastAsia="Times New Roman" w:cs="Times New Roman"/>
        </w:rPr>
        <w:tab/>
      </w:r>
      <w:r w:rsidR="001914B4">
        <w:rPr>
          <w:rFonts w:eastAsia="Times New Roman" w:cs="Times New Roman"/>
        </w:rPr>
        <w:tab/>
      </w:r>
      <w:r>
        <w:rPr>
          <w:rFonts w:eastAsia="Times New Roman" w:cs="Times New Roman"/>
        </w:rPr>
        <w:t>2.</w:t>
      </w:r>
      <w:r>
        <w:rPr>
          <w:rFonts w:eastAsia="Times New Roman" w:cs="Times New Roman"/>
        </w:rPr>
        <w:tab/>
      </w:r>
      <w:r w:rsidR="00E66726" w:rsidRPr="00E66726">
        <w:rPr>
          <w:rFonts w:eastAsia="Times New Roman" w:cs="Times New Roman"/>
        </w:rPr>
        <w:t xml:space="preserve">Measurable: </w:t>
      </w:r>
      <w:r w:rsidR="00250149">
        <w:rPr>
          <w:rFonts w:eastAsia="Times New Roman" w:cs="Times New Roman"/>
        </w:rPr>
        <w:t>The</w:t>
      </w:r>
      <w:r w:rsidR="00250149" w:rsidRPr="00E66726">
        <w:rPr>
          <w:rFonts w:eastAsia="Times New Roman" w:cs="Times New Roman"/>
        </w:rPr>
        <w:t xml:space="preserve"> </w:t>
      </w:r>
      <w:r w:rsidR="00E66726" w:rsidRPr="00E66726">
        <w:rPr>
          <w:rFonts w:eastAsia="Times New Roman" w:cs="Times New Roman"/>
        </w:rPr>
        <w:t xml:space="preserve">DIP and </w:t>
      </w:r>
      <w:r w:rsidR="00250149">
        <w:rPr>
          <w:rFonts w:eastAsia="Times New Roman" w:cs="Times New Roman"/>
        </w:rPr>
        <w:t xml:space="preserve">the </w:t>
      </w:r>
      <w:r w:rsidR="00E66726" w:rsidRPr="00E66726">
        <w:rPr>
          <w:rFonts w:eastAsia="Times New Roman" w:cs="Times New Roman"/>
        </w:rPr>
        <w:t>SIPs contain a section</w:t>
      </w:r>
      <w:r w:rsidR="00250149">
        <w:rPr>
          <w:rFonts w:eastAsia="Times New Roman" w:cs="Times New Roman"/>
        </w:rPr>
        <w:t xml:space="preserve"> called</w:t>
      </w:r>
      <w:r w:rsidR="00E66726" w:rsidRPr="00E66726">
        <w:rPr>
          <w:rFonts w:eastAsia="Times New Roman" w:cs="Times New Roman"/>
        </w:rPr>
        <w:t xml:space="preserve"> </w:t>
      </w:r>
      <w:r w:rsidR="00BD44BB" w:rsidRPr="00BD44BB">
        <w:rPr>
          <w:rFonts w:eastAsia="Times New Roman" w:cs="Times New Roman"/>
        </w:rPr>
        <w:t xml:space="preserve">Assessment and Measures of Attainment </w:t>
      </w:r>
      <w:r w:rsidR="00250149">
        <w:rPr>
          <w:rFonts w:eastAsia="Times New Roman" w:cs="Times New Roman"/>
        </w:rPr>
        <w:t xml:space="preserve">which </w:t>
      </w:r>
      <w:r w:rsidR="00E66726" w:rsidRPr="00E66726">
        <w:rPr>
          <w:rFonts w:eastAsia="Times New Roman" w:cs="Times New Roman"/>
        </w:rPr>
        <w:t>details student performance goals for the year, specifies the assessment/measurement tools that staff are using to gauge progress</w:t>
      </w:r>
      <w:r w:rsidR="00250149">
        <w:rPr>
          <w:rFonts w:eastAsia="Times New Roman" w:cs="Times New Roman"/>
        </w:rPr>
        <w:t>,</w:t>
      </w:r>
      <w:r w:rsidR="00E66726" w:rsidRPr="00E66726">
        <w:rPr>
          <w:rFonts w:eastAsia="Times New Roman" w:cs="Times New Roman"/>
        </w:rPr>
        <w:t xml:space="preserve"> and </w:t>
      </w:r>
      <w:r w:rsidR="00996B4E">
        <w:rPr>
          <w:rFonts w:eastAsia="Times New Roman" w:cs="Times New Roman"/>
        </w:rPr>
        <w:t xml:space="preserve">indicates </w:t>
      </w:r>
      <w:r w:rsidR="00E66726" w:rsidRPr="00E66726">
        <w:rPr>
          <w:rFonts w:eastAsia="Times New Roman" w:cs="Times New Roman"/>
        </w:rPr>
        <w:t xml:space="preserve">when teachers review data during the school year. For example, </w:t>
      </w:r>
      <w:r w:rsidR="00250149">
        <w:rPr>
          <w:rFonts w:eastAsia="Times New Roman" w:cs="Times New Roman"/>
        </w:rPr>
        <w:t xml:space="preserve">one goal states: </w:t>
      </w:r>
      <w:r w:rsidR="00E66726" w:rsidRPr="00E66726">
        <w:rPr>
          <w:rFonts w:eastAsia="Times New Roman" w:cs="Times New Roman"/>
        </w:rPr>
        <w:t>“MOY (Middle of Year) data collected from DIBELS and STAR ELA and Math will show an increase of 20% of students at proficiency or benchmark from BOY (Beginning of Year) data.”</w:t>
      </w:r>
    </w:p>
    <w:p w:rsidR="00BD44BB" w:rsidRDefault="00855793" w:rsidP="00BD44BB">
      <w:pPr>
        <w:tabs>
          <w:tab w:val="left" w:pos="360"/>
          <w:tab w:val="left" w:pos="720"/>
          <w:tab w:val="left" w:pos="1080"/>
          <w:tab w:val="left" w:pos="1440"/>
          <w:tab w:val="left" w:pos="1800"/>
          <w:tab w:val="left" w:pos="2160"/>
          <w:tab w:val="left" w:pos="2520"/>
          <w:tab w:val="left" w:pos="2880"/>
        </w:tabs>
        <w:ind w:left="1440" w:hanging="1440"/>
        <w:rPr>
          <w:rFonts w:eastAsia="Times New Roman" w:cs="Times New Roman"/>
        </w:rPr>
      </w:pPr>
      <w:r>
        <w:rPr>
          <w:rFonts w:eastAsia="Times New Roman" w:cs="Times New Roman"/>
        </w:rPr>
        <w:tab/>
      </w:r>
      <w:r>
        <w:rPr>
          <w:rFonts w:eastAsia="Times New Roman" w:cs="Times New Roman"/>
        </w:rPr>
        <w:tab/>
      </w:r>
      <w:r w:rsidR="001914B4">
        <w:rPr>
          <w:rFonts w:eastAsia="Times New Roman" w:cs="Times New Roman"/>
        </w:rPr>
        <w:tab/>
      </w:r>
      <w:r>
        <w:rPr>
          <w:rFonts w:eastAsia="Times New Roman" w:cs="Times New Roman"/>
        </w:rPr>
        <w:t>a.</w:t>
      </w:r>
      <w:r w:rsidR="00210F97">
        <w:rPr>
          <w:rFonts w:eastAsia="Times New Roman" w:cs="Times New Roman"/>
        </w:rPr>
        <w:t xml:space="preserve"> </w:t>
      </w:r>
      <w:r w:rsidR="00250149">
        <w:rPr>
          <w:rFonts w:eastAsia="Times New Roman" w:cs="Times New Roman"/>
        </w:rPr>
        <w:tab/>
      </w:r>
      <w:r w:rsidR="00E66726" w:rsidRPr="00E66726">
        <w:rPr>
          <w:rFonts w:eastAsia="Times New Roman" w:cs="Times New Roman"/>
        </w:rPr>
        <w:t>When developing plans’ activities and measured outcomes, district staff use multiple sources of formative and summative data</w:t>
      </w:r>
      <w:r w:rsidR="00250149">
        <w:rPr>
          <w:rFonts w:eastAsia="Times New Roman" w:cs="Times New Roman"/>
        </w:rPr>
        <w:t>, including</w:t>
      </w:r>
      <w:r w:rsidR="00250149" w:rsidRPr="00E66726">
        <w:rPr>
          <w:rFonts w:eastAsia="Times New Roman" w:cs="Times New Roman"/>
        </w:rPr>
        <w:t xml:space="preserve"> </w:t>
      </w:r>
      <w:r w:rsidR="00E66726" w:rsidRPr="00E66726">
        <w:rPr>
          <w:rFonts w:eastAsia="Times New Roman" w:cs="Times New Roman"/>
        </w:rPr>
        <w:t>MCAS scores, DIBELS</w:t>
      </w:r>
      <w:r w:rsidR="001E3476">
        <w:rPr>
          <w:rFonts w:eastAsia="Times New Roman" w:cs="Times New Roman"/>
        </w:rPr>
        <w:t xml:space="preserve"> (Dynamic Indicators of Basic Early Literacy Skills)</w:t>
      </w:r>
      <w:r w:rsidR="00E66726" w:rsidRPr="00E66726">
        <w:rPr>
          <w:rFonts w:eastAsia="Times New Roman" w:cs="Times New Roman"/>
        </w:rPr>
        <w:t>, PALS</w:t>
      </w:r>
      <w:r w:rsidR="001E3476">
        <w:rPr>
          <w:rFonts w:eastAsia="Times New Roman" w:cs="Times New Roman"/>
        </w:rPr>
        <w:t xml:space="preserve"> (Phonological Awareness Literacy Screening)</w:t>
      </w:r>
      <w:r w:rsidR="00E66726" w:rsidRPr="00E66726">
        <w:rPr>
          <w:rFonts w:eastAsia="Times New Roman" w:cs="Times New Roman"/>
        </w:rPr>
        <w:t xml:space="preserve">, </w:t>
      </w:r>
      <w:r w:rsidR="00250149">
        <w:rPr>
          <w:rFonts w:eastAsia="Times New Roman" w:cs="Times New Roman"/>
        </w:rPr>
        <w:t>d</w:t>
      </w:r>
      <w:r w:rsidR="00250149" w:rsidRPr="00E66726">
        <w:rPr>
          <w:rFonts w:eastAsia="Times New Roman" w:cs="Times New Roman"/>
        </w:rPr>
        <w:t xml:space="preserve">istrict </w:t>
      </w:r>
      <w:r w:rsidR="00250149">
        <w:rPr>
          <w:rFonts w:eastAsia="Times New Roman" w:cs="Times New Roman"/>
        </w:rPr>
        <w:t>l</w:t>
      </w:r>
      <w:r w:rsidR="00250149" w:rsidRPr="00E66726">
        <w:rPr>
          <w:rFonts w:eastAsia="Times New Roman" w:cs="Times New Roman"/>
        </w:rPr>
        <w:t xml:space="preserve">earning </w:t>
      </w:r>
      <w:r w:rsidR="00250149">
        <w:rPr>
          <w:rFonts w:eastAsia="Times New Roman" w:cs="Times New Roman"/>
        </w:rPr>
        <w:t>w</w:t>
      </w:r>
      <w:r w:rsidR="00250149" w:rsidRPr="00E66726">
        <w:rPr>
          <w:rFonts w:eastAsia="Times New Roman" w:cs="Times New Roman"/>
        </w:rPr>
        <w:t>alks</w:t>
      </w:r>
      <w:r w:rsidR="00E66726" w:rsidRPr="00E66726">
        <w:rPr>
          <w:rFonts w:eastAsia="Times New Roman" w:cs="Times New Roman"/>
        </w:rPr>
        <w:t>, parent</w:t>
      </w:r>
      <w:r w:rsidR="00250149">
        <w:rPr>
          <w:rFonts w:eastAsia="Times New Roman" w:cs="Times New Roman"/>
        </w:rPr>
        <w:t>s’</w:t>
      </w:r>
      <w:r w:rsidR="00E66726" w:rsidRPr="00E66726">
        <w:rPr>
          <w:rFonts w:eastAsia="Times New Roman" w:cs="Times New Roman"/>
        </w:rPr>
        <w:t xml:space="preserve"> surveys, teachers’ feedback</w:t>
      </w:r>
      <w:r w:rsidR="00250149">
        <w:rPr>
          <w:rFonts w:eastAsia="Times New Roman" w:cs="Times New Roman"/>
        </w:rPr>
        <w:t>,</w:t>
      </w:r>
      <w:r w:rsidR="00E66726" w:rsidRPr="00E66726">
        <w:rPr>
          <w:rFonts w:eastAsia="Times New Roman" w:cs="Times New Roman"/>
        </w:rPr>
        <w:t xml:space="preserve"> </w:t>
      </w:r>
      <w:r w:rsidR="00250149">
        <w:rPr>
          <w:rFonts w:eastAsia="Times New Roman" w:cs="Times New Roman"/>
        </w:rPr>
        <w:t xml:space="preserve">and </w:t>
      </w:r>
      <w:r w:rsidR="00E66726" w:rsidRPr="00E66726">
        <w:rPr>
          <w:rFonts w:eastAsia="Times New Roman" w:cs="Times New Roman"/>
        </w:rPr>
        <w:t>reports from external agencies</w:t>
      </w:r>
      <w:r w:rsidR="00725BEC">
        <w:rPr>
          <w:rFonts w:eastAsia="Times New Roman" w:cs="Times New Roman"/>
        </w:rPr>
        <w:t>---</w:t>
      </w:r>
      <w:r w:rsidR="001E3476">
        <w:rPr>
          <w:rFonts w:eastAsia="Times New Roman" w:cs="Times New Roman"/>
        </w:rPr>
        <w:t>for example</w:t>
      </w:r>
      <w:r w:rsidR="00E66726" w:rsidRPr="00E66726">
        <w:rPr>
          <w:rFonts w:eastAsia="Times New Roman" w:cs="Times New Roman"/>
        </w:rPr>
        <w:t>, NEASC</w:t>
      </w:r>
      <w:r w:rsidR="001E3476">
        <w:rPr>
          <w:rFonts w:eastAsia="Times New Roman" w:cs="Times New Roman"/>
        </w:rPr>
        <w:t xml:space="preserve"> (New England Association of Schools and Colleges</w:t>
      </w:r>
      <w:r w:rsidR="00E66726" w:rsidRPr="00E66726">
        <w:rPr>
          <w:rFonts w:eastAsia="Times New Roman" w:cs="Times New Roman"/>
        </w:rPr>
        <w:t xml:space="preserve">). </w:t>
      </w:r>
    </w:p>
    <w:p w:rsidR="00BD44BB" w:rsidRDefault="00855793" w:rsidP="00BD44BB">
      <w:pPr>
        <w:tabs>
          <w:tab w:val="left" w:pos="360"/>
          <w:tab w:val="left" w:pos="720"/>
          <w:tab w:val="left" w:pos="1080"/>
          <w:tab w:val="left" w:pos="1440"/>
          <w:tab w:val="left" w:pos="1800"/>
          <w:tab w:val="left" w:pos="2160"/>
          <w:tab w:val="left" w:pos="2520"/>
          <w:tab w:val="left" w:pos="2880"/>
        </w:tabs>
        <w:ind w:left="1440" w:hanging="360"/>
        <w:rPr>
          <w:rFonts w:eastAsia="Times New Roman" w:cs="Times New Roman"/>
        </w:rPr>
      </w:pPr>
      <w:r>
        <w:rPr>
          <w:rFonts w:eastAsia="Times New Roman" w:cs="Times New Roman"/>
        </w:rPr>
        <w:t>b.</w:t>
      </w:r>
      <w:r w:rsidR="00210F97">
        <w:rPr>
          <w:rFonts w:eastAsia="Times New Roman" w:cs="Times New Roman"/>
        </w:rPr>
        <w:t xml:space="preserve"> </w:t>
      </w:r>
      <w:r w:rsidR="00250149">
        <w:rPr>
          <w:rFonts w:eastAsia="Times New Roman" w:cs="Times New Roman"/>
        </w:rPr>
        <w:tab/>
      </w:r>
      <w:r w:rsidR="00E66726" w:rsidRPr="00E66726">
        <w:rPr>
          <w:rFonts w:eastAsia="Times New Roman" w:cs="Times New Roman"/>
        </w:rPr>
        <w:t xml:space="preserve">At the school level, teachers </w:t>
      </w:r>
      <w:r w:rsidR="00250149">
        <w:rPr>
          <w:rFonts w:eastAsia="Times New Roman" w:cs="Times New Roman"/>
        </w:rPr>
        <w:t>measure</w:t>
      </w:r>
      <w:r w:rsidR="00250149" w:rsidRPr="00E66726">
        <w:rPr>
          <w:rFonts w:eastAsia="Times New Roman" w:cs="Times New Roman"/>
        </w:rPr>
        <w:t xml:space="preserve"> </w:t>
      </w:r>
      <w:r w:rsidR="00E66726" w:rsidRPr="00E66726">
        <w:rPr>
          <w:rFonts w:eastAsia="Times New Roman" w:cs="Times New Roman"/>
        </w:rPr>
        <w:t xml:space="preserve">students’ </w:t>
      </w:r>
      <w:r w:rsidR="008043C2" w:rsidRPr="00E66726">
        <w:rPr>
          <w:rFonts w:eastAsia="Times New Roman" w:cs="Times New Roman"/>
        </w:rPr>
        <w:t xml:space="preserve">achievement </w:t>
      </w:r>
      <w:r w:rsidR="008043C2">
        <w:rPr>
          <w:rFonts w:eastAsia="Times New Roman" w:cs="Times New Roman"/>
        </w:rPr>
        <w:t>using</w:t>
      </w:r>
      <w:r w:rsidR="00E66726" w:rsidRPr="00E66726">
        <w:rPr>
          <w:rFonts w:eastAsia="Times New Roman" w:cs="Times New Roman"/>
        </w:rPr>
        <w:t xml:space="preserve"> multiple data sour</w:t>
      </w:r>
      <w:r w:rsidR="00210F97">
        <w:rPr>
          <w:rFonts w:eastAsia="Times New Roman" w:cs="Times New Roman"/>
        </w:rPr>
        <w:t>ces (e.g.</w:t>
      </w:r>
      <w:r w:rsidR="00250149">
        <w:rPr>
          <w:rFonts w:eastAsia="Times New Roman" w:cs="Times New Roman"/>
        </w:rPr>
        <w:t>,</w:t>
      </w:r>
      <w:r w:rsidR="00210F97">
        <w:rPr>
          <w:rFonts w:eastAsia="Times New Roman" w:cs="Times New Roman"/>
        </w:rPr>
        <w:t xml:space="preserve"> DIBELS, PALS, </w:t>
      </w:r>
      <w:r w:rsidR="00250149">
        <w:rPr>
          <w:rFonts w:eastAsia="Times New Roman" w:cs="Times New Roman"/>
        </w:rPr>
        <w:t xml:space="preserve">and </w:t>
      </w:r>
      <w:r w:rsidR="00210F97">
        <w:rPr>
          <w:rFonts w:eastAsia="Times New Roman" w:cs="Times New Roman"/>
        </w:rPr>
        <w:t>MCAS)</w:t>
      </w:r>
      <w:r w:rsidR="00E66726" w:rsidRPr="00E66726">
        <w:rPr>
          <w:rFonts w:eastAsia="Times New Roman" w:cs="Times New Roman"/>
        </w:rPr>
        <w:t xml:space="preserve"> three times during the school year. Based on data analysis, teachers adjust instructional strategies. </w:t>
      </w:r>
    </w:p>
    <w:p w:rsidR="00BD44BB" w:rsidRDefault="00855793" w:rsidP="00BD44BB">
      <w:pPr>
        <w:tabs>
          <w:tab w:val="left" w:pos="360"/>
          <w:tab w:val="left" w:pos="720"/>
          <w:tab w:val="left" w:pos="1080"/>
          <w:tab w:val="left" w:pos="1440"/>
          <w:tab w:val="left" w:pos="1800"/>
          <w:tab w:val="left" w:pos="2160"/>
        </w:tabs>
        <w:ind w:left="1080" w:hanging="360"/>
        <w:rPr>
          <w:rFonts w:eastAsia="Times New Roman" w:cs="Times New Roman"/>
          <w:u w:val="single"/>
        </w:rPr>
      </w:pPr>
      <w:r>
        <w:rPr>
          <w:rFonts w:eastAsia="Times New Roman" w:cs="Times New Roman"/>
        </w:rPr>
        <w:t>3.</w:t>
      </w:r>
      <w:r>
        <w:rPr>
          <w:rFonts w:eastAsia="Times New Roman" w:cs="Times New Roman"/>
        </w:rPr>
        <w:tab/>
      </w:r>
      <w:r w:rsidR="00E66726" w:rsidRPr="00E66726">
        <w:rPr>
          <w:rFonts w:eastAsia="Times New Roman" w:cs="Times New Roman"/>
        </w:rPr>
        <w:t>Action Oriented</w:t>
      </w:r>
      <w:r w:rsidR="00BD44BB" w:rsidRPr="00BD44BB">
        <w:rPr>
          <w:rFonts w:eastAsia="Times New Roman" w:cs="Times New Roman"/>
        </w:rPr>
        <w:t>:</w:t>
      </w:r>
      <w:r w:rsidR="00E66726" w:rsidRPr="00E66726">
        <w:rPr>
          <w:rFonts w:eastAsia="Times New Roman" w:cs="Times New Roman"/>
          <w:b/>
        </w:rPr>
        <w:t xml:space="preserve"> </w:t>
      </w:r>
      <w:r w:rsidR="00250149">
        <w:rPr>
          <w:rFonts w:eastAsia="Times New Roman" w:cs="Times New Roman"/>
        </w:rPr>
        <w:t>The</w:t>
      </w:r>
      <w:r w:rsidR="00250149" w:rsidRPr="00E66726">
        <w:rPr>
          <w:rFonts w:eastAsia="Times New Roman" w:cs="Times New Roman"/>
        </w:rPr>
        <w:t xml:space="preserve"> </w:t>
      </w:r>
      <w:r w:rsidR="00E66726" w:rsidRPr="00E66726">
        <w:rPr>
          <w:rFonts w:eastAsia="Times New Roman" w:cs="Times New Roman"/>
        </w:rPr>
        <w:t xml:space="preserve">DIP and </w:t>
      </w:r>
      <w:r w:rsidR="00250149">
        <w:rPr>
          <w:rFonts w:eastAsia="Times New Roman" w:cs="Times New Roman"/>
        </w:rPr>
        <w:t xml:space="preserve">the </w:t>
      </w:r>
      <w:r w:rsidR="00E66726" w:rsidRPr="00E66726">
        <w:rPr>
          <w:rFonts w:eastAsia="Times New Roman" w:cs="Times New Roman"/>
        </w:rPr>
        <w:t xml:space="preserve">SIPs list specific, action-oriented implementation </w:t>
      </w:r>
      <w:r w:rsidR="000A54A0">
        <w:rPr>
          <w:rFonts w:eastAsia="Times New Roman" w:cs="Times New Roman"/>
        </w:rPr>
        <w:t>elements</w:t>
      </w:r>
      <w:r w:rsidR="00E34073">
        <w:rPr>
          <w:rFonts w:eastAsia="Times New Roman" w:cs="Times New Roman"/>
        </w:rPr>
        <w:t>, including</w:t>
      </w:r>
      <w:r w:rsidR="00E66726" w:rsidRPr="00E66726">
        <w:rPr>
          <w:rFonts w:eastAsia="Times New Roman" w:cs="Times New Roman"/>
        </w:rPr>
        <w:t xml:space="preserve">: </w:t>
      </w:r>
      <w:r w:rsidR="00E34073">
        <w:rPr>
          <w:rFonts w:eastAsia="Times New Roman" w:cs="Times New Roman"/>
        </w:rPr>
        <w:t>a</w:t>
      </w:r>
      <w:r w:rsidR="00BD44BB" w:rsidRPr="00BD44BB">
        <w:rPr>
          <w:rFonts w:eastAsia="Times New Roman" w:cs="Times New Roman"/>
        </w:rPr>
        <w:t xml:space="preserve">ction </w:t>
      </w:r>
      <w:r w:rsidR="00E34073">
        <w:rPr>
          <w:rFonts w:eastAsia="Times New Roman" w:cs="Times New Roman"/>
        </w:rPr>
        <w:t>p</w:t>
      </w:r>
      <w:r w:rsidR="00BD44BB" w:rsidRPr="00BD44BB">
        <w:rPr>
          <w:rFonts w:eastAsia="Times New Roman" w:cs="Times New Roman"/>
        </w:rPr>
        <w:t>lan</w:t>
      </w:r>
      <w:r w:rsidR="00E34073" w:rsidRPr="00E66726">
        <w:rPr>
          <w:rFonts w:eastAsia="Times New Roman" w:cs="Times New Roman"/>
        </w:rPr>
        <w:t xml:space="preserve"> </w:t>
      </w:r>
      <w:r w:rsidR="00E66726" w:rsidRPr="00E66726">
        <w:rPr>
          <w:rFonts w:eastAsia="Times New Roman" w:cs="Times New Roman"/>
        </w:rPr>
        <w:t xml:space="preserve">activities, </w:t>
      </w:r>
      <w:r w:rsidR="00E34073">
        <w:rPr>
          <w:rFonts w:eastAsia="Times New Roman" w:cs="Times New Roman"/>
        </w:rPr>
        <w:t>p</w:t>
      </w:r>
      <w:r w:rsidR="00BD44BB" w:rsidRPr="00BD44BB">
        <w:rPr>
          <w:rFonts w:eastAsia="Times New Roman" w:cs="Times New Roman"/>
        </w:rPr>
        <w:t xml:space="preserve">erson(s) </w:t>
      </w:r>
      <w:r w:rsidR="00E34073">
        <w:rPr>
          <w:rFonts w:eastAsia="Times New Roman" w:cs="Times New Roman"/>
        </w:rPr>
        <w:t>r</w:t>
      </w:r>
      <w:r w:rsidR="00BD44BB" w:rsidRPr="00BD44BB">
        <w:rPr>
          <w:rFonts w:eastAsia="Times New Roman" w:cs="Times New Roman"/>
        </w:rPr>
        <w:t>esponsible</w:t>
      </w:r>
      <w:r w:rsidR="00E66726" w:rsidRPr="00BF6C10">
        <w:rPr>
          <w:rFonts w:eastAsia="Times New Roman" w:cs="Times New Roman"/>
        </w:rPr>
        <w:t xml:space="preserve">, </w:t>
      </w:r>
      <w:r w:rsidR="00E34073">
        <w:rPr>
          <w:rFonts w:eastAsia="Times New Roman" w:cs="Times New Roman"/>
        </w:rPr>
        <w:t>b</w:t>
      </w:r>
      <w:r w:rsidR="00BD44BB" w:rsidRPr="00BD44BB">
        <w:rPr>
          <w:rFonts w:eastAsia="Times New Roman" w:cs="Times New Roman"/>
        </w:rPr>
        <w:t xml:space="preserve">udget </w:t>
      </w:r>
      <w:r w:rsidR="00E34073">
        <w:rPr>
          <w:rFonts w:eastAsia="Times New Roman" w:cs="Times New Roman"/>
        </w:rPr>
        <w:t>i</w:t>
      </w:r>
      <w:r w:rsidR="00BD44BB" w:rsidRPr="00BD44BB">
        <w:rPr>
          <w:rFonts w:eastAsia="Times New Roman" w:cs="Times New Roman"/>
        </w:rPr>
        <w:t>mplications</w:t>
      </w:r>
      <w:r w:rsidR="00E66726" w:rsidRPr="00BF6C10">
        <w:rPr>
          <w:rFonts w:eastAsia="Times New Roman" w:cs="Times New Roman"/>
        </w:rPr>
        <w:t xml:space="preserve">, </w:t>
      </w:r>
      <w:r w:rsidR="00E34073">
        <w:rPr>
          <w:rFonts w:eastAsia="Times New Roman" w:cs="Times New Roman"/>
        </w:rPr>
        <w:t>m</w:t>
      </w:r>
      <w:r w:rsidR="00BD44BB" w:rsidRPr="00BD44BB">
        <w:rPr>
          <w:rFonts w:eastAsia="Times New Roman" w:cs="Times New Roman"/>
        </w:rPr>
        <w:t>id-</w:t>
      </w:r>
      <w:r w:rsidR="00E34073">
        <w:rPr>
          <w:rFonts w:eastAsia="Times New Roman" w:cs="Times New Roman"/>
        </w:rPr>
        <w:t>y</w:t>
      </w:r>
      <w:r w:rsidR="00BD44BB" w:rsidRPr="00BD44BB">
        <w:rPr>
          <w:rFonts w:eastAsia="Times New Roman" w:cs="Times New Roman"/>
        </w:rPr>
        <w:t xml:space="preserve">ear and </w:t>
      </w:r>
      <w:r w:rsidR="00E34073">
        <w:rPr>
          <w:rFonts w:eastAsia="Times New Roman" w:cs="Times New Roman"/>
        </w:rPr>
        <w:t>e</w:t>
      </w:r>
      <w:r w:rsidR="00BD44BB" w:rsidRPr="00BD44BB">
        <w:rPr>
          <w:rFonts w:eastAsia="Times New Roman" w:cs="Times New Roman"/>
        </w:rPr>
        <w:t>nd</w:t>
      </w:r>
      <w:r w:rsidR="00E34073">
        <w:rPr>
          <w:rFonts w:eastAsia="Times New Roman" w:cs="Times New Roman"/>
        </w:rPr>
        <w:t>-</w:t>
      </w:r>
      <w:r w:rsidR="00BD44BB" w:rsidRPr="00BD44BB">
        <w:rPr>
          <w:rFonts w:eastAsia="Times New Roman" w:cs="Times New Roman"/>
        </w:rPr>
        <w:t>of</w:t>
      </w:r>
      <w:r w:rsidR="00E34073">
        <w:rPr>
          <w:rFonts w:eastAsia="Times New Roman" w:cs="Times New Roman"/>
        </w:rPr>
        <w:t>-y</w:t>
      </w:r>
      <w:r w:rsidR="00BD44BB" w:rsidRPr="00BD44BB">
        <w:rPr>
          <w:rFonts w:eastAsia="Times New Roman" w:cs="Times New Roman"/>
        </w:rPr>
        <w:t xml:space="preserve">ear review </w:t>
      </w:r>
      <w:r w:rsidR="00E66726" w:rsidRPr="00BF6C10">
        <w:rPr>
          <w:rFonts w:eastAsia="Times New Roman" w:cs="Times New Roman"/>
        </w:rPr>
        <w:t>and</w:t>
      </w:r>
      <w:r w:rsidR="00BD44BB" w:rsidRPr="00BD44BB">
        <w:rPr>
          <w:rFonts w:eastAsia="Times New Roman" w:cs="Times New Roman"/>
        </w:rPr>
        <w:t xml:space="preserve"> </w:t>
      </w:r>
      <w:r w:rsidR="00E34073">
        <w:rPr>
          <w:rFonts w:eastAsia="Times New Roman" w:cs="Times New Roman"/>
        </w:rPr>
        <w:t>p</w:t>
      </w:r>
      <w:r w:rsidR="00BD44BB" w:rsidRPr="00BD44BB">
        <w:rPr>
          <w:rFonts w:eastAsia="Times New Roman" w:cs="Times New Roman"/>
        </w:rPr>
        <w:t xml:space="preserve">rofessional </w:t>
      </w:r>
      <w:r w:rsidR="00E34073">
        <w:rPr>
          <w:rFonts w:eastAsia="Times New Roman" w:cs="Times New Roman"/>
        </w:rPr>
        <w:t>d</w:t>
      </w:r>
      <w:r w:rsidR="00BD44BB" w:rsidRPr="00BD44BB">
        <w:rPr>
          <w:rFonts w:eastAsia="Times New Roman" w:cs="Times New Roman"/>
        </w:rPr>
        <w:t>evelopment</w:t>
      </w:r>
      <w:r w:rsidR="00E34073" w:rsidRPr="00E66726">
        <w:rPr>
          <w:rFonts w:eastAsia="Times New Roman" w:cs="Times New Roman"/>
        </w:rPr>
        <w:t xml:space="preserve"> </w:t>
      </w:r>
      <w:r w:rsidR="00E66726" w:rsidRPr="00E66726">
        <w:rPr>
          <w:rFonts w:eastAsia="Times New Roman" w:cs="Times New Roman"/>
        </w:rPr>
        <w:t xml:space="preserve">activities. Principals reported that SIPs are guides and “living documents” that they use during faculty meetings for benchmarking progress, </w:t>
      </w:r>
      <w:r w:rsidR="00E34073">
        <w:rPr>
          <w:rFonts w:eastAsia="Times New Roman" w:cs="Times New Roman"/>
        </w:rPr>
        <w:t xml:space="preserve">for </w:t>
      </w:r>
      <w:r w:rsidR="00E66726" w:rsidRPr="00E66726">
        <w:rPr>
          <w:rFonts w:eastAsia="Times New Roman" w:cs="Times New Roman"/>
        </w:rPr>
        <w:t>adjusting activities as needed</w:t>
      </w:r>
      <w:r w:rsidR="00E34073">
        <w:rPr>
          <w:rFonts w:eastAsia="Times New Roman" w:cs="Times New Roman"/>
        </w:rPr>
        <w:t>,</w:t>
      </w:r>
      <w:r w:rsidR="00E66726" w:rsidRPr="00E66726">
        <w:rPr>
          <w:rFonts w:eastAsia="Times New Roman" w:cs="Times New Roman"/>
        </w:rPr>
        <w:t xml:space="preserve"> and for developing their annual budgets. </w:t>
      </w:r>
    </w:p>
    <w:p w:rsidR="00BD44BB" w:rsidRDefault="00855793" w:rsidP="00BD44BB">
      <w:pPr>
        <w:tabs>
          <w:tab w:val="left" w:pos="360"/>
          <w:tab w:val="left" w:pos="720"/>
          <w:tab w:val="left" w:pos="1080"/>
          <w:tab w:val="left" w:pos="1440"/>
          <w:tab w:val="left" w:pos="1800"/>
          <w:tab w:val="left" w:pos="2160"/>
        </w:tabs>
        <w:ind w:left="1080" w:hanging="360"/>
        <w:rPr>
          <w:rFonts w:eastAsia="Times New Roman" w:cs="Times New Roman"/>
          <w:u w:val="single"/>
        </w:rPr>
      </w:pPr>
      <w:r>
        <w:rPr>
          <w:rFonts w:eastAsia="Times New Roman" w:cs="Times New Roman"/>
        </w:rPr>
        <w:t>4.</w:t>
      </w:r>
      <w:r>
        <w:rPr>
          <w:rFonts w:eastAsia="Times New Roman" w:cs="Times New Roman"/>
        </w:rPr>
        <w:tab/>
      </w:r>
      <w:r w:rsidR="00E66726" w:rsidRPr="00E66726">
        <w:rPr>
          <w:rFonts w:eastAsia="Times New Roman" w:cs="Times New Roman"/>
        </w:rPr>
        <w:t>Rigorous, Realistic</w:t>
      </w:r>
      <w:r w:rsidR="00E34073">
        <w:rPr>
          <w:rFonts w:eastAsia="Times New Roman" w:cs="Times New Roman"/>
        </w:rPr>
        <w:t>,</w:t>
      </w:r>
      <w:r w:rsidR="00E66726" w:rsidRPr="00E66726">
        <w:rPr>
          <w:rFonts w:eastAsia="Times New Roman" w:cs="Times New Roman"/>
        </w:rPr>
        <w:t xml:space="preserve"> and Results focused</w:t>
      </w:r>
      <w:r w:rsidR="00BD44BB" w:rsidRPr="00BD44BB">
        <w:rPr>
          <w:rFonts w:eastAsia="Times New Roman" w:cs="Times New Roman"/>
        </w:rPr>
        <w:t xml:space="preserve">: </w:t>
      </w:r>
      <w:r w:rsidR="00E66726" w:rsidRPr="00E66726">
        <w:rPr>
          <w:rFonts w:eastAsia="Times New Roman" w:cs="Times New Roman"/>
        </w:rPr>
        <w:t>Most outcome statements</w:t>
      </w:r>
      <w:r w:rsidR="00E66726" w:rsidRPr="00E66726">
        <w:rPr>
          <w:rFonts w:eastAsia="Times New Roman" w:cs="Times New Roman"/>
          <w:b/>
        </w:rPr>
        <w:t xml:space="preserve"> </w:t>
      </w:r>
      <w:r w:rsidR="00E66726" w:rsidRPr="00E66726">
        <w:rPr>
          <w:rFonts w:eastAsia="Times New Roman" w:cs="Times New Roman"/>
        </w:rPr>
        <w:t xml:space="preserve">in the </w:t>
      </w:r>
      <w:r w:rsidR="00BD44BB" w:rsidRPr="00BD44BB">
        <w:rPr>
          <w:rFonts w:eastAsia="Times New Roman" w:cs="Times New Roman"/>
        </w:rPr>
        <w:t>Assessment and Measures of Attainment section</w:t>
      </w:r>
      <w:r w:rsidR="00E34073">
        <w:rPr>
          <w:rFonts w:eastAsia="Times New Roman" w:cs="Times New Roman"/>
        </w:rPr>
        <w:t>s of the planning documents</w:t>
      </w:r>
      <w:r w:rsidR="00E66726" w:rsidRPr="00E66726">
        <w:rPr>
          <w:rFonts w:eastAsia="Times New Roman" w:cs="Times New Roman"/>
        </w:rPr>
        <w:t xml:space="preserve"> are results</w:t>
      </w:r>
      <w:r w:rsidR="00E34073">
        <w:rPr>
          <w:rFonts w:eastAsia="Times New Roman" w:cs="Times New Roman"/>
        </w:rPr>
        <w:t xml:space="preserve"> </w:t>
      </w:r>
      <w:r w:rsidR="00E66726" w:rsidRPr="00E66726">
        <w:rPr>
          <w:rFonts w:eastAsia="Times New Roman" w:cs="Times New Roman"/>
        </w:rPr>
        <w:t>focused</w:t>
      </w:r>
      <w:r w:rsidR="00E34073">
        <w:rPr>
          <w:rFonts w:eastAsia="Times New Roman" w:cs="Times New Roman"/>
        </w:rPr>
        <w:t>.</w:t>
      </w:r>
      <w:r w:rsidR="00E66726" w:rsidRPr="00E66726">
        <w:rPr>
          <w:rFonts w:eastAsia="Times New Roman" w:cs="Times New Roman"/>
        </w:rPr>
        <w:t xml:space="preserve"> Some are also rigorous</w:t>
      </w:r>
      <w:r w:rsidR="001054EB">
        <w:rPr>
          <w:rFonts w:eastAsia="Times New Roman" w:cs="Times New Roman"/>
        </w:rPr>
        <w:t>.</w:t>
      </w:r>
      <w:r w:rsidR="00A07DAE">
        <w:rPr>
          <w:rFonts w:eastAsia="Times New Roman" w:cs="Times New Roman"/>
        </w:rPr>
        <w:t xml:space="preserve"> </w:t>
      </w:r>
      <w:r w:rsidR="001054EB">
        <w:rPr>
          <w:rFonts w:eastAsia="Times New Roman" w:cs="Times New Roman"/>
        </w:rPr>
        <w:t>For example, the high school SIP includes the following goals</w:t>
      </w:r>
      <w:r w:rsidR="00E66726" w:rsidRPr="00E66726">
        <w:rPr>
          <w:rFonts w:eastAsia="Times New Roman" w:cs="Times New Roman"/>
        </w:rPr>
        <w:t>: “5% increase in AP course enrollment; 80% of AP students achieve a 3,</w:t>
      </w:r>
      <w:r w:rsidR="0011766E">
        <w:rPr>
          <w:rFonts w:eastAsia="Times New Roman" w:cs="Times New Roman"/>
        </w:rPr>
        <w:t xml:space="preserve"> </w:t>
      </w:r>
      <w:r w:rsidR="00E66726" w:rsidRPr="00E66726">
        <w:rPr>
          <w:rFonts w:eastAsia="Times New Roman" w:cs="Times New Roman"/>
        </w:rPr>
        <w:t>4</w:t>
      </w:r>
      <w:r w:rsidR="00034C5F" w:rsidRPr="00E66726">
        <w:rPr>
          <w:rFonts w:eastAsia="Times New Roman" w:cs="Times New Roman"/>
        </w:rPr>
        <w:t>, or</w:t>
      </w:r>
      <w:r w:rsidR="00E66726" w:rsidRPr="00E66726">
        <w:rPr>
          <w:rFonts w:eastAsia="Times New Roman" w:cs="Times New Roman"/>
        </w:rPr>
        <w:t xml:space="preserve"> 5.</w:t>
      </w:r>
      <w:r w:rsidR="00D503AF">
        <w:rPr>
          <w:rFonts w:eastAsia="Times New Roman" w:cs="Times New Roman"/>
        </w:rPr>
        <w:t>”</w:t>
      </w:r>
      <w:r w:rsidR="00E66726" w:rsidRPr="00E66726">
        <w:rPr>
          <w:rFonts w:eastAsia="Times New Roman" w:cs="Times New Roman"/>
        </w:rPr>
        <w:t xml:space="preserve"> </w:t>
      </w:r>
      <w:r w:rsidR="001054EB">
        <w:rPr>
          <w:rFonts w:eastAsia="Times New Roman" w:cs="Times New Roman"/>
        </w:rPr>
        <w:t xml:space="preserve">Also, the Beckwith </w:t>
      </w:r>
      <w:r w:rsidR="000E2EDF">
        <w:rPr>
          <w:rFonts w:eastAsia="Times New Roman" w:cs="Times New Roman"/>
        </w:rPr>
        <w:t>M</w:t>
      </w:r>
      <w:r w:rsidR="001054EB">
        <w:rPr>
          <w:rFonts w:eastAsia="Times New Roman" w:cs="Times New Roman"/>
        </w:rPr>
        <w:t xml:space="preserve">iddle </w:t>
      </w:r>
      <w:r w:rsidR="000E2EDF">
        <w:rPr>
          <w:rFonts w:eastAsia="Times New Roman" w:cs="Times New Roman"/>
        </w:rPr>
        <w:t>S</w:t>
      </w:r>
      <w:r w:rsidR="001054EB">
        <w:rPr>
          <w:rFonts w:eastAsia="Times New Roman" w:cs="Times New Roman"/>
        </w:rPr>
        <w:t xml:space="preserve">chool SIP includes the following goal: </w:t>
      </w:r>
      <w:r w:rsidR="00E66726" w:rsidRPr="00E66726">
        <w:rPr>
          <w:rFonts w:eastAsia="Times New Roman" w:cs="Times New Roman"/>
        </w:rPr>
        <w:t>“Increase Open</w:t>
      </w:r>
      <w:r w:rsidR="004C6E79">
        <w:rPr>
          <w:rFonts w:eastAsia="Times New Roman" w:cs="Times New Roman"/>
        </w:rPr>
        <w:t xml:space="preserve"> </w:t>
      </w:r>
      <w:r w:rsidR="001054EB">
        <w:rPr>
          <w:rFonts w:eastAsia="Times New Roman" w:cs="Times New Roman"/>
        </w:rPr>
        <w:t>[-Response]</w:t>
      </w:r>
      <w:r w:rsidR="00E66726" w:rsidRPr="00E66726">
        <w:rPr>
          <w:rFonts w:eastAsia="Times New Roman" w:cs="Times New Roman"/>
        </w:rPr>
        <w:t xml:space="preserve"> proficiency by 8% in ELA and Math on MCAS.</w:t>
      </w:r>
      <w:r w:rsidR="001054EB">
        <w:rPr>
          <w:rFonts w:eastAsia="Times New Roman" w:cs="Times New Roman"/>
        </w:rPr>
        <w:t>”</w:t>
      </w:r>
    </w:p>
    <w:p w:rsidR="00BD44BB" w:rsidRDefault="00E66726" w:rsidP="00BD44BB">
      <w:pPr>
        <w:pStyle w:val="ListParagraph"/>
        <w:numPr>
          <w:ilvl w:val="0"/>
          <w:numId w:val="49"/>
        </w:numPr>
        <w:tabs>
          <w:tab w:val="left" w:pos="360"/>
          <w:tab w:val="left" w:pos="720"/>
          <w:tab w:val="left" w:pos="1080"/>
          <w:tab w:val="left" w:pos="1440"/>
          <w:tab w:val="left" w:pos="1800"/>
          <w:tab w:val="left" w:pos="2160"/>
        </w:tabs>
        <w:ind w:left="1080"/>
        <w:contextualSpacing w:val="0"/>
        <w:rPr>
          <w:rFonts w:eastAsia="Times New Roman" w:cs="Times New Roman"/>
        </w:rPr>
      </w:pPr>
      <w:r w:rsidRPr="00CA687D">
        <w:rPr>
          <w:rFonts w:eastAsia="Times New Roman" w:cs="Times New Roman"/>
        </w:rPr>
        <w:t>Timed and Tracked</w:t>
      </w:r>
      <w:r w:rsidR="00BD44BB" w:rsidRPr="00BD44BB">
        <w:rPr>
          <w:rFonts w:eastAsia="Times New Roman" w:cs="Times New Roman"/>
        </w:rPr>
        <w:t>:</w:t>
      </w:r>
      <w:r w:rsidR="00423FA7">
        <w:rPr>
          <w:rFonts w:eastAsia="Times New Roman" w:cs="Times New Roman"/>
          <w:b/>
        </w:rPr>
        <w:t xml:space="preserve"> </w:t>
      </w:r>
      <w:r w:rsidRPr="00CA687D">
        <w:rPr>
          <w:rFonts w:eastAsia="Times New Roman" w:cs="Times New Roman"/>
        </w:rPr>
        <w:t xml:space="preserve">The plans indicate timelines for </w:t>
      </w:r>
      <w:r w:rsidR="00E34073" w:rsidRPr="00CA687D">
        <w:rPr>
          <w:rFonts w:eastAsia="Times New Roman" w:cs="Times New Roman"/>
        </w:rPr>
        <w:t xml:space="preserve">achieving </w:t>
      </w:r>
      <w:r w:rsidRPr="00CA687D">
        <w:rPr>
          <w:rFonts w:eastAsia="Times New Roman" w:cs="Times New Roman"/>
        </w:rPr>
        <w:t xml:space="preserve">desired progress. For example, </w:t>
      </w:r>
      <w:r w:rsidR="001054EB" w:rsidRPr="00CA687D">
        <w:rPr>
          <w:rFonts w:eastAsia="Times New Roman" w:cs="Times New Roman"/>
        </w:rPr>
        <w:t xml:space="preserve">the DIP includes the following goal: </w:t>
      </w:r>
      <w:r w:rsidRPr="00CA687D">
        <w:rPr>
          <w:rFonts w:eastAsia="Times New Roman" w:cs="Times New Roman"/>
        </w:rPr>
        <w:t xml:space="preserve">“MOY (Middle of Year) data from DIBELS, PALS, and STAR ELLA and Math will show an increase of 20% of students at proficiency or </w:t>
      </w:r>
      <w:r w:rsidRPr="00CA687D">
        <w:rPr>
          <w:rFonts w:eastAsia="Times New Roman" w:cs="Times New Roman"/>
        </w:rPr>
        <w:lastRenderedPageBreak/>
        <w:t>benchmark from BOY (Beginning of Year) data.” Some SIPs contain a section</w:t>
      </w:r>
      <w:r w:rsidR="00BD44BB" w:rsidRPr="00BD44BB">
        <w:rPr>
          <w:rFonts w:eastAsia="Times New Roman" w:cs="Times New Roman"/>
        </w:rPr>
        <w:t xml:space="preserve"> </w:t>
      </w:r>
      <w:r w:rsidR="00E15316" w:rsidRPr="00CA687D">
        <w:rPr>
          <w:rFonts w:eastAsia="Times New Roman" w:cs="Times New Roman"/>
        </w:rPr>
        <w:t xml:space="preserve">called the </w:t>
      </w:r>
      <w:r w:rsidR="00BD44BB" w:rsidRPr="00BD44BB">
        <w:rPr>
          <w:rFonts w:eastAsia="Times New Roman" w:cs="Times New Roman"/>
        </w:rPr>
        <w:t xml:space="preserve">SIP Progress Statement, </w:t>
      </w:r>
      <w:r w:rsidRPr="00CA687D">
        <w:rPr>
          <w:rFonts w:eastAsia="Times New Roman" w:cs="Times New Roman"/>
        </w:rPr>
        <w:t xml:space="preserve">which reports on the outcomes achieved in the previous year’s SIP. </w:t>
      </w:r>
    </w:p>
    <w:p w:rsidR="00BD44BB" w:rsidRDefault="00BD44BB" w:rsidP="00BD44BB">
      <w:pPr>
        <w:tabs>
          <w:tab w:val="left" w:pos="360"/>
          <w:tab w:val="left" w:pos="720"/>
          <w:tab w:val="left" w:pos="1080"/>
          <w:tab w:val="left" w:pos="1440"/>
          <w:tab w:val="left" w:pos="1800"/>
          <w:tab w:val="left" w:pos="2160"/>
        </w:tabs>
        <w:spacing w:after="120"/>
        <w:ind w:left="360"/>
        <w:rPr>
          <w:rFonts w:eastAsia="Times New Roman" w:cs="Times New Roman"/>
        </w:rPr>
      </w:pPr>
      <w:r w:rsidRPr="00BD44BB">
        <w:rPr>
          <w:rFonts w:eastAsia="Times New Roman" w:cs="Times New Roman"/>
          <w:b/>
        </w:rPr>
        <w:t>C.</w:t>
      </w:r>
      <w:r w:rsidR="00E66726" w:rsidRPr="00E66726">
        <w:rPr>
          <w:rFonts w:eastAsia="Times New Roman" w:cs="Times New Roman"/>
        </w:rPr>
        <w:t xml:space="preserve">       The SIPs and the district’s annual budget are aligned</w:t>
      </w:r>
      <w:r w:rsidR="003C6F60">
        <w:rPr>
          <w:rFonts w:eastAsia="Times New Roman" w:cs="Times New Roman"/>
        </w:rPr>
        <w:t xml:space="preserve"> </w:t>
      </w:r>
      <w:r w:rsidR="00B861F3">
        <w:rPr>
          <w:rFonts w:eastAsia="Times New Roman" w:cs="Times New Roman"/>
        </w:rPr>
        <w:t>with</w:t>
      </w:r>
      <w:r w:rsidR="003C6F60">
        <w:rPr>
          <w:rFonts w:eastAsia="Times New Roman" w:cs="Times New Roman"/>
        </w:rPr>
        <w:t xml:space="preserve"> the DIP</w:t>
      </w:r>
      <w:r w:rsidR="00E66726" w:rsidRPr="00E66726">
        <w:rPr>
          <w:rFonts w:eastAsia="Times New Roman" w:cs="Times New Roman"/>
        </w:rPr>
        <w:t xml:space="preserve">. </w:t>
      </w:r>
    </w:p>
    <w:p w:rsidR="00BD44BB" w:rsidRDefault="00BD44BB" w:rsidP="004C6E79">
      <w:pPr>
        <w:tabs>
          <w:tab w:val="left" w:pos="360"/>
          <w:tab w:val="left" w:pos="720"/>
          <w:tab w:val="left" w:pos="1080"/>
          <w:tab w:val="left" w:pos="1440"/>
          <w:tab w:val="left" w:pos="1800"/>
          <w:tab w:val="left" w:pos="2160"/>
        </w:tabs>
        <w:spacing w:after="120"/>
        <w:ind w:left="900" w:hanging="540"/>
        <w:rPr>
          <w:rFonts w:eastAsia="Times New Roman" w:cs="Times New Roman"/>
        </w:rPr>
      </w:pPr>
      <w:r w:rsidRPr="00BD44BB">
        <w:rPr>
          <w:rFonts w:eastAsia="Times New Roman" w:cs="Times New Roman"/>
          <w:b/>
        </w:rPr>
        <w:t>D.</w:t>
      </w:r>
      <w:r w:rsidR="00E66726" w:rsidRPr="00E66726">
        <w:rPr>
          <w:rFonts w:eastAsia="Times New Roman" w:cs="Times New Roman"/>
        </w:rPr>
        <w:t xml:space="preserve">       The SIPs</w:t>
      </w:r>
      <w:r w:rsidR="007F34F3">
        <w:rPr>
          <w:rFonts w:eastAsia="Times New Roman" w:cs="Times New Roman"/>
        </w:rPr>
        <w:t>,</w:t>
      </w:r>
      <w:r w:rsidR="00E66726" w:rsidRPr="00E66726">
        <w:rPr>
          <w:rFonts w:eastAsia="Times New Roman" w:cs="Times New Roman"/>
        </w:rPr>
        <w:t xml:space="preserve"> </w:t>
      </w:r>
      <w:r w:rsidR="007F34F3">
        <w:rPr>
          <w:rFonts w:eastAsia="Times New Roman" w:cs="Times New Roman"/>
        </w:rPr>
        <w:t xml:space="preserve">the </w:t>
      </w:r>
      <w:r w:rsidR="00E66726" w:rsidRPr="00E66726">
        <w:rPr>
          <w:rFonts w:eastAsia="Times New Roman" w:cs="Times New Roman"/>
        </w:rPr>
        <w:t>distric</w:t>
      </w:r>
      <w:r w:rsidR="00034C5F">
        <w:rPr>
          <w:rFonts w:eastAsia="Times New Roman" w:cs="Times New Roman"/>
        </w:rPr>
        <w:t>t</w:t>
      </w:r>
      <w:r w:rsidR="007F34F3">
        <w:rPr>
          <w:rFonts w:eastAsia="Times New Roman" w:cs="Times New Roman"/>
        </w:rPr>
        <w:t>’s</w:t>
      </w:r>
      <w:r w:rsidR="00034C5F">
        <w:rPr>
          <w:rFonts w:eastAsia="Times New Roman" w:cs="Times New Roman"/>
        </w:rPr>
        <w:t xml:space="preserve"> professional development </w:t>
      </w:r>
      <w:r w:rsidR="007F34F3">
        <w:rPr>
          <w:rFonts w:eastAsia="Times New Roman" w:cs="Times New Roman"/>
        </w:rPr>
        <w:t xml:space="preserve">(PD) </w:t>
      </w:r>
      <w:r w:rsidR="00034C5F">
        <w:rPr>
          <w:rFonts w:eastAsia="Times New Roman" w:cs="Times New Roman"/>
        </w:rPr>
        <w:t>h</w:t>
      </w:r>
      <w:r w:rsidR="00E66726" w:rsidRPr="00E66726">
        <w:rPr>
          <w:rFonts w:eastAsia="Times New Roman" w:cs="Times New Roman"/>
        </w:rPr>
        <w:t>andbook are aligned</w:t>
      </w:r>
      <w:r w:rsidR="003C6F60">
        <w:rPr>
          <w:rFonts w:eastAsia="Times New Roman" w:cs="Times New Roman"/>
        </w:rPr>
        <w:t xml:space="preserve"> </w:t>
      </w:r>
      <w:r w:rsidR="00B861F3">
        <w:rPr>
          <w:rFonts w:eastAsia="Times New Roman" w:cs="Times New Roman"/>
        </w:rPr>
        <w:t>with</w:t>
      </w:r>
      <w:r w:rsidR="003C6F60">
        <w:rPr>
          <w:rFonts w:eastAsia="Times New Roman" w:cs="Times New Roman"/>
        </w:rPr>
        <w:t xml:space="preserve"> the DIP</w:t>
      </w:r>
      <w:r w:rsidR="00E66726" w:rsidRPr="00E66726">
        <w:rPr>
          <w:rFonts w:eastAsia="Times New Roman" w:cs="Times New Roman"/>
        </w:rPr>
        <w:t>. For each goal, the DIP</w:t>
      </w:r>
      <w:r w:rsidR="007F34F3">
        <w:rPr>
          <w:rFonts w:eastAsia="Times New Roman" w:cs="Times New Roman"/>
        </w:rPr>
        <w:t>,</w:t>
      </w:r>
      <w:r w:rsidR="00E66726" w:rsidRPr="00E66726">
        <w:rPr>
          <w:rFonts w:eastAsia="Times New Roman" w:cs="Times New Roman"/>
        </w:rPr>
        <w:t xml:space="preserve"> </w:t>
      </w:r>
      <w:r w:rsidR="007F34F3">
        <w:rPr>
          <w:rFonts w:eastAsia="Times New Roman" w:cs="Times New Roman"/>
        </w:rPr>
        <w:t xml:space="preserve">the </w:t>
      </w:r>
      <w:r w:rsidR="00E66726" w:rsidRPr="00E66726">
        <w:rPr>
          <w:rFonts w:eastAsia="Times New Roman" w:cs="Times New Roman"/>
        </w:rPr>
        <w:t>SIPs</w:t>
      </w:r>
      <w:r w:rsidR="007F34F3">
        <w:rPr>
          <w:rFonts w:eastAsia="Times New Roman" w:cs="Times New Roman"/>
        </w:rPr>
        <w:t>,</w:t>
      </w:r>
      <w:r w:rsidR="00E66726" w:rsidRPr="00E66726">
        <w:rPr>
          <w:rFonts w:eastAsia="Times New Roman" w:cs="Times New Roman"/>
        </w:rPr>
        <w:t xml:space="preserve"> </w:t>
      </w:r>
      <w:r w:rsidR="007F34F3">
        <w:rPr>
          <w:rFonts w:eastAsia="Times New Roman" w:cs="Times New Roman"/>
        </w:rPr>
        <w:t xml:space="preserve">and the PD handbook </w:t>
      </w:r>
      <w:r w:rsidR="00034C5F">
        <w:rPr>
          <w:rFonts w:eastAsia="Times New Roman" w:cs="Times New Roman"/>
        </w:rPr>
        <w:t xml:space="preserve">list </w:t>
      </w:r>
      <w:r w:rsidR="007F34F3">
        <w:rPr>
          <w:rFonts w:eastAsia="Times New Roman" w:cs="Times New Roman"/>
        </w:rPr>
        <w:t>appropriate professional d</w:t>
      </w:r>
      <w:r w:rsidR="007F34F3" w:rsidRPr="00E66726">
        <w:rPr>
          <w:rFonts w:eastAsia="Times New Roman" w:cs="Times New Roman"/>
        </w:rPr>
        <w:t>evelopment activities</w:t>
      </w:r>
      <w:r w:rsidR="008043C2">
        <w:rPr>
          <w:rFonts w:eastAsia="Times New Roman" w:cs="Times New Roman"/>
        </w:rPr>
        <w:t>.</w:t>
      </w:r>
      <w:r w:rsidR="00E66726" w:rsidRPr="00E66726">
        <w:rPr>
          <w:rFonts w:eastAsia="Times New Roman" w:cs="Times New Roman"/>
        </w:rPr>
        <w:t xml:space="preserve">    </w:t>
      </w:r>
    </w:p>
    <w:p w:rsidR="00BD44BB" w:rsidRDefault="00E66726" w:rsidP="00BD44BB">
      <w:pPr>
        <w:tabs>
          <w:tab w:val="left" w:pos="360"/>
          <w:tab w:val="left" w:pos="720"/>
          <w:tab w:val="left" w:pos="1080"/>
          <w:tab w:val="left" w:pos="1440"/>
          <w:tab w:val="left" w:pos="1800"/>
          <w:tab w:val="left" w:pos="2160"/>
        </w:tabs>
        <w:rPr>
          <w:rFonts w:eastAsia="Times New Roman" w:cs="Times New Roman"/>
        </w:rPr>
      </w:pPr>
      <w:r w:rsidRPr="008043C2">
        <w:rPr>
          <w:rFonts w:eastAsia="Times New Roman" w:cs="Times New Roman"/>
          <w:b/>
        </w:rPr>
        <w:t>Impact</w:t>
      </w:r>
      <w:r w:rsidRPr="008043C2">
        <w:rPr>
          <w:rFonts w:eastAsia="Times New Roman" w:cs="Times New Roman"/>
        </w:rPr>
        <w:t xml:space="preserve">: By </w:t>
      </w:r>
      <w:r w:rsidR="008B1B26" w:rsidRPr="008043C2">
        <w:rPr>
          <w:rFonts w:eastAsia="Times New Roman" w:cs="Times New Roman"/>
        </w:rPr>
        <w:t>collaborative</w:t>
      </w:r>
      <w:r w:rsidR="008B1B26">
        <w:rPr>
          <w:rFonts w:eastAsia="Times New Roman" w:cs="Times New Roman"/>
        </w:rPr>
        <w:t xml:space="preserve">ly </w:t>
      </w:r>
      <w:r w:rsidR="00213701">
        <w:rPr>
          <w:rFonts w:eastAsia="Times New Roman" w:cs="Times New Roman"/>
        </w:rPr>
        <w:t>implementing</w:t>
      </w:r>
      <w:r w:rsidR="00213701" w:rsidRPr="008043C2">
        <w:rPr>
          <w:rFonts w:eastAsia="Times New Roman" w:cs="Times New Roman"/>
        </w:rPr>
        <w:t xml:space="preserve"> </w:t>
      </w:r>
      <w:r w:rsidRPr="008043C2">
        <w:rPr>
          <w:rFonts w:eastAsia="Times New Roman" w:cs="Times New Roman"/>
        </w:rPr>
        <w:t xml:space="preserve">data-driven and aligned planning processes, district educators are increasing consistency and </w:t>
      </w:r>
      <w:r w:rsidR="002279BA">
        <w:rPr>
          <w:rFonts w:eastAsia="Times New Roman" w:cs="Times New Roman"/>
        </w:rPr>
        <w:t>shared</w:t>
      </w:r>
      <w:r w:rsidR="002279BA" w:rsidRPr="008043C2">
        <w:rPr>
          <w:rFonts w:eastAsia="Times New Roman" w:cs="Times New Roman"/>
        </w:rPr>
        <w:t xml:space="preserve"> </w:t>
      </w:r>
      <w:r w:rsidRPr="008043C2">
        <w:rPr>
          <w:rFonts w:eastAsia="Times New Roman" w:cs="Times New Roman"/>
        </w:rPr>
        <w:t xml:space="preserve">responsibility for </w:t>
      </w:r>
      <w:r w:rsidR="002279BA">
        <w:rPr>
          <w:rFonts w:eastAsia="Times New Roman" w:cs="Times New Roman"/>
        </w:rPr>
        <w:t>improvement</w:t>
      </w:r>
      <w:r w:rsidRPr="008043C2">
        <w:rPr>
          <w:rFonts w:eastAsia="Times New Roman" w:cs="Times New Roman"/>
        </w:rPr>
        <w:t xml:space="preserve">.  Clear connections among strategies listed in the DIP, </w:t>
      </w:r>
      <w:r w:rsidR="002279BA">
        <w:rPr>
          <w:rFonts w:eastAsia="Times New Roman" w:cs="Times New Roman"/>
        </w:rPr>
        <w:t xml:space="preserve">the </w:t>
      </w:r>
      <w:r w:rsidRPr="008043C2">
        <w:rPr>
          <w:rFonts w:eastAsia="Times New Roman" w:cs="Times New Roman"/>
        </w:rPr>
        <w:t>SIPs</w:t>
      </w:r>
      <w:r w:rsidR="00F95F75">
        <w:rPr>
          <w:rFonts w:eastAsia="Times New Roman" w:cs="Times New Roman"/>
        </w:rPr>
        <w:t>,</w:t>
      </w:r>
      <w:r w:rsidRPr="008043C2">
        <w:rPr>
          <w:rFonts w:eastAsia="Times New Roman" w:cs="Times New Roman"/>
        </w:rPr>
        <w:t xml:space="preserve"> and the district’s budget also increase transparency and public confidence in district operations and </w:t>
      </w:r>
      <w:r w:rsidR="002279BA">
        <w:rPr>
          <w:rFonts w:eastAsia="Times New Roman" w:cs="Times New Roman"/>
        </w:rPr>
        <w:t>improvement initiatives</w:t>
      </w:r>
      <w:r w:rsidRPr="008043C2">
        <w:rPr>
          <w:rFonts w:eastAsia="Times New Roman" w:cs="Times New Roman"/>
        </w:rPr>
        <w:t xml:space="preserve">. The districts’ compatible plans </w:t>
      </w:r>
      <w:r w:rsidR="00213701">
        <w:rPr>
          <w:rFonts w:eastAsia="Times New Roman" w:cs="Times New Roman"/>
        </w:rPr>
        <w:t xml:space="preserve">provide a road map for achieving </w:t>
      </w:r>
      <w:r w:rsidR="005B2871">
        <w:rPr>
          <w:rFonts w:eastAsia="Times New Roman" w:cs="Times New Roman"/>
        </w:rPr>
        <w:t>its</w:t>
      </w:r>
      <w:r w:rsidR="00213701">
        <w:rPr>
          <w:rFonts w:eastAsia="Times New Roman" w:cs="Times New Roman"/>
        </w:rPr>
        <w:t xml:space="preserve"> goals</w:t>
      </w:r>
      <w:r w:rsidRPr="008043C2">
        <w:rPr>
          <w:rFonts w:eastAsia="Times New Roman" w:cs="Times New Roman"/>
        </w:rPr>
        <w:t xml:space="preserve">. </w:t>
      </w:r>
    </w:p>
    <w:p w:rsidR="008B1B26" w:rsidRDefault="008B1B26">
      <w:pPr>
        <w:tabs>
          <w:tab w:val="left" w:pos="360"/>
          <w:tab w:val="left" w:pos="720"/>
          <w:tab w:val="left" w:pos="1080"/>
          <w:tab w:val="left" w:pos="1440"/>
          <w:tab w:val="left" w:pos="1800"/>
          <w:tab w:val="left" w:pos="2160"/>
        </w:tabs>
        <w:rPr>
          <w:rFonts w:eastAsia="Times New Roman" w:cs="Times New Roman"/>
        </w:rPr>
      </w:pPr>
    </w:p>
    <w:p w:rsidR="00E66726" w:rsidRPr="00E66726" w:rsidRDefault="00E66726" w:rsidP="00E66726">
      <w:pPr>
        <w:tabs>
          <w:tab w:val="left" w:pos="360"/>
          <w:tab w:val="left" w:pos="720"/>
          <w:tab w:val="left" w:pos="1080"/>
          <w:tab w:val="left" w:pos="1440"/>
          <w:tab w:val="left" w:pos="1800"/>
          <w:tab w:val="left" w:pos="2160"/>
        </w:tabs>
        <w:rPr>
          <w:rFonts w:eastAsia="Times New Roman" w:cs="Times New Roman"/>
          <w:b/>
          <w:sz w:val="28"/>
          <w:szCs w:val="28"/>
        </w:rPr>
      </w:pPr>
      <w:r w:rsidRPr="00E66726">
        <w:rPr>
          <w:rFonts w:eastAsia="Times New Roman" w:cs="Times New Roman"/>
          <w:b/>
          <w:sz w:val="28"/>
          <w:szCs w:val="28"/>
        </w:rPr>
        <w:t>Challenges and Areas for Growth</w:t>
      </w:r>
    </w:p>
    <w:p w:rsidR="00BD44BB" w:rsidRDefault="00730088" w:rsidP="00BD44BB">
      <w:pPr>
        <w:tabs>
          <w:tab w:val="left" w:pos="360"/>
          <w:tab w:val="left" w:pos="720"/>
          <w:tab w:val="left" w:pos="1080"/>
          <w:tab w:val="left" w:pos="1440"/>
          <w:tab w:val="left" w:pos="1800"/>
          <w:tab w:val="left" w:pos="2160"/>
        </w:tabs>
        <w:ind w:left="360" w:hanging="360"/>
        <w:rPr>
          <w:rFonts w:eastAsia="Times New Roman" w:cs="Times New Roman"/>
          <w:b/>
        </w:rPr>
      </w:pPr>
      <w:r w:rsidRPr="009D7B2C">
        <w:rPr>
          <w:rFonts w:eastAsia="Times New Roman" w:cs="Times New Roman"/>
          <w:b/>
        </w:rPr>
        <w:t>3</w:t>
      </w:r>
      <w:r w:rsidR="00E66726" w:rsidRPr="009D7B2C">
        <w:rPr>
          <w:rFonts w:eastAsia="Times New Roman" w:cs="Times New Roman"/>
          <w:b/>
        </w:rPr>
        <w:t xml:space="preserve">. </w:t>
      </w:r>
      <w:r w:rsidR="00C05269" w:rsidRPr="009D7B2C">
        <w:rPr>
          <w:rFonts w:eastAsia="Times New Roman" w:cs="Times New Roman"/>
          <w:b/>
        </w:rPr>
        <w:t xml:space="preserve"> </w:t>
      </w:r>
      <w:r w:rsidR="00981D93" w:rsidRPr="009D7B2C">
        <w:rPr>
          <w:rFonts w:eastAsia="Times New Roman" w:cs="Times New Roman"/>
          <w:b/>
        </w:rPr>
        <w:tab/>
      </w:r>
      <w:r w:rsidR="004221D8" w:rsidRPr="009D7B2C">
        <w:rPr>
          <w:rFonts w:eastAsia="Times New Roman" w:cs="Times New Roman"/>
          <w:b/>
        </w:rPr>
        <w:t xml:space="preserve">At the time of the review in January 2017, </w:t>
      </w:r>
      <w:r w:rsidR="00794DFD" w:rsidRPr="009D7B2C">
        <w:rPr>
          <w:rFonts w:eastAsia="Times New Roman" w:cs="Times New Roman"/>
          <w:b/>
        </w:rPr>
        <w:t xml:space="preserve">the administration and the teachers’ association had a </w:t>
      </w:r>
      <w:r w:rsidR="004221D8" w:rsidRPr="009D7B2C">
        <w:rPr>
          <w:rFonts w:eastAsia="Times New Roman" w:cs="Times New Roman"/>
          <w:b/>
        </w:rPr>
        <w:t>strained</w:t>
      </w:r>
      <w:r w:rsidR="00794DFD" w:rsidRPr="009D7B2C">
        <w:rPr>
          <w:rFonts w:eastAsia="Times New Roman" w:cs="Times New Roman"/>
          <w:b/>
        </w:rPr>
        <w:t xml:space="preserve"> relationship</w:t>
      </w:r>
      <w:r w:rsidR="00E66726" w:rsidRPr="009D7B2C">
        <w:rPr>
          <w:rFonts w:eastAsia="Times New Roman" w:cs="Times New Roman"/>
          <w:b/>
        </w:rPr>
        <w:t xml:space="preserve">, </w:t>
      </w:r>
      <w:r w:rsidR="004221D8" w:rsidRPr="009D7B2C">
        <w:rPr>
          <w:rFonts w:eastAsia="Times New Roman" w:cs="Times New Roman"/>
          <w:b/>
        </w:rPr>
        <w:t>and there were issues of trust</w:t>
      </w:r>
      <w:r w:rsidR="00E66726" w:rsidRPr="009D7B2C">
        <w:rPr>
          <w:rFonts w:eastAsia="Times New Roman" w:cs="Times New Roman"/>
          <w:b/>
        </w:rPr>
        <w:t xml:space="preserve"> </w:t>
      </w:r>
      <w:r w:rsidR="009F43F3" w:rsidRPr="009D7B2C">
        <w:rPr>
          <w:rFonts w:eastAsia="Times New Roman" w:cs="Times New Roman"/>
          <w:b/>
        </w:rPr>
        <w:t xml:space="preserve">and communication </w:t>
      </w:r>
      <w:r w:rsidR="00E66726" w:rsidRPr="009D7B2C">
        <w:rPr>
          <w:rFonts w:eastAsia="Times New Roman" w:cs="Times New Roman"/>
          <w:b/>
        </w:rPr>
        <w:t xml:space="preserve">and ongoing </w:t>
      </w:r>
      <w:r w:rsidR="009F43F3" w:rsidRPr="009D7B2C">
        <w:rPr>
          <w:rFonts w:eastAsia="Times New Roman" w:cs="Times New Roman"/>
          <w:b/>
        </w:rPr>
        <w:t xml:space="preserve">differences </w:t>
      </w:r>
      <w:r w:rsidR="004221D8" w:rsidRPr="009D7B2C">
        <w:rPr>
          <w:rFonts w:eastAsia="Times New Roman" w:cs="Times New Roman"/>
          <w:b/>
        </w:rPr>
        <w:t>about the interpretation of management rights</w:t>
      </w:r>
      <w:r w:rsidR="00E66726" w:rsidRPr="009D7B2C">
        <w:rPr>
          <w:rFonts w:eastAsia="Times New Roman" w:cs="Times New Roman"/>
          <w:b/>
        </w:rPr>
        <w:t xml:space="preserve">. </w:t>
      </w:r>
    </w:p>
    <w:p w:rsidR="00E66726" w:rsidRPr="00E66726" w:rsidRDefault="009F43F3" w:rsidP="002E1CB8">
      <w:pPr>
        <w:numPr>
          <w:ilvl w:val="1"/>
          <w:numId w:val="8"/>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Interviews and a document review indicated that a</w:t>
      </w:r>
      <w:r w:rsidRPr="00E66726">
        <w:rPr>
          <w:rFonts w:eastAsia="Times New Roman" w:cs="Times New Roman"/>
        </w:rPr>
        <w:t xml:space="preserve">fter </w:t>
      </w:r>
      <w:r>
        <w:rPr>
          <w:rFonts w:eastAsia="Times New Roman" w:cs="Times New Roman"/>
        </w:rPr>
        <w:t>six months</w:t>
      </w:r>
      <w:r w:rsidR="00E66726" w:rsidRPr="00E66726">
        <w:rPr>
          <w:rFonts w:eastAsia="Times New Roman" w:cs="Times New Roman"/>
        </w:rPr>
        <w:t xml:space="preserve"> of negotiations, which included the </w:t>
      </w:r>
      <w:r w:rsidR="009075BA">
        <w:rPr>
          <w:rFonts w:eastAsia="Times New Roman" w:cs="Times New Roman"/>
        </w:rPr>
        <w:t xml:space="preserve">teachers’ </w:t>
      </w:r>
      <w:r w:rsidR="00E66726" w:rsidRPr="00E66726">
        <w:rPr>
          <w:rFonts w:eastAsia="Times New Roman" w:cs="Times New Roman"/>
        </w:rPr>
        <w:t xml:space="preserve">association </w:t>
      </w:r>
      <w:r>
        <w:rPr>
          <w:rFonts w:eastAsia="Times New Roman" w:cs="Times New Roman"/>
        </w:rPr>
        <w:t>“</w:t>
      </w:r>
      <w:r w:rsidR="00E66726" w:rsidRPr="00E66726">
        <w:rPr>
          <w:rFonts w:eastAsia="Times New Roman" w:cs="Times New Roman"/>
        </w:rPr>
        <w:t>working to rule,</w:t>
      </w:r>
      <w:r>
        <w:rPr>
          <w:rFonts w:eastAsia="Times New Roman" w:cs="Times New Roman"/>
        </w:rPr>
        <w:t>”</w:t>
      </w:r>
      <w:r w:rsidR="00E66726" w:rsidRPr="00E66726">
        <w:rPr>
          <w:rFonts w:eastAsia="Times New Roman" w:cs="Times New Roman"/>
        </w:rPr>
        <w:t xml:space="preserve"> informational pick</w:t>
      </w:r>
      <w:r>
        <w:rPr>
          <w:rFonts w:eastAsia="Times New Roman" w:cs="Times New Roman"/>
        </w:rPr>
        <w:t>et</w:t>
      </w:r>
      <w:r w:rsidR="00E66726" w:rsidRPr="00E66726">
        <w:rPr>
          <w:rFonts w:eastAsia="Times New Roman" w:cs="Times New Roman"/>
        </w:rPr>
        <w:t>ing</w:t>
      </w:r>
      <w:r>
        <w:rPr>
          <w:rFonts w:eastAsia="Times New Roman" w:cs="Times New Roman"/>
        </w:rPr>
        <w:t>,</w:t>
      </w:r>
      <w:r w:rsidR="00E66726" w:rsidRPr="00E66726">
        <w:rPr>
          <w:rFonts w:eastAsia="Times New Roman" w:cs="Times New Roman"/>
        </w:rPr>
        <w:t xml:space="preserve"> and meetings with a mediator, on June 14, 2016</w:t>
      </w:r>
      <w:r>
        <w:rPr>
          <w:rFonts w:eastAsia="Times New Roman" w:cs="Times New Roman"/>
        </w:rPr>
        <w:t>,</w:t>
      </w:r>
      <w:r w:rsidR="00E66726" w:rsidRPr="00E66726">
        <w:rPr>
          <w:rFonts w:eastAsia="Times New Roman" w:cs="Times New Roman"/>
        </w:rPr>
        <w:t xml:space="preserve"> the </w:t>
      </w:r>
      <w:r>
        <w:rPr>
          <w:rFonts w:eastAsia="Times New Roman" w:cs="Times New Roman"/>
        </w:rPr>
        <w:t xml:space="preserve">teachers’ </w:t>
      </w:r>
      <w:r w:rsidR="00E66726" w:rsidRPr="00E66726">
        <w:rPr>
          <w:rFonts w:eastAsia="Times New Roman" w:cs="Times New Roman"/>
        </w:rPr>
        <w:t>association and the district’s sch</w:t>
      </w:r>
      <w:r w:rsidR="009B2B41">
        <w:rPr>
          <w:rFonts w:eastAsia="Times New Roman" w:cs="Times New Roman"/>
        </w:rPr>
        <w:t>ool committee ratified a three-</w:t>
      </w:r>
      <w:r w:rsidR="00E66726" w:rsidRPr="00E66726">
        <w:rPr>
          <w:rFonts w:eastAsia="Times New Roman" w:cs="Times New Roman"/>
        </w:rPr>
        <w:t xml:space="preserve">year teachers’ </w:t>
      </w:r>
      <w:r>
        <w:rPr>
          <w:rFonts w:eastAsia="Times New Roman" w:cs="Times New Roman"/>
        </w:rPr>
        <w:t>collective bargaining agreement (CBA)</w:t>
      </w:r>
      <w:r w:rsidR="00E66726" w:rsidRPr="00E66726">
        <w:rPr>
          <w:rFonts w:eastAsia="Times New Roman" w:cs="Times New Roman"/>
        </w:rPr>
        <w:t>.</w:t>
      </w:r>
    </w:p>
    <w:p w:rsidR="00E66726" w:rsidRPr="00E66726" w:rsidRDefault="009F43F3" w:rsidP="002E1CB8">
      <w:pPr>
        <w:numPr>
          <w:ilvl w:val="1"/>
          <w:numId w:val="8"/>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A</w:t>
      </w:r>
      <w:r w:rsidR="00E66726" w:rsidRPr="00E66726">
        <w:rPr>
          <w:rFonts w:eastAsia="Times New Roman" w:cs="Times New Roman"/>
        </w:rPr>
        <w:t xml:space="preserve"> diverse group of intervi</w:t>
      </w:r>
      <w:r w:rsidR="00034C5F">
        <w:rPr>
          <w:rFonts w:eastAsia="Times New Roman" w:cs="Times New Roman"/>
        </w:rPr>
        <w:t xml:space="preserve">ewees, </w:t>
      </w:r>
      <w:r w:rsidR="00E66726" w:rsidRPr="00E66726">
        <w:rPr>
          <w:rFonts w:eastAsia="Times New Roman" w:cs="Times New Roman"/>
        </w:rPr>
        <w:t xml:space="preserve">including </w:t>
      </w:r>
      <w:r w:rsidRPr="00E66726">
        <w:rPr>
          <w:rFonts w:eastAsia="Times New Roman" w:cs="Times New Roman"/>
        </w:rPr>
        <w:t>administrat</w:t>
      </w:r>
      <w:r>
        <w:rPr>
          <w:rFonts w:eastAsia="Times New Roman" w:cs="Times New Roman"/>
        </w:rPr>
        <w:t xml:space="preserve">ors </w:t>
      </w:r>
      <w:r w:rsidR="00E66726" w:rsidRPr="00E66726">
        <w:rPr>
          <w:rFonts w:eastAsia="Times New Roman" w:cs="Times New Roman"/>
        </w:rPr>
        <w:t xml:space="preserve">and </w:t>
      </w:r>
      <w:r w:rsidR="00DC432A">
        <w:rPr>
          <w:rFonts w:eastAsia="Times New Roman" w:cs="Times New Roman"/>
        </w:rPr>
        <w:t>teacher</w:t>
      </w:r>
      <w:r>
        <w:rPr>
          <w:rFonts w:eastAsia="Times New Roman" w:cs="Times New Roman"/>
        </w:rPr>
        <w:t xml:space="preserve">s’ </w:t>
      </w:r>
      <w:r w:rsidR="00034C5F">
        <w:rPr>
          <w:rFonts w:eastAsia="Times New Roman" w:cs="Times New Roman"/>
        </w:rPr>
        <w:t xml:space="preserve">association </w:t>
      </w:r>
      <w:r>
        <w:rPr>
          <w:rFonts w:eastAsia="Times New Roman" w:cs="Times New Roman"/>
        </w:rPr>
        <w:t>representatives</w:t>
      </w:r>
      <w:r w:rsidR="00034C5F">
        <w:rPr>
          <w:rFonts w:eastAsia="Times New Roman" w:cs="Times New Roman"/>
        </w:rPr>
        <w:t>,</w:t>
      </w:r>
      <w:r w:rsidR="00E66726" w:rsidRPr="00E66726">
        <w:rPr>
          <w:rFonts w:eastAsia="Times New Roman" w:cs="Times New Roman"/>
        </w:rPr>
        <w:t xml:space="preserve"> described problems with labor-management collaboration.</w:t>
      </w:r>
    </w:p>
    <w:p w:rsidR="00BB777A" w:rsidRDefault="00E66726" w:rsidP="002E1CB8">
      <w:pPr>
        <w:tabs>
          <w:tab w:val="left" w:pos="360"/>
          <w:tab w:val="left" w:pos="720"/>
          <w:tab w:val="left" w:pos="1080"/>
          <w:tab w:val="left" w:pos="1440"/>
          <w:tab w:val="left" w:pos="1800"/>
          <w:tab w:val="left" w:pos="2160"/>
        </w:tabs>
        <w:ind w:left="1080" w:hanging="360"/>
        <w:rPr>
          <w:rFonts w:eastAsia="Times New Roman" w:cs="Times New Roman"/>
        </w:rPr>
      </w:pPr>
      <w:r w:rsidRPr="00E66726">
        <w:rPr>
          <w:rFonts w:eastAsia="Times New Roman" w:cs="Times New Roman"/>
        </w:rPr>
        <w:t xml:space="preserve">1.    Interviewees </w:t>
      </w:r>
      <w:r w:rsidR="009F43F3">
        <w:rPr>
          <w:rFonts w:eastAsia="Times New Roman" w:cs="Times New Roman"/>
        </w:rPr>
        <w:t xml:space="preserve">said that </w:t>
      </w:r>
      <w:r w:rsidR="00435740">
        <w:rPr>
          <w:rFonts w:eastAsia="Times New Roman" w:cs="Times New Roman"/>
        </w:rPr>
        <w:t>during negotiations</w:t>
      </w:r>
      <w:r w:rsidR="009F43F3">
        <w:rPr>
          <w:rFonts w:eastAsia="Times New Roman" w:cs="Times New Roman"/>
        </w:rPr>
        <w:t>, the administration and the teachers’ association had been “allies,” noting that the tone of communication has changed since the CBA was ratified.</w:t>
      </w:r>
    </w:p>
    <w:p w:rsidR="009F43F3" w:rsidRDefault="009F43F3" w:rsidP="002E1CB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2.  </w:t>
      </w:r>
      <w:r w:rsidR="008166BA">
        <w:rPr>
          <w:rFonts w:eastAsia="Times New Roman" w:cs="Times New Roman"/>
        </w:rPr>
        <w:tab/>
      </w:r>
      <w:r>
        <w:rPr>
          <w:rFonts w:eastAsia="Times New Roman" w:cs="Times New Roman"/>
        </w:rPr>
        <w:t>T</w:t>
      </w:r>
      <w:r w:rsidR="00E66726" w:rsidRPr="00E66726">
        <w:rPr>
          <w:rFonts w:eastAsia="Times New Roman" w:cs="Times New Roman"/>
        </w:rPr>
        <w:t xml:space="preserve">he superintendent </w:t>
      </w:r>
      <w:r>
        <w:rPr>
          <w:rFonts w:eastAsia="Times New Roman" w:cs="Times New Roman"/>
        </w:rPr>
        <w:t xml:space="preserve">told the team that during the first two years of his tenure in the district the relationship with </w:t>
      </w:r>
      <w:r w:rsidR="00E66726" w:rsidRPr="00E66726">
        <w:rPr>
          <w:rFonts w:eastAsia="Times New Roman" w:cs="Times New Roman"/>
        </w:rPr>
        <w:t xml:space="preserve">the </w:t>
      </w:r>
      <w:r w:rsidR="00DC432A">
        <w:rPr>
          <w:rFonts w:eastAsia="Times New Roman" w:cs="Times New Roman"/>
        </w:rPr>
        <w:t xml:space="preserve">teachers’ </w:t>
      </w:r>
      <w:r w:rsidR="00E66726" w:rsidRPr="00E66726">
        <w:rPr>
          <w:rFonts w:eastAsia="Times New Roman" w:cs="Times New Roman"/>
        </w:rPr>
        <w:t xml:space="preserve">association </w:t>
      </w:r>
      <w:r>
        <w:rPr>
          <w:rFonts w:eastAsia="Times New Roman" w:cs="Times New Roman"/>
        </w:rPr>
        <w:t>was “fantastic,” but said that this year (2016–2017) was “rocky.”</w:t>
      </w:r>
    </w:p>
    <w:p w:rsidR="00E66726" w:rsidRPr="00E66726" w:rsidRDefault="009F43F3" w:rsidP="002E1CB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3.</w:t>
      </w:r>
      <w:r>
        <w:rPr>
          <w:rFonts w:eastAsia="Times New Roman" w:cs="Times New Roman"/>
        </w:rPr>
        <w:tab/>
        <w:t>Teachers’ association representatives said that the co-presidents used</w:t>
      </w:r>
      <w:r w:rsidR="00981D93">
        <w:rPr>
          <w:rFonts w:eastAsia="Times New Roman" w:cs="Times New Roman"/>
        </w:rPr>
        <w:t xml:space="preserve"> to </w:t>
      </w:r>
      <w:r w:rsidR="00E66726" w:rsidRPr="00E66726">
        <w:rPr>
          <w:rFonts w:eastAsia="Times New Roman" w:cs="Times New Roman"/>
        </w:rPr>
        <w:t xml:space="preserve">meet </w:t>
      </w:r>
      <w:r w:rsidR="00981D93">
        <w:rPr>
          <w:rFonts w:eastAsia="Times New Roman" w:cs="Times New Roman"/>
        </w:rPr>
        <w:t xml:space="preserve">with the superintendent </w:t>
      </w:r>
      <w:r w:rsidR="00E66726" w:rsidRPr="00E66726">
        <w:rPr>
          <w:rFonts w:eastAsia="Times New Roman" w:cs="Times New Roman"/>
        </w:rPr>
        <w:t xml:space="preserve">monthly </w:t>
      </w:r>
      <w:r w:rsidR="00981D93">
        <w:rPr>
          <w:rFonts w:eastAsia="Times New Roman" w:cs="Times New Roman"/>
        </w:rPr>
        <w:t xml:space="preserve">for </w:t>
      </w:r>
      <w:r w:rsidR="005B4A09">
        <w:rPr>
          <w:rFonts w:eastAsia="Times New Roman" w:cs="Times New Roman"/>
        </w:rPr>
        <w:t>2</w:t>
      </w:r>
      <w:r w:rsidR="00981D93">
        <w:rPr>
          <w:rFonts w:eastAsia="Times New Roman" w:cs="Times New Roman"/>
        </w:rPr>
        <w:t xml:space="preserve"> hours</w:t>
      </w:r>
      <w:r w:rsidR="00E66726" w:rsidRPr="00E66726">
        <w:rPr>
          <w:rFonts w:eastAsia="Times New Roman" w:cs="Times New Roman"/>
        </w:rPr>
        <w:t xml:space="preserve">, </w:t>
      </w:r>
      <w:r w:rsidR="00981D93">
        <w:rPr>
          <w:rFonts w:eastAsia="Times New Roman" w:cs="Times New Roman"/>
        </w:rPr>
        <w:t>but</w:t>
      </w:r>
      <w:r w:rsidR="00981D93" w:rsidRPr="00E66726">
        <w:rPr>
          <w:rFonts w:eastAsia="Times New Roman" w:cs="Times New Roman"/>
        </w:rPr>
        <w:t xml:space="preserve"> </w:t>
      </w:r>
      <w:r w:rsidR="005B4A09">
        <w:rPr>
          <w:rFonts w:eastAsia="Times New Roman" w:cs="Times New Roman"/>
        </w:rPr>
        <w:t>in 2016–2017</w:t>
      </w:r>
      <w:r w:rsidR="00E66726" w:rsidRPr="00E66726">
        <w:rPr>
          <w:rFonts w:eastAsia="Times New Roman" w:cs="Times New Roman"/>
        </w:rPr>
        <w:t xml:space="preserve"> and </w:t>
      </w:r>
      <w:r w:rsidR="005B4A09">
        <w:rPr>
          <w:rFonts w:eastAsia="Times New Roman" w:cs="Times New Roman"/>
        </w:rPr>
        <w:t>2015–2016</w:t>
      </w:r>
      <w:r w:rsidR="00E66726" w:rsidRPr="00E66726">
        <w:rPr>
          <w:rFonts w:eastAsia="Times New Roman" w:cs="Times New Roman"/>
        </w:rPr>
        <w:t xml:space="preserve">, meetings </w:t>
      </w:r>
      <w:r w:rsidR="005B4A09">
        <w:rPr>
          <w:rFonts w:eastAsia="Times New Roman" w:cs="Times New Roman"/>
        </w:rPr>
        <w:t xml:space="preserve">have </w:t>
      </w:r>
      <w:r w:rsidR="00981D93">
        <w:rPr>
          <w:rFonts w:eastAsia="Times New Roman" w:cs="Times New Roman"/>
        </w:rPr>
        <w:t>last</w:t>
      </w:r>
      <w:r w:rsidR="005B4A09">
        <w:rPr>
          <w:rFonts w:eastAsia="Times New Roman" w:cs="Times New Roman"/>
        </w:rPr>
        <w:t>ed</w:t>
      </w:r>
      <w:r w:rsidR="00981D93">
        <w:rPr>
          <w:rFonts w:eastAsia="Times New Roman" w:cs="Times New Roman"/>
        </w:rPr>
        <w:t xml:space="preserve"> for only</w:t>
      </w:r>
      <w:r w:rsidR="00E66726" w:rsidRPr="00E66726">
        <w:rPr>
          <w:rFonts w:eastAsia="Times New Roman" w:cs="Times New Roman"/>
        </w:rPr>
        <w:t xml:space="preserve"> 20 minutes.</w:t>
      </w:r>
    </w:p>
    <w:p w:rsidR="00E66726" w:rsidRPr="00E66726" w:rsidRDefault="00E66726" w:rsidP="00E66726">
      <w:pPr>
        <w:tabs>
          <w:tab w:val="left" w:pos="360"/>
          <w:tab w:val="left" w:pos="720"/>
          <w:tab w:val="left" w:pos="1080"/>
          <w:tab w:val="left" w:pos="1440"/>
          <w:tab w:val="left" w:pos="1800"/>
          <w:tab w:val="left" w:pos="2160"/>
        </w:tabs>
        <w:ind w:left="1080" w:hanging="360"/>
        <w:rPr>
          <w:rFonts w:eastAsia="Times New Roman" w:cs="Times New Roman"/>
        </w:rPr>
      </w:pPr>
      <w:r w:rsidRPr="00E66726">
        <w:rPr>
          <w:rFonts w:eastAsia="Times New Roman" w:cs="Times New Roman"/>
        </w:rPr>
        <w:t xml:space="preserve">4.   </w:t>
      </w:r>
      <w:r w:rsidR="00885927">
        <w:rPr>
          <w:rFonts w:eastAsia="Times New Roman" w:cs="Times New Roman"/>
        </w:rPr>
        <w:tab/>
      </w:r>
      <w:r w:rsidR="009075BA">
        <w:rPr>
          <w:rFonts w:eastAsia="Times New Roman" w:cs="Times New Roman"/>
        </w:rPr>
        <w:t xml:space="preserve">Interviewees said that </w:t>
      </w:r>
      <w:r w:rsidR="00034C5F">
        <w:rPr>
          <w:rFonts w:eastAsia="Times New Roman" w:cs="Times New Roman"/>
        </w:rPr>
        <w:t xml:space="preserve">grievances have increased from </w:t>
      </w:r>
      <w:r w:rsidR="009075BA">
        <w:rPr>
          <w:rFonts w:eastAsia="Times New Roman" w:cs="Times New Roman"/>
        </w:rPr>
        <w:t xml:space="preserve">1 last year (2015–2016) </w:t>
      </w:r>
      <w:r w:rsidR="00034C5F">
        <w:rPr>
          <w:rFonts w:eastAsia="Times New Roman" w:cs="Times New Roman"/>
        </w:rPr>
        <w:t>to 10</w:t>
      </w:r>
      <w:r w:rsidR="009075BA">
        <w:rPr>
          <w:rFonts w:eastAsia="Times New Roman" w:cs="Times New Roman"/>
        </w:rPr>
        <w:t xml:space="preserve"> this year (2016–2017)</w:t>
      </w:r>
      <w:r w:rsidR="00034C5F">
        <w:rPr>
          <w:rFonts w:eastAsia="Times New Roman" w:cs="Times New Roman"/>
        </w:rPr>
        <w:t xml:space="preserve">.  </w:t>
      </w:r>
      <w:r w:rsidR="009075BA">
        <w:rPr>
          <w:rFonts w:eastAsia="Times New Roman" w:cs="Times New Roman"/>
        </w:rPr>
        <w:t xml:space="preserve">At the time of the onsite in January 2017, </w:t>
      </w:r>
      <w:r w:rsidR="00034C5F">
        <w:rPr>
          <w:rFonts w:eastAsia="Times New Roman" w:cs="Times New Roman"/>
        </w:rPr>
        <w:t xml:space="preserve">six grievances </w:t>
      </w:r>
      <w:r w:rsidR="009075BA">
        <w:rPr>
          <w:rFonts w:eastAsia="Times New Roman" w:cs="Times New Roman"/>
        </w:rPr>
        <w:t xml:space="preserve">had </w:t>
      </w:r>
      <w:r w:rsidR="00034C5F">
        <w:rPr>
          <w:rFonts w:eastAsia="Times New Roman" w:cs="Times New Roman"/>
        </w:rPr>
        <w:t xml:space="preserve">been </w:t>
      </w:r>
      <w:r w:rsidRPr="00E66726">
        <w:rPr>
          <w:rFonts w:eastAsia="Times New Roman" w:cs="Times New Roman"/>
        </w:rPr>
        <w:t xml:space="preserve">resolved, </w:t>
      </w:r>
      <w:r w:rsidR="00034C5F">
        <w:rPr>
          <w:rFonts w:eastAsia="Times New Roman" w:cs="Times New Roman"/>
        </w:rPr>
        <w:t xml:space="preserve">and four </w:t>
      </w:r>
      <w:r w:rsidR="009075BA">
        <w:rPr>
          <w:rFonts w:eastAsia="Times New Roman" w:cs="Times New Roman"/>
        </w:rPr>
        <w:t xml:space="preserve">were </w:t>
      </w:r>
      <w:r w:rsidR="00034C5F">
        <w:rPr>
          <w:rFonts w:eastAsia="Times New Roman" w:cs="Times New Roman"/>
        </w:rPr>
        <w:t>moving forward.</w:t>
      </w:r>
    </w:p>
    <w:p w:rsidR="00E66726" w:rsidRPr="00E66726" w:rsidRDefault="00E66726" w:rsidP="00E66726">
      <w:pPr>
        <w:tabs>
          <w:tab w:val="left" w:pos="360"/>
          <w:tab w:val="left" w:pos="720"/>
          <w:tab w:val="left" w:pos="1080"/>
          <w:tab w:val="left" w:pos="1440"/>
          <w:tab w:val="left" w:pos="1800"/>
          <w:tab w:val="left" w:pos="2160"/>
        </w:tabs>
        <w:ind w:left="720" w:hanging="360"/>
        <w:rPr>
          <w:rFonts w:eastAsia="Times New Roman" w:cs="Times New Roman"/>
        </w:rPr>
      </w:pPr>
      <w:r w:rsidRPr="00034C5F">
        <w:rPr>
          <w:rFonts w:eastAsia="Times New Roman" w:cs="Times New Roman"/>
          <w:b/>
        </w:rPr>
        <w:lastRenderedPageBreak/>
        <w:t>C.</w:t>
      </w:r>
      <w:r w:rsidRPr="00E66726">
        <w:rPr>
          <w:rFonts w:eastAsia="Times New Roman" w:cs="Times New Roman"/>
        </w:rPr>
        <w:t xml:space="preserve">    Interviewees </w:t>
      </w:r>
      <w:r w:rsidR="00794DFD">
        <w:rPr>
          <w:rFonts w:eastAsia="Times New Roman" w:cs="Times New Roman"/>
        </w:rPr>
        <w:t>spoke of “unilateral decision making,” “push</w:t>
      </w:r>
      <w:r w:rsidR="00687996">
        <w:rPr>
          <w:rFonts w:eastAsia="Times New Roman" w:cs="Times New Roman"/>
        </w:rPr>
        <w:t>-</w:t>
      </w:r>
      <w:r w:rsidR="00794DFD">
        <w:rPr>
          <w:rFonts w:eastAsia="Times New Roman" w:cs="Times New Roman"/>
        </w:rPr>
        <w:t>back,” and “difficult negotiation.”</w:t>
      </w:r>
      <w:r w:rsidRPr="00E66726">
        <w:rPr>
          <w:rFonts w:eastAsia="Times New Roman" w:cs="Times New Roman"/>
        </w:rPr>
        <w:t xml:space="preserve"> </w:t>
      </w:r>
    </w:p>
    <w:p w:rsidR="00E66726" w:rsidRPr="00E66726" w:rsidRDefault="00E66726" w:rsidP="00E66726">
      <w:pPr>
        <w:tabs>
          <w:tab w:val="left" w:pos="360"/>
          <w:tab w:val="left" w:pos="720"/>
          <w:tab w:val="left" w:pos="1080"/>
          <w:tab w:val="left" w:pos="1440"/>
          <w:tab w:val="left" w:pos="1800"/>
          <w:tab w:val="left" w:pos="2160"/>
        </w:tabs>
        <w:ind w:left="720" w:hanging="360"/>
        <w:rPr>
          <w:rFonts w:eastAsia="Times New Roman" w:cs="Times New Roman"/>
        </w:rPr>
      </w:pPr>
      <w:r w:rsidRPr="00034C5F">
        <w:rPr>
          <w:rFonts w:eastAsia="Times New Roman" w:cs="Times New Roman"/>
          <w:b/>
        </w:rPr>
        <w:t>D</w:t>
      </w:r>
      <w:r w:rsidR="00926E94">
        <w:rPr>
          <w:rFonts w:eastAsia="Times New Roman" w:cs="Times New Roman"/>
        </w:rPr>
        <w:t xml:space="preserve">.   </w:t>
      </w:r>
      <w:r w:rsidR="00926E94">
        <w:rPr>
          <w:rFonts w:eastAsia="Times New Roman" w:cs="Times New Roman"/>
        </w:rPr>
        <w:tab/>
      </w:r>
      <w:r w:rsidRPr="00E66726">
        <w:rPr>
          <w:rFonts w:eastAsia="Times New Roman" w:cs="Times New Roman"/>
        </w:rPr>
        <w:t xml:space="preserve">Interviewees </w:t>
      </w:r>
      <w:r w:rsidR="00794DFD">
        <w:rPr>
          <w:rFonts w:eastAsia="Times New Roman" w:cs="Times New Roman"/>
        </w:rPr>
        <w:t>said that</w:t>
      </w:r>
      <w:r w:rsidRPr="00E66726">
        <w:rPr>
          <w:rFonts w:eastAsia="Times New Roman" w:cs="Times New Roman"/>
        </w:rPr>
        <w:t xml:space="preserve"> the administration and the </w:t>
      </w:r>
      <w:r w:rsidR="00794DFD">
        <w:rPr>
          <w:rFonts w:eastAsia="Times New Roman" w:cs="Times New Roman"/>
        </w:rPr>
        <w:t xml:space="preserve">teachers’ </w:t>
      </w:r>
      <w:r w:rsidRPr="00E66726">
        <w:rPr>
          <w:rFonts w:eastAsia="Times New Roman" w:cs="Times New Roman"/>
        </w:rPr>
        <w:t>association have ongoing differences</w:t>
      </w:r>
      <w:r w:rsidR="00794DFD">
        <w:rPr>
          <w:rFonts w:eastAsia="Times New Roman" w:cs="Times New Roman"/>
        </w:rPr>
        <w:t xml:space="preserve"> about issues</w:t>
      </w:r>
      <w:r w:rsidR="00061632">
        <w:rPr>
          <w:rFonts w:eastAsia="Times New Roman" w:cs="Times New Roman"/>
        </w:rPr>
        <w:t>,</w:t>
      </w:r>
      <w:r w:rsidR="00794DFD">
        <w:rPr>
          <w:rFonts w:eastAsia="Times New Roman" w:cs="Times New Roman"/>
        </w:rPr>
        <w:t xml:space="preserve"> including e</w:t>
      </w:r>
      <w:r w:rsidR="00794DFD" w:rsidRPr="00E66726">
        <w:rPr>
          <w:rFonts w:eastAsia="Times New Roman" w:cs="Times New Roman"/>
        </w:rPr>
        <w:t>ducat</w:t>
      </w:r>
      <w:r w:rsidR="00926E94">
        <w:rPr>
          <w:rFonts w:eastAsia="Times New Roman" w:cs="Times New Roman"/>
        </w:rPr>
        <w:t>or</w:t>
      </w:r>
      <w:r w:rsidR="00794DFD" w:rsidRPr="00E66726">
        <w:rPr>
          <w:rFonts w:eastAsia="Times New Roman" w:cs="Times New Roman"/>
        </w:rPr>
        <w:t xml:space="preserve"> </w:t>
      </w:r>
      <w:r w:rsidRPr="00E66726">
        <w:rPr>
          <w:rFonts w:eastAsia="Times New Roman" w:cs="Times New Roman"/>
        </w:rPr>
        <w:t xml:space="preserve">evaluation </w:t>
      </w:r>
      <w:r w:rsidR="009B2B41">
        <w:rPr>
          <w:rFonts w:eastAsia="Times New Roman" w:cs="Times New Roman"/>
        </w:rPr>
        <w:t>practices</w:t>
      </w:r>
      <w:r w:rsidRPr="00E66726">
        <w:rPr>
          <w:rFonts w:eastAsia="Times New Roman" w:cs="Times New Roman"/>
        </w:rPr>
        <w:t xml:space="preserve"> </w:t>
      </w:r>
      <w:r w:rsidR="00794DFD">
        <w:rPr>
          <w:rFonts w:eastAsia="Times New Roman" w:cs="Times New Roman"/>
        </w:rPr>
        <w:t>and the provision of professional development during principals</w:t>
      </w:r>
      <w:r w:rsidR="003835D4">
        <w:rPr>
          <w:rFonts w:eastAsia="Times New Roman" w:cs="Times New Roman"/>
        </w:rPr>
        <w:t>’</w:t>
      </w:r>
      <w:r w:rsidR="00794DFD">
        <w:rPr>
          <w:rFonts w:eastAsia="Times New Roman" w:cs="Times New Roman"/>
        </w:rPr>
        <w:t xml:space="preserve"> meetings.</w:t>
      </w:r>
    </w:p>
    <w:p w:rsidR="00E66726" w:rsidRDefault="00E66726" w:rsidP="00E66726">
      <w:pPr>
        <w:tabs>
          <w:tab w:val="left" w:pos="360"/>
          <w:tab w:val="left" w:pos="720"/>
          <w:tab w:val="left" w:pos="1080"/>
          <w:tab w:val="left" w:pos="1440"/>
          <w:tab w:val="left" w:pos="1800"/>
          <w:tab w:val="left" w:pos="2160"/>
        </w:tabs>
        <w:rPr>
          <w:rFonts w:eastAsia="Times New Roman" w:cs="Times New Roman"/>
        </w:rPr>
      </w:pPr>
      <w:r w:rsidRPr="00E66726">
        <w:rPr>
          <w:rFonts w:eastAsia="Times New Roman" w:cs="Times New Roman"/>
          <w:b/>
        </w:rPr>
        <w:t>Impact</w:t>
      </w:r>
      <w:r w:rsidRPr="00E66726">
        <w:rPr>
          <w:rFonts w:eastAsia="Times New Roman" w:cs="Times New Roman"/>
        </w:rPr>
        <w:t xml:space="preserve">: </w:t>
      </w:r>
      <w:r w:rsidR="00794DFD">
        <w:rPr>
          <w:rFonts w:eastAsia="Times New Roman" w:cs="Times New Roman"/>
        </w:rPr>
        <w:t>Relationship difficulties and o</w:t>
      </w:r>
      <w:r w:rsidR="00794DFD" w:rsidRPr="00E66726">
        <w:rPr>
          <w:rFonts w:eastAsia="Times New Roman" w:cs="Times New Roman"/>
        </w:rPr>
        <w:t>ngoing</w:t>
      </w:r>
      <w:r w:rsidRPr="00E66726">
        <w:rPr>
          <w:rFonts w:eastAsia="Times New Roman" w:cs="Times New Roman"/>
        </w:rPr>
        <w:t xml:space="preserve">, unresolved labor-management conflicts lower morale and </w:t>
      </w:r>
      <w:r w:rsidR="00885927">
        <w:rPr>
          <w:rFonts w:eastAsia="Times New Roman" w:cs="Times New Roman"/>
        </w:rPr>
        <w:t>productivity. In a school setting with a negative climate,</w:t>
      </w:r>
      <w:r w:rsidRPr="00E66726">
        <w:rPr>
          <w:rFonts w:eastAsia="Times New Roman" w:cs="Times New Roman"/>
        </w:rPr>
        <w:t xml:space="preserve"> </w:t>
      </w:r>
      <w:r w:rsidR="00885927">
        <w:rPr>
          <w:rFonts w:eastAsia="Times New Roman" w:cs="Times New Roman"/>
        </w:rPr>
        <w:t xml:space="preserve">teachers’ effectiveness </w:t>
      </w:r>
      <w:r w:rsidRPr="00E66726">
        <w:rPr>
          <w:rFonts w:eastAsia="Times New Roman" w:cs="Times New Roman"/>
        </w:rPr>
        <w:t>and students</w:t>
      </w:r>
      <w:r w:rsidR="00687996">
        <w:rPr>
          <w:rFonts w:eastAsia="Times New Roman" w:cs="Times New Roman"/>
        </w:rPr>
        <w:t>’</w:t>
      </w:r>
      <w:r w:rsidR="00310C34">
        <w:rPr>
          <w:rFonts w:eastAsia="Times New Roman" w:cs="Times New Roman"/>
        </w:rPr>
        <w:t xml:space="preserve"> </w:t>
      </w:r>
      <w:r w:rsidR="00885927">
        <w:rPr>
          <w:rFonts w:eastAsia="Times New Roman" w:cs="Times New Roman"/>
        </w:rPr>
        <w:t>achievement are seriously compromised</w:t>
      </w:r>
      <w:r w:rsidRPr="00E66726">
        <w:rPr>
          <w:rFonts w:eastAsia="Times New Roman" w:cs="Times New Roman"/>
        </w:rPr>
        <w:t xml:space="preserve">.   </w:t>
      </w:r>
    </w:p>
    <w:p w:rsidR="004122C7" w:rsidRPr="00E66726" w:rsidRDefault="004122C7" w:rsidP="00E66726">
      <w:pPr>
        <w:tabs>
          <w:tab w:val="left" w:pos="360"/>
          <w:tab w:val="left" w:pos="720"/>
          <w:tab w:val="left" w:pos="1080"/>
          <w:tab w:val="left" w:pos="1440"/>
          <w:tab w:val="left" w:pos="1800"/>
          <w:tab w:val="left" w:pos="2160"/>
        </w:tabs>
        <w:rPr>
          <w:rFonts w:eastAsia="Times New Roman" w:cs="Times New Roman"/>
        </w:rPr>
      </w:pPr>
    </w:p>
    <w:p w:rsidR="00E66726" w:rsidRPr="00E66726" w:rsidRDefault="00E66726" w:rsidP="00E66726">
      <w:pPr>
        <w:tabs>
          <w:tab w:val="left" w:pos="360"/>
          <w:tab w:val="left" w:pos="720"/>
          <w:tab w:val="left" w:pos="1080"/>
          <w:tab w:val="left" w:pos="1440"/>
          <w:tab w:val="left" w:pos="1800"/>
          <w:tab w:val="left" w:pos="2160"/>
        </w:tabs>
        <w:rPr>
          <w:rFonts w:eastAsia="Times New Roman" w:cs="Times New Roman"/>
          <w:b/>
          <w:sz w:val="28"/>
          <w:szCs w:val="28"/>
        </w:rPr>
      </w:pPr>
      <w:r>
        <w:rPr>
          <w:rFonts w:eastAsia="Times New Roman" w:cs="Times New Roman"/>
          <w:b/>
          <w:sz w:val="28"/>
          <w:szCs w:val="28"/>
        </w:rPr>
        <w:t>Recommendation</w:t>
      </w:r>
    </w:p>
    <w:p w:rsidR="00E66726" w:rsidRPr="00E66726" w:rsidRDefault="00687996" w:rsidP="001346A4">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1</w:t>
      </w:r>
      <w:r w:rsidR="00730088">
        <w:rPr>
          <w:rFonts w:eastAsia="Times New Roman" w:cs="Times New Roman"/>
          <w:b/>
        </w:rPr>
        <w:t xml:space="preserve">. </w:t>
      </w:r>
      <w:r w:rsidR="004122C7">
        <w:rPr>
          <w:rFonts w:eastAsia="Times New Roman" w:cs="Times New Roman"/>
          <w:b/>
        </w:rPr>
        <w:tab/>
      </w:r>
      <w:r w:rsidR="00E66726" w:rsidRPr="00E66726">
        <w:rPr>
          <w:rFonts w:eastAsia="Times New Roman" w:cs="Times New Roman"/>
          <w:b/>
        </w:rPr>
        <w:t xml:space="preserve">The superintendent and the </w:t>
      </w:r>
      <w:r>
        <w:rPr>
          <w:rFonts w:eastAsia="Times New Roman" w:cs="Times New Roman"/>
          <w:b/>
        </w:rPr>
        <w:t xml:space="preserve">teachers’ </w:t>
      </w:r>
      <w:r w:rsidR="00E66726" w:rsidRPr="00E66726">
        <w:rPr>
          <w:rFonts w:eastAsia="Times New Roman" w:cs="Times New Roman"/>
          <w:b/>
        </w:rPr>
        <w:t>association co-presidents should jointly design and implement activities for improving and sustaining positive and productive labor-management communications and collaboration.</w:t>
      </w:r>
    </w:p>
    <w:p w:rsidR="00E66726" w:rsidRPr="00E66726" w:rsidRDefault="00E66726" w:rsidP="00E66726">
      <w:pPr>
        <w:numPr>
          <w:ilvl w:val="0"/>
          <w:numId w:val="28"/>
        </w:numPr>
        <w:tabs>
          <w:tab w:val="left" w:pos="360"/>
          <w:tab w:val="left" w:pos="720"/>
          <w:tab w:val="left" w:pos="1080"/>
          <w:tab w:val="left" w:pos="1440"/>
          <w:tab w:val="left" w:pos="1800"/>
          <w:tab w:val="left" w:pos="2160"/>
        </w:tabs>
        <w:ind w:left="720"/>
        <w:rPr>
          <w:rFonts w:eastAsia="Times New Roman" w:cs="Times New Roman"/>
        </w:rPr>
      </w:pPr>
      <w:r w:rsidRPr="00E66726">
        <w:rPr>
          <w:rFonts w:eastAsia="Times New Roman" w:cs="Times New Roman"/>
        </w:rPr>
        <w:t xml:space="preserve">The superintendent and the association’s co-presidents should commit to organizing a process to increase and maintain their capacity for communication, trust and collaboration. </w:t>
      </w:r>
    </w:p>
    <w:p w:rsidR="00E66726" w:rsidRPr="00E66726" w:rsidRDefault="0094059D" w:rsidP="000449F4">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r>
      <w:r w:rsidR="0011766E" w:rsidRPr="00E66726">
        <w:rPr>
          <w:rFonts w:eastAsia="Times New Roman" w:cs="Times New Roman"/>
        </w:rPr>
        <w:t>The</w:t>
      </w:r>
      <w:r w:rsidR="00E66726" w:rsidRPr="00E66726">
        <w:rPr>
          <w:rFonts w:eastAsia="Times New Roman" w:cs="Times New Roman"/>
        </w:rPr>
        <w:t xml:space="preserve"> superintendent and co-presidents should meet to share their perceptions on the current status of administration-association collaboration and willingness to improve relationships.  </w:t>
      </w:r>
    </w:p>
    <w:p w:rsidR="00E66726" w:rsidRPr="00E66726" w:rsidRDefault="00E66726" w:rsidP="00E66726">
      <w:pPr>
        <w:numPr>
          <w:ilvl w:val="7"/>
          <w:numId w:val="24"/>
        </w:numPr>
        <w:tabs>
          <w:tab w:val="left" w:pos="360"/>
          <w:tab w:val="left" w:pos="720"/>
          <w:tab w:val="left" w:pos="1080"/>
          <w:tab w:val="left" w:pos="1440"/>
          <w:tab w:val="left" w:pos="1800"/>
          <w:tab w:val="left" w:pos="2160"/>
        </w:tabs>
        <w:ind w:left="1440"/>
        <w:rPr>
          <w:rFonts w:eastAsia="Times New Roman" w:cs="Times New Roman"/>
        </w:rPr>
      </w:pPr>
      <w:r w:rsidRPr="00E66726">
        <w:rPr>
          <w:rFonts w:eastAsia="Times New Roman" w:cs="Times New Roman"/>
        </w:rPr>
        <w:t xml:space="preserve">The superintendent and co-presidents should consider making administration-association improvement a permanent agenda item during their regular meetings. </w:t>
      </w:r>
    </w:p>
    <w:p w:rsidR="00E66726" w:rsidRPr="00E66726" w:rsidRDefault="000449F4" w:rsidP="000449F4">
      <w:pPr>
        <w:tabs>
          <w:tab w:val="left" w:pos="0"/>
          <w:tab w:val="left" w:pos="360"/>
          <w:tab w:val="left" w:pos="720"/>
          <w:tab w:val="left" w:pos="1080"/>
          <w:tab w:val="left" w:pos="1800"/>
          <w:tab w:val="left" w:pos="2160"/>
        </w:tabs>
        <w:ind w:left="1008" w:hanging="432"/>
        <w:rPr>
          <w:rFonts w:eastAsia="Times New Roman" w:cs="Times New Roman"/>
        </w:rPr>
      </w:pPr>
      <w:r>
        <w:rPr>
          <w:rFonts w:eastAsia="Times New Roman" w:cs="Times New Roman"/>
        </w:rPr>
        <w:t xml:space="preserve">   2.</w:t>
      </w:r>
      <w:r w:rsidR="0094059D">
        <w:rPr>
          <w:rFonts w:eastAsia="Times New Roman" w:cs="Times New Roman"/>
        </w:rPr>
        <w:tab/>
      </w:r>
      <w:r w:rsidR="00E66726" w:rsidRPr="00E66726">
        <w:rPr>
          <w:rFonts w:eastAsia="Times New Roman" w:cs="Times New Roman"/>
        </w:rPr>
        <w:t>The superintendent and co-presidents should research resources for effective</w:t>
      </w:r>
      <w:r w:rsidR="00F20882">
        <w:rPr>
          <w:rFonts w:eastAsia="Times New Roman" w:cs="Times New Roman"/>
        </w:rPr>
        <w:t xml:space="preserve"> </w:t>
      </w:r>
      <w:r w:rsidR="00E66726" w:rsidRPr="00E66726">
        <w:rPr>
          <w:rFonts w:eastAsia="Times New Roman" w:cs="Times New Roman"/>
        </w:rPr>
        <w:t>practices in improving labor-management relations in public schools. (The Rennie Center is a respected source.)</w:t>
      </w:r>
    </w:p>
    <w:p w:rsidR="00E66726" w:rsidRPr="00E66726" w:rsidRDefault="00E66726" w:rsidP="00E66726">
      <w:pPr>
        <w:tabs>
          <w:tab w:val="left" w:pos="0"/>
          <w:tab w:val="left" w:pos="360"/>
          <w:tab w:val="left" w:pos="720"/>
          <w:tab w:val="left" w:pos="1080"/>
          <w:tab w:val="left" w:pos="1800"/>
          <w:tab w:val="left" w:pos="2160"/>
        </w:tabs>
        <w:ind w:left="1080" w:hanging="360"/>
        <w:rPr>
          <w:rFonts w:eastAsia="Times New Roman" w:cs="Times New Roman"/>
        </w:rPr>
      </w:pPr>
      <w:r w:rsidRPr="00E66726">
        <w:rPr>
          <w:rFonts w:eastAsia="Times New Roman" w:cs="Times New Roman"/>
        </w:rPr>
        <w:t xml:space="preserve">3. </w:t>
      </w:r>
      <w:r w:rsidR="0094059D">
        <w:rPr>
          <w:rFonts w:eastAsia="Times New Roman" w:cs="Times New Roman"/>
        </w:rPr>
        <w:tab/>
      </w:r>
      <w:r w:rsidRPr="00E66726">
        <w:rPr>
          <w:rFonts w:eastAsia="Times New Roman" w:cs="Times New Roman"/>
        </w:rPr>
        <w:t>The superintendent and co-presidents should identify other administrators and teachers who can participate in a work group that plans activities to improve labor-management collaboration.</w:t>
      </w:r>
    </w:p>
    <w:p w:rsidR="00E66726" w:rsidRPr="00E66726" w:rsidRDefault="00E66726" w:rsidP="00E66726">
      <w:pPr>
        <w:tabs>
          <w:tab w:val="left" w:pos="0"/>
          <w:tab w:val="left" w:pos="360"/>
          <w:tab w:val="left" w:pos="720"/>
          <w:tab w:val="left" w:pos="1080"/>
          <w:tab w:val="left" w:pos="1800"/>
          <w:tab w:val="left" w:pos="2160"/>
        </w:tabs>
        <w:ind w:left="1080" w:hanging="360"/>
        <w:rPr>
          <w:rFonts w:eastAsia="Times New Roman" w:cs="Times New Roman"/>
        </w:rPr>
      </w:pPr>
      <w:r w:rsidRPr="00E66726">
        <w:rPr>
          <w:rFonts w:eastAsia="Times New Roman" w:cs="Times New Roman"/>
        </w:rPr>
        <w:t xml:space="preserve">4. </w:t>
      </w:r>
      <w:r w:rsidR="0094059D">
        <w:rPr>
          <w:rFonts w:eastAsia="Times New Roman" w:cs="Times New Roman"/>
        </w:rPr>
        <w:tab/>
      </w:r>
      <w:r w:rsidRPr="00E66726">
        <w:rPr>
          <w:rFonts w:eastAsia="Times New Roman" w:cs="Times New Roman"/>
        </w:rPr>
        <w:t>The superintendent and the co-presidents should discuss and decide if their improvement initiatives need the assistance of a third-party facilitator with expertise in improving labor-management relationships.</w:t>
      </w:r>
    </w:p>
    <w:p w:rsidR="00E66726" w:rsidRPr="00E66726" w:rsidRDefault="00E66726" w:rsidP="00E66726">
      <w:pPr>
        <w:tabs>
          <w:tab w:val="left" w:pos="0"/>
          <w:tab w:val="left" w:pos="360"/>
          <w:tab w:val="left" w:pos="720"/>
          <w:tab w:val="left" w:pos="1080"/>
          <w:tab w:val="left" w:pos="1800"/>
          <w:tab w:val="left" w:pos="2160"/>
        </w:tabs>
        <w:ind w:left="1080" w:hanging="360"/>
        <w:rPr>
          <w:rFonts w:eastAsia="Times New Roman" w:cs="Times New Roman"/>
        </w:rPr>
      </w:pPr>
      <w:r w:rsidRPr="00E66726">
        <w:rPr>
          <w:rFonts w:eastAsia="Times New Roman" w:cs="Times New Roman"/>
        </w:rPr>
        <w:t xml:space="preserve">5. </w:t>
      </w:r>
      <w:r w:rsidR="0094059D">
        <w:rPr>
          <w:rFonts w:eastAsia="Times New Roman" w:cs="Times New Roman"/>
        </w:rPr>
        <w:tab/>
      </w:r>
      <w:r w:rsidRPr="00E66726">
        <w:rPr>
          <w:rFonts w:eastAsia="Times New Roman" w:cs="Times New Roman"/>
        </w:rPr>
        <w:t>The superintendent and co-presidents should consider selecting a commonly</w:t>
      </w:r>
      <w:r w:rsidR="006A1596">
        <w:rPr>
          <w:rFonts w:eastAsia="Times New Roman" w:cs="Times New Roman"/>
        </w:rPr>
        <w:t xml:space="preserve"> </w:t>
      </w:r>
      <w:r w:rsidRPr="00E66726">
        <w:rPr>
          <w:rFonts w:eastAsia="Times New Roman" w:cs="Times New Roman"/>
        </w:rPr>
        <w:t>used survey instrument that generates data about communications and collaboration among district employees.</w:t>
      </w:r>
    </w:p>
    <w:p w:rsidR="00E66726" w:rsidRPr="00E66726" w:rsidRDefault="00E66726" w:rsidP="00E66726">
      <w:pPr>
        <w:tabs>
          <w:tab w:val="left" w:pos="0"/>
          <w:tab w:val="left" w:pos="360"/>
          <w:tab w:val="left" w:pos="720"/>
          <w:tab w:val="left" w:pos="1080"/>
          <w:tab w:val="left" w:pos="1800"/>
          <w:tab w:val="left" w:pos="2160"/>
        </w:tabs>
        <w:ind w:left="1080" w:hanging="360"/>
        <w:rPr>
          <w:rFonts w:eastAsia="Times New Roman" w:cs="Times New Roman"/>
        </w:rPr>
      </w:pPr>
      <w:r w:rsidRPr="00E66726">
        <w:rPr>
          <w:rFonts w:eastAsia="Times New Roman" w:cs="Times New Roman"/>
        </w:rPr>
        <w:t xml:space="preserve">6. </w:t>
      </w:r>
      <w:r w:rsidR="0094059D">
        <w:rPr>
          <w:rFonts w:eastAsia="Times New Roman" w:cs="Times New Roman"/>
        </w:rPr>
        <w:tab/>
      </w:r>
      <w:r w:rsidRPr="00E66726">
        <w:rPr>
          <w:rFonts w:eastAsia="Times New Roman" w:cs="Times New Roman"/>
        </w:rPr>
        <w:t xml:space="preserve">Based on feedback and/or survey data from district staff and administrators, the superintendent and co-presidents would identify areas and activities for improving </w:t>
      </w:r>
      <w:r w:rsidRPr="00E66726">
        <w:rPr>
          <w:rFonts w:eastAsia="Times New Roman" w:cs="Times New Roman"/>
        </w:rPr>
        <w:lastRenderedPageBreak/>
        <w:t>communi</w:t>
      </w:r>
      <w:r w:rsidR="000449F4">
        <w:rPr>
          <w:rFonts w:eastAsia="Times New Roman" w:cs="Times New Roman"/>
        </w:rPr>
        <w:t>cations and collaboration. The s</w:t>
      </w:r>
      <w:r w:rsidRPr="00E66726">
        <w:rPr>
          <w:rFonts w:eastAsia="Times New Roman" w:cs="Times New Roman"/>
        </w:rPr>
        <w:t>uperintendent should consider including in</w:t>
      </w:r>
      <w:r w:rsidR="000449F4">
        <w:rPr>
          <w:rFonts w:eastAsia="Times New Roman" w:cs="Times New Roman"/>
        </w:rPr>
        <w:t xml:space="preserve"> the DIP</w:t>
      </w:r>
      <w:r w:rsidRPr="00E66726">
        <w:rPr>
          <w:rFonts w:eastAsia="Times New Roman" w:cs="Times New Roman"/>
        </w:rPr>
        <w:t xml:space="preserve"> these joint activities for improving labor-management collaboration.</w:t>
      </w:r>
    </w:p>
    <w:p w:rsidR="00E66726" w:rsidRPr="00E66726" w:rsidRDefault="00E66726" w:rsidP="00E66726">
      <w:pPr>
        <w:numPr>
          <w:ilvl w:val="0"/>
          <w:numId w:val="28"/>
        </w:numPr>
        <w:tabs>
          <w:tab w:val="left" w:pos="-90"/>
          <w:tab w:val="left" w:pos="360"/>
          <w:tab w:val="left" w:pos="720"/>
          <w:tab w:val="left" w:pos="1080"/>
          <w:tab w:val="left" w:pos="1440"/>
          <w:tab w:val="left" w:pos="1800"/>
          <w:tab w:val="left" w:pos="2160"/>
        </w:tabs>
        <w:ind w:left="720"/>
        <w:rPr>
          <w:rFonts w:eastAsia="Times New Roman" w:cs="Times New Roman"/>
        </w:rPr>
      </w:pPr>
      <w:r w:rsidRPr="00E66726">
        <w:rPr>
          <w:rFonts w:eastAsia="Times New Roman" w:cs="Times New Roman"/>
        </w:rPr>
        <w:t>Apart from the labor-management improvement in</w:t>
      </w:r>
      <w:r w:rsidR="000449F4">
        <w:rPr>
          <w:rFonts w:eastAsia="Times New Roman" w:cs="Times New Roman"/>
        </w:rPr>
        <w:t>itiatives suggested above, the s</w:t>
      </w:r>
      <w:r w:rsidRPr="00E66726">
        <w:rPr>
          <w:rFonts w:eastAsia="Times New Roman" w:cs="Times New Roman"/>
        </w:rPr>
        <w:t>uperintendent should consider inviting more association representatives to serve on existing and future district advisory committees.</w:t>
      </w:r>
    </w:p>
    <w:p w:rsidR="00E66726" w:rsidRDefault="00E66726" w:rsidP="00CB5055">
      <w:pPr>
        <w:tabs>
          <w:tab w:val="left" w:pos="-90"/>
          <w:tab w:val="left" w:pos="360"/>
          <w:tab w:val="left" w:pos="720"/>
          <w:tab w:val="left" w:pos="1080"/>
          <w:tab w:val="left" w:pos="1440"/>
          <w:tab w:val="left" w:pos="1800"/>
          <w:tab w:val="left" w:pos="2160"/>
        </w:tabs>
        <w:rPr>
          <w:rFonts w:eastAsia="Times New Roman" w:cs="Times New Roman"/>
        </w:rPr>
      </w:pPr>
      <w:r w:rsidRPr="00E66726">
        <w:rPr>
          <w:rFonts w:eastAsia="Times New Roman" w:cs="Times New Roman"/>
          <w:b/>
        </w:rPr>
        <w:t>Benefits</w:t>
      </w:r>
      <w:r w:rsidRPr="00E66726">
        <w:rPr>
          <w:rFonts w:eastAsia="Times New Roman" w:cs="Times New Roman"/>
        </w:rPr>
        <w:t>: When employees with diverse interests, backgrounds</w:t>
      </w:r>
      <w:r w:rsidR="006A1596">
        <w:rPr>
          <w:rFonts w:eastAsia="Times New Roman" w:cs="Times New Roman"/>
        </w:rPr>
        <w:t>,</w:t>
      </w:r>
      <w:r w:rsidRPr="00E66726">
        <w:rPr>
          <w:rFonts w:eastAsia="Times New Roman" w:cs="Times New Roman"/>
        </w:rPr>
        <w:t xml:space="preserve"> and experiences come together, they often develop solutions better than what they would have developed when working alone. By improving and sustaining positive communications and effective collaboration, the administration and the association will model for staff, students, and the community that everyone---including district and association leaders--is working</w:t>
      </w:r>
      <w:r>
        <w:rPr>
          <w:rFonts w:eastAsia="Times New Roman" w:cs="Times New Roman"/>
        </w:rPr>
        <w:t xml:space="preserve"> together to achieve more. </w:t>
      </w:r>
    </w:p>
    <w:p w:rsidR="006457AF" w:rsidRPr="00E66726" w:rsidRDefault="006457AF" w:rsidP="006457AF">
      <w:pPr>
        <w:tabs>
          <w:tab w:val="left" w:pos="360"/>
          <w:tab w:val="left" w:pos="720"/>
          <w:tab w:val="left" w:pos="1080"/>
          <w:tab w:val="left" w:pos="1800"/>
          <w:tab w:val="left" w:pos="2160"/>
        </w:tabs>
        <w:rPr>
          <w:rFonts w:eastAsia="Times New Roman" w:cs="Times New Roman"/>
          <w:b/>
        </w:rPr>
      </w:pPr>
      <w:r w:rsidRPr="00E66726">
        <w:rPr>
          <w:rFonts w:eastAsia="Times New Roman" w:cs="Times New Roman"/>
          <w:b/>
        </w:rPr>
        <w:t>Recommended resource:</w:t>
      </w:r>
    </w:p>
    <w:p w:rsidR="006457AF" w:rsidRPr="00E66726" w:rsidRDefault="006457AF" w:rsidP="006457AF">
      <w:pPr>
        <w:numPr>
          <w:ilvl w:val="2"/>
          <w:numId w:val="30"/>
        </w:numPr>
        <w:ind w:left="245" w:hanging="240"/>
        <w:rPr>
          <w:rFonts w:eastAsia="Times New Roman" w:cs="Calibri"/>
        </w:rPr>
      </w:pPr>
      <w:r w:rsidRPr="00E66726">
        <w:rPr>
          <w:rFonts w:eastAsia="Times New Roman" w:cs="Calibri"/>
          <w:i/>
        </w:rPr>
        <w:t xml:space="preserve">Labor-Management-Community Collaboration in Springfield Public Schools </w:t>
      </w:r>
      <w:r w:rsidRPr="00E66726">
        <w:rPr>
          <w:rFonts w:eastAsia="Times New Roman" w:cs="Calibri"/>
        </w:rPr>
        <w:t xml:space="preserve"> </w:t>
      </w:r>
      <w:hyperlink r:id="rId19" w:history="1">
        <w:r w:rsidRPr="00E66726">
          <w:rPr>
            <w:rFonts w:eastAsia="Times New Roman" w:cs="Times New Roman"/>
            <w:color w:val="0000FF"/>
            <w:sz w:val="20"/>
            <w:szCs w:val="20"/>
            <w:u w:val="single"/>
          </w:rPr>
          <w:t>http://www.renniecenter.org/sites/default/files/2017-01/Labor-Management-Community%20Collaboration%20in%20Springfield%20Public%20Schools.pdf</w:t>
        </w:r>
      </w:hyperlink>
      <w:r w:rsidRPr="00E66726">
        <w:rPr>
          <w:rFonts w:eastAsia="Times New Roman" w:cs="Times New Roman"/>
          <w:b/>
          <w:sz w:val="20"/>
          <w:szCs w:val="20"/>
        </w:rPr>
        <w:t xml:space="preserve">) </w:t>
      </w:r>
      <w:r w:rsidRPr="00E66726">
        <w:rPr>
          <w:rFonts w:eastAsia="Times New Roman" w:cs="Calibri"/>
        </w:rPr>
        <w:t>is a case study from the Rennie Center describing how a district improved collaboration, communication, and relationships among adult stakeholders with the goal of improved student achievement.</w:t>
      </w:r>
    </w:p>
    <w:p w:rsidR="006457AF" w:rsidRPr="0011766E" w:rsidRDefault="006457AF" w:rsidP="00CB5055">
      <w:pPr>
        <w:tabs>
          <w:tab w:val="left" w:pos="-90"/>
          <w:tab w:val="left" w:pos="360"/>
          <w:tab w:val="left" w:pos="720"/>
          <w:tab w:val="left" w:pos="1080"/>
          <w:tab w:val="left" w:pos="1440"/>
          <w:tab w:val="left" w:pos="1800"/>
          <w:tab w:val="left" w:pos="2160"/>
        </w:tabs>
        <w:rPr>
          <w:rFonts w:eastAsia="Times New Roman" w:cs="Times New Roman"/>
        </w:rPr>
      </w:pPr>
    </w:p>
    <w:p w:rsidR="00E66726" w:rsidRDefault="00E66726" w:rsidP="00967E0A">
      <w:pPr>
        <w:rPr>
          <w:rFonts w:ascii="Calibri" w:hAnsi="Calibri"/>
          <w:b/>
          <w:sz w:val="32"/>
          <w:szCs w:val="32"/>
        </w:rPr>
      </w:pPr>
    </w:p>
    <w:p w:rsidR="003E3B4B" w:rsidRDefault="003E3B4B" w:rsidP="00967E0A">
      <w:pPr>
        <w:rPr>
          <w:rFonts w:ascii="Calibri" w:hAnsi="Calibri"/>
          <w:b/>
          <w:sz w:val="32"/>
          <w:szCs w:val="32"/>
        </w:rPr>
      </w:pPr>
    </w:p>
    <w:p w:rsidR="00DF65B5" w:rsidRDefault="00DF65B5" w:rsidP="00DF65B5">
      <w:pPr>
        <w:pStyle w:val="Section"/>
      </w:pPr>
      <w:bookmarkStart w:id="11" w:name="_Toc484613523"/>
      <w:r>
        <w:lastRenderedPageBreak/>
        <w:t>Instruction</w:t>
      </w:r>
      <w:bookmarkEnd w:id="11"/>
    </w:p>
    <w:p w:rsidR="00967E0A" w:rsidRPr="008167E8" w:rsidRDefault="00967E0A" w:rsidP="00967E0A">
      <w:pPr>
        <w:rPr>
          <w:b/>
          <w:i/>
          <w:sz w:val="28"/>
          <w:szCs w:val="28"/>
        </w:rPr>
      </w:pPr>
      <w:r w:rsidRPr="008167E8">
        <w:rPr>
          <w:b/>
          <w:i/>
          <w:sz w:val="28"/>
          <w:szCs w:val="28"/>
        </w:rPr>
        <w:t>Contextual Background</w:t>
      </w:r>
    </w:p>
    <w:p w:rsidR="008167E8" w:rsidRPr="00AB1BA9" w:rsidRDefault="00BD44BB" w:rsidP="008167E8">
      <w:r w:rsidRPr="00BD44BB">
        <w:t>The team observed 50 classes throughout the district:  17 at the elementary schools, 16 at the middle schools (grades 5</w:t>
      </w:r>
      <w:r w:rsidR="0051799E">
        <w:t>–</w:t>
      </w:r>
      <w:r w:rsidRPr="00BD44BB">
        <w:t xml:space="preserve">8), and 17 at the high school.  The team observed 17 ELA classes, 17 mathematics classes, 8 science classes, </w:t>
      </w:r>
      <w:r w:rsidR="0051799E">
        <w:t>1</w:t>
      </w:r>
      <w:r w:rsidR="00695ECB">
        <w:t xml:space="preserve"> </w:t>
      </w:r>
      <w:r w:rsidRPr="00BD44BB">
        <w:t xml:space="preserve">combined mathematics and science class, 1 </w:t>
      </w:r>
      <w:r w:rsidR="001169ED">
        <w:t>Response to Intervention (</w:t>
      </w:r>
      <w:r w:rsidRPr="00BD44BB">
        <w:t>R</w:t>
      </w:r>
      <w:r w:rsidR="001169ED">
        <w:t>t</w:t>
      </w:r>
      <w:r w:rsidRPr="00BD44BB">
        <w:t>I</w:t>
      </w:r>
      <w:r w:rsidR="001169ED">
        <w:t>)</w:t>
      </w:r>
      <w:r w:rsidR="000D7A15">
        <w:t xml:space="preserve"> class</w:t>
      </w:r>
      <w:r w:rsidRPr="00BD44BB">
        <w:t>, 5 history/social studies</w:t>
      </w:r>
      <w:r w:rsidR="000D7A15">
        <w:t xml:space="preserve"> class</w:t>
      </w:r>
      <w:r w:rsidR="009B2B41">
        <w:t>es</w:t>
      </w:r>
      <w:r w:rsidR="0051799E">
        <w:t>,</w:t>
      </w:r>
      <w:r w:rsidRPr="00BD44BB">
        <w:t xml:space="preserve"> and </w:t>
      </w:r>
      <w:r w:rsidR="0051799E">
        <w:t>1</w:t>
      </w:r>
      <w:r w:rsidRPr="00BD44BB">
        <w:t xml:space="preserve"> psychology</w:t>
      </w:r>
      <w:r w:rsidR="000D7A15">
        <w:t xml:space="preserve"> class</w:t>
      </w:r>
      <w:r w:rsidRPr="00BD44BB">
        <w:t xml:space="preserve">.  The observations were approximately 20 minutes in length.  All review team members collected data using ESE’s </w:t>
      </w:r>
      <w:r w:rsidR="000D7A15">
        <w:t>I</w:t>
      </w:r>
      <w:r w:rsidRPr="00BD44BB">
        <w:t xml:space="preserve">nstructional </w:t>
      </w:r>
      <w:r w:rsidR="000D7A15">
        <w:t>I</w:t>
      </w:r>
      <w:r w:rsidRPr="00BD44BB">
        <w:t>nventory, a tool for recording observed characteristics of standards-based teaching.  This data is presented in Appendix C.</w:t>
      </w:r>
    </w:p>
    <w:p w:rsidR="00DC432A" w:rsidRDefault="001169ED" w:rsidP="00DC432A">
      <w:pPr>
        <w:tabs>
          <w:tab w:val="left" w:pos="270"/>
        </w:tabs>
        <w:autoSpaceDE w:val="0"/>
        <w:autoSpaceDN w:val="0"/>
        <w:adjustRightInd w:val="0"/>
        <w:rPr>
          <w:b/>
        </w:rPr>
      </w:pPr>
      <w:r>
        <w:t>In most observed classrooms</w:t>
      </w:r>
      <w:r w:rsidR="00967E0A" w:rsidRPr="003E3B4B">
        <w:t xml:space="preserve"> </w:t>
      </w:r>
      <w:r>
        <w:t>at all levels</w:t>
      </w:r>
      <w:r w:rsidR="00DC432A">
        <w:t>,</w:t>
      </w:r>
      <w:r>
        <w:t xml:space="preserve"> </w:t>
      </w:r>
      <w:r w:rsidR="00967E0A" w:rsidRPr="003E3B4B">
        <w:t xml:space="preserve">lessons </w:t>
      </w:r>
      <w:r>
        <w:t xml:space="preserve">reflected strong evidence of </w:t>
      </w:r>
      <w:r w:rsidR="00967E0A" w:rsidRPr="003E3B4B">
        <w:t>the following characteristics</w:t>
      </w:r>
      <w:r>
        <w:t xml:space="preserve"> of </w:t>
      </w:r>
      <w:r w:rsidR="009B2B41">
        <w:t xml:space="preserve">high-quality </w:t>
      </w:r>
      <w:r>
        <w:t>instruction</w:t>
      </w:r>
      <w:r w:rsidR="00967E0A" w:rsidRPr="003E3B4B">
        <w:t xml:space="preserve">:  teachers’ knowledge of subject matter and content; motivated and engaged students; </w:t>
      </w:r>
      <w:r w:rsidR="009B2B41">
        <w:t xml:space="preserve">teachers’ </w:t>
      </w:r>
      <w:r w:rsidR="00967E0A" w:rsidRPr="003E3B4B">
        <w:t xml:space="preserve">use of appropriate instructional strategies well matched to learning objectives; </w:t>
      </w:r>
      <w:r>
        <w:t>and a positive</w:t>
      </w:r>
      <w:r w:rsidRPr="003E3B4B">
        <w:t xml:space="preserve"> </w:t>
      </w:r>
      <w:r w:rsidR="00967E0A" w:rsidRPr="003E3B4B">
        <w:t xml:space="preserve">educational climate.  </w:t>
      </w:r>
      <w:r w:rsidR="009B2B41" w:rsidRPr="00E90448">
        <w:rPr>
          <w:rFonts w:ascii="Calibri" w:hAnsi="Calibri"/>
        </w:rPr>
        <w:t>The</w:t>
      </w:r>
      <w:r w:rsidR="009B2B41">
        <w:rPr>
          <w:rFonts w:ascii="Calibri" w:hAnsi="Calibri"/>
        </w:rPr>
        <w:t xml:space="preserve">se characteristics of effective instruction </w:t>
      </w:r>
      <w:r w:rsidR="009B2B41" w:rsidRPr="00E90448">
        <w:rPr>
          <w:rFonts w:ascii="Calibri" w:hAnsi="Calibri"/>
        </w:rPr>
        <w:t>were</w:t>
      </w:r>
      <w:r w:rsidR="009B2B41">
        <w:rPr>
          <w:rFonts w:ascii="Calibri" w:hAnsi="Calibri"/>
        </w:rPr>
        <w:t xml:space="preserve"> particularly evident </w:t>
      </w:r>
      <w:r w:rsidR="009B2B41" w:rsidRPr="00E90448">
        <w:rPr>
          <w:rFonts w:ascii="Calibri" w:hAnsi="Calibri"/>
        </w:rPr>
        <w:t>K</w:t>
      </w:r>
      <w:r w:rsidR="009B2B41">
        <w:rPr>
          <w:rFonts w:ascii="Calibri" w:hAnsi="Calibri"/>
        </w:rPr>
        <w:t>–</w:t>
      </w:r>
      <w:r w:rsidR="009B2B41" w:rsidRPr="00E90448">
        <w:rPr>
          <w:rFonts w:ascii="Calibri" w:hAnsi="Calibri"/>
        </w:rPr>
        <w:t>4.</w:t>
      </w:r>
      <w:r w:rsidR="009B2B41">
        <w:rPr>
          <w:rFonts w:ascii="Calibri" w:hAnsi="Calibri"/>
        </w:rPr>
        <w:t xml:space="preserve"> </w:t>
      </w:r>
      <w:r w:rsidR="009B2B41">
        <w:t>C</w:t>
      </w:r>
      <w:r w:rsidR="00F34F2E">
        <w:t xml:space="preserve">ompared with instruction at the elementary- and middle-school levels, </w:t>
      </w:r>
      <w:r w:rsidR="00061632">
        <w:t xml:space="preserve">observed </w:t>
      </w:r>
      <w:r w:rsidR="00F34F2E">
        <w:t>lessons at the high school</w:t>
      </w:r>
      <w:r w:rsidR="00967E0A" w:rsidRPr="003E3B4B">
        <w:t xml:space="preserve"> </w:t>
      </w:r>
      <w:r w:rsidR="00F34F2E">
        <w:t xml:space="preserve">reflected </w:t>
      </w:r>
      <w:r w:rsidR="00967E0A" w:rsidRPr="003E3B4B">
        <w:t>a low</w:t>
      </w:r>
      <w:r w:rsidR="00F34F2E">
        <w:t>er</w:t>
      </w:r>
      <w:r w:rsidR="00967E0A" w:rsidRPr="003E3B4B">
        <w:t xml:space="preserve"> incidence </w:t>
      </w:r>
      <w:r w:rsidR="00F34F2E">
        <w:t>of</w:t>
      </w:r>
      <w:r w:rsidR="00967E0A" w:rsidRPr="003E3B4B">
        <w:t xml:space="preserve"> </w:t>
      </w:r>
      <w:r w:rsidR="00980BF6">
        <w:t xml:space="preserve">the </w:t>
      </w:r>
      <w:r w:rsidR="00967E0A" w:rsidRPr="003E3B4B">
        <w:t xml:space="preserve">use of appropriate resources aligned to students’ diverse learning needs; and </w:t>
      </w:r>
      <w:r w:rsidR="00980BF6">
        <w:t xml:space="preserve">the </w:t>
      </w:r>
      <w:r w:rsidR="00F34F2E">
        <w:t xml:space="preserve">use of appropriate </w:t>
      </w:r>
      <w:r w:rsidR="00967E0A" w:rsidRPr="003E3B4B">
        <w:t>formative assessments.</w:t>
      </w:r>
      <w:r w:rsidR="00DC432A">
        <w:t xml:space="preserve"> </w:t>
      </w:r>
      <w:r w:rsidR="00DC432A" w:rsidRPr="00D23062">
        <w:t>Although</w:t>
      </w:r>
      <w:r w:rsidR="00DC432A">
        <w:rPr>
          <w:b/>
        </w:rPr>
        <w:t xml:space="preserve"> </w:t>
      </w:r>
      <w:r w:rsidR="00DC432A" w:rsidRPr="00D23062">
        <w:t>i</w:t>
      </w:r>
      <w:r w:rsidR="00DC432A">
        <w:t xml:space="preserve">n focus groups differentiation was </w:t>
      </w:r>
      <w:r w:rsidR="00DC432A" w:rsidRPr="003E3B4B">
        <w:t>described as a district priority</w:t>
      </w:r>
      <w:r w:rsidR="00DC432A">
        <w:t>, in observed classrooms at all levels differentiated instruction to meet students’ specific learning needs was the least well-developed characteristic of effective instruction.</w:t>
      </w:r>
    </w:p>
    <w:p w:rsidR="00967E0A" w:rsidRDefault="00967E0A" w:rsidP="003E3B4B"/>
    <w:p w:rsidR="00967E0A" w:rsidRPr="003E3B4B" w:rsidRDefault="00967E0A" w:rsidP="00967E0A">
      <w:pPr>
        <w:rPr>
          <w:b/>
          <w:sz w:val="28"/>
          <w:szCs w:val="28"/>
        </w:rPr>
      </w:pPr>
      <w:r w:rsidRPr="003E3B4B">
        <w:rPr>
          <w:b/>
          <w:sz w:val="28"/>
          <w:szCs w:val="28"/>
        </w:rPr>
        <w:t>Strength Finding</w:t>
      </w:r>
    </w:p>
    <w:p w:rsidR="00967E0A" w:rsidRPr="003E3B4B" w:rsidRDefault="00967E0A" w:rsidP="00240570">
      <w:pPr>
        <w:ind w:left="360" w:hanging="360"/>
        <w:rPr>
          <w:b/>
        </w:rPr>
      </w:pPr>
      <w:r w:rsidRPr="003E3B4B">
        <w:rPr>
          <w:b/>
        </w:rPr>
        <w:t xml:space="preserve">1.    In </w:t>
      </w:r>
      <w:r w:rsidR="002C1035">
        <w:rPr>
          <w:b/>
        </w:rPr>
        <w:t>most</w:t>
      </w:r>
      <w:r w:rsidRPr="003E3B4B">
        <w:rPr>
          <w:b/>
        </w:rPr>
        <w:t xml:space="preserve"> observed classes, </w:t>
      </w:r>
      <w:r w:rsidR="002C1035">
        <w:rPr>
          <w:b/>
        </w:rPr>
        <w:t>lessons reflected</w:t>
      </w:r>
      <w:r w:rsidRPr="003E3B4B">
        <w:rPr>
          <w:b/>
        </w:rPr>
        <w:t xml:space="preserve"> </w:t>
      </w:r>
      <w:r w:rsidR="001302A7">
        <w:rPr>
          <w:b/>
        </w:rPr>
        <w:t>a</w:t>
      </w:r>
      <w:r w:rsidR="002C1035">
        <w:rPr>
          <w:b/>
        </w:rPr>
        <w:t xml:space="preserve"> high incidence</w:t>
      </w:r>
      <w:r w:rsidRPr="003E3B4B">
        <w:rPr>
          <w:b/>
        </w:rPr>
        <w:t xml:space="preserve"> of </w:t>
      </w:r>
      <w:r w:rsidR="00E90448" w:rsidRPr="003E3B4B">
        <w:rPr>
          <w:b/>
        </w:rPr>
        <w:t xml:space="preserve">teachers’ knowledge of subject </w:t>
      </w:r>
      <w:r w:rsidRPr="003E3B4B">
        <w:rPr>
          <w:b/>
        </w:rPr>
        <w:t>matter</w:t>
      </w:r>
      <w:r w:rsidR="00A26752">
        <w:rPr>
          <w:b/>
        </w:rPr>
        <w:t xml:space="preserve"> and content</w:t>
      </w:r>
      <w:r w:rsidRPr="003E3B4B">
        <w:rPr>
          <w:b/>
        </w:rPr>
        <w:t xml:space="preserve">, of </w:t>
      </w:r>
      <w:r w:rsidR="009B2B41">
        <w:rPr>
          <w:b/>
        </w:rPr>
        <w:t xml:space="preserve">use of </w:t>
      </w:r>
      <w:r w:rsidRPr="003E3B4B">
        <w:rPr>
          <w:b/>
        </w:rPr>
        <w:t xml:space="preserve">appropriate instructional strategies, of motivated and engaged students, and of </w:t>
      </w:r>
      <w:r w:rsidR="000556CA">
        <w:rPr>
          <w:b/>
        </w:rPr>
        <w:t xml:space="preserve">a </w:t>
      </w:r>
      <w:r w:rsidRPr="003E3B4B">
        <w:rPr>
          <w:b/>
        </w:rPr>
        <w:t xml:space="preserve">positive classroom climate.  The incidence of these characteristics </w:t>
      </w:r>
      <w:r w:rsidR="00C75014">
        <w:rPr>
          <w:b/>
        </w:rPr>
        <w:t xml:space="preserve">of high-quality instruction </w:t>
      </w:r>
      <w:r w:rsidRPr="003E3B4B">
        <w:rPr>
          <w:b/>
        </w:rPr>
        <w:t>was particularly strong K</w:t>
      </w:r>
      <w:r w:rsidR="002C1035">
        <w:rPr>
          <w:b/>
        </w:rPr>
        <w:t>–</w:t>
      </w:r>
      <w:r w:rsidRPr="003E3B4B">
        <w:rPr>
          <w:b/>
        </w:rPr>
        <w:t>4.</w:t>
      </w:r>
    </w:p>
    <w:p w:rsidR="00BD44BB" w:rsidRDefault="00967E0A" w:rsidP="00BD44BB">
      <w:pPr>
        <w:tabs>
          <w:tab w:val="left" w:pos="360"/>
          <w:tab w:val="left" w:pos="720"/>
          <w:tab w:val="left" w:pos="1080"/>
          <w:tab w:val="left" w:pos="1440"/>
        </w:tabs>
        <w:ind w:left="720" w:hanging="360"/>
      </w:pPr>
      <w:r w:rsidRPr="003E3B4B">
        <w:rPr>
          <w:b/>
        </w:rPr>
        <w:t>A.</w:t>
      </w:r>
      <w:r w:rsidRPr="003E3B4B">
        <w:t xml:space="preserve"> </w:t>
      </w:r>
      <w:r w:rsidR="00BE77EE">
        <w:tab/>
      </w:r>
      <w:r w:rsidRPr="003E3B4B">
        <w:t xml:space="preserve">Team members saw strong </w:t>
      </w:r>
      <w:r w:rsidR="00E85435">
        <w:t>and</w:t>
      </w:r>
      <w:r w:rsidR="00E85435" w:rsidRPr="003E3B4B">
        <w:t xml:space="preserve"> </w:t>
      </w:r>
      <w:r w:rsidRPr="003E3B4B">
        <w:t>moderate evidence that teacher</w:t>
      </w:r>
      <w:r w:rsidR="00E85435">
        <w:t>s</w:t>
      </w:r>
      <w:r w:rsidRPr="003E3B4B">
        <w:t xml:space="preserve"> demonstrated knowledge of subject matter and content </w:t>
      </w:r>
      <w:r w:rsidR="00E85435">
        <w:t>(characteristic #1)</w:t>
      </w:r>
      <w:r w:rsidR="00646C44">
        <w:t xml:space="preserve"> </w:t>
      </w:r>
      <w:r w:rsidRPr="003E3B4B">
        <w:t xml:space="preserve">in 46 of 50 classes or 92 percent of observed lessons (in 100 percent of elementary lessons, in 81 percent of </w:t>
      </w:r>
      <w:r w:rsidR="00E85435" w:rsidRPr="003E3B4B">
        <w:t>middle</w:t>
      </w:r>
      <w:r w:rsidR="00E85435">
        <w:t>-</w:t>
      </w:r>
      <w:r w:rsidRPr="003E3B4B">
        <w:t xml:space="preserve">school lessons, and in 94 percent of </w:t>
      </w:r>
      <w:r w:rsidR="00E85435" w:rsidRPr="003E3B4B">
        <w:t>high</w:t>
      </w:r>
      <w:r w:rsidR="00E85435">
        <w:t>-</w:t>
      </w:r>
      <w:r w:rsidRPr="003E3B4B">
        <w:t>school lessons).</w:t>
      </w:r>
    </w:p>
    <w:p w:rsidR="00967E0A" w:rsidRPr="003E3B4B" w:rsidRDefault="00537223" w:rsidP="00240570">
      <w:pPr>
        <w:tabs>
          <w:tab w:val="left" w:pos="360"/>
          <w:tab w:val="left" w:pos="720"/>
          <w:tab w:val="left" w:pos="1080"/>
        </w:tabs>
        <w:ind w:left="1080" w:hanging="360"/>
      </w:pPr>
      <w:r>
        <w:t>1</w:t>
      </w:r>
      <w:r w:rsidR="00967E0A" w:rsidRPr="003E3B4B">
        <w:t>.</w:t>
      </w:r>
      <w:r w:rsidR="00967E0A" w:rsidRPr="003E3B4B">
        <w:tab/>
        <w:t xml:space="preserve">In a grade 6 mathematics lesson, the class was co-taught by </w:t>
      </w:r>
      <w:r w:rsidR="00952B72" w:rsidRPr="003E3B4B">
        <w:t xml:space="preserve">two </w:t>
      </w:r>
      <w:r w:rsidR="00967E0A" w:rsidRPr="003E3B4B">
        <w:t xml:space="preserve">teachers on the topics of </w:t>
      </w:r>
      <w:r w:rsidR="00670872">
        <w:t>g</w:t>
      </w:r>
      <w:r w:rsidR="00670872" w:rsidRPr="003E3B4B">
        <w:t xml:space="preserve">reatest </w:t>
      </w:r>
      <w:r w:rsidR="00670872">
        <w:t>c</w:t>
      </w:r>
      <w:r w:rsidR="00670872" w:rsidRPr="003E3B4B">
        <w:t xml:space="preserve">ommon </w:t>
      </w:r>
      <w:r w:rsidR="00670872">
        <w:t>f</w:t>
      </w:r>
      <w:r w:rsidR="00670872" w:rsidRPr="003E3B4B">
        <w:t xml:space="preserve">actor </w:t>
      </w:r>
      <w:r w:rsidR="00952B72" w:rsidRPr="003E3B4B">
        <w:t xml:space="preserve">and </w:t>
      </w:r>
      <w:r w:rsidR="00670872">
        <w:t>l</w:t>
      </w:r>
      <w:r w:rsidR="00670872" w:rsidRPr="003E3B4B">
        <w:t xml:space="preserve">owest </w:t>
      </w:r>
      <w:r w:rsidR="00670872">
        <w:t>c</w:t>
      </w:r>
      <w:r w:rsidR="00670872" w:rsidRPr="003E3B4B">
        <w:t xml:space="preserve">ommon </w:t>
      </w:r>
      <w:r w:rsidR="00670872">
        <w:t>m</w:t>
      </w:r>
      <w:r w:rsidR="00670872" w:rsidRPr="003E3B4B">
        <w:t>ultiple</w:t>
      </w:r>
      <w:r w:rsidR="00967E0A" w:rsidRPr="003E3B4B">
        <w:t>.  One teacher exp</w:t>
      </w:r>
      <w:r w:rsidR="00952B72" w:rsidRPr="003E3B4B">
        <w:t xml:space="preserve">lained the </w:t>
      </w:r>
      <w:r w:rsidR="00670872">
        <w:t>greatest common factor</w:t>
      </w:r>
      <w:r w:rsidR="00952B72" w:rsidRPr="003E3B4B">
        <w:t xml:space="preserve">; the other </w:t>
      </w:r>
      <w:r w:rsidR="00967E0A" w:rsidRPr="003E3B4B">
        <w:t xml:space="preserve">teacher explained the </w:t>
      </w:r>
      <w:r w:rsidR="00670872">
        <w:t>lowest common multiple.</w:t>
      </w:r>
      <w:r w:rsidR="00670872" w:rsidRPr="003E3B4B">
        <w:t xml:space="preserve"> </w:t>
      </w:r>
      <w:r w:rsidR="00670872">
        <w:t xml:space="preserve"> The teachers then</w:t>
      </w:r>
      <w:r w:rsidR="00952B72" w:rsidRPr="003E3B4B">
        <w:t xml:space="preserve"> </w:t>
      </w:r>
      <w:r w:rsidR="00670872" w:rsidRPr="003E3B4B">
        <w:t>refe</w:t>
      </w:r>
      <w:r w:rsidR="00670872">
        <w:t>r</w:t>
      </w:r>
      <w:r w:rsidR="00670872" w:rsidRPr="003E3B4B">
        <w:t>re</w:t>
      </w:r>
      <w:r w:rsidR="00670872">
        <w:t xml:space="preserve">d </w:t>
      </w:r>
      <w:r w:rsidR="00967E0A" w:rsidRPr="003E3B4B">
        <w:t>to the</w:t>
      </w:r>
      <w:r w:rsidR="00240570">
        <w:t xml:space="preserve"> </w:t>
      </w:r>
      <w:r w:rsidR="00670872">
        <w:t xml:space="preserve">learning </w:t>
      </w:r>
      <w:r w:rsidR="00967E0A" w:rsidRPr="003E3B4B">
        <w:t>objective</w:t>
      </w:r>
      <w:r w:rsidR="00240570">
        <w:t xml:space="preserve"> for the lesson</w:t>
      </w:r>
      <w:r w:rsidR="00670872">
        <w:t>:</w:t>
      </w:r>
      <w:r w:rsidR="00967E0A" w:rsidRPr="003E3B4B">
        <w:t xml:space="preserve"> “</w:t>
      </w:r>
      <w:r w:rsidR="00952B72" w:rsidRPr="003E3B4B">
        <w:t xml:space="preserve">I </w:t>
      </w:r>
      <w:r w:rsidR="00670872">
        <w:t>c</w:t>
      </w:r>
      <w:r w:rsidR="00670872" w:rsidRPr="003E3B4B">
        <w:t xml:space="preserve">an </w:t>
      </w:r>
      <w:r w:rsidR="00952B72" w:rsidRPr="003E3B4B">
        <w:t xml:space="preserve">use variables to write </w:t>
      </w:r>
      <w:r w:rsidR="00967E0A" w:rsidRPr="003E3B4B">
        <w:t xml:space="preserve">algebraic expressions.” </w:t>
      </w:r>
    </w:p>
    <w:p w:rsidR="00967E0A" w:rsidRPr="003E3B4B" w:rsidRDefault="00D263E8" w:rsidP="00240570">
      <w:pPr>
        <w:tabs>
          <w:tab w:val="left" w:pos="360"/>
          <w:tab w:val="left" w:pos="720"/>
          <w:tab w:val="left" w:pos="1080"/>
        </w:tabs>
        <w:ind w:left="1080" w:hanging="360"/>
      </w:pPr>
      <w:r>
        <w:lastRenderedPageBreak/>
        <w:t>2</w:t>
      </w:r>
      <w:r w:rsidR="000449F4" w:rsidRPr="003E3B4B">
        <w:t xml:space="preserve">.  </w:t>
      </w:r>
      <w:r w:rsidR="00E85435">
        <w:tab/>
      </w:r>
      <w:r w:rsidR="00967E0A" w:rsidRPr="003E3B4B">
        <w:t xml:space="preserve">In a grade 12 </w:t>
      </w:r>
      <w:r w:rsidR="00670872">
        <w:t>e</w:t>
      </w:r>
      <w:r w:rsidR="00670872" w:rsidRPr="003E3B4B">
        <w:t xml:space="preserve">conomics </w:t>
      </w:r>
      <w:r w:rsidR="00967E0A" w:rsidRPr="003E3B4B">
        <w:t xml:space="preserve">class, the teacher provided a </w:t>
      </w:r>
      <w:r w:rsidR="00952B72" w:rsidRPr="003E3B4B">
        <w:t xml:space="preserve">PowerPoint </w:t>
      </w:r>
      <w:r w:rsidR="00967E0A" w:rsidRPr="003E3B4B">
        <w:t xml:space="preserve">presentation on </w:t>
      </w:r>
      <w:r w:rsidR="00670872">
        <w:t>m</w:t>
      </w:r>
      <w:r w:rsidR="00967E0A" w:rsidRPr="003E3B4B">
        <w:t xml:space="preserve">acroeconomics and </w:t>
      </w:r>
      <w:r w:rsidR="00670872">
        <w:t>m</w:t>
      </w:r>
      <w:r w:rsidR="00967E0A" w:rsidRPr="003E3B4B">
        <w:t xml:space="preserve">icroeconomics.  The teacher used a series of graphs to </w:t>
      </w:r>
      <w:r w:rsidR="00670872">
        <w:t>illustrate</w:t>
      </w:r>
      <w:r w:rsidR="00670872" w:rsidRPr="003E3B4B">
        <w:t xml:space="preserve"> </w:t>
      </w:r>
      <w:r w:rsidR="00967E0A" w:rsidRPr="003E3B4B">
        <w:t xml:space="preserve">the difference </w:t>
      </w:r>
      <w:r w:rsidR="00670872">
        <w:t xml:space="preserve">between the two </w:t>
      </w:r>
      <w:r w:rsidR="000556CA">
        <w:t>systems</w:t>
      </w:r>
      <w:r w:rsidR="00975F1E">
        <w:t xml:space="preserve"> </w:t>
      </w:r>
      <w:r w:rsidR="00967E0A" w:rsidRPr="003E3B4B">
        <w:t xml:space="preserve">and provided an historical perspective on </w:t>
      </w:r>
      <w:r w:rsidR="00670872">
        <w:t>e</w:t>
      </w:r>
      <w:r w:rsidR="00670872" w:rsidRPr="003E3B4B">
        <w:t>conomics</w:t>
      </w:r>
      <w:r w:rsidR="00952B72" w:rsidRPr="003E3B4B">
        <w:t>.</w:t>
      </w:r>
    </w:p>
    <w:p w:rsidR="00967E0A" w:rsidRPr="003E3B4B" w:rsidRDefault="00967E0A" w:rsidP="00240570">
      <w:pPr>
        <w:tabs>
          <w:tab w:val="left" w:pos="360"/>
          <w:tab w:val="left" w:pos="720"/>
          <w:tab w:val="left" w:pos="1080"/>
          <w:tab w:val="left" w:pos="1440"/>
        </w:tabs>
        <w:ind w:left="720" w:hanging="360"/>
      </w:pPr>
      <w:r w:rsidRPr="003E3B4B">
        <w:rPr>
          <w:b/>
        </w:rPr>
        <w:t>B.</w:t>
      </w:r>
      <w:r w:rsidR="00952B72" w:rsidRPr="003E3B4B">
        <w:t xml:space="preserve"> </w:t>
      </w:r>
      <w:r w:rsidR="00E85435">
        <w:tab/>
      </w:r>
      <w:r w:rsidR="00B97C57">
        <w:t>T</w:t>
      </w:r>
      <w:r w:rsidRPr="003E3B4B">
        <w:t xml:space="preserve">eam members noted strong </w:t>
      </w:r>
      <w:r w:rsidR="00B97C57">
        <w:t>and</w:t>
      </w:r>
      <w:r w:rsidR="00B97C57" w:rsidRPr="003E3B4B">
        <w:t xml:space="preserve"> </w:t>
      </w:r>
      <w:r w:rsidRPr="003E3B4B">
        <w:t xml:space="preserve">moderate evidence </w:t>
      </w:r>
      <w:r w:rsidR="00F92FF3">
        <w:t xml:space="preserve">of </w:t>
      </w:r>
      <w:r w:rsidRPr="003E3B4B">
        <w:t xml:space="preserve">the </w:t>
      </w:r>
      <w:r w:rsidR="00A26752">
        <w:t xml:space="preserve">teacher’s </w:t>
      </w:r>
      <w:r w:rsidRPr="003E3B4B">
        <w:t>use of appropriate instructional strategies well matched to the learning objective</w:t>
      </w:r>
      <w:r w:rsidR="00A26752">
        <w:t>(</w:t>
      </w:r>
      <w:r w:rsidRPr="003E3B4B">
        <w:t>s</w:t>
      </w:r>
      <w:r w:rsidR="00A26752">
        <w:t>)</w:t>
      </w:r>
      <w:r w:rsidRPr="003E3B4B">
        <w:t xml:space="preserve"> </w:t>
      </w:r>
      <w:r w:rsidR="00B97C57">
        <w:t>(characteristic #2) i</w:t>
      </w:r>
      <w:r w:rsidR="00B97C57" w:rsidRPr="003E3B4B">
        <w:t xml:space="preserve">n 45 of 50 classes or 90 percent of observed lessons </w:t>
      </w:r>
      <w:r w:rsidRPr="003E3B4B">
        <w:t xml:space="preserve">(in 100 percent of elementary lessons, in 88 percent of </w:t>
      </w:r>
      <w:r w:rsidR="00B97C57" w:rsidRPr="003E3B4B">
        <w:t>middle</w:t>
      </w:r>
      <w:r w:rsidR="00B97C57">
        <w:t>-</w:t>
      </w:r>
      <w:r w:rsidRPr="003E3B4B">
        <w:t xml:space="preserve">school lessons, and in 82 percent of </w:t>
      </w:r>
      <w:r w:rsidR="00B97C57" w:rsidRPr="003E3B4B">
        <w:t>high</w:t>
      </w:r>
      <w:r w:rsidR="00B97C57">
        <w:t>-</w:t>
      </w:r>
      <w:r w:rsidRPr="003E3B4B">
        <w:t>school lessons).</w:t>
      </w:r>
    </w:p>
    <w:p w:rsidR="00967E0A" w:rsidRPr="003E3B4B" w:rsidRDefault="00D70C0B" w:rsidP="00D70C0B">
      <w:pPr>
        <w:tabs>
          <w:tab w:val="left" w:pos="360"/>
          <w:tab w:val="left" w:pos="720"/>
          <w:tab w:val="left" w:pos="1080"/>
        </w:tabs>
        <w:ind w:left="1080" w:hanging="720"/>
      </w:pPr>
      <w:r>
        <w:tab/>
      </w:r>
      <w:r w:rsidR="0092164F">
        <w:t>1</w:t>
      </w:r>
      <w:r w:rsidR="00952B72" w:rsidRPr="003E3B4B">
        <w:t xml:space="preserve">. </w:t>
      </w:r>
      <w:r w:rsidR="00B97C57">
        <w:tab/>
      </w:r>
      <w:r w:rsidR="00967E0A" w:rsidRPr="003E3B4B">
        <w:t xml:space="preserve">In a grade 8 </w:t>
      </w:r>
      <w:r w:rsidR="00240570">
        <w:t>s</w:t>
      </w:r>
      <w:r w:rsidR="00240570" w:rsidRPr="003E3B4B">
        <w:t xml:space="preserve">cience </w:t>
      </w:r>
      <w:r w:rsidR="00967E0A" w:rsidRPr="003E3B4B">
        <w:t xml:space="preserve">class on oxidation, the instructor planned </w:t>
      </w:r>
      <w:r w:rsidR="00952B72" w:rsidRPr="003E3B4B">
        <w:t xml:space="preserve">an </w:t>
      </w:r>
      <w:r w:rsidR="00967E0A" w:rsidRPr="003E3B4B">
        <w:t>experiment using vinegar to generate oxidation o</w:t>
      </w:r>
      <w:r w:rsidR="00952B72" w:rsidRPr="003E3B4B">
        <w:t xml:space="preserve">n a penny to </w:t>
      </w:r>
      <w:r w:rsidR="00967E0A" w:rsidRPr="003E3B4B">
        <w:t>demonstrate the effect of acid rain on the Statue of Liberty</w:t>
      </w:r>
      <w:r w:rsidR="004112FF">
        <w:t>, and the students conducted the experiment</w:t>
      </w:r>
      <w:r w:rsidR="00967E0A" w:rsidRPr="003E3B4B">
        <w:t>.</w:t>
      </w:r>
    </w:p>
    <w:p w:rsidR="00967E0A" w:rsidRPr="003E3B4B" w:rsidRDefault="00967E0A" w:rsidP="00027099">
      <w:pPr>
        <w:tabs>
          <w:tab w:val="left" w:pos="360"/>
          <w:tab w:val="left" w:pos="720"/>
          <w:tab w:val="left" w:pos="1080"/>
          <w:tab w:val="left" w:pos="1440"/>
          <w:tab w:val="left" w:pos="1800"/>
          <w:tab w:val="left" w:pos="2160"/>
        </w:tabs>
        <w:ind w:left="720" w:hanging="360"/>
      </w:pPr>
      <w:r w:rsidRPr="003E3B4B">
        <w:rPr>
          <w:b/>
        </w:rPr>
        <w:t>C.</w:t>
      </w:r>
      <w:r w:rsidR="00952B72" w:rsidRPr="003E3B4B">
        <w:t xml:space="preserve"> </w:t>
      </w:r>
      <w:r w:rsidR="00027099">
        <w:tab/>
        <w:t>T</w:t>
      </w:r>
      <w:r w:rsidRPr="003E3B4B">
        <w:t xml:space="preserve">eam members noted strong </w:t>
      </w:r>
      <w:r w:rsidR="00027099">
        <w:t xml:space="preserve">and </w:t>
      </w:r>
      <w:r w:rsidRPr="003E3B4B">
        <w:t xml:space="preserve">moderate evidence </w:t>
      </w:r>
      <w:r w:rsidR="00027099">
        <w:t>of</w:t>
      </w:r>
      <w:r w:rsidR="00027099" w:rsidRPr="003E3B4B">
        <w:t xml:space="preserve"> </w:t>
      </w:r>
      <w:r w:rsidRPr="003E3B4B">
        <w:t xml:space="preserve">student motivation and engagement </w:t>
      </w:r>
      <w:r w:rsidR="00027099">
        <w:t>(characteristic # 5) i</w:t>
      </w:r>
      <w:r w:rsidR="00027099" w:rsidRPr="003E3B4B">
        <w:t xml:space="preserve">n 45 of 50 classes or 90 percent of observed lessons </w:t>
      </w:r>
      <w:r w:rsidRPr="003E3B4B">
        <w:t xml:space="preserve">(in 100 percent of elementary lessons, in 88 percent of </w:t>
      </w:r>
      <w:r w:rsidR="00027099" w:rsidRPr="003E3B4B">
        <w:t>middle</w:t>
      </w:r>
      <w:r w:rsidR="00027099">
        <w:t>-</w:t>
      </w:r>
      <w:r w:rsidRPr="003E3B4B">
        <w:t xml:space="preserve">school lessons, and in 82 percent of </w:t>
      </w:r>
      <w:r w:rsidR="00027099" w:rsidRPr="003E3B4B">
        <w:t>high</w:t>
      </w:r>
      <w:r w:rsidR="00027099">
        <w:t>-</w:t>
      </w:r>
      <w:r w:rsidRPr="003E3B4B">
        <w:t>school lessons).</w:t>
      </w:r>
    </w:p>
    <w:p w:rsidR="00BD44BB" w:rsidRDefault="00C769F5" w:rsidP="00BD44BB">
      <w:pPr>
        <w:tabs>
          <w:tab w:val="left" w:pos="360"/>
          <w:tab w:val="left" w:pos="720"/>
          <w:tab w:val="left" w:pos="1080"/>
          <w:tab w:val="left" w:pos="1440"/>
          <w:tab w:val="left" w:pos="1800"/>
          <w:tab w:val="left" w:pos="2160"/>
        </w:tabs>
        <w:ind w:left="1080" w:hanging="720"/>
      </w:pPr>
      <w:r>
        <w:tab/>
      </w:r>
      <w:r w:rsidR="0011766E" w:rsidRPr="003E3B4B">
        <w:t xml:space="preserve">1. </w:t>
      </w:r>
      <w:r w:rsidR="00D70C0B">
        <w:tab/>
      </w:r>
      <w:r w:rsidR="00967E0A" w:rsidRPr="003E3B4B">
        <w:t xml:space="preserve">For example, in a grade 2 ELA lesson on nonfiction, students </w:t>
      </w:r>
      <w:r w:rsidR="001A0ADA" w:rsidRPr="003E3B4B">
        <w:t xml:space="preserve">were </w:t>
      </w:r>
      <w:r w:rsidR="00967E0A" w:rsidRPr="003E3B4B">
        <w:t>concluding a multi-day, cross-curric</w:t>
      </w:r>
      <w:r w:rsidR="001A0ADA" w:rsidRPr="003E3B4B">
        <w:t xml:space="preserve">ular unit on animals.  Students </w:t>
      </w:r>
      <w:r w:rsidR="00967E0A" w:rsidRPr="003E3B4B">
        <w:t xml:space="preserve">selected an animal to study further, completed research, created brochures, either located a stuffed animal or made one from a variety of materials, and wrote about the adopted pet, using sentence starters and participating in activities built around animal habitats. Students showed great enthusiasm when parents arrived to view the completed projects.  </w:t>
      </w:r>
    </w:p>
    <w:p w:rsidR="00967E0A" w:rsidRPr="003E3B4B" w:rsidRDefault="001A0ADA" w:rsidP="00D70C0B">
      <w:pPr>
        <w:ind w:left="1080" w:hanging="360"/>
      </w:pPr>
      <w:r w:rsidRPr="003E3B4B">
        <w:t>2.</w:t>
      </w:r>
      <w:r w:rsidR="0011766E" w:rsidRPr="003E3B4B">
        <w:t xml:space="preserve"> </w:t>
      </w:r>
      <w:r w:rsidR="00D70C0B">
        <w:tab/>
      </w:r>
      <w:r w:rsidR="00967E0A" w:rsidRPr="003E3B4B">
        <w:t xml:space="preserve">In a grade 7 lesson on </w:t>
      </w:r>
      <w:r w:rsidR="00987149">
        <w:t xml:space="preserve">the </w:t>
      </w:r>
      <w:r w:rsidR="00061632">
        <w:t>p</w:t>
      </w:r>
      <w:r w:rsidR="00061632" w:rsidRPr="003E3B4B">
        <w:t xml:space="preserve">haraohs </w:t>
      </w:r>
      <w:r w:rsidR="00967E0A" w:rsidRPr="003E3B4B">
        <w:t xml:space="preserve">and </w:t>
      </w:r>
      <w:r w:rsidR="008729BB">
        <w:t>n</w:t>
      </w:r>
      <w:r w:rsidR="008729BB" w:rsidRPr="003E3B4B">
        <w:t xml:space="preserve">ote </w:t>
      </w:r>
      <w:r w:rsidR="008729BB">
        <w:t>t</w:t>
      </w:r>
      <w:r w:rsidR="008729BB" w:rsidRPr="003E3B4B">
        <w:t>aking</w:t>
      </w:r>
      <w:r w:rsidR="00967E0A" w:rsidRPr="003E3B4B">
        <w:t xml:space="preserve">, </w:t>
      </w:r>
      <w:r w:rsidR="00987149">
        <w:t>s</w:t>
      </w:r>
      <w:r w:rsidR="00987149" w:rsidRPr="003E3B4B">
        <w:t xml:space="preserve">tudents </w:t>
      </w:r>
      <w:r w:rsidR="00967E0A" w:rsidRPr="003E3B4B">
        <w:t>t</w:t>
      </w:r>
      <w:r w:rsidRPr="003E3B4B">
        <w:t xml:space="preserve">ook notes in their journals </w:t>
      </w:r>
      <w:r w:rsidR="00967E0A" w:rsidRPr="003E3B4B">
        <w:t xml:space="preserve">as the lesson was presented.  The textbook was available for students to use, along with guided reading sheets and opportunities for research.  Most students were fully engaged in note taking, completing </w:t>
      </w:r>
      <w:r w:rsidR="00F92FF3" w:rsidRPr="003E3B4B">
        <w:t>guided</w:t>
      </w:r>
      <w:r w:rsidR="00F92FF3">
        <w:t>-</w:t>
      </w:r>
      <w:r w:rsidR="00967E0A" w:rsidRPr="003E3B4B">
        <w:t>reading sheets, responding to and asking questions, and doing research.</w:t>
      </w:r>
    </w:p>
    <w:p w:rsidR="00967E0A" w:rsidRPr="003E3B4B" w:rsidRDefault="001A0ADA" w:rsidP="00D70C0B">
      <w:pPr>
        <w:ind w:left="1080" w:hanging="360"/>
      </w:pPr>
      <w:r w:rsidRPr="003E3B4B">
        <w:t>3.</w:t>
      </w:r>
      <w:r w:rsidR="0011766E" w:rsidRPr="003E3B4B">
        <w:t xml:space="preserve"> </w:t>
      </w:r>
      <w:r w:rsidR="00D70C0B">
        <w:tab/>
      </w:r>
      <w:r w:rsidR="00967E0A" w:rsidRPr="003E3B4B">
        <w:t>In a grade 11 English lesson, students completed slide presentation</w:t>
      </w:r>
      <w:r w:rsidR="00DF1AFE">
        <w:t>s</w:t>
      </w:r>
      <w:r w:rsidR="00967E0A" w:rsidRPr="003E3B4B">
        <w:t xml:space="preserve"> </w:t>
      </w:r>
      <w:r w:rsidR="00BC1669">
        <w:t>about</w:t>
      </w:r>
      <w:r w:rsidR="00BC1669" w:rsidRPr="003E3B4B">
        <w:t xml:space="preserve"> </w:t>
      </w:r>
      <w:r w:rsidR="00967E0A" w:rsidRPr="003E3B4B">
        <w:t xml:space="preserve">a book </w:t>
      </w:r>
      <w:r w:rsidR="00BC1669">
        <w:t xml:space="preserve">that </w:t>
      </w:r>
      <w:r w:rsidR="00967E0A" w:rsidRPr="003E3B4B">
        <w:t xml:space="preserve">they had read.  During the presentations, the class members were attentive.  At the conclusion of each presentation, the teacher and students asked a variety of questions about the book and </w:t>
      </w:r>
      <w:r w:rsidR="00BC1669">
        <w:t xml:space="preserve">the </w:t>
      </w:r>
      <w:r w:rsidR="00967E0A" w:rsidRPr="003E3B4B">
        <w:t>presentation.</w:t>
      </w:r>
    </w:p>
    <w:p w:rsidR="00967E0A" w:rsidRPr="003E3B4B" w:rsidRDefault="00967E0A" w:rsidP="0011766E">
      <w:pPr>
        <w:ind w:left="720" w:hanging="360"/>
      </w:pPr>
      <w:r w:rsidRPr="003E3B4B">
        <w:rPr>
          <w:b/>
        </w:rPr>
        <w:t>D.</w:t>
      </w:r>
      <w:r w:rsidR="0011766E" w:rsidRPr="003E3B4B">
        <w:rPr>
          <w:b/>
        </w:rPr>
        <w:t xml:space="preserve"> </w:t>
      </w:r>
      <w:r w:rsidR="00D70C0B">
        <w:rPr>
          <w:b/>
        </w:rPr>
        <w:tab/>
      </w:r>
      <w:r w:rsidR="00151652">
        <w:t>T</w:t>
      </w:r>
      <w:r w:rsidRPr="003E3B4B">
        <w:t>eam members noted strong</w:t>
      </w:r>
      <w:r w:rsidR="00151652">
        <w:t xml:space="preserve"> and</w:t>
      </w:r>
      <w:r w:rsidRPr="003E3B4B">
        <w:t xml:space="preserve"> moderate evidence of </w:t>
      </w:r>
      <w:r w:rsidR="00151652">
        <w:t>a</w:t>
      </w:r>
      <w:r w:rsidR="00151652" w:rsidRPr="003E3B4B">
        <w:t xml:space="preserve"> </w:t>
      </w:r>
      <w:r w:rsidR="001A0ADA" w:rsidRPr="003E3B4B">
        <w:t xml:space="preserve">classroom climate </w:t>
      </w:r>
      <w:r w:rsidR="00151652">
        <w:t xml:space="preserve">characterized by respectful behavior, routines, tone, and discourse </w:t>
      </w:r>
      <w:r w:rsidR="008166BA">
        <w:t xml:space="preserve">(characteristic # 10) </w:t>
      </w:r>
      <w:r w:rsidR="00564193">
        <w:t>i</w:t>
      </w:r>
      <w:r w:rsidR="00151652" w:rsidRPr="003E3B4B">
        <w:t xml:space="preserve">n 48 of 50 classes or 96 percent of observed lessons </w:t>
      </w:r>
      <w:r w:rsidR="001A0ADA" w:rsidRPr="003E3B4B">
        <w:t>(in 100</w:t>
      </w:r>
      <w:r w:rsidR="00151652">
        <w:t xml:space="preserve"> percent</w:t>
      </w:r>
      <w:r w:rsidR="001A0ADA" w:rsidRPr="003E3B4B">
        <w:t xml:space="preserve"> of </w:t>
      </w:r>
      <w:r w:rsidRPr="003E3B4B">
        <w:t>elementary lessons, in 100</w:t>
      </w:r>
      <w:r w:rsidR="00151652">
        <w:t xml:space="preserve"> percent</w:t>
      </w:r>
      <w:r w:rsidR="00D241C0">
        <w:t xml:space="preserve"> </w:t>
      </w:r>
      <w:r w:rsidRPr="003E3B4B">
        <w:t xml:space="preserve">of </w:t>
      </w:r>
      <w:r w:rsidR="00151652" w:rsidRPr="003E3B4B">
        <w:t>middle</w:t>
      </w:r>
      <w:r w:rsidR="00151652">
        <w:t>-</w:t>
      </w:r>
      <w:r w:rsidRPr="003E3B4B">
        <w:t>school</w:t>
      </w:r>
      <w:r w:rsidR="001A0ADA" w:rsidRPr="003E3B4B">
        <w:t xml:space="preserve"> lessons, and in 88 percent of </w:t>
      </w:r>
      <w:r w:rsidR="00151652" w:rsidRPr="003E3B4B">
        <w:t>high</w:t>
      </w:r>
      <w:r w:rsidR="00151652">
        <w:t>-</w:t>
      </w:r>
      <w:r w:rsidRPr="003E3B4B">
        <w:t>school lessons).</w:t>
      </w:r>
    </w:p>
    <w:p w:rsidR="00967E0A" w:rsidRPr="003E3B4B" w:rsidRDefault="00D70C0B" w:rsidP="00D70C0B">
      <w:pPr>
        <w:tabs>
          <w:tab w:val="left" w:pos="360"/>
          <w:tab w:val="left" w:pos="720"/>
        </w:tabs>
        <w:ind w:left="1080" w:hanging="720"/>
      </w:pPr>
      <w:r>
        <w:tab/>
      </w:r>
      <w:r w:rsidR="001A0ADA" w:rsidRPr="003E3B4B">
        <w:t>1.</w:t>
      </w:r>
      <w:r w:rsidR="0011766E" w:rsidRPr="003E3B4B">
        <w:t xml:space="preserve"> </w:t>
      </w:r>
      <w:r>
        <w:tab/>
      </w:r>
      <w:r w:rsidR="00D241C0">
        <w:t xml:space="preserve">For example, </w:t>
      </w:r>
      <w:r w:rsidR="000556CA">
        <w:t xml:space="preserve">elementary </w:t>
      </w:r>
      <w:r w:rsidR="00D241C0">
        <w:t>students said</w:t>
      </w:r>
      <w:r w:rsidR="00967E0A" w:rsidRPr="003E3B4B">
        <w:t xml:space="preserve"> “please” and “thank you</w:t>
      </w:r>
      <w:r w:rsidR="00D241C0">
        <w:t>,</w:t>
      </w:r>
      <w:r w:rsidR="00967E0A" w:rsidRPr="003E3B4B">
        <w:t xml:space="preserve">” </w:t>
      </w:r>
      <w:r w:rsidR="00D241C0">
        <w:t xml:space="preserve">observed </w:t>
      </w:r>
      <w:r w:rsidR="00967E0A" w:rsidRPr="003E3B4B">
        <w:t xml:space="preserve">silence while doing individualized activities, </w:t>
      </w:r>
      <w:r w:rsidR="00D241C0" w:rsidRPr="003E3B4B">
        <w:t>rais</w:t>
      </w:r>
      <w:r w:rsidR="00D241C0">
        <w:t>ed</w:t>
      </w:r>
      <w:r w:rsidR="00D241C0" w:rsidRPr="003E3B4B">
        <w:t xml:space="preserve"> </w:t>
      </w:r>
      <w:r w:rsidR="00967E0A" w:rsidRPr="003E3B4B">
        <w:t xml:space="preserve">hands to gain attention, </w:t>
      </w:r>
      <w:r w:rsidR="00D241C0" w:rsidRPr="003E3B4B">
        <w:t>ceas</w:t>
      </w:r>
      <w:r w:rsidR="00D241C0">
        <w:t>ed</w:t>
      </w:r>
      <w:r w:rsidR="00D241C0" w:rsidRPr="003E3B4B">
        <w:t xml:space="preserve"> </w:t>
      </w:r>
      <w:r w:rsidR="00967E0A" w:rsidRPr="003E3B4B">
        <w:t xml:space="preserve">an activity when the </w:t>
      </w:r>
      <w:r w:rsidR="00967E0A" w:rsidRPr="003E3B4B">
        <w:lastRenderedPageBreak/>
        <w:t xml:space="preserve">teacher clapped her hands, and </w:t>
      </w:r>
      <w:r w:rsidR="00D241C0" w:rsidRPr="003E3B4B">
        <w:t>end</w:t>
      </w:r>
      <w:r w:rsidR="00D241C0">
        <w:t>ed</w:t>
      </w:r>
      <w:r w:rsidR="00D241C0" w:rsidRPr="003E3B4B">
        <w:t xml:space="preserve"> </w:t>
      </w:r>
      <w:r w:rsidR="00967E0A" w:rsidRPr="003E3B4B">
        <w:t xml:space="preserve">paired discussion when the </w:t>
      </w:r>
      <w:r w:rsidR="001A0ADA" w:rsidRPr="003E3B4B">
        <w:t xml:space="preserve">teacher began counting </w:t>
      </w:r>
      <w:r w:rsidR="00967E0A" w:rsidRPr="003E3B4B">
        <w:t>backwards from “5” to “1</w:t>
      </w:r>
      <w:r w:rsidR="00D241C0">
        <w:t>.</w:t>
      </w:r>
      <w:r w:rsidR="00967E0A" w:rsidRPr="003E3B4B">
        <w:t>”</w:t>
      </w:r>
    </w:p>
    <w:p w:rsidR="00967E0A" w:rsidRPr="003E3B4B" w:rsidRDefault="00952B72" w:rsidP="00D70C0B">
      <w:pPr>
        <w:ind w:left="1080" w:hanging="360"/>
      </w:pPr>
      <w:r w:rsidRPr="003E3B4B">
        <w:t>2.</w:t>
      </w:r>
      <w:r w:rsidR="00D70C0B">
        <w:tab/>
      </w:r>
      <w:r w:rsidR="00967E0A" w:rsidRPr="003E3B4B">
        <w:t xml:space="preserve">In a grade 6 math lesson, students showed evidence </w:t>
      </w:r>
      <w:r w:rsidR="00D241C0" w:rsidRPr="003E3B4B">
        <w:t>o</w:t>
      </w:r>
      <w:r w:rsidR="00D241C0">
        <w:t>f</w:t>
      </w:r>
      <w:r w:rsidR="00D241C0" w:rsidRPr="003E3B4B">
        <w:t xml:space="preserve"> </w:t>
      </w:r>
      <w:r w:rsidR="00967E0A" w:rsidRPr="003E3B4B">
        <w:t xml:space="preserve">knowing routines by completing a warm-up activity upon entering the classroom, </w:t>
      </w:r>
      <w:r w:rsidR="00855D50">
        <w:t>using available</w:t>
      </w:r>
      <w:r w:rsidR="00855D50" w:rsidRPr="003E3B4B">
        <w:t xml:space="preserve"> </w:t>
      </w:r>
      <w:r w:rsidR="00967E0A" w:rsidRPr="003E3B4B">
        <w:t xml:space="preserve">multiplication charts, showing their work without being reminded, and having </w:t>
      </w:r>
      <w:r w:rsidR="0011766E" w:rsidRPr="003E3B4B">
        <w:t>individual whiteboard</w:t>
      </w:r>
      <w:r w:rsidR="00D241C0">
        <w:t>s</w:t>
      </w:r>
      <w:r w:rsidR="0011766E" w:rsidRPr="003E3B4B">
        <w:t xml:space="preserve"> </w:t>
      </w:r>
      <w:r w:rsidR="00967E0A" w:rsidRPr="003E3B4B">
        <w:t xml:space="preserve">available during the lesson.  </w:t>
      </w:r>
    </w:p>
    <w:p w:rsidR="00967E0A" w:rsidRPr="003E3B4B" w:rsidRDefault="00D70C0B" w:rsidP="00D70C0B">
      <w:pPr>
        <w:tabs>
          <w:tab w:val="left" w:pos="360"/>
          <w:tab w:val="left" w:pos="720"/>
          <w:tab w:val="left" w:pos="1080"/>
          <w:tab w:val="left" w:pos="1440"/>
        </w:tabs>
        <w:ind w:left="1080" w:hanging="1080"/>
      </w:pPr>
      <w:r>
        <w:tab/>
      </w:r>
      <w:r>
        <w:tab/>
      </w:r>
      <w:r w:rsidR="00952B72" w:rsidRPr="003E3B4B">
        <w:t xml:space="preserve">3. </w:t>
      </w:r>
      <w:r>
        <w:tab/>
      </w:r>
      <w:r w:rsidR="00967E0A" w:rsidRPr="003E3B4B">
        <w:t xml:space="preserve">In </w:t>
      </w:r>
      <w:r w:rsidR="000556CA">
        <w:t>many</w:t>
      </w:r>
      <w:r w:rsidR="000556CA" w:rsidRPr="003E3B4B">
        <w:t xml:space="preserve"> high</w:t>
      </w:r>
      <w:r w:rsidR="000556CA">
        <w:t>-</w:t>
      </w:r>
      <w:r w:rsidR="00967E0A" w:rsidRPr="003E3B4B">
        <w:t xml:space="preserve">school lessons, students worked in groups quietly.  Students raised hands and were respectful to the teacher and </w:t>
      </w:r>
      <w:r w:rsidR="00952B72" w:rsidRPr="003E3B4B">
        <w:t xml:space="preserve">fellow </w:t>
      </w:r>
      <w:r w:rsidR="00967E0A" w:rsidRPr="003E3B4B">
        <w:t>students.</w:t>
      </w:r>
    </w:p>
    <w:p w:rsidR="00967E0A" w:rsidRPr="003E3B4B" w:rsidRDefault="00967E0A" w:rsidP="00967E0A">
      <w:r w:rsidRPr="003E3B4B">
        <w:rPr>
          <w:b/>
        </w:rPr>
        <w:t>Impact:</w:t>
      </w:r>
      <w:r w:rsidRPr="003E3B4B">
        <w:t xml:space="preserve">  </w:t>
      </w:r>
      <w:r w:rsidR="00F92FF3">
        <w:t>T</w:t>
      </w:r>
      <w:r w:rsidRPr="003E3B4B">
        <w:t xml:space="preserve">eachers’ knowledge </w:t>
      </w:r>
      <w:r w:rsidR="00855D50">
        <w:t xml:space="preserve">of content and </w:t>
      </w:r>
      <w:r w:rsidR="00855D50" w:rsidRPr="003E3B4B">
        <w:t xml:space="preserve">subject matter </w:t>
      </w:r>
      <w:r w:rsidRPr="003E3B4B">
        <w:t xml:space="preserve">and use of </w:t>
      </w:r>
      <w:r w:rsidR="00F92FF3">
        <w:t>appropriate</w:t>
      </w:r>
      <w:r w:rsidR="00F92FF3" w:rsidRPr="003E3B4B">
        <w:t xml:space="preserve"> </w:t>
      </w:r>
      <w:r w:rsidRPr="003E3B4B">
        <w:t>instructional strategies</w:t>
      </w:r>
      <w:r w:rsidR="00F92FF3">
        <w:t xml:space="preserve"> well matched to learning objectives enable students to acquire complex knowledge and skills</w:t>
      </w:r>
      <w:r w:rsidRPr="003E3B4B">
        <w:t xml:space="preserve">.  When </w:t>
      </w:r>
      <w:r w:rsidR="00BA44FD">
        <w:t xml:space="preserve">the environment is conducive to learning and </w:t>
      </w:r>
      <w:r w:rsidRPr="003E3B4B">
        <w:t xml:space="preserve">students are </w:t>
      </w:r>
      <w:r w:rsidR="00A946FC" w:rsidRPr="003E3B4B">
        <w:t>motivat</w:t>
      </w:r>
      <w:r w:rsidR="00A946FC">
        <w:t>ed</w:t>
      </w:r>
      <w:r w:rsidR="00A946FC" w:rsidRPr="003E3B4B">
        <w:t xml:space="preserve"> </w:t>
      </w:r>
      <w:r w:rsidRPr="003E3B4B">
        <w:t xml:space="preserve">and </w:t>
      </w:r>
      <w:r w:rsidR="00855D50" w:rsidRPr="003E3B4B">
        <w:t>engage</w:t>
      </w:r>
      <w:r w:rsidR="00855D50">
        <w:t xml:space="preserve">d, </w:t>
      </w:r>
      <w:r w:rsidR="00C72E2F">
        <w:t>they</w:t>
      </w:r>
      <w:r w:rsidRPr="003E3B4B">
        <w:t xml:space="preserve"> </w:t>
      </w:r>
      <w:r w:rsidR="00C72E2F">
        <w:t xml:space="preserve">can </w:t>
      </w:r>
      <w:r w:rsidRPr="003E3B4B">
        <w:t xml:space="preserve">become active learners.  </w:t>
      </w:r>
      <w:r w:rsidR="004619BE">
        <w:t>S</w:t>
      </w:r>
      <w:r w:rsidR="00BA44FD">
        <w:t>tudents</w:t>
      </w:r>
      <w:r w:rsidR="00BA44FD" w:rsidRPr="003E3B4B">
        <w:t xml:space="preserve"> </w:t>
      </w:r>
      <w:r w:rsidRPr="003E3B4B">
        <w:t xml:space="preserve">are able to investigate ideas, apply knowledge, increase skills, and expand thought processes </w:t>
      </w:r>
      <w:r w:rsidR="00BA44FD">
        <w:t>to the best of their ability</w:t>
      </w:r>
      <w:r w:rsidRPr="003E3B4B">
        <w:t>.</w:t>
      </w:r>
    </w:p>
    <w:p w:rsidR="00730088" w:rsidRDefault="00730088" w:rsidP="00967E0A">
      <w:pPr>
        <w:rPr>
          <w:b/>
        </w:rPr>
      </w:pPr>
    </w:p>
    <w:p w:rsidR="00967E0A" w:rsidRPr="00730088" w:rsidRDefault="00967E0A" w:rsidP="00967E0A">
      <w:pPr>
        <w:rPr>
          <w:b/>
          <w:sz w:val="28"/>
          <w:szCs w:val="28"/>
        </w:rPr>
      </w:pPr>
      <w:r w:rsidRPr="00730088">
        <w:rPr>
          <w:b/>
          <w:sz w:val="28"/>
          <w:szCs w:val="28"/>
        </w:rPr>
        <w:t>Challenges and Areas for Growth</w:t>
      </w:r>
    </w:p>
    <w:p w:rsidR="00564193" w:rsidRPr="00256586" w:rsidRDefault="00730088" w:rsidP="002E01AB">
      <w:pPr>
        <w:tabs>
          <w:tab w:val="left" w:pos="360"/>
          <w:tab w:val="left" w:pos="720"/>
        </w:tabs>
        <w:autoSpaceDE w:val="0"/>
        <w:autoSpaceDN w:val="0"/>
        <w:adjustRightInd w:val="0"/>
        <w:ind w:left="360" w:hanging="360"/>
        <w:rPr>
          <w:b/>
        </w:rPr>
      </w:pPr>
      <w:r>
        <w:rPr>
          <w:b/>
        </w:rPr>
        <w:t>2</w:t>
      </w:r>
      <w:r w:rsidR="00952B72" w:rsidRPr="003E3B4B">
        <w:rPr>
          <w:b/>
        </w:rPr>
        <w:t xml:space="preserve">.  </w:t>
      </w:r>
      <w:r w:rsidR="00975F1E">
        <w:rPr>
          <w:b/>
        </w:rPr>
        <w:tab/>
      </w:r>
      <w:r w:rsidR="00CE0DE6">
        <w:rPr>
          <w:b/>
        </w:rPr>
        <w:t xml:space="preserve">Compared </w:t>
      </w:r>
      <w:r w:rsidR="0051799E">
        <w:rPr>
          <w:b/>
        </w:rPr>
        <w:t>with</w:t>
      </w:r>
      <w:r w:rsidR="00CE0DE6">
        <w:rPr>
          <w:b/>
        </w:rPr>
        <w:t xml:space="preserve"> </w:t>
      </w:r>
      <w:r w:rsidR="00967E0A" w:rsidRPr="003E3B4B">
        <w:rPr>
          <w:b/>
        </w:rPr>
        <w:t xml:space="preserve">observed lessons at the elementary and middle schools, lessons at the high school </w:t>
      </w:r>
      <w:r w:rsidR="006E7924">
        <w:rPr>
          <w:b/>
        </w:rPr>
        <w:t>reflected</w:t>
      </w:r>
      <w:r w:rsidR="00967E0A" w:rsidRPr="003E3B4B">
        <w:rPr>
          <w:b/>
        </w:rPr>
        <w:t xml:space="preserve"> a low</w:t>
      </w:r>
      <w:r w:rsidR="006016A0">
        <w:rPr>
          <w:b/>
        </w:rPr>
        <w:t>er</w:t>
      </w:r>
      <w:r w:rsidR="00967E0A" w:rsidRPr="003E3B4B">
        <w:rPr>
          <w:b/>
        </w:rPr>
        <w:t xml:space="preserve"> incidence of  </w:t>
      </w:r>
      <w:r w:rsidR="00066796">
        <w:rPr>
          <w:b/>
        </w:rPr>
        <w:t xml:space="preserve">the </w:t>
      </w:r>
      <w:r w:rsidR="00967E0A" w:rsidRPr="003E3B4B">
        <w:rPr>
          <w:b/>
        </w:rPr>
        <w:t>use of appropriate resources</w:t>
      </w:r>
      <w:r w:rsidR="00066796">
        <w:rPr>
          <w:b/>
        </w:rPr>
        <w:t xml:space="preserve"> aligned to students’ diverse learning needs</w:t>
      </w:r>
      <w:r w:rsidR="00967E0A" w:rsidRPr="003E3B4B">
        <w:rPr>
          <w:b/>
        </w:rPr>
        <w:t xml:space="preserve">, and </w:t>
      </w:r>
      <w:r w:rsidR="006016A0">
        <w:rPr>
          <w:b/>
        </w:rPr>
        <w:t xml:space="preserve">appropriate </w:t>
      </w:r>
      <w:r w:rsidR="00967E0A" w:rsidRPr="003E3B4B">
        <w:rPr>
          <w:b/>
        </w:rPr>
        <w:t>use of formative assessments.</w:t>
      </w:r>
      <w:r w:rsidR="00564193" w:rsidRPr="00564193">
        <w:t xml:space="preserve"> </w:t>
      </w:r>
      <w:r w:rsidR="00564193" w:rsidRPr="00256586">
        <w:rPr>
          <w:b/>
        </w:rPr>
        <w:t>In observed classrooms at all levels, differentiated instruction to meet students’ specific learning needs was the least developed characteristic of effective instruction.</w:t>
      </w:r>
    </w:p>
    <w:p w:rsidR="00967E0A" w:rsidRPr="003E3B4B" w:rsidRDefault="00EB2A3E" w:rsidP="0042053F">
      <w:pPr>
        <w:tabs>
          <w:tab w:val="left" w:pos="360"/>
          <w:tab w:val="left" w:pos="720"/>
          <w:tab w:val="left" w:pos="1080"/>
          <w:tab w:val="left" w:pos="1440"/>
          <w:tab w:val="left" w:pos="1800"/>
          <w:tab w:val="left" w:pos="2160"/>
        </w:tabs>
        <w:ind w:left="720" w:hanging="720"/>
      </w:pPr>
      <w:r>
        <w:tab/>
      </w:r>
      <w:r w:rsidR="00564193">
        <w:rPr>
          <w:b/>
        </w:rPr>
        <w:t>A</w:t>
      </w:r>
      <w:r w:rsidR="00967E0A" w:rsidRPr="003E3B4B">
        <w:rPr>
          <w:b/>
        </w:rPr>
        <w:t>.</w:t>
      </w:r>
      <w:r w:rsidR="00FA7A40" w:rsidRPr="003E3B4B">
        <w:rPr>
          <w:b/>
        </w:rPr>
        <w:t xml:space="preserve"> </w:t>
      </w:r>
      <w:r w:rsidR="0041166C">
        <w:t xml:space="preserve"> </w:t>
      </w:r>
      <w:r w:rsidR="00EA2A40">
        <w:tab/>
      </w:r>
      <w:r w:rsidR="00967E0A" w:rsidRPr="003E3B4B">
        <w:t xml:space="preserve">Team members observed strong </w:t>
      </w:r>
      <w:r w:rsidR="00564193">
        <w:t>and</w:t>
      </w:r>
      <w:r w:rsidR="00564193" w:rsidRPr="003E3B4B">
        <w:t xml:space="preserve"> </w:t>
      </w:r>
      <w:r w:rsidR="00967E0A" w:rsidRPr="003E3B4B">
        <w:t>moderate evidence of differentiated instruction to</w:t>
      </w:r>
      <w:r w:rsidR="00E34FED">
        <w:t xml:space="preserve"> </w:t>
      </w:r>
      <w:r w:rsidR="00967E0A" w:rsidRPr="003E3B4B">
        <w:t>make lesson content accessible to all learners</w:t>
      </w:r>
      <w:r w:rsidR="001709D3">
        <w:t xml:space="preserve"> (characteristic # 8)</w:t>
      </w:r>
      <w:r>
        <w:t xml:space="preserve"> </w:t>
      </w:r>
      <w:r w:rsidR="00967E0A" w:rsidRPr="003E3B4B">
        <w:t xml:space="preserve"> in </w:t>
      </w:r>
      <w:r w:rsidR="00C9772B">
        <w:t xml:space="preserve">31 of </w:t>
      </w:r>
      <w:r w:rsidR="0042053F">
        <w:t xml:space="preserve">50 or 62 percent of observed classrooms (in 64 percent of elementary classes, in 62 percent of middle-school classes, and </w:t>
      </w:r>
      <w:r w:rsidR="00564193">
        <w:t>in</w:t>
      </w:r>
      <w:r w:rsidR="00564193" w:rsidRPr="003E3B4B">
        <w:t xml:space="preserve"> </w:t>
      </w:r>
      <w:r w:rsidR="00967E0A" w:rsidRPr="003E3B4B">
        <w:t xml:space="preserve">59 percent of </w:t>
      </w:r>
      <w:r w:rsidR="0042053F" w:rsidRPr="003E3B4B">
        <w:t>high</w:t>
      </w:r>
      <w:r w:rsidR="0042053F">
        <w:t>-</w:t>
      </w:r>
      <w:r w:rsidR="00967E0A" w:rsidRPr="003E3B4B">
        <w:t>school lessons</w:t>
      </w:r>
      <w:r w:rsidR="0042053F">
        <w:t>)</w:t>
      </w:r>
      <w:r w:rsidR="00967E0A" w:rsidRPr="003E3B4B">
        <w:t>.</w:t>
      </w:r>
    </w:p>
    <w:p w:rsidR="00BD44BB" w:rsidRDefault="0041166C" w:rsidP="00BD44BB">
      <w:pPr>
        <w:tabs>
          <w:tab w:val="left" w:pos="360"/>
          <w:tab w:val="left" w:pos="720"/>
          <w:tab w:val="left" w:pos="1080"/>
          <w:tab w:val="left" w:pos="1440"/>
          <w:tab w:val="left" w:pos="1800"/>
        </w:tabs>
        <w:ind w:left="1080" w:hanging="1080"/>
      </w:pPr>
      <w:r>
        <w:tab/>
      </w:r>
      <w:r w:rsidR="0042053F">
        <w:tab/>
      </w:r>
      <w:r>
        <w:t>1</w:t>
      </w:r>
      <w:r w:rsidR="000449F4" w:rsidRPr="003E3B4B">
        <w:t>.</w:t>
      </w:r>
      <w:r>
        <w:t xml:space="preserve"> </w:t>
      </w:r>
      <w:r>
        <w:tab/>
      </w:r>
      <w:r w:rsidR="00967E0A" w:rsidRPr="003E3B4B">
        <w:t xml:space="preserve">In a </w:t>
      </w:r>
      <w:r w:rsidR="00E0767C">
        <w:t>number of high-school lessons</w:t>
      </w:r>
      <w:r w:rsidR="00967E0A" w:rsidRPr="003E3B4B">
        <w:t xml:space="preserve">, </w:t>
      </w:r>
      <w:r w:rsidR="00E0767C">
        <w:t xml:space="preserve">instruction was “one-size-fits-all” and </w:t>
      </w:r>
      <w:r w:rsidR="00967E0A" w:rsidRPr="003E3B4B">
        <w:t xml:space="preserve">the teacher lectured throughout the entire </w:t>
      </w:r>
      <w:r w:rsidR="00E0767C">
        <w:t>observation</w:t>
      </w:r>
      <w:r w:rsidR="00967E0A" w:rsidRPr="003E3B4B">
        <w:t>.  Occasional</w:t>
      </w:r>
      <w:r w:rsidR="00E0767C">
        <w:t>ly</w:t>
      </w:r>
      <w:r w:rsidR="00967E0A" w:rsidRPr="003E3B4B">
        <w:t xml:space="preserve"> questions</w:t>
      </w:r>
      <w:r w:rsidR="000449F4" w:rsidRPr="003E3B4B">
        <w:t xml:space="preserve"> </w:t>
      </w:r>
      <w:r w:rsidR="00FA7A40" w:rsidRPr="003E3B4B">
        <w:t xml:space="preserve">were asked. </w:t>
      </w:r>
    </w:p>
    <w:p w:rsidR="00BD44BB" w:rsidRDefault="0041166C" w:rsidP="00BD44BB">
      <w:pPr>
        <w:tabs>
          <w:tab w:val="left" w:pos="360"/>
          <w:tab w:val="left" w:pos="720"/>
          <w:tab w:val="left" w:pos="1080"/>
          <w:tab w:val="left" w:pos="1440"/>
          <w:tab w:val="left" w:pos="1800"/>
        </w:tabs>
        <w:ind w:left="1080" w:hanging="1080"/>
      </w:pPr>
      <w:r>
        <w:tab/>
      </w:r>
      <w:r w:rsidR="0042053F">
        <w:tab/>
      </w:r>
      <w:r w:rsidR="00FA7A40" w:rsidRPr="003E3B4B">
        <w:t>2.</w:t>
      </w:r>
      <w:r>
        <w:tab/>
      </w:r>
      <w:r w:rsidR="00967E0A" w:rsidRPr="003E3B4B">
        <w:t xml:space="preserve">In </w:t>
      </w:r>
      <w:r w:rsidR="00E0767C">
        <w:t>contrast</w:t>
      </w:r>
      <w:r w:rsidR="00967E0A" w:rsidRPr="003E3B4B">
        <w:t xml:space="preserve">, </w:t>
      </w:r>
      <w:r w:rsidR="00E0767C">
        <w:t xml:space="preserve">in </w:t>
      </w:r>
      <w:r w:rsidR="00967E0A" w:rsidRPr="003E3B4B">
        <w:t xml:space="preserve">a grade 9 </w:t>
      </w:r>
      <w:r w:rsidR="00E0767C">
        <w:t>p</w:t>
      </w:r>
      <w:r w:rsidR="00E0767C" w:rsidRPr="003E3B4B">
        <w:t xml:space="preserve">hysical </w:t>
      </w:r>
      <w:r w:rsidR="00E0767C">
        <w:t>s</w:t>
      </w:r>
      <w:r w:rsidR="00E0767C" w:rsidRPr="003E3B4B">
        <w:t>cience</w:t>
      </w:r>
      <w:r w:rsidR="00E0767C">
        <w:t xml:space="preserve"> class the</w:t>
      </w:r>
      <w:r w:rsidR="00967E0A" w:rsidRPr="003E3B4B">
        <w:t xml:space="preserve"> teacher used</w:t>
      </w:r>
      <w:r>
        <w:t xml:space="preserve"> </w:t>
      </w:r>
      <w:r w:rsidR="00967E0A" w:rsidRPr="003E3B4B">
        <w:t>scaffolding</w:t>
      </w:r>
      <w:r w:rsidR="00AB6386">
        <w:t>,</w:t>
      </w:r>
      <w:r w:rsidR="00967E0A" w:rsidRPr="003E3B4B">
        <w:t xml:space="preserve"> </w:t>
      </w:r>
      <w:r w:rsidR="00AB6386">
        <w:t xml:space="preserve">or using different levels of activities and resources, </w:t>
      </w:r>
      <w:r w:rsidR="00967E0A" w:rsidRPr="003E3B4B">
        <w:t xml:space="preserve">to </w:t>
      </w:r>
      <w:r w:rsidR="000B6700">
        <w:t xml:space="preserve">help students </w:t>
      </w:r>
      <w:r w:rsidR="00967E0A" w:rsidRPr="003E3B4B">
        <w:t>balance chemical formulas.</w:t>
      </w:r>
    </w:p>
    <w:p w:rsidR="00967E0A" w:rsidRPr="003E3B4B" w:rsidRDefault="0041166C" w:rsidP="0041166C">
      <w:pPr>
        <w:tabs>
          <w:tab w:val="left" w:pos="360"/>
          <w:tab w:val="left" w:pos="720"/>
          <w:tab w:val="left" w:pos="1080"/>
          <w:tab w:val="left" w:pos="1440"/>
        </w:tabs>
        <w:ind w:left="720" w:hanging="720"/>
      </w:pPr>
      <w:r>
        <w:tab/>
      </w:r>
      <w:r w:rsidR="00564193">
        <w:rPr>
          <w:b/>
        </w:rPr>
        <w:t>B</w:t>
      </w:r>
      <w:r w:rsidR="00967E0A" w:rsidRPr="003E3B4B">
        <w:rPr>
          <w:b/>
        </w:rPr>
        <w:t>.</w:t>
      </w:r>
      <w:r w:rsidR="00FA7A40" w:rsidRPr="003E3B4B">
        <w:t xml:space="preserve"> </w:t>
      </w:r>
      <w:r>
        <w:tab/>
      </w:r>
      <w:r w:rsidR="00967E0A" w:rsidRPr="003E3B4B">
        <w:t xml:space="preserve">Team members observed strong </w:t>
      </w:r>
      <w:r w:rsidR="005F6E69">
        <w:t xml:space="preserve">and </w:t>
      </w:r>
      <w:r w:rsidR="00967E0A" w:rsidRPr="003E3B4B">
        <w:t xml:space="preserve">moderate evidence </w:t>
      </w:r>
      <w:r w:rsidR="006E7924">
        <w:t xml:space="preserve">that the teacher </w:t>
      </w:r>
      <w:r w:rsidR="00967E0A" w:rsidRPr="003E3B4B">
        <w:t>use</w:t>
      </w:r>
      <w:r w:rsidR="006E7924">
        <w:t>s</w:t>
      </w:r>
      <w:r w:rsidR="00967E0A" w:rsidRPr="003E3B4B">
        <w:t xml:space="preserve"> appropriate</w:t>
      </w:r>
      <w:r>
        <w:t xml:space="preserve"> </w:t>
      </w:r>
      <w:r w:rsidR="00967E0A" w:rsidRPr="003E3B4B">
        <w:t xml:space="preserve">resources aligned to students’ diverse learning needs </w:t>
      </w:r>
      <w:r w:rsidR="005F6E69">
        <w:t xml:space="preserve">(characteristic #9) </w:t>
      </w:r>
      <w:r w:rsidR="00967E0A" w:rsidRPr="003E3B4B">
        <w:t xml:space="preserve">in 9 of 17 </w:t>
      </w:r>
      <w:r w:rsidR="006E7924">
        <w:t xml:space="preserve">classrooms </w:t>
      </w:r>
      <w:r w:rsidR="00967E0A" w:rsidRPr="003E3B4B">
        <w:t xml:space="preserve">or </w:t>
      </w:r>
      <w:r w:rsidR="005F6E69">
        <w:t xml:space="preserve">in </w:t>
      </w:r>
      <w:r w:rsidR="00967E0A" w:rsidRPr="003E3B4B">
        <w:t>53 percent of</w:t>
      </w:r>
      <w:r>
        <w:t xml:space="preserve"> </w:t>
      </w:r>
      <w:r w:rsidR="005F6E69" w:rsidRPr="003E3B4B">
        <w:t>high</w:t>
      </w:r>
      <w:r w:rsidR="005F6E69">
        <w:t>-</w:t>
      </w:r>
      <w:r w:rsidR="00967E0A" w:rsidRPr="003E3B4B">
        <w:t>school lessons.</w:t>
      </w:r>
    </w:p>
    <w:p w:rsidR="00967E0A" w:rsidRPr="003E3B4B" w:rsidRDefault="0041166C" w:rsidP="0041166C">
      <w:pPr>
        <w:tabs>
          <w:tab w:val="left" w:pos="360"/>
          <w:tab w:val="left" w:pos="720"/>
          <w:tab w:val="left" w:pos="1080"/>
        </w:tabs>
        <w:ind w:left="1080" w:hanging="720"/>
      </w:pPr>
      <w:r>
        <w:tab/>
      </w:r>
      <w:r w:rsidR="00FA7A40" w:rsidRPr="003E3B4B">
        <w:t xml:space="preserve">1. </w:t>
      </w:r>
      <w:r>
        <w:tab/>
      </w:r>
      <w:r w:rsidR="00F44D52">
        <w:t xml:space="preserve">In an </w:t>
      </w:r>
      <w:r w:rsidR="006E7924">
        <w:t>example</w:t>
      </w:r>
      <w:r w:rsidR="00F44D52">
        <w:t xml:space="preserve"> of a lesson in which appropriate resources were not aligned to students’ diverse learning needs</w:t>
      </w:r>
      <w:r w:rsidR="006E7924">
        <w:t>, i</w:t>
      </w:r>
      <w:r w:rsidR="006E7924" w:rsidRPr="003E3B4B">
        <w:t xml:space="preserve">n </w:t>
      </w:r>
      <w:r w:rsidR="00967E0A" w:rsidRPr="003E3B4B">
        <w:t xml:space="preserve">a grade 9 Algebra 1 class, the support staff person sat at the rear </w:t>
      </w:r>
      <w:r w:rsidR="00967E0A" w:rsidRPr="003E3B4B">
        <w:lastRenderedPageBreak/>
        <w:t>of the class throughout the lesson</w:t>
      </w:r>
      <w:r w:rsidR="0092164F">
        <w:t xml:space="preserve"> </w:t>
      </w:r>
      <w:r w:rsidR="006B4F91">
        <w:t xml:space="preserve">and did not </w:t>
      </w:r>
      <w:r w:rsidR="0092164F">
        <w:t xml:space="preserve">work </w:t>
      </w:r>
      <w:r w:rsidR="00824CE7">
        <w:t>to support</w:t>
      </w:r>
      <w:r w:rsidR="0092164F">
        <w:t xml:space="preserve"> students</w:t>
      </w:r>
      <w:r w:rsidR="006471CE">
        <w:t xml:space="preserve"> with diverse learning needs</w:t>
      </w:r>
      <w:r w:rsidR="00967E0A" w:rsidRPr="003E3B4B">
        <w:t>, leaving the class on one occasion to make copies of a handout.</w:t>
      </w:r>
    </w:p>
    <w:p w:rsidR="00967E0A" w:rsidRDefault="0041166C" w:rsidP="0041166C">
      <w:pPr>
        <w:tabs>
          <w:tab w:val="left" w:pos="360"/>
          <w:tab w:val="left" w:pos="720"/>
          <w:tab w:val="left" w:pos="1080"/>
          <w:tab w:val="left" w:pos="1440"/>
        </w:tabs>
        <w:ind w:left="1080" w:hanging="720"/>
      </w:pPr>
      <w:r>
        <w:tab/>
      </w:r>
      <w:r w:rsidR="00FA7A40" w:rsidRPr="003E3B4B">
        <w:t xml:space="preserve">2. </w:t>
      </w:r>
      <w:r>
        <w:tab/>
      </w:r>
      <w:r w:rsidR="00967E0A" w:rsidRPr="003E3B4B">
        <w:t xml:space="preserve">In </w:t>
      </w:r>
      <w:r w:rsidR="00F44D52">
        <w:t>contrast</w:t>
      </w:r>
      <w:r w:rsidR="00967E0A" w:rsidRPr="003E3B4B">
        <w:t xml:space="preserve">, in a grade 11 English class discussing a book </w:t>
      </w:r>
      <w:r w:rsidR="00FA7A40" w:rsidRPr="003E3B4B">
        <w:t>by Thoreau</w:t>
      </w:r>
      <w:r w:rsidR="00967E0A" w:rsidRPr="003E3B4B">
        <w:t>, the</w:t>
      </w:r>
      <w:r w:rsidR="00824CE7">
        <w:t xml:space="preserve"> instructor</w:t>
      </w:r>
      <w:r w:rsidR="00967E0A" w:rsidRPr="003E3B4B">
        <w:t xml:space="preserve"> use</w:t>
      </w:r>
      <w:r w:rsidR="00824CE7">
        <w:t>d</w:t>
      </w:r>
      <w:r w:rsidR="00967E0A" w:rsidRPr="003E3B4B">
        <w:t xml:space="preserve"> </w:t>
      </w:r>
      <w:r w:rsidR="00BA4D3E">
        <w:t xml:space="preserve">a </w:t>
      </w:r>
      <w:r w:rsidR="00967E0A" w:rsidRPr="003E3B4B">
        <w:t>white</w:t>
      </w:r>
      <w:r w:rsidR="00EA1EC6">
        <w:t xml:space="preserve"> </w:t>
      </w:r>
      <w:r w:rsidR="00967E0A" w:rsidRPr="003E3B4B">
        <w:t xml:space="preserve">board and a </w:t>
      </w:r>
      <w:r w:rsidR="00FA7A40" w:rsidRPr="003E3B4B">
        <w:t>PowerPoint presentation</w:t>
      </w:r>
      <w:r w:rsidR="006471CE">
        <w:t xml:space="preserve"> to explain the lesson</w:t>
      </w:r>
      <w:r w:rsidR="00967E0A" w:rsidRPr="003E3B4B">
        <w:t xml:space="preserve">. </w:t>
      </w:r>
    </w:p>
    <w:p w:rsidR="006E7924" w:rsidRDefault="00564193" w:rsidP="006E7924">
      <w:pPr>
        <w:tabs>
          <w:tab w:val="left" w:pos="360"/>
          <w:tab w:val="left" w:pos="720"/>
          <w:tab w:val="left" w:pos="1080"/>
          <w:tab w:val="left" w:pos="1440"/>
        </w:tabs>
        <w:ind w:left="720" w:hanging="360"/>
      </w:pPr>
      <w:r>
        <w:rPr>
          <w:b/>
        </w:rPr>
        <w:t>C</w:t>
      </w:r>
      <w:r w:rsidR="00BD44BB" w:rsidRPr="00BD44BB">
        <w:rPr>
          <w:b/>
        </w:rPr>
        <w:t>.</w:t>
      </w:r>
      <w:r w:rsidR="006E7924">
        <w:rPr>
          <w:b/>
        </w:rPr>
        <w:tab/>
      </w:r>
      <w:r w:rsidR="00BD44BB" w:rsidRPr="00BD44BB">
        <w:t>The review</w:t>
      </w:r>
      <w:r w:rsidR="006E7924">
        <w:t xml:space="preserve"> team found strong and moderate evidence that the teac</w:t>
      </w:r>
      <w:r w:rsidR="00EA1EC6">
        <w:t>her</w:t>
      </w:r>
      <w:r w:rsidR="006E7924">
        <w:t xml:space="preserve"> conducted appropriate formative assessments to check for understanding and provide feedback to students (characteristic # 11) i</w:t>
      </w:r>
      <w:r w:rsidR="006751D8">
        <w:t>n 11 of 17</w:t>
      </w:r>
      <w:r w:rsidR="006E7924">
        <w:t xml:space="preserve"> classes or in 65 percent of high-school lessons.</w:t>
      </w:r>
    </w:p>
    <w:p w:rsidR="00F44D52" w:rsidRPr="00F44D52" w:rsidRDefault="00F44D52" w:rsidP="00925CFD">
      <w:pPr>
        <w:tabs>
          <w:tab w:val="left" w:pos="360"/>
          <w:tab w:val="left" w:pos="720"/>
          <w:tab w:val="left" w:pos="1080"/>
          <w:tab w:val="left" w:pos="1440"/>
        </w:tabs>
        <w:ind w:left="1080" w:hanging="720"/>
      </w:pPr>
      <w:r>
        <w:rPr>
          <w:b/>
        </w:rPr>
        <w:tab/>
      </w:r>
      <w:r w:rsidR="00BD44BB" w:rsidRPr="00BD44BB">
        <w:t>1.</w:t>
      </w:r>
      <w:r>
        <w:tab/>
      </w:r>
      <w:r w:rsidR="00EA1EC6">
        <w:t>In an example in which</w:t>
      </w:r>
      <w:r w:rsidR="00D54F84">
        <w:t xml:space="preserve"> an opportunity to adjust instruction and give students feedback was lost, a history teacher did not check in </w:t>
      </w:r>
      <w:r w:rsidR="00925CFD">
        <w:t xml:space="preserve">periodically </w:t>
      </w:r>
      <w:r w:rsidR="00D54F84">
        <w:t xml:space="preserve">with or </w:t>
      </w:r>
      <w:r w:rsidR="00925CFD">
        <w:t>provide feedback to students</w:t>
      </w:r>
      <w:r w:rsidR="00D54F84">
        <w:t>.</w:t>
      </w:r>
    </w:p>
    <w:p w:rsidR="00BF3E10" w:rsidRPr="00BF3E10" w:rsidRDefault="00BF3E10" w:rsidP="00F44D52">
      <w:pPr>
        <w:tabs>
          <w:tab w:val="left" w:pos="360"/>
          <w:tab w:val="left" w:pos="720"/>
          <w:tab w:val="left" w:pos="1080"/>
          <w:tab w:val="left" w:pos="1440"/>
        </w:tabs>
        <w:ind w:left="1080" w:hanging="720"/>
      </w:pPr>
      <w:r>
        <w:rPr>
          <w:b/>
        </w:rPr>
        <w:tab/>
      </w:r>
      <w:r w:rsidR="00F44D52">
        <w:t>2</w:t>
      </w:r>
      <w:r w:rsidR="00BD44BB" w:rsidRPr="00BD44BB">
        <w:t xml:space="preserve">. </w:t>
      </w:r>
      <w:r w:rsidR="005A2EAD">
        <w:tab/>
      </w:r>
      <w:r w:rsidR="00EA1EC6">
        <w:t>In an</w:t>
      </w:r>
      <w:r w:rsidR="00BD44BB" w:rsidRPr="00BD44BB">
        <w:t xml:space="preserve"> example</w:t>
      </w:r>
      <w:r w:rsidR="00EA1EC6">
        <w:t xml:space="preserve"> of the use of appropriate formative assessments</w:t>
      </w:r>
      <w:r w:rsidR="00BD44BB" w:rsidRPr="00BD44BB">
        <w:t xml:space="preserve">, </w:t>
      </w:r>
      <w:r w:rsidR="003F55C3">
        <w:t xml:space="preserve">in a grade 9 science class, </w:t>
      </w:r>
      <w:r w:rsidR="00F44D52">
        <w:t xml:space="preserve">team members observed </w:t>
      </w:r>
      <w:r w:rsidR="009A0670">
        <w:t xml:space="preserve">frequent </w:t>
      </w:r>
      <w:r w:rsidR="00F44D52">
        <w:t>“dip</w:t>
      </w:r>
      <w:r w:rsidR="00EA1EC6">
        <w:t>-</w:t>
      </w:r>
      <w:r w:rsidR="00F44D52">
        <w:t xml:space="preserve">sticking” to assess </w:t>
      </w:r>
      <w:r w:rsidR="00EA1EC6">
        <w:t xml:space="preserve">students’ </w:t>
      </w:r>
      <w:r w:rsidR="00F44D52">
        <w:t>understanding.</w:t>
      </w:r>
    </w:p>
    <w:p w:rsidR="00967E0A" w:rsidRPr="003E3B4B" w:rsidRDefault="00967E0A" w:rsidP="00967E0A">
      <w:r w:rsidRPr="003E3B4B">
        <w:rPr>
          <w:b/>
        </w:rPr>
        <w:t xml:space="preserve">Impact:    </w:t>
      </w:r>
      <w:r w:rsidRPr="003E3B4B">
        <w:t>Students are more likely to improve their knowledge and skills when lessons are design</w:t>
      </w:r>
      <w:r w:rsidR="00AB5BCA">
        <w:t>ed</w:t>
      </w:r>
      <w:r w:rsidRPr="003E3B4B">
        <w:t xml:space="preserve"> with students’ diverse learning needs in mind, rather than </w:t>
      </w:r>
      <w:r w:rsidR="00AB5BCA">
        <w:t>as</w:t>
      </w:r>
      <w:r w:rsidRPr="003E3B4B">
        <w:t xml:space="preserve"> a “one size fits all” whole</w:t>
      </w:r>
      <w:r w:rsidR="00AB5BCA">
        <w:t>-</w:t>
      </w:r>
      <w:r w:rsidRPr="003E3B4B">
        <w:t xml:space="preserve">class, teacher-centered lesson.  Without the use of a repertoire of appropriate resources, teachers lose the opportunity to impart knowledge to students with a variety of learning styles and needs.  </w:t>
      </w:r>
      <w:r w:rsidR="005A2EAD">
        <w:t xml:space="preserve">Without consistent use of appropriate formative assessments, teachers cannot effectively </w:t>
      </w:r>
      <w:r w:rsidR="00AB5BCA">
        <w:t>identify instructional strengths and needs.</w:t>
      </w:r>
    </w:p>
    <w:p w:rsidR="00967E0A" w:rsidRPr="00730088" w:rsidRDefault="00967E0A" w:rsidP="00967E0A">
      <w:pPr>
        <w:rPr>
          <w:b/>
          <w:sz w:val="28"/>
          <w:szCs w:val="28"/>
        </w:rPr>
      </w:pPr>
      <w:r w:rsidRPr="00730088">
        <w:rPr>
          <w:b/>
          <w:sz w:val="28"/>
          <w:szCs w:val="28"/>
        </w:rPr>
        <w:t>Recommendation</w:t>
      </w:r>
    </w:p>
    <w:p w:rsidR="00967E0A" w:rsidRPr="00BC3E98" w:rsidRDefault="00E343DA" w:rsidP="00E343DA">
      <w:pPr>
        <w:tabs>
          <w:tab w:val="left" w:pos="360"/>
          <w:tab w:val="left" w:pos="720"/>
          <w:tab w:val="left" w:pos="1080"/>
          <w:tab w:val="left" w:pos="1440"/>
        </w:tabs>
        <w:ind w:left="360" w:hanging="360"/>
        <w:rPr>
          <w:b/>
        </w:rPr>
      </w:pPr>
      <w:r>
        <w:rPr>
          <w:b/>
        </w:rPr>
        <w:t>1</w:t>
      </w:r>
      <w:r w:rsidR="00967E0A" w:rsidRPr="003E3B4B">
        <w:rPr>
          <w:b/>
        </w:rPr>
        <w:t>.</w:t>
      </w:r>
      <w:r w:rsidR="003F35BD" w:rsidRPr="003E3B4B">
        <w:rPr>
          <w:b/>
        </w:rPr>
        <w:t xml:space="preserve"> </w:t>
      </w:r>
      <w:r>
        <w:rPr>
          <w:b/>
        </w:rPr>
        <w:tab/>
      </w:r>
      <w:r w:rsidR="00967E0A" w:rsidRPr="00BC3E98">
        <w:rPr>
          <w:b/>
        </w:rPr>
        <w:t>The district should improve instruction by building teachers’ capacity, particularly at the high school, to deliver differentiated instruction and to use appropriate resources aligned to students’ diverse learning needs.</w:t>
      </w:r>
    </w:p>
    <w:p w:rsidR="00967E0A" w:rsidRPr="003E3B4B" w:rsidRDefault="00967E0A" w:rsidP="00E343DA">
      <w:pPr>
        <w:tabs>
          <w:tab w:val="left" w:pos="360"/>
          <w:tab w:val="left" w:pos="720"/>
          <w:tab w:val="left" w:pos="1080"/>
          <w:tab w:val="left" w:pos="1440"/>
        </w:tabs>
        <w:ind w:left="720" w:hanging="720"/>
      </w:pPr>
      <w:r w:rsidRPr="003E3B4B">
        <w:tab/>
      </w:r>
      <w:r w:rsidRPr="003E3B4B">
        <w:rPr>
          <w:b/>
        </w:rPr>
        <w:t>A.</w:t>
      </w:r>
      <w:r w:rsidR="00FA7A40" w:rsidRPr="003E3B4B">
        <w:rPr>
          <w:b/>
        </w:rPr>
        <w:t xml:space="preserve"> </w:t>
      </w:r>
      <w:r w:rsidR="00E343DA">
        <w:rPr>
          <w:b/>
        </w:rPr>
        <w:tab/>
      </w:r>
      <w:r w:rsidRPr="003E3B4B">
        <w:t xml:space="preserve">The district should consider making differentiated instruction and use of </w:t>
      </w:r>
      <w:r w:rsidRPr="003E3B4B">
        <w:tab/>
      </w:r>
      <w:r w:rsidRPr="003E3B4B">
        <w:tab/>
      </w:r>
      <w:r w:rsidRPr="003E3B4B">
        <w:tab/>
        <w:t>appropriate resources a focus for planning professional development.</w:t>
      </w:r>
    </w:p>
    <w:p w:rsidR="00967E0A" w:rsidRPr="003E3B4B" w:rsidRDefault="00E343DA" w:rsidP="00E343DA">
      <w:pPr>
        <w:tabs>
          <w:tab w:val="left" w:pos="360"/>
          <w:tab w:val="left" w:pos="720"/>
          <w:tab w:val="left" w:pos="1080"/>
          <w:tab w:val="left" w:pos="1440"/>
        </w:tabs>
        <w:ind w:left="1080" w:hanging="1080"/>
      </w:pPr>
      <w:r>
        <w:tab/>
      </w:r>
      <w:r>
        <w:tab/>
      </w:r>
      <w:r w:rsidR="00FA7A40" w:rsidRPr="003E3B4B">
        <w:t xml:space="preserve">1. </w:t>
      </w:r>
      <w:r>
        <w:tab/>
      </w:r>
      <w:r w:rsidR="00967E0A" w:rsidRPr="003E3B4B">
        <w:t xml:space="preserve">The high school staff should focus less on lecture and more on </w:t>
      </w:r>
      <w:r w:rsidR="000600A9">
        <w:t>approaches that more effectively engage students in learning</w:t>
      </w:r>
      <w:r w:rsidR="00967E0A" w:rsidRPr="003E3B4B">
        <w:t>.</w:t>
      </w:r>
      <w:r w:rsidR="00967E0A" w:rsidRPr="003E3B4B">
        <w:tab/>
      </w:r>
    </w:p>
    <w:p w:rsidR="00967E0A" w:rsidRPr="003E3B4B" w:rsidRDefault="00E343DA" w:rsidP="00E343DA">
      <w:pPr>
        <w:tabs>
          <w:tab w:val="left" w:pos="360"/>
          <w:tab w:val="left" w:pos="720"/>
          <w:tab w:val="left" w:pos="1080"/>
          <w:tab w:val="left" w:pos="1440"/>
        </w:tabs>
        <w:ind w:left="1080" w:hanging="1080"/>
      </w:pPr>
      <w:r>
        <w:tab/>
      </w:r>
      <w:r>
        <w:tab/>
      </w:r>
      <w:r w:rsidR="00FA7A40" w:rsidRPr="003E3B4B">
        <w:t xml:space="preserve">2. </w:t>
      </w:r>
      <w:r>
        <w:tab/>
      </w:r>
      <w:r w:rsidR="00DB67AB">
        <w:t>Professional development</w:t>
      </w:r>
      <w:r w:rsidR="00DB67AB" w:rsidRPr="003E3B4B">
        <w:t xml:space="preserve"> </w:t>
      </w:r>
      <w:r w:rsidR="00967E0A" w:rsidRPr="003E3B4B">
        <w:t>opportunities could include sharing</w:t>
      </w:r>
      <w:r w:rsidR="00FA7A40" w:rsidRPr="003E3B4B">
        <w:t xml:space="preserve"> best practices at faculty </w:t>
      </w:r>
      <w:r w:rsidR="00967E0A" w:rsidRPr="003E3B4B">
        <w:t>meetings, professional development days, and reporting on lessons learned from out-of-district workshops and classes.  Teacher-led workshops are an excellent way of sharing and networking.</w:t>
      </w:r>
    </w:p>
    <w:p w:rsidR="00967E0A" w:rsidRPr="003E3B4B" w:rsidRDefault="00E343DA" w:rsidP="00E343DA">
      <w:pPr>
        <w:tabs>
          <w:tab w:val="left" w:pos="360"/>
          <w:tab w:val="left" w:pos="720"/>
        </w:tabs>
        <w:ind w:left="720" w:hanging="720"/>
      </w:pPr>
      <w:r>
        <w:tab/>
      </w:r>
      <w:r w:rsidR="00967E0A" w:rsidRPr="003E3B4B">
        <w:rPr>
          <w:b/>
        </w:rPr>
        <w:t>B.</w:t>
      </w:r>
      <w:r w:rsidR="00FA7A40" w:rsidRPr="003E3B4B">
        <w:t xml:space="preserve"> </w:t>
      </w:r>
      <w:r>
        <w:tab/>
      </w:r>
      <w:r w:rsidR="00967E0A" w:rsidRPr="003E3B4B">
        <w:t xml:space="preserve">Teachers should be given the opportunity to observe peers who demonstrate expertise in these areas.  </w:t>
      </w:r>
    </w:p>
    <w:p w:rsidR="00BD44BB" w:rsidRDefault="00E343DA" w:rsidP="00BD44BB">
      <w:pPr>
        <w:tabs>
          <w:tab w:val="left" w:pos="360"/>
          <w:tab w:val="left" w:pos="720"/>
          <w:tab w:val="left" w:pos="1080"/>
          <w:tab w:val="left" w:pos="1440"/>
        </w:tabs>
        <w:ind w:left="720" w:hanging="720"/>
      </w:pPr>
      <w:r>
        <w:tab/>
      </w:r>
      <w:r w:rsidR="00967E0A" w:rsidRPr="003E3B4B">
        <w:rPr>
          <w:b/>
        </w:rPr>
        <w:t>C.</w:t>
      </w:r>
      <w:r w:rsidR="00FA7A40" w:rsidRPr="003E3B4B">
        <w:t xml:space="preserve"> </w:t>
      </w:r>
      <w:r>
        <w:tab/>
      </w:r>
      <w:r w:rsidR="00967E0A" w:rsidRPr="003E3B4B">
        <w:t>When conducting observations and learning walks, evaluators should provide</w:t>
      </w:r>
      <w:r>
        <w:t xml:space="preserve"> </w:t>
      </w:r>
      <w:r w:rsidR="00967E0A" w:rsidRPr="003E3B4B">
        <w:t>feedback</w:t>
      </w:r>
      <w:r w:rsidR="00CA4754">
        <w:t xml:space="preserve"> </w:t>
      </w:r>
      <w:r w:rsidR="00967E0A" w:rsidRPr="003E3B4B">
        <w:t xml:space="preserve">to teachers on how to improve their skills in differentiated instruction and the use of appropriate resources aligned to students’ diverse needs. </w:t>
      </w:r>
    </w:p>
    <w:p w:rsidR="00967E0A" w:rsidRPr="003E3B4B" w:rsidRDefault="00FA7A40" w:rsidP="00E343DA">
      <w:pPr>
        <w:tabs>
          <w:tab w:val="left" w:pos="360"/>
          <w:tab w:val="left" w:pos="720"/>
          <w:tab w:val="left" w:pos="1080"/>
          <w:tab w:val="left" w:pos="1440"/>
        </w:tabs>
        <w:ind w:left="1080" w:hanging="360"/>
      </w:pPr>
      <w:r w:rsidRPr="003E3B4B">
        <w:lastRenderedPageBreak/>
        <w:t xml:space="preserve">1. </w:t>
      </w:r>
      <w:r w:rsidR="00E343DA">
        <w:tab/>
      </w:r>
      <w:r w:rsidR="00CA4754">
        <w:t>It might be helpful to c</w:t>
      </w:r>
      <w:r w:rsidR="00967E0A" w:rsidRPr="003E3B4B">
        <w:t xml:space="preserve">onduct a review of data from </w:t>
      </w:r>
      <w:r w:rsidR="005F436A" w:rsidRPr="003E3B4B">
        <w:t>educat</w:t>
      </w:r>
      <w:r w:rsidR="005F436A">
        <w:t xml:space="preserve">ors’ </w:t>
      </w:r>
      <w:r w:rsidR="00727C6E" w:rsidRPr="003E3B4B">
        <w:t xml:space="preserve">evaluations to ensure that </w:t>
      </w:r>
      <w:r w:rsidR="00967E0A" w:rsidRPr="003E3B4B">
        <w:t>Indicator IIA (</w:t>
      </w:r>
      <w:r w:rsidR="00785165">
        <w:t>l</w:t>
      </w:r>
      <w:r w:rsidR="00967E0A" w:rsidRPr="003E3B4B">
        <w:t>essons “engage all students and are personalized to accommodate diverse learning styles, needs, interests, and level of readiness”) and IID (</w:t>
      </w:r>
      <w:r w:rsidR="00785165">
        <w:t>m</w:t>
      </w:r>
      <w:r w:rsidR="00967E0A" w:rsidRPr="003E3B4B">
        <w:t>ake “knowledge accessible to all students”) are being addressed in classrooms and through professional development opportunities.</w:t>
      </w:r>
    </w:p>
    <w:p w:rsidR="00BD44BB" w:rsidRDefault="00727C6E" w:rsidP="00BD44BB">
      <w:r w:rsidRPr="00AB09BD">
        <w:rPr>
          <w:rFonts w:eastAsia="Times New Roman" w:cs="Times New Roman"/>
          <w:b/>
        </w:rPr>
        <w:t xml:space="preserve">Benefits: </w:t>
      </w:r>
      <w:r w:rsidRPr="00AB09BD">
        <w:rPr>
          <w:rFonts w:eastAsia="Times New Roman" w:cs="Times New Roman"/>
        </w:rPr>
        <w:t xml:space="preserve"> </w:t>
      </w:r>
      <w:r w:rsidR="00AB09BD" w:rsidRPr="003E3B4B">
        <w:t>By implementing this recommendation, the district will facilitate more focused feedback and professional development. Students will benefit from lessons that meet their specific learning needs.  As a result, they will be better able to demonstrate what they truly understand.</w:t>
      </w:r>
      <w:r w:rsidR="00AB09BD">
        <w:t xml:space="preserve"> </w:t>
      </w:r>
      <w:r w:rsidR="005F436A">
        <w:t xml:space="preserve"> </w:t>
      </w:r>
      <w:r w:rsidR="00967E0A" w:rsidRPr="003E3B4B">
        <w:t>A district that supports high-quality instruction for all students creates and sustains a cult</w:t>
      </w:r>
      <w:r w:rsidRPr="003E3B4B">
        <w:t xml:space="preserve">ure of continuous improvement </w:t>
      </w:r>
      <w:r w:rsidR="00AB09BD">
        <w:t>that can lead to</w:t>
      </w:r>
      <w:r w:rsidR="00967E0A" w:rsidRPr="003E3B4B">
        <w:t xml:space="preserve"> professional growth and increased student achievement. </w:t>
      </w:r>
    </w:p>
    <w:p w:rsidR="007C01ED" w:rsidRPr="003E3B4B" w:rsidRDefault="007C01ED" w:rsidP="007C01ED"/>
    <w:p w:rsidR="008E314D" w:rsidRDefault="00DD1279"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484613524"/>
      <w:bookmarkEnd w:id="10"/>
      <w:r>
        <w:lastRenderedPageBreak/>
        <w:t>Human Resources and Professional Development</w:t>
      </w:r>
      <w:bookmarkEnd w:id="12"/>
    </w:p>
    <w:p w:rsidR="003F35BD" w:rsidRPr="006B25AE" w:rsidRDefault="003F35BD" w:rsidP="003F35BD">
      <w:pPr>
        <w:rPr>
          <w:b/>
          <w:i/>
          <w:sz w:val="28"/>
          <w:szCs w:val="28"/>
        </w:rPr>
      </w:pPr>
      <w:r w:rsidRPr="00C412C4">
        <w:rPr>
          <w:b/>
          <w:i/>
          <w:sz w:val="28"/>
          <w:szCs w:val="28"/>
        </w:rPr>
        <w:t>Contextual Background</w:t>
      </w:r>
    </w:p>
    <w:p w:rsidR="003F35BD" w:rsidRDefault="003F35BD" w:rsidP="003F35BD">
      <w:r>
        <w:t>Th</w:t>
      </w:r>
      <w:r w:rsidR="00445352">
        <w:t>e district has in place a multi-</w:t>
      </w:r>
      <w:r>
        <w:t>year mento</w:t>
      </w:r>
      <w:r w:rsidR="00445352">
        <w:t>ring prog</w:t>
      </w:r>
      <w:r w:rsidR="00A6601E">
        <w:t>ram for first</w:t>
      </w:r>
      <w:r w:rsidR="008B2477">
        <w:t>-</w:t>
      </w:r>
      <w:r w:rsidR="00A6601E">
        <w:t xml:space="preserve"> and </w:t>
      </w:r>
      <w:r w:rsidR="008B2477">
        <w:t>second-</w:t>
      </w:r>
      <w:r w:rsidR="00A6601E">
        <w:t>year teachers.    Mentor</w:t>
      </w:r>
      <w:r w:rsidR="008B2477">
        <w:t>s</w:t>
      </w:r>
      <w:r w:rsidR="00A6601E">
        <w:t xml:space="preserve"> and </w:t>
      </w:r>
      <w:r w:rsidR="008B2477">
        <w:t xml:space="preserve">mentees </w:t>
      </w:r>
      <w:r w:rsidR="00A6601E">
        <w:t>follow month-by-month curricula</w:t>
      </w:r>
      <w:r w:rsidR="00D320A8">
        <w:t xml:space="preserve"> and</w:t>
      </w:r>
      <w:r w:rsidR="00A6601E">
        <w:t xml:space="preserve"> meet regularly </w:t>
      </w:r>
      <w:r w:rsidR="008B2477">
        <w:t>each</w:t>
      </w:r>
      <w:r w:rsidR="00A6601E">
        <w:t xml:space="preserve"> month, and mentors observe</w:t>
      </w:r>
      <w:r w:rsidR="008B2477">
        <w:t xml:space="preserve"> </w:t>
      </w:r>
      <w:r w:rsidR="00A6601E">
        <w:t>mentees in the classroom monthly.</w:t>
      </w:r>
      <w:r w:rsidR="00646C44">
        <w:t xml:space="preserve"> The district mentoring coordinator is supported by school mentoring coordinators who implement the program at each school and pair mentors and mentees. The district has approximately 45 trained mentors.  </w:t>
      </w:r>
    </w:p>
    <w:p w:rsidR="00445352" w:rsidRPr="00355FD8" w:rsidRDefault="00445352" w:rsidP="00445352">
      <w:pPr>
        <w:spacing w:after="120"/>
      </w:pPr>
      <w:r w:rsidRPr="00355FD8">
        <w:t xml:space="preserve">The district has a </w:t>
      </w:r>
      <w:r w:rsidR="001709D3">
        <w:t xml:space="preserve">coordinated </w:t>
      </w:r>
      <w:r>
        <w:t xml:space="preserve">professional development </w:t>
      </w:r>
      <w:r w:rsidR="007F06B3">
        <w:t xml:space="preserve">(PD) </w:t>
      </w:r>
      <w:r w:rsidR="001709D3">
        <w:t>program</w:t>
      </w:r>
      <w:r w:rsidRPr="00355FD8">
        <w:t xml:space="preserve">. </w:t>
      </w:r>
      <w:r w:rsidR="00B25DA1">
        <w:t>Using multiple forms of data, t</w:t>
      </w:r>
      <w:r w:rsidR="00B25DA1" w:rsidRPr="00355FD8">
        <w:t xml:space="preserve">he </w:t>
      </w:r>
      <w:r w:rsidR="001709D3" w:rsidRPr="00355FD8">
        <w:t xml:space="preserve">district has determined specific </w:t>
      </w:r>
      <w:r w:rsidR="001709D3">
        <w:t xml:space="preserve">focus </w:t>
      </w:r>
      <w:r w:rsidR="001709D3" w:rsidRPr="00355FD8">
        <w:t xml:space="preserve">areas </w:t>
      </w:r>
      <w:r w:rsidR="001709D3">
        <w:t xml:space="preserve">for PD in 2016–2017, </w:t>
      </w:r>
      <w:r w:rsidR="001709D3" w:rsidRPr="00355FD8">
        <w:t>includ</w:t>
      </w:r>
      <w:r w:rsidR="001709D3">
        <w:t>ing</w:t>
      </w:r>
      <w:r w:rsidR="001709D3" w:rsidRPr="00355FD8">
        <w:t xml:space="preserve"> co-teaching, Keys to Literacy</w:t>
      </w:r>
      <w:r w:rsidR="001709D3">
        <w:t>,</w:t>
      </w:r>
      <w:r w:rsidR="001709D3" w:rsidRPr="00355FD8">
        <w:t xml:space="preserve"> and the</w:t>
      </w:r>
      <w:r w:rsidR="001709D3">
        <w:t xml:space="preserve"> new K–8 mathematics program. </w:t>
      </w:r>
      <w:r w:rsidRPr="00355FD8">
        <w:t xml:space="preserve">The </w:t>
      </w:r>
      <w:r w:rsidR="007F06B3">
        <w:t>PD</w:t>
      </w:r>
      <w:r w:rsidRPr="00355FD8">
        <w:t xml:space="preserve"> goals in the </w:t>
      </w:r>
      <w:r w:rsidR="008B2477">
        <w:t>School Improvement Plans (</w:t>
      </w:r>
      <w:r w:rsidR="00A6601E">
        <w:t>SIPs</w:t>
      </w:r>
      <w:r w:rsidR="008B2477">
        <w:t>)</w:t>
      </w:r>
      <w:r w:rsidR="002A0505">
        <w:t xml:space="preserve"> are aligned </w:t>
      </w:r>
      <w:r w:rsidR="00363CC2">
        <w:t>with</w:t>
      </w:r>
      <w:r w:rsidR="002A0505">
        <w:t xml:space="preserve"> DIP goals</w:t>
      </w:r>
      <w:r w:rsidRPr="00355FD8">
        <w:t xml:space="preserve">. </w:t>
      </w:r>
      <w:r w:rsidR="007F06B3">
        <w:t xml:space="preserve">PD </w:t>
      </w:r>
      <w:r w:rsidRPr="00355FD8">
        <w:t>is delivered</w:t>
      </w:r>
      <w:r>
        <w:t xml:space="preserve"> during the summer and on two </w:t>
      </w:r>
      <w:r w:rsidR="003835D4">
        <w:t>PD</w:t>
      </w:r>
      <w:r w:rsidRPr="00355FD8">
        <w:t xml:space="preserve"> days</w:t>
      </w:r>
      <w:r w:rsidR="00292085">
        <w:t xml:space="preserve"> </w:t>
      </w:r>
      <w:r w:rsidRPr="00355FD8">
        <w:t>in October and Novemb</w:t>
      </w:r>
      <w:r w:rsidR="00A6601E">
        <w:t xml:space="preserve">er. The district has a </w:t>
      </w:r>
      <w:r w:rsidR="007F06B3">
        <w:t>PD</w:t>
      </w:r>
      <w:r w:rsidR="00A6601E">
        <w:t xml:space="preserve"> c</w:t>
      </w:r>
      <w:r w:rsidRPr="00355FD8">
        <w:t>ommittee that meets twice a year to formalize the district</w:t>
      </w:r>
      <w:r>
        <w:t>’</w:t>
      </w:r>
      <w:r w:rsidRPr="00355FD8">
        <w:t xml:space="preserve">s </w:t>
      </w:r>
      <w:r w:rsidR="007F06B3">
        <w:t xml:space="preserve">PD </w:t>
      </w:r>
      <w:r w:rsidRPr="00355FD8">
        <w:t xml:space="preserve">for the year. </w:t>
      </w:r>
      <w:r>
        <w:t xml:space="preserve">The committee also produces a </w:t>
      </w:r>
      <w:r w:rsidR="007F06B3">
        <w:t>PD</w:t>
      </w:r>
      <w:r w:rsidR="00A6601E">
        <w:t xml:space="preserve"> h</w:t>
      </w:r>
      <w:r w:rsidRPr="00355FD8">
        <w:t>an</w:t>
      </w:r>
      <w:r>
        <w:t>dbook</w:t>
      </w:r>
      <w:r w:rsidR="00A6601E">
        <w:t>,</w:t>
      </w:r>
      <w:r>
        <w:t xml:space="preserve"> which outlines </w:t>
      </w:r>
      <w:r w:rsidR="007F06B3">
        <w:t xml:space="preserve">the </w:t>
      </w:r>
      <w:r>
        <w:t>district</w:t>
      </w:r>
      <w:r w:rsidR="007F06B3">
        <w:t>’s</w:t>
      </w:r>
      <w:r>
        <w:t xml:space="preserve"> </w:t>
      </w:r>
      <w:r w:rsidR="007F06B3">
        <w:t>PD</w:t>
      </w:r>
      <w:r w:rsidRPr="00355FD8">
        <w:t xml:space="preserve"> and the procedures </w:t>
      </w:r>
      <w:r w:rsidR="002A0505">
        <w:t xml:space="preserve">that </w:t>
      </w:r>
      <w:r w:rsidRPr="00355FD8">
        <w:t>teacher</w:t>
      </w:r>
      <w:r>
        <w:t xml:space="preserve">s need to access </w:t>
      </w:r>
      <w:r w:rsidR="002A0505">
        <w:t>the PD portal to sign up for classes</w:t>
      </w:r>
      <w:r>
        <w:t xml:space="preserve">. The </w:t>
      </w:r>
      <w:r w:rsidR="00FD4FA5">
        <w:t>PD</w:t>
      </w:r>
      <w:r w:rsidRPr="00355FD8">
        <w:t xml:space="preserve"> outlined in the ha</w:t>
      </w:r>
      <w:r>
        <w:t xml:space="preserve">ndbook is consistent with the </w:t>
      </w:r>
      <w:r w:rsidR="00FD4FA5">
        <w:t xml:space="preserve">PD needs </w:t>
      </w:r>
      <w:r w:rsidRPr="00355FD8">
        <w:t>outlined in the DIP and the SIPs.</w:t>
      </w:r>
    </w:p>
    <w:p w:rsidR="00727C6E" w:rsidRDefault="00445352" w:rsidP="00A6601E">
      <w:pPr>
        <w:spacing w:after="120"/>
      </w:pPr>
      <w:r>
        <w:t xml:space="preserve">To </w:t>
      </w:r>
      <w:r w:rsidR="00175722">
        <w:t>enable</w:t>
      </w:r>
      <w:r w:rsidR="008B2477">
        <w:t xml:space="preserve"> </w:t>
      </w:r>
      <w:r w:rsidR="00924AB5">
        <w:t xml:space="preserve">teachers </w:t>
      </w:r>
      <w:r w:rsidR="00175722">
        <w:t>to</w:t>
      </w:r>
      <w:r w:rsidR="00D320A8">
        <w:t xml:space="preserve"> attend</w:t>
      </w:r>
      <w:r w:rsidR="00924AB5">
        <w:t xml:space="preserve"> </w:t>
      </w:r>
      <w:r w:rsidR="00FD4FA5">
        <w:t xml:space="preserve">PD </w:t>
      </w:r>
      <w:r w:rsidR="00D320A8">
        <w:t xml:space="preserve">offerings </w:t>
      </w:r>
      <w:r w:rsidR="003835D4">
        <w:t>during</w:t>
      </w:r>
      <w:r w:rsidR="003835D4" w:rsidRPr="00355FD8">
        <w:t xml:space="preserve"> </w:t>
      </w:r>
      <w:r w:rsidRPr="00355FD8">
        <w:t xml:space="preserve">the school </w:t>
      </w:r>
      <w:r w:rsidR="003835D4">
        <w:t>day</w:t>
      </w:r>
      <w:r w:rsidRPr="00355FD8">
        <w:t xml:space="preserve">, </w:t>
      </w:r>
      <w:r w:rsidR="008B2477">
        <w:t>p</w:t>
      </w:r>
      <w:r w:rsidR="008B2477" w:rsidRPr="00355FD8">
        <w:t xml:space="preserve">rincipals </w:t>
      </w:r>
      <w:r w:rsidRPr="00355FD8">
        <w:t xml:space="preserve">hire substitute teachers. </w:t>
      </w:r>
      <w:r w:rsidR="000A54E7" w:rsidRPr="00355FD8">
        <w:t xml:space="preserve">Teachers also have the </w:t>
      </w:r>
      <w:r w:rsidR="000A54E7">
        <w:t xml:space="preserve">option of pursuing individual </w:t>
      </w:r>
      <w:r w:rsidR="00AE7397">
        <w:t>PD</w:t>
      </w:r>
      <w:r w:rsidR="000A54E7" w:rsidRPr="00355FD8">
        <w:t xml:space="preserve"> </w:t>
      </w:r>
      <w:r w:rsidR="000A54E7">
        <w:t>in support of their p</w:t>
      </w:r>
      <w:r w:rsidR="000A54E7" w:rsidRPr="00355FD8">
        <w:t>rofe</w:t>
      </w:r>
      <w:r w:rsidR="000A54E7">
        <w:t>ssional development pl</w:t>
      </w:r>
      <w:r w:rsidR="000A54E7" w:rsidRPr="00355FD8">
        <w:t>ans (</w:t>
      </w:r>
      <w:r w:rsidR="000A54E7">
        <w:t>IPDP</w:t>
      </w:r>
      <w:r w:rsidR="00AE7397">
        <w:t>s</w:t>
      </w:r>
      <w:r w:rsidR="000A54E7" w:rsidRPr="00355FD8">
        <w:t xml:space="preserve">) for recertification. </w:t>
      </w:r>
      <w:r w:rsidRPr="00355FD8">
        <w:t xml:space="preserve">The district has a limited number of academic coaches and some of these </w:t>
      </w:r>
      <w:r w:rsidR="00924AB5">
        <w:t xml:space="preserve">positions </w:t>
      </w:r>
      <w:r w:rsidRPr="00355FD8">
        <w:t>dep</w:t>
      </w:r>
      <w:r>
        <w:t>en</w:t>
      </w:r>
      <w:r w:rsidR="00A6601E">
        <w:t xml:space="preserve">d on grant funding. </w:t>
      </w:r>
      <w:r w:rsidR="003835D4">
        <w:t>Because the tea</w:t>
      </w:r>
      <w:r w:rsidR="000A54E7">
        <w:t>chers’ collective bargaining agreement</w:t>
      </w:r>
      <w:r w:rsidR="003835D4" w:rsidRPr="00355FD8">
        <w:t xml:space="preserve"> </w:t>
      </w:r>
      <w:r w:rsidR="000A54E7">
        <w:t>prevents PD</w:t>
      </w:r>
      <w:r w:rsidRPr="00355FD8">
        <w:t xml:space="preserve"> activities </w:t>
      </w:r>
      <w:r w:rsidR="000A54E7">
        <w:t xml:space="preserve">from taking place during </w:t>
      </w:r>
      <w:r w:rsidRPr="00355FD8">
        <w:t>faculty meetings</w:t>
      </w:r>
      <w:r w:rsidR="000A54E7">
        <w:t>,</w:t>
      </w:r>
      <w:r w:rsidRPr="00355FD8">
        <w:t xml:space="preserve"> ad</w:t>
      </w:r>
      <w:r>
        <w:t xml:space="preserve">ministrators </w:t>
      </w:r>
      <w:r w:rsidR="000A54E7">
        <w:t xml:space="preserve">have limited options </w:t>
      </w:r>
      <w:r>
        <w:t xml:space="preserve">as deliverers of </w:t>
      </w:r>
      <w:r w:rsidR="000A54E7">
        <w:t>PD</w:t>
      </w:r>
      <w:r w:rsidRPr="00355FD8">
        <w:t xml:space="preserve">.  </w:t>
      </w:r>
    </w:p>
    <w:p w:rsidR="007F06B3" w:rsidRDefault="007F06B3" w:rsidP="007F06B3">
      <w:r>
        <w:t xml:space="preserve">The district </w:t>
      </w:r>
      <w:r w:rsidR="00D320A8">
        <w:t>has not achieved consistency in the implementation of its</w:t>
      </w:r>
      <w:r>
        <w:t xml:space="preserve"> educator evaluation system; a review of </w:t>
      </w:r>
      <w:r w:rsidR="0034564C">
        <w:t xml:space="preserve">educators’ </w:t>
      </w:r>
      <w:r w:rsidR="00175722">
        <w:t xml:space="preserve">formative assessment/evaluations and summative </w:t>
      </w:r>
      <w:r>
        <w:t>evaluation</w:t>
      </w:r>
      <w:r w:rsidR="0034564C">
        <w:t>s</w:t>
      </w:r>
      <w:r>
        <w:t xml:space="preserve"> showed that evaluators </w:t>
      </w:r>
      <w:r w:rsidR="0034564C">
        <w:t xml:space="preserve">generally did not provide teachers with feedback </w:t>
      </w:r>
      <w:r>
        <w:t xml:space="preserve">that would enhance professional growth or improve classroom instruction. In </w:t>
      </w:r>
      <w:r w:rsidR="0034564C">
        <w:t>contrast</w:t>
      </w:r>
      <w:r>
        <w:t xml:space="preserve">, </w:t>
      </w:r>
      <w:r w:rsidR="0034564C">
        <w:t xml:space="preserve">most </w:t>
      </w:r>
      <w:r>
        <w:t>administrators</w:t>
      </w:r>
      <w:r w:rsidR="0034564C">
        <w:t xml:space="preserve">’ </w:t>
      </w:r>
      <w:r w:rsidR="00175722">
        <w:t xml:space="preserve">formative assessment/evaluations and summative </w:t>
      </w:r>
      <w:r w:rsidR="0034564C">
        <w:t>evaluations</w:t>
      </w:r>
      <w:r>
        <w:t xml:space="preserve"> included recommendation</w:t>
      </w:r>
      <w:r w:rsidR="0034564C">
        <w:t>s</w:t>
      </w:r>
      <w:r>
        <w:t xml:space="preserve"> </w:t>
      </w:r>
      <w:r w:rsidR="0034564C">
        <w:t>that could promote professional growth</w:t>
      </w:r>
      <w:r w:rsidR="00175722">
        <w:t xml:space="preserve"> and improve instruction</w:t>
      </w:r>
      <w:r>
        <w:t>.</w:t>
      </w:r>
    </w:p>
    <w:p w:rsidR="007F06B3" w:rsidRPr="00A6601E" w:rsidRDefault="007F06B3" w:rsidP="00A6601E">
      <w:pPr>
        <w:spacing w:after="120"/>
      </w:pPr>
    </w:p>
    <w:p w:rsidR="003F35BD" w:rsidRPr="0049290B" w:rsidRDefault="00BD44BB" w:rsidP="003F35BD">
      <w:pPr>
        <w:rPr>
          <w:b/>
          <w:sz w:val="28"/>
          <w:szCs w:val="28"/>
        </w:rPr>
      </w:pPr>
      <w:r w:rsidRPr="00BD44BB">
        <w:rPr>
          <w:b/>
          <w:sz w:val="28"/>
          <w:szCs w:val="28"/>
        </w:rPr>
        <w:t>Strength Finding</w:t>
      </w:r>
      <w:r w:rsidR="004D5874">
        <w:rPr>
          <w:b/>
          <w:sz w:val="28"/>
          <w:szCs w:val="28"/>
        </w:rPr>
        <w:t>s</w:t>
      </w:r>
    </w:p>
    <w:p w:rsidR="003F35BD" w:rsidRPr="006F583F" w:rsidRDefault="003F35BD" w:rsidP="00445352">
      <w:pPr>
        <w:spacing w:before="100" w:beforeAutospacing="1"/>
        <w:ind w:left="360" w:hanging="360"/>
        <w:rPr>
          <w:rFonts w:eastAsiaTheme="minorEastAsia"/>
        </w:rPr>
      </w:pPr>
      <w:r w:rsidRPr="00233794">
        <w:rPr>
          <w:rFonts w:eastAsiaTheme="minorEastAsia"/>
          <w:b/>
        </w:rPr>
        <w:t>1.</w:t>
      </w:r>
      <w:r>
        <w:rPr>
          <w:rFonts w:eastAsiaTheme="minorEastAsia"/>
        </w:rPr>
        <w:t xml:space="preserve">    </w:t>
      </w:r>
      <w:r>
        <w:rPr>
          <w:rFonts w:eastAsiaTheme="minorEastAsia"/>
          <w:b/>
        </w:rPr>
        <w:t xml:space="preserve">The district has a multi-year mentoring program to support new teachers in the district. </w:t>
      </w:r>
      <w:r w:rsidRPr="006F583F">
        <w:rPr>
          <w:rFonts w:eastAsiaTheme="minorEastAsia"/>
          <w:b/>
        </w:rPr>
        <w:t xml:space="preserve"> </w:t>
      </w:r>
    </w:p>
    <w:p w:rsidR="003F35BD" w:rsidRPr="006F583F" w:rsidRDefault="003F35BD" w:rsidP="003F35BD">
      <w:pPr>
        <w:ind w:left="720" w:hanging="360"/>
      </w:pPr>
      <w:r w:rsidRPr="006F583F">
        <w:rPr>
          <w:b/>
        </w:rPr>
        <w:t>A.</w:t>
      </w:r>
      <w:r w:rsidRPr="006F583F">
        <w:t xml:space="preserve"> </w:t>
      </w:r>
      <w:r w:rsidRPr="006F583F">
        <w:tab/>
      </w:r>
      <w:r w:rsidR="0049290B">
        <w:t xml:space="preserve">Interviews and a document review indicated that teachers new to teaching </w:t>
      </w:r>
      <w:r w:rsidR="006B3FAE">
        <w:t xml:space="preserve">(three or fewer years of teaching) </w:t>
      </w:r>
      <w:r w:rsidR="0049290B">
        <w:t xml:space="preserve">are assigned a mentor </w:t>
      </w:r>
      <w:r w:rsidR="006B3FAE">
        <w:t>during</w:t>
      </w:r>
      <w:r w:rsidR="0049290B">
        <w:t xml:space="preserve"> </w:t>
      </w:r>
      <w:r w:rsidR="006B3FAE">
        <w:t xml:space="preserve">their first </w:t>
      </w:r>
      <w:r w:rsidR="0049290B">
        <w:t xml:space="preserve">two years </w:t>
      </w:r>
      <w:r w:rsidR="006B3FAE">
        <w:t xml:space="preserve">of employment in the district </w:t>
      </w:r>
      <w:r w:rsidR="0049290B">
        <w:t xml:space="preserve">and experienced teachers </w:t>
      </w:r>
      <w:r w:rsidR="006B3FAE">
        <w:t xml:space="preserve">new to the district </w:t>
      </w:r>
      <w:r w:rsidR="0049290B">
        <w:t>are</w:t>
      </w:r>
      <w:r w:rsidR="001D5858">
        <w:t xml:space="preserve"> assigned a mentor for one year</w:t>
      </w:r>
      <w:r w:rsidR="0049290B">
        <w:t>.</w:t>
      </w:r>
    </w:p>
    <w:p w:rsidR="00445352" w:rsidRDefault="003F35BD" w:rsidP="00917274">
      <w:pPr>
        <w:tabs>
          <w:tab w:val="left" w:pos="360"/>
          <w:tab w:val="left" w:pos="720"/>
          <w:tab w:val="left" w:pos="1080"/>
          <w:tab w:val="left" w:pos="1440"/>
          <w:tab w:val="left" w:pos="1800"/>
          <w:tab w:val="left" w:pos="2160"/>
        </w:tabs>
        <w:ind w:left="1080" w:hanging="360"/>
      </w:pPr>
      <w:r w:rsidRPr="006F583F">
        <w:lastRenderedPageBreak/>
        <w:t xml:space="preserve">1. </w:t>
      </w:r>
      <w:r w:rsidR="002D5775">
        <w:t xml:space="preserve">   </w:t>
      </w:r>
      <w:r>
        <w:t xml:space="preserve">All mentors </w:t>
      </w:r>
      <w:r w:rsidR="001D5858">
        <w:t xml:space="preserve">receive training in </w:t>
      </w:r>
      <w:r>
        <w:t xml:space="preserve">the Mentoring in Action </w:t>
      </w:r>
      <w:r w:rsidR="001D5858">
        <w:t>month-</w:t>
      </w:r>
      <w:r>
        <w:t>to</w:t>
      </w:r>
      <w:r w:rsidR="001D5858">
        <w:t>-</w:t>
      </w:r>
      <w:r>
        <w:t xml:space="preserve">month curriculum course. </w:t>
      </w:r>
      <w:r w:rsidR="001D5858">
        <w:t xml:space="preserve">Teachers’ association representatives </w:t>
      </w:r>
      <w:r>
        <w:t xml:space="preserve">told the team that using this </w:t>
      </w:r>
      <w:r w:rsidR="001D5858">
        <w:t xml:space="preserve">training </w:t>
      </w:r>
      <w:r>
        <w:t>has strengthened mentoring in the district. Mentees follow a companion curriculum</w:t>
      </w:r>
      <w:r w:rsidR="00445352">
        <w:t>.</w:t>
      </w:r>
    </w:p>
    <w:p w:rsidR="003F35BD" w:rsidRDefault="001D5858" w:rsidP="008F4C14">
      <w:pPr>
        <w:tabs>
          <w:tab w:val="left" w:pos="360"/>
          <w:tab w:val="left" w:pos="720"/>
          <w:tab w:val="left" w:pos="1080"/>
          <w:tab w:val="left" w:pos="1440"/>
          <w:tab w:val="left" w:pos="1800"/>
          <w:tab w:val="left" w:pos="2160"/>
        </w:tabs>
        <w:ind w:left="1170" w:hanging="450"/>
      </w:pPr>
      <w:r>
        <w:t>2</w:t>
      </w:r>
      <w:r w:rsidR="003F35BD">
        <w:t xml:space="preserve">. </w:t>
      </w:r>
      <w:r w:rsidR="00445352">
        <w:t xml:space="preserve">   </w:t>
      </w:r>
      <w:r w:rsidR="00743064">
        <w:t>M</w:t>
      </w:r>
      <w:r w:rsidR="003F35BD">
        <w:t xml:space="preserve">entors are required to attend three mentor </w:t>
      </w:r>
      <w:r w:rsidR="00445352">
        <w:t>program meetings</w:t>
      </w:r>
      <w:r w:rsidR="003F35BD">
        <w:t xml:space="preserve"> per year and receive professional development points for attending the meetings.</w:t>
      </w:r>
    </w:p>
    <w:p w:rsidR="003F35BD" w:rsidRDefault="00743064" w:rsidP="00917274">
      <w:pPr>
        <w:tabs>
          <w:tab w:val="left" w:pos="360"/>
          <w:tab w:val="left" w:pos="720"/>
          <w:tab w:val="left" w:pos="1080"/>
          <w:tab w:val="left" w:pos="1440"/>
          <w:tab w:val="left" w:pos="1800"/>
          <w:tab w:val="left" w:pos="2160"/>
          <w:tab w:val="left" w:pos="2520"/>
        </w:tabs>
        <w:ind w:left="1440" w:hanging="360"/>
      </w:pPr>
      <w:r>
        <w:t>a</w:t>
      </w:r>
      <w:r w:rsidR="00445352">
        <w:t>.</w:t>
      </w:r>
      <w:r w:rsidR="003F35BD">
        <w:t xml:space="preserve"> </w:t>
      </w:r>
      <w:r w:rsidR="00445352">
        <w:t xml:space="preserve">    </w:t>
      </w:r>
      <w:r>
        <w:t>T</w:t>
      </w:r>
      <w:r w:rsidR="003F35BD">
        <w:t>eachers new to teaching meet with their mentor two hours per month and are observed by the mentor monthly. Experienced teachers meet with their mentor once monthly and may also be observed by the mentor. New teachers and mentors are provided release time for the required observation.</w:t>
      </w:r>
    </w:p>
    <w:p w:rsidR="003F35BD" w:rsidRPr="006F583F" w:rsidRDefault="00E90448" w:rsidP="00917274">
      <w:pPr>
        <w:tabs>
          <w:tab w:val="left" w:pos="360"/>
          <w:tab w:val="left" w:pos="720"/>
          <w:tab w:val="left" w:pos="1080"/>
          <w:tab w:val="left" w:pos="1440"/>
          <w:tab w:val="left" w:pos="2160"/>
          <w:tab w:val="left" w:pos="2520"/>
          <w:tab w:val="left" w:pos="2880"/>
          <w:tab w:val="left" w:pos="3240"/>
          <w:tab w:val="left" w:pos="3600"/>
        </w:tabs>
        <w:ind w:left="1800" w:hanging="360"/>
      </w:pPr>
      <w:r>
        <w:t xml:space="preserve">i. </w:t>
      </w:r>
      <w:r w:rsidR="002D5775">
        <w:tab/>
      </w:r>
      <w:r>
        <w:t>Mentors</w:t>
      </w:r>
      <w:r w:rsidR="003F35BD">
        <w:t xml:space="preserve"> and mentees are required to document mentoring activities.</w:t>
      </w:r>
    </w:p>
    <w:p w:rsidR="003F35BD" w:rsidRPr="006F583F" w:rsidRDefault="00917274" w:rsidP="00C04704">
      <w:pPr>
        <w:tabs>
          <w:tab w:val="left" w:pos="360"/>
          <w:tab w:val="left" w:pos="720"/>
          <w:tab w:val="left" w:pos="1080"/>
          <w:tab w:val="left" w:pos="1440"/>
          <w:tab w:val="left" w:pos="1800"/>
          <w:tab w:val="left" w:pos="2160"/>
        </w:tabs>
        <w:ind w:left="1170" w:hanging="1170"/>
      </w:pPr>
      <w:r>
        <w:tab/>
      </w:r>
      <w:r>
        <w:tab/>
      </w:r>
      <w:r w:rsidR="00743064">
        <w:t>3</w:t>
      </w:r>
      <w:r w:rsidR="003F35BD" w:rsidRPr="006F583F">
        <w:t>.    The me</w:t>
      </w:r>
      <w:r w:rsidR="003F35BD">
        <w:t xml:space="preserve">ntoring program is overseen by a district mentoring coordinator who is responsible for mentor training, meetings, and professional development activities. </w:t>
      </w:r>
    </w:p>
    <w:p w:rsidR="003F35BD" w:rsidRDefault="003F35BD" w:rsidP="00C04704">
      <w:pPr>
        <w:tabs>
          <w:tab w:val="left" w:pos="360"/>
          <w:tab w:val="left" w:pos="720"/>
          <w:tab w:val="left" w:pos="1080"/>
          <w:tab w:val="left" w:pos="1440"/>
          <w:tab w:val="left" w:pos="1800"/>
          <w:tab w:val="left" w:pos="2160"/>
          <w:tab w:val="left" w:pos="2520"/>
          <w:tab w:val="left" w:pos="2880"/>
        </w:tabs>
        <w:ind w:left="1440" w:hanging="360"/>
      </w:pPr>
      <w:r w:rsidRPr="006F583F">
        <w:t xml:space="preserve">a. </w:t>
      </w:r>
      <w:r w:rsidR="00743064">
        <w:tab/>
      </w:r>
      <w:r>
        <w:t>The district has approximately</w:t>
      </w:r>
      <w:r w:rsidRPr="00606ED6">
        <w:t xml:space="preserve"> 45</w:t>
      </w:r>
      <w:r w:rsidRPr="00333950">
        <w:rPr>
          <w:b/>
        </w:rPr>
        <w:t xml:space="preserve"> </w:t>
      </w:r>
      <w:r>
        <w:t>trained mentors</w:t>
      </w:r>
      <w:r w:rsidR="00AC10F0">
        <w:t>;</w:t>
      </w:r>
      <w:r w:rsidR="00BC0EE9">
        <w:t xml:space="preserve"> </w:t>
      </w:r>
      <w:r>
        <w:t>approximately 33 are active</w:t>
      </w:r>
      <w:r w:rsidR="00AC10F0">
        <w:t xml:space="preserve">.  </w:t>
      </w:r>
      <w:r w:rsidR="00004BE9">
        <w:t>Mentors receive a stipend</w:t>
      </w:r>
      <w:r>
        <w:t xml:space="preserve">. </w:t>
      </w:r>
    </w:p>
    <w:p w:rsidR="003F35BD" w:rsidRDefault="003F35BD" w:rsidP="00C04704">
      <w:pPr>
        <w:tabs>
          <w:tab w:val="left" w:pos="360"/>
          <w:tab w:val="left" w:pos="720"/>
          <w:tab w:val="left" w:pos="1080"/>
          <w:tab w:val="left" w:pos="1440"/>
          <w:tab w:val="left" w:pos="1800"/>
          <w:tab w:val="left" w:pos="2160"/>
        </w:tabs>
        <w:ind w:left="1440" w:hanging="360"/>
      </w:pPr>
      <w:r>
        <w:t xml:space="preserve">b. </w:t>
      </w:r>
      <w:r w:rsidR="00743064">
        <w:tab/>
      </w:r>
      <w:r>
        <w:t xml:space="preserve">The district </w:t>
      </w:r>
      <w:r w:rsidR="00743064">
        <w:t xml:space="preserve">mentoring </w:t>
      </w:r>
      <w:r>
        <w:t xml:space="preserve">coordinator is supported by </w:t>
      </w:r>
      <w:r w:rsidR="00743064">
        <w:t xml:space="preserve">school </w:t>
      </w:r>
      <w:r>
        <w:t>mentor</w:t>
      </w:r>
      <w:r w:rsidR="00306EA4">
        <w:t>ing</w:t>
      </w:r>
      <w:r>
        <w:t xml:space="preserve"> coordinators who implement the program at each school and pair mentors with mentees. </w:t>
      </w:r>
      <w:r w:rsidR="0021450C">
        <w:t>T</w:t>
      </w:r>
      <w:r>
        <w:t xml:space="preserve">he CBA </w:t>
      </w:r>
      <w:r w:rsidR="00924AB5">
        <w:t xml:space="preserve">states that </w:t>
      </w:r>
      <w:r>
        <w:t xml:space="preserve">mentors and mentees should be matched as closely as possible by “grade level and discipline.”  </w:t>
      </w:r>
    </w:p>
    <w:p w:rsidR="003F35BD" w:rsidRPr="006F583F" w:rsidRDefault="00C04704" w:rsidP="00C04704">
      <w:pPr>
        <w:tabs>
          <w:tab w:val="left" w:pos="360"/>
          <w:tab w:val="left" w:pos="720"/>
          <w:tab w:val="left" w:pos="1080"/>
          <w:tab w:val="left" w:pos="1440"/>
          <w:tab w:val="left" w:pos="1800"/>
          <w:tab w:val="left" w:pos="2160"/>
          <w:tab w:val="left" w:pos="2520"/>
          <w:tab w:val="left" w:pos="2880"/>
        </w:tabs>
        <w:ind w:left="1440" w:hanging="1152"/>
      </w:pPr>
      <w:r>
        <w:tab/>
      </w:r>
      <w:r>
        <w:tab/>
      </w:r>
      <w:r>
        <w:tab/>
      </w:r>
      <w:r w:rsidR="003F35BD">
        <w:t xml:space="preserve">c.   </w:t>
      </w:r>
      <w:r w:rsidR="002D5775">
        <w:tab/>
      </w:r>
      <w:r w:rsidR="003F35BD">
        <w:t>Principals told the team that the mentor/mentee pairing is important</w:t>
      </w:r>
      <w:r w:rsidR="00AC10F0">
        <w:t>,</w:t>
      </w:r>
      <w:r w:rsidR="003F35BD">
        <w:t xml:space="preserve"> </w:t>
      </w:r>
      <w:r w:rsidR="00AC10F0">
        <w:t xml:space="preserve">noting </w:t>
      </w:r>
      <w:r w:rsidR="003F35BD">
        <w:t xml:space="preserve">that the quality of mentors is excellent and </w:t>
      </w:r>
      <w:r w:rsidR="00CA5AE3">
        <w:t xml:space="preserve">mentors </w:t>
      </w:r>
      <w:r w:rsidR="003F35BD">
        <w:t xml:space="preserve">regularly meet with the teachers they are mentoring. </w:t>
      </w:r>
      <w:r w:rsidR="00CA5AE3">
        <w:t xml:space="preserve">Principals </w:t>
      </w:r>
      <w:r w:rsidR="003F35BD">
        <w:t xml:space="preserve">stated that new teachers </w:t>
      </w:r>
      <w:r w:rsidR="00CA5AE3">
        <w:t>“</w:t>
      </w:r>
      <w:r w:rsidR="003F35BD">
        <w:t>are being guided on everything.</w:t>
      </w:r>
      <w:r w:rsidR="00CA5AE3">
        <w:t>”</w:t>
      </w:r>
      <w:r w:rsidR="003F35BD">
        <w:t xml:space="preserve"> </w:t>
      </w:r>
    </w:p>
    <w:p w:rsidR="003F35BD" w:rsidRPr="006F583F" w:rsidRDefault="003F35BD" w:rsidP="00210130">
      <w:pPr>
        <w:tabs>
          <w:tab w:val="left" w:pos="360"/>
          <w:tab w:val="left" w:pos="720"/>
          <w:tab w:val="left" w:pos="1080"/>
          <w:tab w:val="left" w:pos="1440"/>
          <w:tab w:val="left" w:pos="1800"/>
          <w:tab w:val="left" w:pos="2160"/>
          <w:tab w:val="left" w:pos="2520"/>
        </w:tabs>
        <w:ind w:left="720" w:hanging="360"/>
      </w:pPr>
      <w:r w:rsidRPr="006F583F">
        <w:rPr>
          <w:b/>
        </w:rPr>
        <w:t>B</w:t>
      </w:r>
      <w:r>
        <w:t xml:space="preserve">.  </w:t>
      </w:r>
      <w:r w:rsidR="00A6601E">
        <w:t xml:space="preserve"> </w:t>
      </w:r>
      <w:r w:rsidR="0003213C">
        <w:tab/>
      </w:r>
      <w:r>
        <w:t>Principals are assigned formal mentors for two years and meet</w:t>
      </w:r>
      <w:r w:rsidR="002D5775">
        <w:t xml:space="preserve"> </w:t>
      </w:r>
      <w:r>
        <w:t xml:space="preserve">as needed </w:t>
      </w:r>
      <w:r w:rsidR="00010DF1">
        <w:t xml:space="preserve">during </w:t>
      </w:r>
      <w:r>
        <w:t xml:space="preserve">the first year and every other month </w:t>
      </w:r>
      <w:r w:rsidR="00010DF1">
        <w:t xml:space="preserve">during </w:t>
      </w:r>
      <w:r>
        <w:t xml:space="preserve">the second year.  </w:t>
      </w:r>
    </w:p>
    <w:p w:rsidR="003F35BD" w:rsidRPr="003F35BD" w:rsidRDefault="003F35BD" w:rsidP="002D5775">
      <w:pPr>
        <w:tabs>
          <w:tab w:val="left" w:pos="360"/>
          <w:tab w:val="left" w:pos="720"/>
          <w:tab w:val="left" w:pos="1080"/>
          <w:tab w:val="left" w:pos="1440"/>
          <w:tab w:val="left" w:pos="1800"/>
          <w:tab w:val="left" w:pos="2160"/>
        </w:tabs>
      </w:pPr>
      <w:r w:rsidRPr="006F583F">
        <w:rPr>
          <w:rFonts w:cs="Calibri"/>
          <w:b/>
          <w:bCs/>
          <w:color w:val="000000"/>
        </w:rPr>
        <w:t xml:space="preserve">Impact:  </w:t>
      </w:r>
      <w:r>
        <w:rPr>
          <w:rFonts w:cs="Calibri"/>
          <w:bCs/>
          <w:color w:val="000000"/>
        </w:rPr>
        <w:t xml:space="preserve">A </w:t>
      </w:r>
      <w:r w:rsidR="00BC0EE9">
        <w:rPr>
          <w:rFonts w:cs="Calibri"/>
          <w:bCs/>
          <w:color w:val="000000"/>
        </w:rPr>
        <w:t>high-</w:t>
      </w:r>
      <w:r>
        <w:rPr>
          <w:rFonts w:cs="Calibri"/>
          <w:bCs/>
          <w:color w:val="000000"/>
        </w:rPr>
        <w:t xml:space="preserve">quality </w:t>
      </w:r>
      <w:r w:rsidRPr="006F583F">
        <w:rPr>
          <w:rFonts w:cs="Calibri"/>
          <w:bCs/>
          <w:color w:val="000000"/>
        </w:rPr>
        <w:t>mentoring program support</w:t>
      </w:r>
      <w:r w:rsidR="00BC0EE9">
        <w:rPr>
          <w:rFonts w:cs="Calibri"/>
          <w:bCs/>
          <w:color w:val="000000"/>
        </w:rPr>
        <w:t>s</w:t>
      </w:r>
      <w:r w:rsidRPr="006F583F">
        <w:rPr>
          <w:rFonts w:cs="Calibri"/>
          <w:bCs/>
          <w:color w:val="000000"/>
        </w:rPr>
        <w:t xml:space="preserve"> </w:t>
      </w:r>
      <w:r w:rsidR="00BC0EE9">
        <w:rPr>
          <w:rFonts w:cs="Calibri"/>
          <w:bCs/>
          <w:color w:val="000000"/>
        </w:rPr>
        <w:t>educators at all levels of expertise and stages in their careers to build teaching and leadership skills</w:t>
      </w:r>
      <w:r>
        <w:rPr>
          <w:rFonts w:cs="Calibri"/>
          <w:bCs/>
          <w:color w:val="000000"/>
        </w:rPr>
        <w:t xml:space="preserve">. </w:t>
      </w:r>
      <w:r w:rsidRPr="006F583F">
        <w:rPr>
          <w:rFonts w:cs="Calibri"/>
          <w:bCs/>
          <w:color w:val="000000"/>
        </w:rPr>
        <w:t xml:space="preserve"> </w:t>
      </w:r>
      <w:r w:rsidRPr="006F583F">
        <w:rPr>
          <w:color w:val="000000"/>
        </w:rPr>
        <w:t xml:space="preserve"> </w:t>
      </w:r>
      <w:r w:rsidR="004A2B94">
        <w:rPr>
          <w:color w:val="000000"/>
        </w:rPr>
        <w:t>Investing in new staff has the potential to</w:t>
      </w:r>
      <w:r>
        <w:rPr>
          <w:color w:val="000000"/>
        </w:rPr>
        <w:t xml:space="preserve"> </w:t>
      </w:r>
      <w:r w:rsidR="00130502">
        <w:rPr>
          <w:color w:val="000000"/>
        </w:rPr>
        <w:t>lead to</w:t>
      </w:r>
      <w:r>
        <w:rPr>
          <w:color w:val="000000"/>
        </w:rPr>
        <w:t xml:space="preserve"> a culture of </w:t>
      </w:r>
      <w:r w:rsidR="004A2B94">
        <w:rPr>
          <w:color w:val="000000"/>
        </w:rPr>
        <w:t>continuous</w:t>
      </w:r>
      <w:r>
        <w:rPr>
          <w:color w:val="000000"/>
        </w:rPr>
        <w:t xml:space="preserve"> professional growth</w:t>
      </w:r>
      <w:r w:rsidR="004A2B94">
        <w:rPr>
          <w:color w:val="000000"/>
        </w:rPr>
        <w:t>,</w:t>
      </w:r>
      <w:r>
        <w:rPr>
          <w:color w:val="000000"/>
        </w:rPr>
        <w:t xml:space="preserve"> lower rates of teacher turnover</w:t>
      </w:r>
      <w:r w:rsidR="004A2B94">
        <w:rPr>
          <w:color w:val="000000"/>
        </w:rPr>
        <w:t>, and an increasing recognition of the shared responsibility among all staff for students’ learning</w:t>
      </w:r>
      <w:r>
        <w:rPr>
          <w:color w:val="000000"/>
        </w:rPr>
        <w:t>.</w:t>
      </w:r>
    </w:p>
    <w:p w:rsidR="00445352" w:rsidRDefault="00445352" w:rsidP="00445352">
      <w:pPr>
        <w:tabs>
          <w:tab w:val="left" w:pos="360"/>
          <w:tab w:val="left" w:pos="720"/>
          <w:tab w:val="left" w:pos="1080"/>
          <w:tab w:val="left" w:pos="1440"/>
          <w:tab w:val="left" w:pos="1800"/>
          <w:tab w:val="left" w:pos="2160"/>
        </w:tabs>
        <w:ind w:left="360" w:hanging="360"/>
        <w:rPr>
          <w:b/>
        </w:rPr>
      </w:pPr>
      <w:r>
        <w:rPr>
          <w:b/>
        </w:rPr>
        <w:t>2</w:t>
      </w:r>
      <w:r w:rsidRPr="00D07EE9">
        <w:rPr>
          <w:b/>
        </w:rPr>
        <w:t>.</w:t>
      </w:r>
      <w:r>
        <w:rPr>
          <w:b/>
        </w:rPr>
        <w:t xml:space="preserve">   </w:t>
      </w:r>
      <w:r w:rsidR="00ED0DE8">
        <w:rPr>
          <w:b/>
        </w:rPr>
        <w:tab/>
      </w:r>
      <w:r w:rsidRPr="00D07EE9">
        <w:rPr>
          <w:b/>
        </w:rPr>
        <w:t xml:space="preserve">The district has </w:t>
      </w:r>
      <w:r w:rsidR="00727C6E">
        <w:rPr>
          <w:b/>
        </w:rPr>
        <w:t xml:space="preserve">implemented a </w:t>
      </w:r>
      <w:r w:rsidRPr="00D07EE9">
        <w:rPr>
          <w:b/>
        </w:rPr>
        <w:t xml:space="preserve">professional development </w:t>
      </w:r>
      <w:r w:rsidR="00727C6E">
        <w:rPr>
          <w:b/>
        </w:rPr>
        <w:t xml:space="preserve">program aligned </w:t>
      </w:r>
      <w:r w:rsidR="00783996">
        <w:rPr>
          <w:b/>
        </w:rPr>
        <w:t xml:space="preserve">with </w:t>
      </w:r>
      <w:r w:rsidR="00727C6E">
        <w:rPr>
          <w:b/>
        </w:rPr>
        <w:t>district initiatives.</w:t>
      </w:r>
    </w:p>
    <w:p w:rsidR="00445352" w:rsidRPr="00A147D3" w:rsidRDefault="00BD44BB" w:rsidP="00445352">
      <w:pPr>
        <w:tabs>
          <w:tab w:val="left" w:pos="360"/>
          <w:tab w:val="left" w:pos="720"/>
          <w:tab w:val="left" w:pos="1080"/>
          <w:tab w:val="left" w:pos="1440"/>
          <w:tab w:val="left" w:pos="1800"/>
          <w:tab w:val="left" w:pos="2160"/>
        </w:tabs>
        <w:ind w:left="720" w:hanging="360"/>
      </w:pPr>
      <w:r w:rsidRPr="00BD44BB">
        <w:rPr>
          <w:b/>
        </w:rPr>
        <w:t>A.</w:t>
      </w:r>
      <w:r w:rsidR="00445352">
        <w:t xml:space="preserve">    The </w:t>
      </w:r>
      <w:r w:rsidR="00783996">
        <w:t>District Improvement Plan (</w:t>
      </w:r>
      <w:r w:rsidR="00727C6E">
        <w:t>DIP</w:t>
      </w:r>
      <w:r w:rsidR="00783996">
        <w:t>)</w:t>
      </w:r>
      <w:r w:rsidR="00727C6E">
        <w:t xml:space="preserve">, </w:t>
      </w:r>
      <w:r w:rsidR="00783996">
        <w:t>School Improvement Plans (</w:t>
      </w:r>
      <w:r w:rsidR="00727C6E">
        <w:t>SIPs</w:t>
      </w:r>
      <w:r w:rsidR="00783996">
        <w:t>),</w:t>
      </w:r>
      <w:r w:rsidR="00727C6E">
        <w:t xml:space="preserve"> and professional development h</w:t>
      </w:r>
      <w:r w:rsidR="00445352">
        <w:t>andbook are aligned and provide a coordinated approach to professional development.</w:t>
      </w:r>
    </w:p>
    <w:p w:rsidR="00445352" w:rsidRDefault="00445352" w:rsidP="00783996">
      <w:pPr>
        <w:pStyle w:val="ListParagraph"/>
        <w:tabs>
          <w:tab w:val="left" w:pos="360"/>
          <w:tab w:val="left" w:pos="720"/>
          <w:tab w:val="left" w:pos="1080"/>
          <w:tab w:val="left" w:pos="1440"/>
          <w:tab w:val="left" w:pos="1800"/>
          <w:tab w:val="left" w:pos="2160"/>
        </w:tabs>
        <w:ind w:left="1080" w:hanging="360"/>
        <w:contextualSpacing w:val="0"/>
      </w:pPr>
      <w:r>
        <w:t xml:space="preserve">1. </w:t>
      </w:r>
      <w:r w:rsidR="00783996">
        <w:tab/>
      </w:r>
      <w:r>
        <w:t xml:space="preserve">Goal 3 of the DIP includes the rationale for </w:t>
      </w:r>
      <w:r w:rsidR="0009465F">
        <w:t xml:space="preserve">professional development (PD) </w:t>
      </w:r>
      <w:r>
        <w:t xml:space="preserve">activities and offerings, the </w:t>
      </w:r>
      <w:r w:rsidR="0009465F">
        <w:t>PD</w:t>
      </w:r>
      <w:r>
        <w:t xml:space="preserve"> initiatives for </w:t>
      </w:r>
      <w:r w:rsidR="00783996">
        <w:t xml:space="preserve">the </w:t>
      </w:r>
      <w:r>
        <w:t xml:space="preserve">year, an action plan to implement the </w:t>
      </w:r>
      <w:r w:rsidR="00783996">
        <w:t xml:space="preserve">initiatives, </w:t>
      </w:r>
      <w:r>
        <w:t>and budgetary implications.</w:t>
      </w:r>
      <w:r w:rsidRPr="00565973">
        <w:t xml:space="preserve"> </w:t>
      </w:r>
    </w:p>
    <w:p w:rsidR="00445352" w:rsidRDefault="00445352" w:rsidP="00783996">
      <w:pPr>
        <w:pStyle w:val="ListParagraph"/>
        <w:tabs>
          <w:tab w:val="left" w:pos="360"/>
          <w:tab w:val="left" w:pos="720"/>
          <w:tab w:val="left" w:pos="1080"/>
          <w:tab w:val="left" w:pos="1440"/>
          <w:tab w:val="left" w:pos="1800"/>
          <w:tab w:val="left" w:pos="2160"/>
        </w:tabs>
        <w:ind w:left="1080" w:hanging="360"/>
        <w:contextualSpacing w:val="0"/>
      </w:pPr>
      <w:r>
        <w:lastRenderedPageBreak/>
        <w:t xml:space="preserve">2. </w:t>
      </w:r>
      <w:r w:rsidR="00783996">
        <w:tab/>
        <w:t xml:space="preserve">Each </w:t>
      </w:r>
      <w:r>
        <w:t>SIP list</w:t>
      </w:r>
      <w:r w:rsidR="00783996">
        <w:t>s</w:t>
      </w:r>
      <w:r>
        <w:t xml:space="preserve"> the </w:t>
      </w:r>
      <w:r w:rsidR="0009465F">
        <w:t>PD</w:t>
      </w:r>
      <w:r>
        <w:t xml:space="preserve"> activities appropriate to that school </w:t>
      </w:r>
      <w:r w:rsidR="00783996">
        <w:t xml:space="preserve">as well as action </w:t>
      </w:r>
      <w:r>
        <w:t>plans and budgetary implications.</w:t>
      </w:r>
    </w:p>
    <w:p w:rsidR="00445352" w:rsidRPr="00A147D3" w:rsidRDefault="00727C6E" w:rsidP="00783996">
      <w:pPr>
        <w:tabs>
          <w:tab w:val="left" w:pos="360"/>
          <w:tab w:val="left" w:pos="720"/>
          <w:tab w:val="left" w:pos="1080"/>
          <w:tab w:val="left" w:pos="1440"/>
          <w:tab w:val="left" w:pos="1800"/>
          <w:tab w:val="left" w:pos="2160"/>
        </w:tabs>
        <w:ind w:left="1080" w:hanging="360"/>
      </w:pPr>
      <w:r>
        <w:t xml:space="preserve">3. </w:t>
      </w:r>
      <w:r w:rsidR="00783996">
        <w:tab/>
      </w:r>
      <w:r>
        <w:t xml:space="preserve">The </w:t>
      </w:r>
      <w:r w:rsidR="0009465F">
        <w:t>PD</w:t>
      </w:r>
      <w:r>
        <w:t xml:space="preserve"> handbook includes district goals and </w:t>
      </w:r>
      <w:r w:rsidR="0009465F">
        <w:t>PD</w:t>
      </w:r>
      <w:r w:rsidR="00445352">
        <w:t xml:space="preserve"> </w:t>
      </w:r>
      <w:r w:rsidR="007F45A7">
        <w:t>course descriptions</w:t>
      </w:r>
      <w:r w:rsidR="00445352">
        <w:t xml:space="preserve">. </w:t>
      </w:r>
    </w:p>
    <w:p w:rsidR="00445352" w:rsidRPr="00B45F0B" w:rsidRDefault="00BD44BB" w:rsidP="00B45F0B">
      <w:pPr>
        <w:tabs>
          <w:tab w:val="left" w:pos="360"/>
          <w:tab w:val="left" w:pos="720"/>
          <w:tab w:val="left" w:pos="1080"/>
          <w:tab w:val="left" w:pos="1440"/>
          <w:tab w:val="left" w:pos="1800"/>
          <w:tab w:val="left" w:pos="2160"/>
        </w:tabs>
        <w:ind w:left="720" w:hanging="360"/>
      </w:pPr>
      <w:r w:rsidRPr="00BD44BB">
        <w:rPr>
          <w:b/>
        </w:rPr>
        <w:t>B.</w:t>
      </w:r>
      <w:r w:rsidR="00445352" w:rsidRPr="00C57A36">
        <w:t xml:space="preserve"> </w:t>
      </w:r>
      <w:r w:rsidR="00781195">
        <w:t xml:space="preserve"> </w:t>
      </w:r>
      <w:r w:rsidR="00783996">
        <w:tab/>
      </w:r>
      <w:r w:rsidR="00781195">
        <w:t xml:space="preserve">The </w:t>
      </w:r>
      <w:r w:rsidR="00783996">
        <w:t xml:space="preserve">district’s </w:t>
      </w:r>
      <w:r w:rsidR="0009465F">
        <w:t>PD</w:t>
      </w:r>
      <w:r w:rsidR="00781195">
        <w:t xml:space="preserve"> c</w:t>
      </w:r>
      <w:r w:rsidR="00445352" w:rsidRPr="00C57A36">
        <w:t>ommittee</w:t>
      </w:r>
      <w:r w:rsidR="00AB6386">
        <w:t xml:space="preserve"> </w:t>
      </w:r>
      <w:r w:rsidR="00783996">
        <w:t>produces</w:t>
      </w:r>
      <w:r w:rsidR="00781195">
        <w:t xml:space="preserve"> the </w:t>
      </w:r>
      <w:r w:rsidR="0009465F">
        <w:t>PD</w:t>
      </w:r>
      <w:r w:rsidR="00781195">
        <w:t xml:space="preserve"> handbook.</w:t>
      </w:r>
    </w:p>
    <w:p w:rsidR="00445352" w:rsidRPr="00E14C7E" w:rsidRDefault="00B45F0B" w:rsidP="00783996">
      <w:pPr>
        <w:tabs>
          <w:tab w:val="left" w:pos="0"/>
          <w:tab w:val="left" w:pos="360"/>
          <w:tab w:val="left" w:pos="1080"/>
          <w:tab w:val="left" w:pos="1800"/>
          <w:tab w:val="left" w:pos="2160"/>
        </w:tabs>
        <w:ind w:left="1080" w:hanging="360"/>
      </w:pPr>
      <w:r>
        <w:t xml:space="preserve">1. </w:t>
      </w:r>
      <w:r w:rsidR="00783996">
        <w:tab/>
      </w:r>
      <w:r w:rsidR="00781195">
        <w:t xml:space="preserve">The </w:t>
      </w:r>
      <w:r w:rsidR="0009465F">
        <w:t xml:space="preserve">PD </w:t>
      </w:r>
      <w:r w:rsidR="00781195">
        <w:t>c</w:t>
      </w:r>
      <w:r w:rsidR="00445352" w:rsidRPr="00E14C7E">
        <w:t xml:space="preserve">ommittee meets twice a year. </w:t>
      </w:r>
      <w:r w:rsidR="00781195">
        <w:t xml:space="preserve"> </w:t>
      </w:r>
      <w:r w:rsidR="00445352" w:rsidRPr="00E14C7E">
        <w:t>Administrators, teachers</w:t>
      </w:r>
      <w:r w:rsidR="00783996">
        <w:t>,</w:t>
      </w:r>
      <w:r w:rsidR="00445352" w:rsidRPr="00E14C7E">
        <w:t xml:space="preserve"> and a paraprofessional make up the committee</w:t>
      </w:r>
      <w:r w:rsidR="00781195">
        <w:t>.</w:t>
      </w:r>
      <w:r w:rsidR="00781195" w:rsidRPr="00E14C7E">
        <w:t xml:space="preserve"> </w:t>
      </w:r>
      <w:r w:rsidR="00783996">
        <w:t>P</w:t>
      </w:r>
      <w:r w:rsidR="00781195">
        <w:t xml:space="preserve">rincipals stated that they saw the committee as </w:t>
      </w:r>
      <w:r w:rsidR="00445352" w:rsidRPr="00E14C7E">
        <w:t>a sounding board</w:t>
      </w:r>
      <w:r w:rsidR="00781195">
        <w:t xml:space="preserve"> rather than </w:t>
      </w:r>
      <w:r w:rsidR="00783996">
        <w:t xml:space="preserve">as </w:t>
      </w:r>
      <w:r w:rsidR="00781195">
        <w:t>a planning committee</w:t>
      </w:r>
      <w:r w:rsidR="00445352" w:rsidRPr="00E14C7E">
        <w:t>.</w:t>
      </w:r>
    </w:p>
    <w:p w:rsidR="00445352" w:rsidRPr="00E14C7E" w:rsidRDefault="00445352" w:rsidP="00783996">
      <w:pPr>
        <w:tabs>
          <w:tab w:val="left" w:pos="0"/>
          <w:tab w:val="left" w:pos="360"/>
          <w:tab w:val="left" w:pos="1080"/>
          <w:tab w:val="left" w:pos="1800"/>
          <w:tab w:val="left" w:pos="2160"/>
        </w:tabs>
        <w:ind w:left="720" w:hanging="1080"/>
      </w:pPr>
      <w:r>
        <w:tab/>
      </w:r>
      <w:r>
        <w:tab/>
      </w:r>
      <w:r w:rsidRPr="00783996">
        <w:rPr>
          <w:b/>
        </w:rPr>
        <w:t>C.</w:t>
      </w:r>
      <w:r w:rsidRPr="00E14C7E">
        <w:t xml:space="preserve">   </w:t>
      </w:r>
      <w:r w:rsidR="005E1DE8">
        <w:tab/>
      </w:r>
      <w:r w:rsidRPr="00E14C7E">
        <w:t>The di</w:t>
      </w:r>
      <w:r>
        <w:t xml:space="preserve">strict uses </w:t>
      </w:r>
      <w:r w:rsidR="00783996">
        <w:t xml:space="preserve">multiple forms of </w:t>
      </w:r>
      <w:r>
        <w:t xml:space="preserve">data to determine </w:t>
      </w:r>
      <w:r w:rsidR="0009465F">
        <w:t>PD</w:t>
      </w:r>
      <w:r>
        <w:t xml:space="preserve"> </w:t>
      </w:r>
      <w:r w:rsidRPr="00E14C7E">
        <w:t>activities</w:t>
      </w:r>
      <w:r>
        <w:t xml:space="preserve"> and offerings.</w:t>
      </w:r>
    </w:p>
    <w:p w:rsidR="00445352" w:rsidRPr="00E14C7E" w:rsidRDefault="00781195" w:rsidP="00445352">
      <w:pPr>
        <w:pStyle w:val="ListParagraph"/>
        <w:numPr>
          <w:ilvl w:val="2"/>
          <w:numId w:val="34"/>
        </w:numPr>
        <w:tabs>
          <w:tab w:val="left" w:pos="0"/>
          <w:tab w:val="left" w:pos="360"/>
          <w:tab w:val="left" w:pos="720"/>
          <w:tab w:val="left" w:pos="1080"/>
          <w:tab w:val="left" w:pos="1800"/>
          <w:tab w:val="left" w:pos="2160"/>
        </w:tabs>
        <w:ind w:left="1080"/>
      </w:pPr>
      <w:r>
        <w:t xml:space="preserve">Interviewees </w:t>
      </w:r>
      <w:r w:rsidR="00445352">
        <w:t xml:space="preserve">stated that </w:t>
      </w:r>
      <w:r w:rsidR="0009465F">
        <w:t>PD</w:t>
      </w:r>
      <w:r w:rsidR="00445352" w:rsidRPr="00E14C7E">
        <w:t xml:space="preserve"> is driven by </w:t>
      </w:r>
      <w:r w:rsidR="00783996">
        <w:t xml:space="preserve">student performance </w:t>
      </w:r>
      <w:r w:rsidR="00783996" w:rsidRPr="00E14C7E">
        <w:t>data</w:t>
      </w:r>
      <w:r w:rsidR="00783996">
        <w:t>,</w:t>
      </w:r>
      <w:r w:rsidR="00783996" w:rsidRPr="00E14C7E">
        <w:t xml:space="preserve"> </w:t>
      </w:r>
      <w:r w:rsidR="00445352" w:rsidRPr="00E14C7E">
        <w:t>classroom observations, learning walks</w:t>
      </w:r>
      <w:r w:rsidR="00783996">
        <w:t>,</w:t>
      </w:r>
      <w:r w:rsidR="00445352" w:rsidRPr="00E14C7E">
        <w:t xml:space="preserve"> and </w:t>
      </w:r>
      <w:r w:rsidR="00783996">
        <w:t>surveys</w:t>
      </w:r>
      <w:r w:rsidR="00445352" w:rsidRPr="00E14C7E">
        <w:t>.</w:t>
      </w:r>
      <w:r>
        <w:t xml:space="preserve"> The assistant s</w:t>
      </w:r>
      <w:r w:rsidR="00445352" w:rsidRPr="00E14C7E">
        <w:t>uperintendent administers surveys</w:t>
      </w:r>
      <w:r w:rsidR="00445352">
        <w:t xml:space="preserve"> to determine </w:t>
      </w:r>
      <w:r w:rsidR="00C85515">
        <w:t>teachers’ needs for PD and to assess</w:t>
      </w:r>
      <w:r w:rsidR="00306EA4">
        <w:t xml:space="preserve"> the quality and effectiveness of the PD offered</w:t>
      </w:r>
      <w:r w:rsidR="00445352" w:rsidRPr="00E14C7E">
        <w:t xml:space="preserve">. </w:t>
      </w:r>
      <w:r w:rsidR="00445352">
        <w:t xml:space="preserve"> </w:t>
      </w:r>
      <w:r>
        <w:t>The surveys are distributed</w:t>
      </w:r>
      <w:r w:rsidR="00445352">
        <w:t xml:space="preserve"> on </w:t>
      </w:r>
      <w:r>
        <w:t xml:space="preserve">a </w:t>
      </w:r>
      <w:r w:rsidR="00445352">
        <w:t xml:space="preserve">Google drive allowing easy completion and compilation of results. </w:t>
      </w:r>
    </w:p>
    <w:p w:rsidR="00445352" w:rsidRPr="00E14C7E" w:rsidRDefault="00445352" w:rsidP="00445352">
      <w:pPr>
        <w:tabs>
          <w:tab w:val="left" w:pos="0"/>
          <w:tab w:val="left" w:pos="360"/>
          <w:tab w:val="left" w:pos="720"/>
          <w:tab w:val="left" w:pos="1080"/>
          <w:tab w:val="left" w:pos="1800"/>
          <w:tab w:val="left" w:pos="2160"/>
        </w:tabs>
        <w:spacing w:after="120"/>
        <w:ind w:left="720" w:hanging="720"/>
      </w:pPr>
      <w:r>
        <w:tab/>
      </w:r>
      <w:r w:rsidRPr="00781195">
        <w:rPr>
          <w:b/>
        </w:rPr>
        <w:t>D</w:t>
      </w:r>
      <w:r w:rsidRPr="00E14C7E">
        <w:t xml:space="preserve">. </w:t>
      </w:r>
      <w:r>
        <w:t xml:space="preserve">  </w:t>
      </w:r>
      <w:r w:rsidRPr="00E14C7E">
        <w:t xml:space="preserve">The district </w:t>
      </w:r>
      <w:r>
        <w:t>embeds professional development</w:t>
      </w:r>
      <w:r w:rsidRPr="00E14C7E">
        <w:t xml:space="preserve"> into the school year.</w:t>
      </w:r>
    </w:p>
    <w:p w:rsidR="00445352" w:rsidRPr="00E14C7E" w:rsidRDefault="0009465F" w:rsidP="00445352">
      <w:pPr>
        <w:pStyle w:val="ListParagraph"/>
        <w:numPr>
          <w:ilvl w:val="0"/>
          <w:numId w:val="32"/>
        </w:numPr>
        <w:tabs>
          <w:tab w:val="left" w:pos="360"/>
          <w:tab w:val="left" w:pos="720"/>
          <w:tab w:val="left" w:pos="1080"/>
          <w:tab w:val="left" w:pos="1440"/>
          <w:tab w:val="left" w:pos="1800"/>
          <w:tab w:val="left" w:pos="2160"/>
        </w:tabs>
        <w:spacing w:after="120"/>
        <w:contextualSpacing w:val="0"/>
      </w:pPr>
      <w:r>
        <w:t>PD</w:t>
      </w:r>
      <w:r w:rsidR="00445352" w:rsidRPr="00E14C7E">
        <w:t xml:space="preserve"> activities take place</w:t>
      </w:r>
      <w:r w:rsidR="00445352">
        <w:t xml:space="preserve"> during the summer and on two </w:t>
      </w:r>
      <w:r w:rsidR="00445352" w:rsidRPr="00E14C7E">
        <w:t>days in October and November</w:t>
      </w:r>
      <w:r w:rsidR="00445352">
        <w:t>.</w:t>
      </w:r>
    </w:p>
    <w:p w:rsidR="00783996" w:rsidRDefault="00445352" w:rsidP="00445352">
      <w:pPr>
        <w:pStyle w:val="ListParagraph"/>
        <w:numPr>
          <w:ilvl w:val="0"/>
          <w:numId w:val="32"/>
        </w:numPr>
        <w:tabs>
          <w:tab w:val="left" w:pos="360"/>
          <w:tab w:val="left" w:pos="720"/>
          <w:tab w:val="left" w:pos="1080"/>
          <w:tab w:val="left" w:pos="1440"/>
          <w:tab w:val="left" w:pos="1800"/>
          <w:tab w:val="left" w:pos="2160"/>
        </w:tabs>
        <w:spacing w:after="120"/>
        <w:contextualSpacing w:val="0"/>
      </w:pPr>
      <w:r w:rsidRPr="00E14C7E">
        <w:t xml:space="preserve">Embedded </w:t>
      </w:r>
      <w:r w:rsidR="0009465F">
        <w:t>PD</w:t>
      </w:r>
      <w:r w:rsidRPr="00E14C7E">
        <w:t xml:space="preserve"> takes many forms</w:t>
      </w:r>
      <w:r w:rsidR="00783996">
        <w:t>.</w:t>
      </w:r>
    </w:p>
    <w:p w:rsidR="00DD1CD7" w:rsidRDefault="00783996" w:rsidP="00DD1CD7">
      <w:pPr>
        <w:tabs>
          <w:tab w:val="left" w:pos="360"/>
          <w:tab w:val="left" w:pos="720"/>
          <w:tab w:val="left" w:pos="1080"/>
          <w:tab w:val="left" w:pos="1440"/>
          <w:tab w:val="left" w:pos="1800"/>
          <w:tab w:val="left" w:pos="2160"/>
        </w:tabs>
        <w:spacing w:after="120"/>
        <w:ind w:left="1440" w:hanging="720"/>
      </w:pPr>
      <w:r>
        <w:tab/>
        <w:t>a.</w:t>
      </w:r>
      <w:r>
        <w:tab/>
      </w:r>
      <w:r w:rsidR="00445352" w:rsidRPr="00E14C7E">
        <w:t>A consultant was hired to train staff in co-teaching. This program is entering its third year and the middle school teachers spoke highly of it</w:t>
      </w:r>
      <w:r w:rsidR="00445352">
        <w:t xml:space="preserve"> and offered that it is working</w:t>
      </w:r>
      <w:r w:rsidR="00445352" w:rsidRPr="00E14C7E">
        <w:t>.</w:t>
      </w:r>
    </w:p>
    <w:p w:rsidR="00DD1CD7" w:rsidRDefault="00DD1CD7" w:rsidP="00DD1CD7">
      <w:pPr>
        <w:tabs>
          <w:tab w:val="left" w:pos="360"/>
          <w:tab w:val="left" w:pos="720"/>
          <w:tab w:val="left" w:pos="1080"/>
          <w:tab w:val="left" w:pos="1440"/>
          <w:tab w:val="left" w:pos="1800"/>
          <w:tab w:val="left" w:pos="2160"/>
        </w:tabs>
        <w:spacing w:after="120"/>
        <w:ind w:left="1440" w:hanging="720"/>
      </w:pPr>
      <w:r>
        <w:tab/>
        <w:t>b.</w:t>
      </w:r>
      <w:r>
        <w:tab/>
      </w:r>
      <w:r w:rsidR="00445352" w:rsidRPr="00E14C7E">
        <w:t>The vendor for the new math program</w:t>
      </w:r>
      <w:r w:rsidR="0030271D">
        <w:t>,</w:t>
      </w:r>
      <w:r w:rsidR="00445352" w:rsidRPr="00E14C7E">
        <w:t xml:space="preserve"> </w:t>
      </w:r>
      <w:r w:rsidR="0030271D">
        <w:t>enVision,</w:t>
      </w:r>
      <w:r w:rsidR="0030271D" w:rsidRPr="00E14C7E">
        <w:t xml:space="preserve"> </w:t>
      </w:r>
      <w:r w:rsidR="00445352" w:rsidRPr="00E14C7E">
        <w:t>has provided</w:t>
      </w:r>
      <w:r w:rsidR="00445352">
        <w:t xml:space="preserve"> professional development</w:t>
      </w:r>
      <w:r w:rsidR="00445352" w:rsidRPr="00E14C7E">
        <w:t xml:space="preserve">. </w:t>
      </w:r>
    </w:p>
    <w:p w:rsidR="00DD1CD7" w:rsidRDefault="00DD1CD7" w:rsidP="00DD1CD7">
      <w:pPr>
        <w:tabs>
          <w:tab w:val="left" w:pos="360"/>
          <w:tab w:val="left" w:pos="720"/>
          <w:tab w:val="left" w:pos="1080"/>
          <w:tab w:val="left" w:pos="1440"/>
          <w:tab w:val="left" w:pos="1800"/>
          <w:tab w:val="left" w:pos="2160"/>
        </w:tabs>
        <w:spacing w:after="120"/>
        <w:ind w:left="1440" w:hanging="720"/>
      </w:pPr>
      <w:r>
        <w:tab/>
        <w:t>c.</w:t>
      </w:r>
      <w:r>
        <w:tab/>
      </w:r>
      <w:r w:rsidR="00445352" w:rsidRPr="00E14C7E">
        <w:t>At the scho</w:t>
      </w:r>
      <w:r w:rsidR="00445352">
        <w:t>ol level, p</w:t>
      </w:r>
      <w:r w:rsidR="00445352" w:rsidRPr="00E14C7E">
        <w:t>rincipals bring in subs</w:t>
      </w:r>
      <w:r w:rsidR="00445352">
        <w:t>titute teachers</w:t>
      </w:r>
      <w:r w:rsidR="00445352" w:rsidRPr="00E14C7E">
        <w:t xml:space="preserve"> to </w:t>
      </w:r>
      <w:r w:rsidR="00C85515">
        <w:t>enable</w:t>
      </w:r>
      <w:r w:rsidR="00445352" w:rsidRPr="00E14C7E">
        <w:t xml:space="preserve"> cohorts of teachers</w:t>
      </w:r>
      <w:r w:rsidR="00781195">
        <w:t xml:space="preserve"> </w:t>
      </w:r>
      <w:r w:rsidR="00C85515">
        <w:t>to attend</w:t>
      </w:r>
      <w:r w:rsidR="00A10F91">
        <w:t xml:space="preserve"> </w:t>
      </w:r>
      <w:r w:rsidR="0009465F">
        <w:t>PD</w:t>
      </w:r>
      <w:r w:rsidR="00781195">
        <w:t xml:space="preserve"> sessions</w:t>
      </w:r>
      <w:r w:rsidR="00445352" w:rsidRPr="00E14C7E">
        <w:t>.</w:t>
      </w:r>
    </w:p>
    <w:p w:rsidR="00445352" w:rsidRDefault="00DD1CD7" w:rsidP="00DD1CD7">
      <w:pPr>
        <w:tabs>
          <w:tab w:val="left" w:pos="360"/>
          <w:tab w:val="left" w:pos="720"/>
          <w:tab w:val="left" w:pos="1080"/>
          <w:tab w:val="left" w:pos="1440"/>
          <w:tab w:val="left" w:pos="1800"/>
          <w:tab w:val="left" w:pos="2160"/>
        </w:tabs>
        <w:spacing w:after="120"/>
        <w:ind w:left="1440" w:hanging="720"/>
      </w:pPr>
      <w:r>
        <w:tab/>
        <w:t>d.</w:t>
      </w:r>
      <w:r>
        <w:tab/>
      </w:r>
      <w:r w:rsidR="00445352" w:rsidRPr="00E14C7E">
        <w:t>The district has hired extra specialist</w:t>
      </w:r>
      <w:r w:rsidR="00781195">
        <w:t xml:space="preserve"> teachers, which has free</w:t>
      </w:r>
      <w:r>
        <w:t>d</w:t>
      </w:r>
      <w:r w:rsidR="00781195">
        <w:t xml:space="preserve"> up time for teachers to have</w:t>
      </w:r>
      <w:r w:rsidR="00445352">
        <w:t xml:space="preserve"> common planning time in three schools.</w:t>
      </w:r>
    </w:p>
    <w:p w:rsidR="00BD44BB" w:rsidRDefault="008C0BCA" w:rsidP="00BD44BB">
      <w:pPr>
        <w:tabs>
          <w:tab w:val="left" w:pos="360"/>
          <w:tab w:val="left" w:pos="720"/>
          <w:tab w:val="left" w:pos="1080"/>
          <w:tab w:val="left" w:pos="1440"/>
          <w:tab w:val="left" w:pos="1800"/>
          <w:tab w:val="left" w:pos="2160"/>
        </w:tabs>
        <w:ind w:left="720" w:hanging="720"/>
      </w:pPr>
      <w:r>
        <w:rPr>
          <w:b/>
        </w:rPr>
        <w:tab/>
      </w:r>
      <w:r w:rsidR="00781195" w:rsidRPr="00781195">
        <w:rPr>
          <w:b/>
        </w:rPr>
        <w:t>E</w:t>
      </w:r>
      <w:r w:rsidR="00445352" w:rsidRPr="00216F26">
        <w:t>.</w:t>
      </w:r>
      <w:r w:rsidR="00445352">
        <w:t xml:space="preserve"> </w:t>
      </w:r>
      <w:r w:rsidR="00B45F0B">
        <w:t xml:space="preserve">   </w:t>
      </w:r>
      <w:r w:rsidR="00445352">
        <w:t xml:space="preserve">Teachers have access to the SMART PD software to organize and record their </w:t>
      </w:r>
      <w:r w:rsidR="0009465F">
        <w:t>PD</w:t>
      </w:r>
      <w:r w:rsidR="00445352">
        <w:t xml:space="preserve"> activities.</w:t>
      </w:r>
    </w:p>
    <w:p w:rsidR="00445352" w:rsidRDefault="00445352" w:rsidP="00445352">
      <w:pPr>
        <w:tabs>
          <w:tab w:val="left" w:pos="360"/>
          <w:tab w:val="left" w:pos="1080"/>
          <w:tab w:val="left" w:pos="1440"/>
          <w:tab w:val="left" w:pos="1800"/>
          <w:tab w:val="left" w:pos="2160"/>
        </w:tabs>
      </w:pPr>
      <w:r w:rsidRPr="004E594D">
        <w:rPr>
          <w:b/>
        </w:rPr>
        <w:t>Impact</w:t>
      </w:r>
      <w:r w:rsidRPr="004E594D">
        <w:t xml:space="preserve">: </w:t>
      </w:r>
      <w:r w:rsidR="00781195">
        <w:t xml:space="preserve">A </w:t>
      </w:r>
      <w:r w:rsidR="0009465F">
        <w:t>coordinated PD</w:t>
      </w:r>
      <w:r>
        <w:t xml:space="preserve"> program that </w:t>
      </w:r>
      <w:r w:rsidR="00455644">
        <w:t xml:space="preserve">is based on multiple forms of data and </w:t>
      </w:r>
      <w:r w:rsidR="0009465F">
        <w:t>is aligned with</w:t>
      </w:r>
      <w:r>
        <w:t xml:space="preserve"> </w:t>
      </w:r>
      <w:r w:rsidR="0009465F">
        <w:t xml:space="preserve">the </w:t>
      </w:r>
      <w:r>
        <w:t>district</w:t>
      </w:r>
      <w:r w:rsidR="0009465F">
        <w:t>’s</w:t>
      </w:r>
      <w:r>
        <w:t xml:space="preserve"> </w:t>
      </w:r>
      <w:r w:rsidR="00455644">
        <w:t>initiatives</w:t>
      </w:r>
      <w:r w:rsidR="0009465F">
        <w:t xml:space="preserve"> </w:t>
      </w:r>
      <w:r>
        <w:t>ensures that available resources are focused on the district</w:t>
      </w:r>
      <w:r w:rsidR="0009465F">
        <w:t>’</w:t>
      </w:r>
      <w:r>
        <w:t>s pri</w:t>
      </w:r>
      <w:r w:rsidR="00C95FB1">
        <w:t>orities. This enhances the</w:t>
      </w:r>
      <w:r>
        <w:t xml:space="preserve"> professional learning </w:t>
      </w:r>
      <w:r w:rsidR="00C95FB1">
        <w:t xml:space="preserve">of educators </w:t>
      </w:r>
      <w:r>
        <w:t xml:space="preserve">and likely </w:t>
      </w:r>
      <w:r w:rsidR="0009465F">
        <w:t xml:space="preserve">has </w:t>
      </w:r>
      <w:r w:rsidR="00C95FB1">
        <w:t xml:space="preserve">a positive </w:t>
      </w:r>
      <w:r>
        <w:t xml:space="preserve">impact </w:t>
      </w:r>
      <w:r w:rsidR="00C95FB1">
        <w:t xml:space="preserve">on </w:t>
      </w:r>
      <w:r>
        <w:t>student achievement.</w:t>
      </w:r>
    </w:p>
    <w:p w:rsidR="00695ECB" w:rsidRDefault="00695ECB" w:rsidP="00445352">
      <w:pPr>
        <w:tabs>
          <w:tab w:val="left" w:pos="360"/>
          <w:tab w:val="left" w:pos="1080"/>
          <w:tab w:val="left" w:pos="1440"/>
          <w:tab w:val="left" w:pos="1800"/>
          <w:tab w:val="left" w:pos="2160"/>
        </w:tabs>
      </w:pPr>
    </w:p>
    <w:p w:rsidR="00AB6386" w:rsidRDefault="00AB6386" w:rsidP="00445352">
      <w:pPr>
        <w:tabs>
          <w:tab w:val="left" w:pos="360"/>
          <w:tab w:val="left" w:pos="1080"/>
          <w:tab w:val="left" w:pos="1440"/>
          <w:tab w:val="left" w:pos="1800"/>
          <w:tab w:val="left" w:pos="2160"/>
        </w:tabs>
      </w:pPr>
    </w:p>
    <w:p w:rsidR="00AB6386" w:rsidRDefault="00AB6386" w:rsidP="00445352">
      <w:pPr>
        <w:tabs>
          <w:tab w:val="left" w:pos="360"/>
          <w:tab w:val="left" w:pos="1080"/>
          <w:tab w:val="left" w:pos="1440"/>
          <w:tab w:val="left" w:pos="1800"/>
          <w:tab w:val="left" w:pos="2160"/>
        </w:tabs>
      </w:pPr>
    </w:p>
    <w:p w:rsidR="00AB6386" w:rsidRPr="00445352" w:rsidRDefault="00AB6386" w:rsidP="00445352">
      <w:pPr>
        <w:tabs>
          <w:tab w:val="left" w:pos="360"/>
          <w:tab w:val="left" w:pos="1080"/>
          <w:tab w:val="left" w:pos="1440"/>
          <w:tab w:val="left" w:pos="1800"/>
          <w:tab w:val="left" w:pos="2160"/>
        </w:tabs>
      </w:pPr>
    </w:p>
    <w:p w:rsidR="003F35BD" w:rsidRPr="00A43D69" w:rsidRDefault="003F35BD" w:rsidP="003F35BD">
      <w:pPr>
        <w:rPr>
          <w:b/>
          <w:sz w:val="28"/>
          <w:szCs w:val="28"/>
        </w:rPr>
      </w:pPr>
      <w:r w:rsidRPr="00A43D69">
        <w:rPr>
          <w:b/>
          <w:sz w:val="28"/>
          <w:szCs w:val="28"/>
        </w:rPr>
        <w:lastRenderedPageBreak/>
        <w:t>Challenges and Areas for Growth</w:t>
      </w:r>
    </w:p>
    <w:p w:rsidR="00BD44BB" w:rsidRDefault="00730088" w:rsidP="00BD44BB">
      <w:pPr>
        <w:tabs>
          <w:tab w:val="left" w:pos="360"/>
          <w:tab w:val="left" w:pos="720"/>
          <w:tab w:val="left" w:pos="1080"/>
          <w:tab w:val="left" w:pos="1440"/>
          <w:tab w:val="left" w:pos="1800"/>
          <w:tab w:val="left" w:pos="2160"/>
        </w:tabs>
        <w:ind w:left="360" w:hanging="360"/>
        <w:rPr>
          <w:b/>
        </w:rPr>
      </w:pPr>
      <w:r>
        <w:rPr>
          <w:b/>
        </w:rPr>
        <w:t xml:space="preserve">3.  </w:t>
      </w:r>
      <w:r w:rsidR="00A43D69">
        <w:rPr>
          <w:b/>
        </w:rPr>
        <w:tab/>
      </w:r>
      <w:r w:rsidR="00CE0DE6">
        <w:rPr>
          <w:b/>
        </w:rPr>
        <w:t>The district has</w:t>
      </w:r>
      <w:r w:rsidR="003F35BD" w:rsidRPr="00730088">
        <w:rPr>
          <w:b/>
        </w:rPr>
        <w:t xml:space="preserve"> not </w:t>
      </w:r>
      <w:r w:rsidR="00CE0DE6">
        <w:rPr>
          <w:b/>
        </w:rPr>
        <w:t xml:space="preserve">achieved </w:t>
      </w:r>
      <w:r w:rsidR="00CE0DE6" w:rsidRPr="00730088">
        <w:rPr>
          <w:b/>
        </w:rPr>
        <w:t>consisten</w:t>
      </w:r>
      <w:r w:rsidR="00CE0DE6">
        <w:rPr>
          <w:b/>
        </w:rPr>
        <w:t>cy</w:t>
      </w:r>
      <w:r w:rsidR="00CE0DE6" w:rsidRPr="00730088">
        <w:rPr>
          <w:b/>
        </w:rPr>
        <w:t xml:space="preserve"> </w:t>
      </w:r>
      <w:r w:rsidR="00CE0DE6">
        <w:rPr>
          <w:b/>
        </w:rPr>
        <w:t>in the implementation of its educator evaluation system and has not taken action on the more recent components</w:t>
      </w:r>
      <w:r w:rsidR="00BB4978">
        <w:rPr>
          <w:b/>
        </w:rPr>
        <w:t xml:space="preserve"> of the Educator Evaluation Framework that require the collection and use of multiple sources of evaluative evidence</w:t>
      </w:r>
      <w:r w:rsidR="003F35BD" w:rsidRPr="00730088">
        <w:rPr>
          <w:b/>
        </w:rPr>
        <w:t>.</w:t>
      </w:r>
    </w:p>
    <w:p w:rsidR="003F35BD" w:rsidRPr="00A85AB0" w:rsidRDefault="005B281E" w:rsidP="00A43D69">
      <w:pPr>
        <w:pStyle w:val="ListParagraph"/>
        <w:numPr>
          <w:ilvl w:val="0"/>
          <w:numId w:val="19"/>
        </w:numPr>
        <w:tabs>
          <w:tab w:val="left" w:pos="360"/>
          <w:tab w:val="left" w:pos="720"/>
          <w:tab w:val="left" w:pos="1080"/>
          <w:tab w:val="left" w:pos="1440"/>
          <w:tab w:val="left" w:pos="1800"/>
          <w:tab w:val="left" w:pos="2160"/>
        </w:tabs>
        <w:ind w:left="720"/>
        <w:contextualSpacing w:val="0"/>
      </w:pPr>
      <w:r>
        <w:t>O</w:t>
      </w:r>
      <w:r w:rsidR="00BD44BB" w:rsidRPr="00BD44BB">
        <w:t xml:space="preserve">verall implementation </w:t>
      </w:r>
      <w:r>
        <w:t xml:space="preserve">of the state’s Educator Evaluation Framework </w:t>
      </w:r>
      <w:r w:rsidR="00BD44BB" w:rsidRPr="00BD44BB">
        <w:t>has been uneven and inconsistent.</w:t>
      </w:r>
      <w:r w:rsidR="00BB4978">
        <w:t xml:space="preserve"> </w:t>
      </w:r>
    </w:p>
    <w:p w:rsidR="003F35BD" w:rsidRDefault="003F35BD" w:rsidP="00A43D69">
      <w:pPr>
        <w:pStyle w:val="ListParagraph"/>
        <w:numPr>
          <w:ilvl w:val="0"/>
          <w:numId w:val="20"/>
        </w:numPr>
        <w:tabs>
          <w:tab w:val="left" w:pos="360"/>
          <w:tab w:val="left" w:pos="720"/>
        </w:tabs>
        <w:ind w:left="1080"/>
        <w:contextualSpacing w:val="0"/>
      </w:pPr>
      <w:r>
        <w:t xml:space="preserve">The team reviewed </w:t>
      </w:r>
      <w:r w:rsidR="007F45A7">
        <w:t xml:space="preserve">the </w:t>
      </w:r>
      <w:r w:rsidR="00BB4978">
        <w:t xml:space="preserve">evaluative </w:t>
      </w:r>
      <w:r>
        <w:t xml:space="preserve">documents of </w:t>
      </w:r>
      <w:r w:rsidR="00BB4978">
        <w:t>21</w:t>
      </w:r>
      <w:r>
        <w:t xml:space="preserve"> teachers randomly selected from all schools in the district.  </w:t>
      </w:r>
    </w:p>
    <w:p w:rsidR="003F35BD" w:rsidRDefault="003F35BD" w:rsidP="00A43D69">
      <w:pPr>
        <w:pStyle w:val="ListParagraph"/>
        <w:numPr>
          <w:ilvl w:val="0"/>
          <w:numId w:val="20"/>
        </w:numPr>
        <w:tabs>
          <w:tab w:val="left" w:pos="360"/>
          <w:tab w:val="left" w:pos="720"/>
        </w:tabs>
        <w:ind w:left="1080"/>
        <w:contextualSpacing w:val="0"/>
      </w:pPr>
      <w:r>
        <w:t>Teacher</w:t>
      </w:r>
      <w:r w:rsidR="00F605E0">
        <w:t>s’</w:t>
      </w:r>
      <w:r>
        <w:t xml:space="preserve"> </w:t>
      </w:r>
      <w:r w:rsidR="00F605E0">
        <w:t xml:space="preserve">evaluative folders </w:t>
      </w:r>
      <w:r>
        <w:t xml:space="preserve">reviewed in Baseline Edge, the district’s evaluation management tool, generally included </w:t>
      </w:r>
      <w:r w:rsidR="00F605E0">
        <w:t xml:space="preserve">supporting </w:t>
      </w:r>
      <w:r>
        <w:t xml:space="preserve">documentation </w:t>
      </w:r>
      <w:r w:rsidR="00F605E0">
        <w:t xml:space="preserve">(for example, </w:t>
      </w:r>
      <w:r>
        <w:t xml:space="preserve">educator plans, evaluative </w:t>
      </w:r>
      <w:r w:rsidR="004F117A">
        <w:t>observations</w:t>
      </w:r>
      <w:r>
        <w:t xml:space="preserve">, summative evaluations, formative </w:t>
      </w:r>
      <w:r w:rsidR="00B036D9">
        <w:t>assessments/</w:t>
      </w:r>
      <w:r>
        <w:t xml:space="preserve">evaluations, and evidence folders. </w:t>
      </w:r>
    </w:p>
    <w:p w:rsidR="003F35BD" w:rsidRDefault="00B036D9" w:rsidP="00A43D69">
      <w:pPr>
        <w:pStyle w:val="ListParagraph"/>
        <w:numPr>
          <w:ilvl w:val="0"/>
          <w:numId w:val="20"/>
        </w:numPr>
        <w:tabs>
          <w:tab w:val="left" w:pos="360"/>
          <w:tab w:val="left" w:pos="720"/>
        </w:tabs>
        <w:ind w:left="1080"/>
        <w:contextualSpacing w:val="0"/>
      </w:pPr>
      <w:r>
        <w:t xml:space="preserve">Most </w:t>
      </w:r>
      <w:r w:rsidR="003F35BD">
        <w:t>teacher</w:t>
      </w:r>
      <w:r>
        <w:t>s’</w:t>
      </w:r>
      <w:r w:rsidR="003F35BD">
        <w:t xml:space="preserve"> </w:t>
      </w:r>
      <w:r w:rsidR="00B34507">
        <w:t xml:space="preserve">formative assessments/evaluations and summative </w:t>
      </w:r>
      <w:r w:rsidR="003F35BD">
        <w:t>evaluation</w:t>
      </w:r>
      <w:r>
        <w:t>s</w:t>
      </w:r>
      <w:r w:rsidR="003F35BD">
        <w:t xml:space="preserve"> were informative,</w:t>
      </w:r>
      <w:r w:rsidR="00BD44BB" w:rsidRPr="00982B6D">
        <w:rPr>
          <w:rStyle w:val="FootnoteReference"/>
        </w:rPr>
        <w:footnoteReference w:id="8"/>
      </w:r>
      <w:r w:rsidR="003F35BD">
        <w:t xml:space="preserve"> in that they included evidence and narrative on making progress or meeting goals and information about the instruction</w:t>
      </w:r>
      <w:r w:rsidR="007F00F2">
        <w:t xml:space="preserve"> observed</w:t>
      </w:r>
      <w:r w:rsidR="003F35BD">
        <w:t xml:space="preserve">; however, most did not include </w:t>
      </w:r>
      <w:r>
        <w:t xml:space="preserve">feedback or </w:t>
      </w:r>
      <w:r w:rsidR="003F35BD">
        <w:t xml:space="preserve">recommendations that </w:t>
      </w:r>
      <w:r>
        <w:t>were specific, actionable, or of sufficient quality to contribute in any meaningful way to improved instruction or professional growth</w:t>
      </w:r>
      <w:r w:rsidR="003F35BD">
        <w:t xml:space="preserve">. </w:t>
      </w:r>
    </w:p>
    <w:p w:rsidR="003F35BD" w:rsidRDefault="003F35BD" w:rsidP="00A43D69">
      <w:pPr>
        <w:pStyle w:val="ListParagraph"/>
        <w:numPr>
          <w:ilvl w:val="1"/>
          <w:numId w:val="19"/>
        </w:numPr>
        <w:tabs>
          <w:tab w:val="left" w:pos="360"/>
          <w:tab w:val="left" w:pos="720"/>
        </w:tabs>
        <w:ind w:left="1440"/>
        <w:contextualSpacing w:val="0"/>
      </w:pPr>
      <w:r>
        <w:t xml:space="preserve">Schools leaders told the team that </w:t>
      </w:r>
      <w:r w:rsidR="0054153A">
        <w:t>high-</w:t>
      </w:r>
      <w:r>
        <w:t xml:space="preserve">quality feedback is provided to teachers during </w:t>
      </w:r>
      <w:r w:rsidR="0054153A">
        <w:t>post-</w:t>
      </w:r>
      <w:r>
        <w:t xml:space="preserve">evaluation or walkthrough conversations. The team was told that evaluators are careful about what they write about a teacher because they receive “pushback” from the </w:t>
      </w:r>
      <w:r w:rsidR="00513BA9">
        <w:t xml:space="preserve">teachers’ association if </w:t>
      </w:r>
      <w:r>
        <w:t>anything negative is written about the teacher in an evaluation.</w:t>
      </w:r>
    </w:p>
    <w:p w:rsidR="003F35BD" w:rsidRDefault="003F35BD" w:rsidP="00A43D69">
      <w:pPr>
        <w:pStyle w:val="ListParagraph"/>
        <w:numPr>
          <w:ilvl w:val="1"/>
          <w:numId w:val="19"/>
        </w:numPr>
        <w:tabs>
          <w:tab w:val="left" w:pos="360"/>
          <w:tab w:val="left" w:pos="720"/>
        </w:tabs>
        <w:ind w:left="1440"/>
        <w:contextualSpacing w:val="0"/>
      </w:pPr>
      <w:r>
        <w:t xml:space="preserve">School and district leaders told the team that they are starting to look at what </w:t>
      </w:r>
      <w:r w:rsidR="00513BA9">
        <w:t xml:space="preserve">constitutes effective </w:t>
      </w:r>
      <w:r>
        <w:t xml:space="preserve">feedback but the district </w:t>
      </w:r>
      <w:r w:rsidR="00A078B5">
        <w:t xml:space="preserve">does </w:t>
      </w:r>
      <w:r>
        <w:t xml:space="preserve">not </w:t>
      </w:r>
      <w:r w:rsidR="00A078B5">
        <w:t>consistently deliver high-quality feedback</w:t>
      </w:r>
      <w:r>
        <w:t xml:space="preserve">. </w:t>
      </w:r>
      <w:r w:rsidR="00513BA9">
        <w:t xml:space="preserve">They expressed concern </w:t>
      </w:r>
      <w:r>
        <w:t xml:space="preserve">that being overly negative </w:t>
      </w:r>
      <w:r w:rsidR="00513BA9">
        <w:t xml:space="preserve">in a formal evaluation could </w:t>
      </w:r>
      <w:r>
        <w:t xml:space="preserve">build a wall between the teacher and principal and </w:t>
      </w:r>
      <w:r w:rsidR="00513BA9">
        <w:t xml:space="preserve">said </w:t>
      </w:r>
      <w:r>
        <w:t>that change can be made through more informal methods.</w:t>
      </w:r>
    </w:p>
    <w:p w:rsidR="003F35BD" w:rsidRDefault="00513BA9" w:rsidP="00A43D69">
      <w:pPr>
        <w:pStyle w:val="ListParagraph"/>
        <w:numPr>
          <w:ilvl w:val="0"/>
          <w:numId w:val="20"/>
        </w:numPr>
        <w:tabs>
          <w:tab w:val="left" w:pos="360"/>
          <w:tab w:val="left" w:pos="720"/>
        </w:tabs>
        <w:ind w:left="1080"/>
        <w:contextualSpacing w:val="0"/>
      </w:pPr>
      <w:r>
        <w:t>T</w:t>
      </w:r>
      <w:r w:rsidR="003F35BD">
        <w:t xml:space="preserve">he team reviewed </w:t>
      </w:r>
      <w:r>
        <w:t xml:space="preserve">the </w:t>
      </w:r>
      <w:r w:rsidR="003F35BD">
        <w:t xml:space="preserve">evaluation </w:t>
      </w:r>
      <w:r>
        <w:t xml:space="preserve">folders </w:t>
      </w:r>
      <w:r w:rsidR="003F35BD">
        <w:t xml:space="preserve">of </w:t>
      </w:r>
      <w:r>
        <w:t xml:space="preserve">nine </w:t>
      </w:r>
      <w:r w:rsidR="003F35BD">
        <w:t xml:space="preserve">administrators, including the </w:t>
      </w:r>
      <w:r w:rsidR="007542B8">
        <w:t xml:space="preserve">school committee’s </w:t>
      </w:r>
      <w:r w:rsidR="003F35BD">
        <w:t xml:space="preserve">evaluation of the superintendent.  </w:t>
      </w:r>
      <w:r w:rsidR="0054153A">
        <w:t>I</w:t>
      </w:r>
      <w:r w:rsidR="003F35BD">
        <w:t xml:space="preserve">n </w:t>
      </w:r>
      <w:r w:rsidR="0054153A">
        <w:t>contrast with teachers’ evaluations</w:t>
      </w:r>
      <w:r w:rsidR="003F35BD">
        <w:t xml:space="preserve">, </w:t>
      </w:r>
      <w:r w:rsidR="0054153A">
        <w:t xml:space="preserve">administrators’ evaluations </w:t>
      </w:r>
      <w:r w:rsidR="003F35BD">
        <w:t xml:space="preserve">included </w:t>
      </w:r>
      <w:r w:rsidR="0054153A">
        <w:t>recommendations capable of contributing</w:t>
      </w:r>
      <w:r w:rsidR="003F35BD">
        <w:t xml:space="preserve"> to </w:t>
      </w:r>
      <w:r w:rsidR="00A10F91">
        <w:t xml:space="preserve">improved instruction and </w:t>
      </w:r>
      <w:r w:rsidR="0054153A">
        <w:t>professional growth</w:t>
      </w:r>
      <w:r w:rsidR="003F35BD">
        <w:t xml:space="preserve">. </w:t>
      </w:r>
    </w:p>
    <w:p w:rsidR="00BE5207" w:rsidRDefault="007542B8" w:rsidP="00A43D69">
      <w:pPr>
        <w:pStyle w:val="ListParagraph"/>
        <w:numPr>
          <w:ilvl w:val="0"/>
          <w:numId w:val="20"/>
        </w:numPr>
        <w:tabs>
          <w:tab w:val="left" w:pos="360"/>
          <w:tab w:val="left" w:pos="720"/>
        </w:tabs>
        <w:ind w:left="1080"/>
        <w:contextualSpacing w:val="0"/>
      </w:pPr>
      <w:r>
        <w:lastRenderedPageBreak/>
        <w:t>D</w:t>
      </w:r>
      <w:r w:rsidR="003F35BD">
        <w:t>istrict and school leaders</w:t>
      </w:r>
      <w:r>
        <w:t xml:space="preserve"> told the team that </w:t>
      </w:r>
      <w:r w:rsidR="003F35BD">
        <w:t xml:space="preserve">the district implemented </w:t>
      </w:r>
      <w:r>
        <w:t xml:space="preserve">its </w:t>
      </w:r>
      <w:r w:rsidR="003F35BD">
        <w:t>educator evaluation system in 2012</w:t>
      </w:r>
      <w:r w:rsidR="007E57C4">
        <w:t xml:space="preserve"> shortly after they signed a new collective bargaining agreement</w:t>
      </w:r>
      <w:r w:rsidR="003F35BD">
        <w:t xml:space="preserve"> </w:t>
      </w:r>
      <w:r w:rsidR="00E766A0">
        <w:t xml:space="preserve">, </w:t>
      </w:r>
      <w:r>
        <w:t>but</w:t>
      </w:r>
      <w:r w:rsidR="003F35BD">
        <w:t xml:space="preserve"> </w:t>
      </w:r>
      <w:r w:rsidR="00BE5207">
        <w:t xml:space="preserve">the system was not agreed to contractually until the </w:t>
      </w:r>
      <w:r w:rsidR="003F35BD">
        <w:t>2016</w:t>
      </w:r>
      <w:r>
        <w:t>–</w:t>
      </w:r>
      <w:r w:rsidR="003F35BD">
        <w:t xml:space="preserve">2017 school year.  </w:t>
      </w:r>
    </w:p>
    <w:p w:rsidR="003F35BD" w:rsidRDefault="00BE5207" w:rsidP="00BE5207">
      <w:pPr>
        <w:tabs>
          <w:tab w:val="left" w:pos="360"/>
          <w:tab w:val="left" w:pos="720"/>
          <w:tab w:val="left" w:pos="1080"/>
          <w:tab w:val="left" w:pos="1440"/>
        </w:tabs>
        <w:ind w:left="1080" w:hanging="360"/>
      </w:pPr>
      <w:r>
        <w:t>6.</w:t>
      </w:r>
      <w:r>
        <w:tab/>
      </w:r>
      <w:r w:rsidR="003F35BD">
        <w:t xml:space="preserve">An educator evaluation committee meets regularly to discuss educator evaluation topics, such as </w:t>
      </w:r>
      <w:r w:rsidR="007542B8">
        <w:t xml:space="preserve">evaluative </w:t>
      </w:r>
      <w:r w:rsidR="003F35BD">
        <w:t>evidence criteria and evaluation training requirements.</w:t>
      </w:r>
    </w:p>
    <w:p w:rsidR="003F35BD" w:rsidRDefault="003F35BD" w:rsidP="00A43D69">
      <w:pPr>
        <w:pStyle w:val="ListParagraph"/>
        <w:numPr>
          <w:ilvl w:val="0"/>
          <w:numId w:val="19"/>
        </w:numPr>
        <w:tabs>
          <w:tab w:val="left" w:pos="360"/>
          <w:tab w:val="left" w:pos="720"/>
        </w:tabs>
        <w:ind w:left="720"/>
        <w:contextualSpacing w:val="0"/>
      </w:pPr>
      <w:r>
        <w:t>District and school leaders told the team that evaluator</w:t>
      </w:r>
      <w:r w:rsidR="007F45A7">
        <w:t>s’</w:t>
      </w:r>
      <w:r>
        <w:t xml:space="preserve"> </w:t>
      </w:r>
      <w:r w:rsidR="007F45A7">
        <w:t xml:space="preserve">caseloads </w:t>
      </w:r>
      <w:r w:rsidR="00790DF8">
        <w:t xml:space="preserve">are </w:t>
      </w:r>
      <w:r>
        <w:t>an issue</w:t>
      </w:r>
      <w:r w:rsidR="00BE5207">
        <w:t>, noting</w:t>
      </w:r>
      <w:r>
        <w:t xml:space="preserve"> that the quality of evaluations would be better if evaluators had smaller caseloads. The district is </w:t>
      </w:r>
      <w:r w:rsidR="007C559B">
        <w:t>considering adding</w:t>
      </w:r>
      <w:r>
        <w:t xml:space="preserve"> </w:t>
      </w:r>
      <w:r w:rsidR="001441CD">
        <w:t xml:space="preserve">additional </w:t>
      </w:r>
      <w:r>
        <w:t xml:space="preserve">“contributing evaluators,” </w:t>
      </w:r>
      <w:r w:rsidR="001441CD">
        <w:t>and has been in discussions</w:t>
      </w:r>
      <w:r>
        <w:t xml:space="preserve"> with the </w:t>
      </w:r>
      <w:r w:rsidR="001441CD">
        <w:t>teachers’ association about this</w:t>
      </w:r>
      <w:r>
        <w:t>.</w:t>
      </w:r>
    </w:p>
    <w:p w:rsidR="00BE5207" w:rsidRDefault="003F35BD" w:rsidP="00A43D69">
      <w:pPr>
        <w:pStyle w:val="ListParagraph"/>
        <w:tabs>
          <w:tab w:val="left" w:pos="360"/>
          <w:tab w:val="left" w:pos="720"/>
        </w:tabs>
        <w:ind w:left="1080" w:hanging="360"/>
        <w:contextualSpacing w:val="0"/>
      </w:pPr>
      <w:r>
        <w:t>1.    The district</w:t>
      </w:r>
      <w:r w:rsidR="007542B8">
        <w:t>’s</w:t>
      </w:r>
      <w:r>
        <w:t xml:space="preserve"> 14 evaluators receive training.  </w:t>
      </w:r>
    </w:p>
    <w:p w:rsidR="00BE5207" w:rsidRDefault="00BE5207" w:rsidP="00A43D69">
      <w:pPr>
        <w:pStyle w:val="ListParagraph"/>
        <w:tabs>
          <w:tab w:val="left" w:pos="360"/>
          <w:tab w:val="left" w:pos="720"/>
        </w:tabs>
        <w:ind w:left="1080" w:hanging="360"/>
        <w:contextualSpacing w:val="0"/>
      </w:pPr>
      <w:r>
        <w:t>2.</w:t>
      </w:r>
      <w:r>
        <w:tab/>
      </w:r>
      <w:r w:rsidR="003F35BD">
        <w:t xml:space="preserve">Evaluators calibrate </w:t>
      </w:r>
      <w:r w:rsidR="00055806">
        <w:t xml:space="preserve">feedback </w:t>
      </w:r>
      <w:r w:rsidR="008977A2">
        <w:t>expectations</w:t>
      </w:r>
      <w:r w:rsidR="003F35BD">
        <w:t xml:space="preserve"> using the ESE</w:t>
      </w:r>
      <w:r>
        <w:t>’s</w:t>
      </w:r>
      <w:r w:rsidR="003F35BD">
        <w:t xml:space="preserve"> observation training videos as a resource. </w:t>
      </w:r>
    </w:p>
    <w:p w:rsidR="003F35BD" w:rsidRDefault="001441CD" w:rsidP="001441CD">
      <w:pPr>
        <w:pStyle w:val="ListParagraph"/>
        <w:tabs>
          <w:tab w:val="left" w:pos="360"/>
          <w:tab w:val="left" w:pos="720"/>
          <w:tab w:val="left" w:pos="1080"/>
        </w:tabs>
        <w:ind w:left="1440" w:hanging="720"/>
        <w:contextualSpacing w:val="0"/>
      </w:pPr>
      <w:r>
        <w:tab/>
      </w:r>
      <w:r w:rsidR="00BE5207">
        <w:t>a.</w:t>
      </w:r>
      <w:r w:rsidR="00BE5207">
        <w:tab/>
        <w:t xml:space="preserve">Teachers’ association members </w:t>
      </w:r>
      <w:r w:rsidR="003F35BD">
        <w:t xml:space="preserve">told the team that calibration training has </w:t>
      </w:r>
      <w:r w:rsidR="000F1A1E">
        <w:t xml:space="preserve">meant that evaluators assign </w:t>
      </w:r>
      <w:r w:rsidR="003F35BD">
        <w:t xml:space="preserve">ratings </w:t>
      </w:r>
      <w:r w:rsidR="000F1A1E">
        <w:t>more consistently</w:t>
      </w:r>
      <w:r w:rsidR="003F35BD">
        <w:t>.</w:t>
      </w:r>
    </w:p>
    <w:p w:rsidR="00752ACF" w:rsidRDefault="003F35BD" w:rsidP="00A43D69">
      <w:pPr>
        <w:pStyle w:val="Default"/>
        <w:numPr>
          <w:ilvl w:val="0"/>
          <w:numId w:val="19"/>
        </w:numPr>
        <w:spacing w:after="200" w:line="276" w:lineRule="auto"/>
        <w:ind w:left="720"/>
        <w:rPr>
          <w:sz w:val="22"/>
          <w:szCs w:val="22"/>
        </w:rPr>
      </w:pPr>
      <w:r>
        <w:rPr>
          <w:sz w:val="22"/>
          <w:szCs w:val="22"/>
        </w:rPr>
        <w:t xml:space="preserve">The </w:t>
      </w:r>
      <w:r w:rsidR="008E4E71">
        <w:rPr>
          <w:sz w:val="22"/>
          <w:szCs w:val="22"/>
        </w:rPr>
        <w:t xml:space="preserve">more recent components of the state Educator Evaluation Framework require </w:t>
      </w:r>
      <w:r>
        <w:rPr>
          <w:sz w:val="22"/>
          <w:szCs w:val="22"/>
        </w:rPr>
        <w:t>district</w:t>
      </w:r>
      <w:r w:rsidR="008E4E71">
        <w:rPr>
          <w:sz w:val="22"/>
          <w:szCs w:val="22"/>
        </w:rPr>
        <w:t>s</w:t>
      </w:r>
      <w:r>
        <w:rPr>
          <w:sz w:val="22"/>
          <w:szCs w:val="22"/>
        </w:rPr>
        <w:t xml:space="preserve"> </w:t>
      </w:r>
      <w:r w:rsidR="008E4E71">
        <w:rPr>
          <w:sz w:val="22"/>
          <w:szCs w:val="22"/>
        </w:rPr>
        <w:t>to</w:t>
      </w:r>
      <w:r>
        <w:rPr>
          <w:sz w:val="22"/>
          <w:szCs w:val="22"/>
        </w:rPr>
        <w:t xml:space="preserve"> collect </w:t>
      </w:r>
      <w:r w:rsidR="008E4E71">
        <w:rPr>
          <w:sz w:val="22"/>
          <w:szCs w:val="22"/>
        </w:rPr>
        <w:t>multiple measures of</w:t>
      </w:r>
      <w:r>
        <w:rPr>
          <w:sz w:val="22"/>
          <w:szCs w:val="22"/>
        </w:rPr>
        <w:t xml:space="preserve"> </w:t>
      </w:r>
      <w:r w:rsidR="00752ACF">
        <w:rPr>
          <w:sz w:val="22"/>
          <w:szCs w:val="22"/>
        </w:rPr>
        <w:t xml:space="preserve">evaluative </w:t>
      </w:r>
      <w:r>
        <w:rPr>
          <w:sz w:val="22"/>
          <w:szCs w:val="22"/>
        </w:rPr>
        <w:t xml:space="preserve">evidence in the evaluation </w:t>
      </w:r>
      <w:r w:rsidR="008E4E71">
        <w:rPr>
          <w:sz w:val="22"/>
          <w:szCs w:val="22"/>
        </w:rPr>
        <w:t>of teachers and administrators</w:t>
      </w:r>
      <w:r>
        <w:rPr>
          <w:sz w:val="22"/>
          <w:szCs w:val="22"/>
        </w:rPr>
        <w:t xml:space="preserve">. </w:t>
      </w:r>
      <w:r w:rsidR="00BD44BB" w:rsidRPr="00982B6D">
        <w:rPr>
          <w:rStyle w:val="FootnoteReference"/>
          <w:sz w:val="22"/>
          <w:szCs w:val="22"/>
        </w:rPr>
        <w:footnoteReference w:id="9"/>
      </w:r>
      <w:r w:rsidR="008E4E71">
        <w:rPr>
          <w:sz w:val="22"/>
          <w:szCs w:val="22"/>
        </w:rPr>
        <w:t xml:space="preserve"> </w:t>
      </w:r>
    </w:p>
    <w:p w:rsidR="00752ACF" w:rsidRDefault="00752ACF" w:rsidP="003B3925">
      <w:pPr>
        <w:pStyle w:val="Default"/>
        <w:tabs>
          <w:tab w:val="left" w:pos="1080"/>
        </w:tabs>
        <w:spacing w:after="200" w:line="276" w:lineRule="auto"/>
        <w:ind w:left="1080" w:hanging="360"/>
        <w:rPr>
          <w:sz w:val="22"/>
          <w:szCs w:val="22"/>
        </w:rPr>
      </w:pPr>
      <w:r>
        <w:rPr>
          <w:sz w:val="22"/>
          <w:szCs w:val="22"/>
        </w:rPr>
        <w:t>1.</w:t>
      </w:r>
      <w:r>
        <w:rPr>
          <w:sz w:val="22"/>
          <w:szCs w:val="22"/>
        </w:rPr>
        <w:tab/>
        <w:t>As of the 2015–2016 school year, state regulations call for all districts to collect and include student feedback as a source of evidence in determining an educator’s summative performance rating.</w:t>
      </w:r>
      <w:r w:rsidR="003B3925">
        <w:rPr>
          <w:sz w:val="22"/>
          <w:szCs w:val="22"/>
        </w:rPr>
        <w:t xml:space="preserve"> Similarly, the district should collect and use staff feedback to inform administrators’ evaluations. Feedback may also be used to inform an educator’s self-assessment, goal setting, and as evidence to demonstrate changes in practice over time.</w:t>
      </w:r>
      <w:r w:rsidR="00A10F91">
        <w:rPr>
          <w:sz w:val="22"/>
          <w:szCs w:val="22"/>
        </w:rPr>
        <w:t xml:space="preserve"> </w:t>
      </w:r>
      <w:r w:rsidR="003B3925">
        <w:rPr>
          <w:sz w:val="22"/>
          <w:szCs w:val="22"/>
        </w:rPr>
        <w:t>The district is out of compliance with this state requirement.</w:t>
      </w:r>
    </w:p>
    <w:p w:rsidR="003B3925" w:rsidRDefault="003B3925" w:rsidP="0042465B">
      <w:pPr>
        <w:pStyle w:val="Default"/>
        <w:tabs>
          <w:tab w:val="left" w:pos="1080"/>
        </w:tabs>
        <w:spacing w:after="200" w:line="276" w:lineRule="auto"/>
        <w:ind w:left="1080" w:hanging="360"/>
        <w:rPr>
          <w:sz w:val="22"/>
          <w:szCs w:val="22"/>
        </w:rPr>
      </w:pPr>
      <w:r>
        <w:rPr>
          <w:sz w:val="22"/>
          <w:szCs w:val="22"/>
        </w:rPr>
        <w:t>2.</w:t>
      </w:r>
      <w:r>
        <w:rPr>
          <w:sz w:val="22"/>
          <w:szCs w:val="22"/>
        </w:rPr>
        <w:tab/>
        <w:t xml:space="preserve">The other recent component of the </w:t>
      </w:r>
      <w:r w:rsidR="003E780B">
        <w:rPr>
          <w:sz w:val="22"/>
          <w:szCs w:val="22"/>
        </w:rPr>
        <w:t>state Educator Evaluation Frame</w:t>
      </w:r>
      <w:r>
        <w:rPr>
          <w:sz w:val="22"/>
          <w:szCs w:val="22"/>
        </w:rPr>
        <w:t>w</w:t>
      </w:r>
      <w:r w:rsidR="003E780B">
        <w:rPr>
          <w:sz w:val="22"/>
          <w:szCs w:val="22"/>
        </w:rPr>
        <w:t>o</w:t>
      </w:r>
      <w:r>
        <w:rPr>
          <w:sz w:val="22"/>
          <w:szCs w:val="22"/>
        </w:rPr>
        <w:t xml:space="preserve">rk requires school districts to develop and use multiple measures of student learning, including common assessments and other statewide student growth measures, to assess student growth and achievement. These assessments are intended to provide reliable feedback about student learning and educator efficacy across all grade levels and content areas. They also serve as a component of an educator’s summative performance rating. </w:t>
      </w:r>
    </w:p>
    <w:p w:rsidR="003F35BD" w:rsidRDefault="003B3925" w:rsidP="003B3925">
      <w:pPr>
        <w:pStyle w:val="Default"/>
        <w:tabs>
          <w:tab w:val="left" w:pos="1080"/>
        </w:tabs>
        <w:spacing w:after="200" w:line="276" w:lineRule="auto"/>
        <w:ind w:left="1080" w:hanging="360"/>
        <w:rPr>
          <w:sz w:val="22"/>
          <w:szCs w:val="22"/>
        </w:rPr>
      </w:pPr>
      <w:r>
        <w:rPr>
          <w:sz w:val="22"/>
          <w:szCs w:val="22"/>
        </w:rPr>
        <w:lastRenderedPageBreak/>
        <w:t>3.</w:t>
      </w:r>
      <w:r>
        <w:rPr>
          <w:sz w:val="22"/>
          <w:szCs w:val="22"/>
        </w:rPr>
        <w:tab/>
        <w:t>Administrators and school leaders said that t</w:t>
      </w:r>
      <w:r w:rsidR="008E4E71">
        <w:rPr>
          <w:sz w:val="22"/>
          <w:szCs w:val="22"/>
        </w:rPr>
        <w:t>he district has not taken action to implement these components of the Educator Evaluation Framework.</w:t>
      </w:r>
    </w:p>
    <w:p w:rsidR="001E3278" w:rsidRDefault="001E3278" w:rsidP="001E3278">
      <w:pPr>
        <w:pStyle w:val="Default"/>
        <w:tabs>
          <w:tab w:val="left" w:pos="1080"/>
        </w:tabs>
        <w:spacing w:after="200" w:line="276" w:lineRule="auto"/>
        <w:ind w:left="1440" w:hanging="720"/>
        <w:rPr>
          <w:sz w:val="22"/>
          <w:szCs w:val="22"/>
        </w:rPr>
      </w:pPr>
      <w:r>
        <w:rPr>
          <w:sz w:val="22"/>
          <w:szCs w:val="22"/>
        </w:rPr>
        <w:tab/>
        <w:t>a.</w:t>
      </w:r>
      <w:r>
        <w:rPr>
          <w:sz w:val="22"/>
          <w:szCs w:val="22"/>
        </w:rPr>
        <w:tab/>
        <w:t>District leaders reported that although the district has included language about developing and using multiple measure of student learning in a recently ratified collective bargaining agreement and has developed and purchased several assessments, at the time of the visit</w:t>
      </w:r>
      <w:r w:rsidR="00D263E8">
        <w:rPr>
          <w:sz w:val="22"/>
          <w:szCs w:val="22"/>
        </w:rPr>
        <w:t xml:space="preserve"> </w:t>
      </w:r>
      <w:r w:rsidR="009A6093">
        <w:rPr>
          <w:sz w:val="22"/>
          <w:szCs w:val="22"/>
        </w:rPr>
        <w:t>(</w:t>
      </w:r>
      <w:r w:rsidR="00D263E8">
        <w:rPr>
          <w:sz w:val="22"/>
          <w:szCs w:val="22"/>
        </w:rPr>
        <w:t>January 2017</w:t>
      </w:r>
      <w:r w:rsidR="009A6093">
        <w:rPr>
          <w:sz w:val="22"/>
          <w:szCs w:val="22"/>
        </w:rPr>
        <w:t>)</w:t>
      </w:r>
      <w:r>
        <w:rPr>
          <w:sz w:val="22"/>
          <w:szCs w:val="22"/>
        </w:rPr>
        <w:t xml:space="preserve">, the district had not collected data or assigned student growth ratings. </w:t>
      </w:r>
    </w:p>
    <w:p w:rsidR="003F35BD" w:rsidRDefault="003F35BD" w:rsidP="00A43D69">
      <w:r>
        <w:rPr>
          <w:b/>
        </w:rPr>
        <w:t>I</w:t>
      </w:r>
      <w:r w:rsidRPr="00F731AA">
        <w:rPr>
          <w:b/>
        </w:rPr>
        <w:t>mpact</w:t>
      </w:r>
      <w:r>
        <w:t xml:space="preserve">:  </w:t>
      </w:r>
      <w:r w:rsidR="00890740">
        <w:t>By not systematica</w:t>
      </w:r>
      <w:r w:rsidR="003E780B">
        <w:t>lly expanding the competencies of a</w:t>
      </w:r>
      <w:r w:rsidR="00890740">
        <w:t>nd enhancing</w:t>
      </w:r>
      <w:r>
        <w:t xml:space="preserve"> the professional </w:t>
      </w:r>
      <w:r w:rsidR="000A2B09">
        <w:t xml:space="preserve">skills </w:t>
      </w:r>
      <w:r>
        <w:t>of teachers</w:t>
      </w:r>
      <w:r w:rsidR="000A2B09">
        <w:t>,</w:t>
      </w:r>
      <w:r>
        <w:t xml:space="preserve"> </w:t>
      </w:r>
      <w:r w:rsidR="000A2B09">
        <w:t>the district is missing a critical opportunity to improve students’ academic achievement</w:t>
      </w:r>
      <w:r>
        <w:t xml:space="preserve">. </w:t>
      </w:r>
    </w:p>
    <w:p w:rsidR="003E780B" w:rsidRPr="0084624F" w:rsidRDefault="003E780B" w:rsidP="00A43D69"/>
    <w:p w:rsidR="00BD44BB" w:rsidRDefault="003F35BD" w:rsidP="00BD44BB">
      <w:pPr>
        <w:rPr>
          <w:b/>
          <w:sz w:val="28"/>
          <w:szCs w:val="28"/>
        </w:rPr>
      </w:pPr>
      <w:r w:rsidRPr="008F1B0F">
        <w:rPr>
          <w:b/>
          <w:sz w:val="28"/>
          <w:szCs w:val="28"/>
        </w:rPr>
        <w:t>Recommendation</w:t>
      </w:r>
    </w:p>
    <w:p w:rsidR="00E343DA" w:rsidRPr="00C04704" w:rsidRDefault="00E30B60" w:rsidP="00C04704">
      <w:pPr>
        <w:ind w:left="360" w:hanging="360"/>
        <w:rPr>
          <w:b/>
          <w:sz w:val="28"/>
          <w:szCs w:val="28"/>
        </w:rPr>
      </w:pPr>
      <w:r>
        <w:rPr>
          <w:b/>
          <w:szCs w:val="28"/>
        </w:rPr>
        <w:t xml:space="preserve">1. </w:t>
      </w:r>
      <w:r>
        <w:rPr>
          <w:b/>
          <w:szCs w:val="28"/>
        </w:rPr>
        <w:tab/>
      </w:r>
      <w:r w:rsidR="00BD44BB" w:rsidRPr="00BD44BB">
        <w:rPr>
          <w:b/>
          <w:szCs w:val="28"/>
        </w:rPr>
        <w:t>The district should provide teachers with written</w:t>
      </w:r>
      <w:r w:rsidR="00EC7F09">
        <w:rPr>
          <w:b/>
          <w:szCs w:val="28"/>
        </w:rPr>
        <w:t>,</w:t>
      </w:r>
      <w:r w:rsidR="00BD44BB" w:rsidRPr="00BD44BB">
        <w:rPr>
          <w:b/>
          <w:szCs w:val="28"/>
        </w:rPr>
        <w:t xml:space="preserve"> high</w:t>
      </w:r>
      <w:r w:rsidR="00EC7F09">
        <w:rPr>
          <w:b/>
          <w:szCs w:val="28"/>
        </w:rPr>
        <w:t>-</w:t>
      </w:r>
      <w:r w:rsidR="00BD44BB" w:rsidRPr="00BD44BB">
        <w:rPr>
          <w:b/>
          <w:szCs w:val="28"/>
        </w:rPr>
        <w:t>quality</w:t>
      </w:r>
      <w:r w:rsidR="00EC7F09">
        <w:rPr>
          <w:b/>
          <w:szCs w:val="28"/>
        </w:rPr>
        <w:t>, consistent,</w:t>
      </w:r>
      <w:r w:rsidR="00BD44BB" w:rsidRPr="00BD44BB">
        <w:rPr>
          <w:b/>
          <w:szCs w:val="28"/>
        </w:rPr>
        <w:t xml:space="preserve"> actionable feedback.</w:t>
      </w:r>
    </w:p>
    <w:p w:rsidR="003F35BD" w:rsidRDefault="003F35BD" w:rsidP="00C04704">
      <w:pPr>
        <w:autoSpaceDE w:val="0"/>
        <w:autoSpaceDN w:val="0"/>
        <w:adjustRightInd w:val="0"/>
        <w:spacing w:before="120" w:after="120"/>
        <w:ind w:left="720" w:hanging="360"/>
        <w:rPr>
          <w:szCs w:val="28"/>
        </w:rPr>
      </w:pPr>
      <w:r w:rsidRPr="00653F06">
        <w:rPr>
          <w:rFonts w:eastAsia="Times New Roman" w:cs="Times New Roman"/>
          <w:b/>
        </w:rPr>
        <w:t>A.</w:t>
      </w:r>
      <w:r>
        <w:rPr>
          <w:rFonts w:eastAsia="Times New Roman" w:cs="Times New Roman"/>
        </w:rPr>
        <w:t xml:space="preserve">   The district should </w:t>
      </w:r>
      <w:r w:rsidR="001638B7">
        <w:rPr>
          <w:rFonts w:eastAsia="Times New Roman" w:cs="Times New Roman"/>
        </w:rPr>
        <w:t xml:space="preserve">continue </w:t>
      </w:r>
      <w:r>
        <w:rPr>
          <w:rFonts w:eastAsia="Times New Roman" w:cs="Times New Roman"/>
        </w:rPr>
        <w:t xml:space="preserve">providing professional development to evaluators to improve evaluation quality and </w:t>
      </w:r>
      <w:r w:rsidR="001638B7">
        <w:rPr>
          <w:rFonts w:eastAsia="Times New Roman" w:cs="Times New Roman"/>
        </w:rPr>
        <w:t>consistency</w:t>
      </w:r>
      <w:r>
        <w:rPr>
          <w:rFonts w:eastAsia="Times New Roman" w:cs="Times New Roman"/>
        </w:rPr>
        <w:t>.</w:t>
      </w:r>
    </w:p>
    <w:p w:rsidR="003F35BD" w:rsidRDefault="00C04704" w:rsidP="00C04704">
      <w:pPr>
        <w:tabs>
          <w:tab w:val="left" w:pos="360"/>
          <w:tab w:val="left" w:pos="720"/>
        </w:tabs>
        <w:autoSpaceDE w:val="0"/>
        <w:autoSpaceDN w:val="0"/>
        <w:adjustRightInd w:val="0"/>
        <w:spacing w:before="120" w:after="120"/>
        <w:rPr>
          <w:szCs w:val="28"/>
        </w:rPr>
      </w:pPr>
      <w:r>
        <w:rPr>
          <w:rFonts w:eastAsia="Times New Roman" w:cs="Times New Roman"/>
          <w:b/>
        </w:rPr>
        <w:tab/>
      </w:r>
      <w:r w:rsidR="001638B7">
        <w:rPr>
          <w:szCs w:val="28"/>
        </w:rPr>
        <w:tab/>
        <w:t xml:space="preserve">1.    </w:t>
      </w:r>
      <w:r w:rsidR="003F35BD">
        <w:rPr>
          <w:szCs w:val="28"/>
        </w:rPr>
        <w:t>Evaluators should continue to calibrat</w:t>
      </w:r>
      <w:r w:rsidR="001638B7">
        <w:rPr>
          <w:szCs w:val="28"/>
        </w:rPr>
        <w:t>e</w:t>
      </w:r>
      <w:r w:rsidR="003F35BD">
        <w:rPr>
          <w:szCs w:val="28"/>
        </w:rPr>
        <w:t xml:space="preserve"> </w:t>
      </w:r>
      <w:r w:rsidR="00A078B5">
        <w:rPr>
          <w:szCs w:val="28"/>
        </w:rPr>
        <w:t>expectations</w:t>
      </w:r>
      <w:r w:rsidR="003F35BD">
        <w:rPr>
          <w:szCs w:val="28"/>
        </w:rPr>
        <w:t xml:space="preserve"> using ESE observational videos. </w:t>
      </w:r>
    </w:p>
    <w:p w:rsidR="00BD44BB" w:rsidRDefault="001638B7" w:rsidP="00BD44BB">
      <w:pPr>
        <w:tabs>
          <w:tab w:val="left" w:pos="720"/>
          <w:tab w:val="left" w:pos="1080"/>
          <w:tab w:val="left" w:pos="1440"/>
        </w:tabs>
        <w:autoSpaceDE w:val="0"/>
        <w:autoSpaceDN w:val="0"/>
        <w:adjustRightInd w:val="0"/>
        <w:spacing w:before="120" w:after="120"/>
        <w:ind w:left="1440" w:hanging="720"/>
        <w:rPr>
          <w:szCs w:val="28"/>
        </w:rPr>
      </w:pPr>
      <w:r>
        <w:rPr>
          <w:szCs w:val="28"/>
        </w:rPr>
        <w:t xml:space="preserve">       a.</w:t>
      </w:r>
      <w:r>
        <w:rPr>
          <w:szCs w:val="28"/>
        </w:rPr>
        <w:tab/>
        <w:t xml:space="preserve"> </w:t>
      </w:r>
      <w:r w:rsidR="003F35BD">
        <w:rPr>
          <w:szCs w:val="28"/>
        </w:rPr>
        <w:t>Using ESE videos</w:t>
      </w:r>
      <w:r>
        <w:rPr>
          <w:szCs w:val="28"/>
        </w:rPr>
        <w:t xml:space="preserve"> or other sources</w:t>
      </w:r>
      <w:r w:rsidR="003F35BD">
        <w:rPr>
          <w:szCs w:val="28"/>
        </w:rPr>
        <w:t xml:space="preserve">, evaluators should </w:t>
      </w:r>
      <w:r>
        <w:rPr>
          <w:szCs w:val="28"/>
        </w:rPr>
        <w:t>practice generating high</w:t>
      </w:r>
      <w:r w:rsidR="00A078B5">
        <w:rPr>
          <w:szCs w:val="28"/>
        </w:rPr>
        <w:t>-</w:t>
      </w:r>
      <w:r>
        <w:rPr>
          <w:szCs w:val="28"/>
        </w:rPr>
        <w:t>quality feedback and should calibrate this feedback to increase consistency</w:t>
      </w:r>
      <w:r w:rsidR="003F35BD">
        <w:rPr>
          <w:szCs w:val="28"/>
        </w:rPr>
        <w:t xml:space="preserve">. </w:t>
      </w:r>
    </w:p>
    <w:p w:rsidR="003F35BD" w:rsidRDefault="007E220F" w:rsidP="00C04704">
      <w:pPr>
        <w:autoSpaceDE w:val="0"/>
        <w:autoSpaceDN w:val="0"/>
        <w:adjustRightInd w:val="0"/>
        <w:spacing w:before="120" w:after="120"/>
        <w:ind w:left="720" w:hanging="360"/>
        <w:rPr>
          <w:szCs w:val="28"/>
        </w:rPr>
      </w:pPr>
      <w:r>
        <w:rPr>
          <w:rFonts w:eastAsia="Times New Roman" w:cs="Times New Roman"/>
          <w:b/>
        </w:rPr>
        <w:t>B</w:t>
      </w:r>
      <w:r w:rsidR="003F35BD">
        <w:rPr>
          <w:rFonts w:eastAsia="Times New Roman" w:cs="Times New Roman"/>
          <w:b/>
        </w:rPr>
        <w:t>.</w:t>
      </w:r>
      <w:r w:rsidR="003F35BD">
        <w:rPr>
          <w:szCs w:val="28"/>
        </w:rPr>
        <w:t xml:space="preserve">   The district should develop expectations for </w:t>
      </w:r>
      <w:r w:rsidR="00C31E25">
        <w:rPr>
          <w:szCs w:val="28"/>
        </w:rPr>
        <w:t>what constitute</w:t>
      </w:r>
      <w:r w:rsidR="00C95FB1">
        <w:rPr>
          <w:szCs w:val="28"/>
        </w:rPr>
        <w:t xml:space="preserve"> </w:t>
      </w:r>
      <w:r w:rsidR="00A078B5">
        <w:rPr>
          <w:szCs w:val="28"/>
        </w:rPr>
        <w:t>recommendations capable of contributing to improved instruction and professional growth</w:t>
      </w:r>
      <w:r w:rsidR="003F35BD">
        <w:rPr>
          <w:szCs w:val="28"/>
        </w:rPr>
        <w:t>.</w:t>
      </w:r>
    </w:p>
    <w:p w:rsidR="003F35BD" w:rsidRDefault="007E220F" w:rsidP="00C04704">
      <w:pPr>
        <w:autoSpaceDE w:val="0"/>
        <w:autoSpaceDN w:val="0"/>
        <w:adjustRightInd w:val="0"/>
        <w:spacing w:before="120" w:after="120"/>
        <w:ind w:left="720" w:hanging="360"/>
        <w:rPr>
          <w:szCs w:val="28"/>
        </w:rPr>
      </w:pPr>
      <w:r>
        <w:rPr>
          <w:rFonts w:eastAsia="Times New Roman" w:cs="Times New Roman"/>
          <w:b/>
        </w:rPr>
        <w:t>C</w:t>
      </w:r>
      <w:r w:rsidR="003F35BD">
        <w:rPr>
          <w:rFonts w:eastAsia="Times New Roman" w:cs="Times New Roman"/>
          <w:b/>
        </w:rPr>
        <w:t>.</w:t>
      </w:r>
      <w:r w:rsidR="003F35BD">
        <w:rPr>
          <w:szCs w:val="28"/>
        </w:rPr>
        <w:t xml:space="preserve">   The district should annually survey educators to learn about the quality of evaluations, observations</w:t>
      </w:r>
      <w:r w:rsidR="00A078B5">
        <w:rPr>
          <w:szCs w:val="28"/>
        </w:rPr>
        <w:t>,</w:t>
      </w:r>
      <w:r w:rsidR="003F35BD">
        <w:rPr>
          <w:szCs w:val="28"/>
        </w:rPr>
        <w:t xml:space="preserve"> and feedback</w:t>
      </w:r>
      <w:r w:rsidR="00A078B5">
        <w:rPr>
          <w:szCs w:val="28"/>
        </w:rPr>
        <w:t>,</w:t>
      </w:r>
      <w:r w:rsidR="003F35BD">
        <w:rPr>
          <w:szCs w:val="28"/>
        </w:rPr>
        <w:t xml:space="preserve"> and provide the results to the evaluation committee.</w:t>
      </w:r>
    </w:p>
    <w:p w:rsidR="00BD44BB" w:rsidRPr="00BD44BB" w:rsidRDefault="00621E33" w:rsidP="00BD44BB">
      <w:pPr>
        <w:tabs>
          <w:tab w:val="left" w:pos="360"/>
          <w:tab w:val="left" w:pos="720"/>
          <w:tab w:val="left" w:pos="1170"/>
        </w:tabs>
        <w:autoSpaceDE w:val="0"/>
        <w:autoSpaceDN w:val="0"/>
        <w:adjustRightInd w:val="0"/>
        <w:spacing w:before="120" w:after="120"/>
        <w:ind w:left="1170" w:hanging="1440"/>
        <w:rPr>
          <w:rFonts w:eastAsia="Times New Roman" w:cs="Times New Roman"/>
        </w:rPr>
      </w:pPr>
      <w:r>
        <w:rPr>
          <w:rFonts w:eastAsia="Times New Roman" w:cs="Times New Roman"/>
        </w:rPr>
        <w:tab/>
      </w:r>
      <w:r>
        <w:rPr>
          <w:rFonts w:eastAsia="Times New Roman" w:cs="Times New Roman"/>
        </w:rPr>
        <w:tab/>
      </w:r>
      <w:r w:rsidR="003F35BD" w:rsidRPr="00621E33">
        <w:rPr>
          <w:rFonts w:eastAsia="Times New Roman" w:cs="Times New Roman"/>
        </w:rPr>
        <w:t>1.</w:t>
      </w:r>
      <w:r>
        <w:rPr>
          <w:rFonts w:eastAsia="Times New Roman" w:cs="Times New Roman"/>
        </w:rPr>
        <w:t xml:space="preserve">     </w:t>
      </w:r>
      <w:r w:rsidR="00BD44BB" w:rsidRPr="00BD44BB">
        <w:rPr>
          <w:rFonts w:eastAsia="Times New Roman" w:cs="Times New Roman"/>
        </w:rPr>
        <w:t xml:space="preserve">The evaluation committee </w:t>
      </w:r>
      <w:r w:rsidR="003F44BA">
        <w:rPr>
          <w:rFonts w:eastAsia="Times New Roman" w:cs="Times New Roman"/>
        </w:rPr>
        <w:t>might consider</w:t>
      </w:r>
      <w:r w:rsidR="00BD44BB" w:rsidRPr="00BD44BB">
        <w:rPr>
          <w:rFonts w:eastAsia="Times New Roman" w:cs="Times New Roman"/>
        </w:rPr>
        <w:t xml:space="preserve"> conduct</w:t>
      </w:r>
      <w:r w:rsidR="003F44BA">
        <w:rPr>
          <w:rFonts w:eastAsia="Times New Roman" w:cs="Times New Roman"/>
        </w:rPr>
        <w:t>ing</w:t>
      </w:r>
      <w:r w:rsidR="00BD44BB" w:rsidRPr="00BD44BB">
        <w:rPr>
          <w:rFonts w:eastAsia="Times New Roman" w:cs="Times New Roman"/>
        </w:rPr>
        <w:t xml:space="preserve"> an annual quality review of a sample of educator</w:t>
      </w:r>
      <w:r w:rsidR="00A078B5">
        <w:rPr>
          <w:rFonts w:eastAsia="Times New Roman" w:cs="Times New Roman"/>
        </w:rPr>
        <w:t>s’</w:t>
      </w:r>
      <w:r w:rsidR="00BD44BB" w:rsidRPr="00BD44BB">
        <w:rPr>
          <w:rFonts w:eastAsia="Times New Roman" w:cs="Times New Roman"/>
        </w:rPr>
        <w:t xml:space="preserve"> evaluations and observations.</w:t>
      </w:r>
    </w:p>
    <w:p w:rsidR="003F35BD" w:rsidRPr="00C13D60" w:rsidRDefault="00BC7CCC" w:rsidP="00BC7CCC">
      <w:pPr>
        <w:tabs>
          <w:tab w:val="left" w:pos="360"/>
          <w:tab w:val="left" w:pos="720"/>
          <w:tab w:val="left" w:pos="1080"/>
          <w:tab w:val="left" w:pos="1440"/>
        </w:tabs>
        <w:autoSpaceDE w:val="0"/>
        <w:autoSpaceDN w:val="0"/>
        <w:adjustRightInd w:val="0"/>
        <w:spacing w:before="120" w:after="120"/>
        <w:ind w:left="720" w:hanging="720"/>
        <w:rPr>
          <w:szCs w:val="28"/>
        </w:rPr>
      </w:pPr>
      <w:r>
        <w:rPr>
          <w:b/>
          <w:szCs w:val="28"/>
        </w:rPr>
        <w:tab/>
      </w:r>
      <w:r w:rsidR="007E220F">
        <w:rPr>
          <w:b/>
          <w:szCs w:val="28"/>
        </w:rPr>
        <w:t>D</w:t>
      </w:r>
      <w:r w:rsidR="003F35BD" w:rsidRPr="00C13D60">
        <w:rPr>
          <w:szCs w:val="28"/>
        </w:rPr>
        <w:t>.</w:t>
      </w:r>
      <w:r w:rsidR="003F35BD">
        <w:rPr>
          <w:szCs w:val="28"/>
        </w:rPr>
        <w:t xml:space="preserve">    </w:t>
      </w:r>
      <w:r w:rsidR="00FF5C91">
        <w:rPr>
          <w:szCs w:val="28"/>
        </w:rPr>
        <w:t>T</w:t>
      </w:r>
      <w:r w:rsidR="003F35BD">
        <w:rPr>
          <w:szCs w:val="28"/>
        </w:rPr>
        <w:t>he district should implement the student and staff feedback requirements of the educator evaluation system</w:t>
      </w:r>
      <w:r w:rsidR="00FF5C91">
        <w:rPr>
          <w:szCs w:val="28"/>
        </w:rPr>
        <w:t xml:space="preserve"> as soon as possible</w:t>
      </w:r>
      <w:r w:rsidR="003F35BD">
        <w:rPr>
          <w:szCs w:val="28"/>
        </w:rPr>
        <w:t>.</w:t>
      </w:r>
    </w:p>
    <w:p w:rsidR="00BD44BB" w:rsidRDefault="00C95FB1" w:rsidP="00BD44BB">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b/>
        </w:rPr>
        <w:t>B</w:t>
      </w:r>
      <w:r w:rsidRPr="00C959AA">
        <w:rPr>
          <w:rFonts w:eastAsia="Times New Roman" w:cs="Times New Roman"/>
          <w:b/>
        </w:rPr>
        <w:t>enefits</w:t>
      </w:r>
      <w:r w:rsidR="00632607">
        <w:rPr>
          <w:rFonts w:eastAsia="Times New Roman" w:cs="Times New Roman"/>
          <w:b/>
        </w:rPr>
        <w:t>:</w:t>
      </w:r>
      <w:r w:rsidR="006B4F91">
        <w:rPr>
          <w:rFonts w:eastAsia="Times New Roman" w:cs="Times New Roman"/>
        </w:rPr>
        <w:t xml:space="preserve"> </w:t>
      </w:r>
      <w:r w:rsidR="00BD44BB" w:rsidRPr="00BD44BB">
        <w:rPr>
          <w:rFonts w:eastAsia="Times New Roman" w:cs="Times New Roman"/>
        </w:rPr>
        <w:t>Providing high</w:t>
      </w:r>
      <w:r w:rsidR="00A078B5">
        <w:rPr>
          <w:rFonts w:eastAsia="Times New Roman" w:cs="Times New Roman"/>
        </w:rPr>
        <w:t>-</w:t>
      </w:r>
      <w:r w:rsidR="00BD44BB" w:rsidRPr="00BD44BB">
        <w:rPr>
          <w:rFonts w:eastAsia="Times New Roman" w:cs="Times New Roman"/>
        </w:rPr>
        <w:t xml:space="preserve">quality feedback to educators </w:t>
      </w:r>
      <w:r w:rsidR="00CA64C7">
        <w:rPr>
          <w:rFonts w:eastAsia="Times New Roman" w:cs="Times New Roman"/>
        </w:rPr>
        <w:t>can</w:t>
      </w:r>
      <w:r w:rsidR="00BD44BB" w:rsidRPr="00BD44BB">
        <w:rPr>
          <w:rFonts w:eastAsia="Times New Roman" w:cs="Times New Roman"/>
        </w:rPr>
        <w:t xml:space="preserve"> enhance professional growth</w:t>
      </w:r>
      <w:r w:rsidR="00CA64C7">
        <w:rPr>
          <w:rFonts w:eastAsia="Times New Roman" w:cs="Times New Roman"/>
        </w:rPr>
        <w:t xml:space="preserve">, </w:t>
      </w:r>
      <w:r w:rsidR="00BD44BB" w:rsidRPr="00BD44BB">
        <w:rPr>
          <w:rFonts w:eastAsia="Times New Roman" w:cs="Times New Roman"/>
        </w:rPr>
        <w:t xml:space="preserve">improve </w:t>
      </w:r>
      <w:r w:rsidR="00CA64C7">
        <w:rPr>
          <w:rFonts w:eastAsia="Times New Roman" w:cs="Times New Roman"/>
        </w:rPr>
        <w:t>educators’</w:t>
      </w:r>
      <w:r w:rsidR="00BD44BB" w:rsidRPr="00BD44BB">
        <w:rPr>
          <w:rFonts w:eastAsia="Times New Roman" w:cs="Times New Roman"/>
        </w:rPr>
        <w:t xml:space="preserve"> skills</w:t>
      </w:r>
      <w:r w:rsidR="00CA64C7">
        <w:rPr>
          <w:rFonts w:eastAsia="Times New Roman" w:cs="Times New Roman"/>
        </w:rPr>
        <w:t xml:space="preserve">, and </w:t>
      </w:r>
      <w:r w:rsidR="00BD44BB" w:rsidRPr="00BD44BB">
        <w:rPr>
          <w:rFonts w:eastAsia="Times New Roman" w:cs="Times New Roman"/>
        </w:rPr>
        <w:t xml:space="preserve">lead to improved student achievement. Providing </w:t>
      </w:r>
      <w:r w:rsidR="00A078B5" w:rsidRPr="00C22C2B">
        <w:rPr>
          <w:rFonts w:eastAsia="Times New Roman" w:cs="Times New Roman"/>
        </w:rPr>
        <w:t xml:space="preserve">professional development for evaluators </w:t>
      </w:r>
      <w:r w:rsidR="00A078B5">
        <w:rPr>
          <w:rFonts w:eastAsia="Times New Roman" w:cs="Times New Roman"/>
        </w:rPr>
        <w:t xml:space="preserve">in </w:t>
      </w:r>
      <w:r w:rsidR="00BD44BB" w:rsidRPr="00BD44BB">
        <w:rPr>
          <w:rFonts w:eastAsia="Times New Roman" w:cs="Times New Roman"/>
        </w:rPr>
        <w:t xml:space="preserve">evaluation/observation calibration will be helpful in ensuring that educators are evaluated </w:t>
      </w:r>
      <w:r w:rsidR="00336CAA">
        <w:rPr>
          <w:rFonts w:eastAsia="Times New Roman" w:cs="Times New Roman"/>
        </w:rPr>
        <w:t>effectively</w:t>
      </w:r>
      <w:r w:rsidR="00BD44BB" w:rsidRPr="00BD44BB">
        <w:rPr>
          <w:rFonts w:eastAsia="Times New Roman" w:cs="Times New Roman"/>
        </w:rPr>
        <w:t xml:space="preserve"> and equitably.</w:t>
      </w:r>
    </w:p>
    <w:p w:rsidR="00BD44BB" w:rsidRPr="00BD44BB" w:rsidRDefault="00BD44BB" w:rsidP="00BD44BB">
      <w:pPr>
        <w:tabs>
          <w:tab w:val="left" w:pos="360"/>
          <w:tab w:val="left" w:pos="720"/>
          <w:tab w:val="left" w:pos="1080"/>
          <w:tab w:val="left" w:pos="1440"/>
          <w:tab w:val="left" w:pos="1800"/>
          <w:tab w:val="left" w:pos="2160"/>
        </w:tabs>
        <w:rPr>
          <w:rFonts w:eastAsia="Times New Roman" w:cs="Times New Roman"/>
          <w:b/>
        </w:rPr>
      </w:pPr>
      <w:r w:rsidRPr="00BD44BB">
        <w:rPr>
          <w:rFonts w:eastAsia="Times New Roman" w:cs="Times New Roman"/>
          <w:b/>
        </w:rPr>
        <w:t>Recommended resource:</w:t>
      </w:r>
    </w:p>
    <w:p w:rsidR="00BD44BB" w:rsidRDefault="003457CA" w:rsidP="00BD44BB">
      <w:pPr>
        <w:pStyle w:val="ListParagraph"/>
        <w:numPr>
          <w:ilvl w:val="2"/>
          <w:numId w:val="30"/>
        </w:numPr>
        <w:ind w:left="360"/>
        <w:contextualSpacing w:val="0"/>
        <w:rPr>
          <w:rFonts w:cs="Calibri"/>
        </w:rPr>
      </w:pPr>
      <w:r w:rsidRPr="00910462">
        <w:rPr>
          <w:rFonts w:cs="Calibri"/>
        </w:rPr>
        <w:t xml:space="preserve">The Working Group for Educator Excellence (WGEE) offers an </w:t>
      </w:r>
      <w:r w:rsidRPr="00910462">
        <w:rPr>
          <w:rFonts w:cs="Calibri"/>
          <w:i/>
        </w:rPr>
        <w:t>Electronic Clearinghouse</w:t>
      </w:r>
      <w:r w:rsidRPr="00910462">
        <w:rPr>
          <w:rFonts w:cs="Calibri"/>
        </w:rPr>
        <w:t xml:space="preserve"> (</w:t>
      </w:r>
      <w:hyperlink r:id="rId20" w:history="1">
        <w:r w:rsidRPr="00910462">
          <w:rPr>
            <w:rStyle w:val="Hyperlink"/>
            <w:rFonts w:cs="Calibri"/>
          </w:rPr>
          <w:t>http://wgee.org/electronic-clearinghouse-with-promising-practices/</w:t>
        </w:r>
      </w:hyperlink>
      <w:r w:rsidRPr="00910462">
        <w:rPr>
          <w:rFonts w:cs="Calibri"/>
        </w:rPr>
        <w:t>), which includes exemplars for teachers, school administrators, district leaders and evaluators that clarify particular Indicators on the Classroom Teacher Rubric from the Massachusetts Model System for Educator Evaluation.</w:t>
      </w:r>
    </w:p>
    <w:p w:rsidR="008E314D" w:rsidRDefault="00DD1279" w:rsidP="008E314D">
      <w:pPr>
        <w:pStyle w:val="Section"/>
        <w:tabs>
          <w:tab w:val="left" w:pos="360"/>
          <w:tab w:val="left" w:pos="720"/>
          <w:tab w:val="left" w:pos="1080"/>
          <w:tab w:val="left" w:pos="1440"/>
          <w:tab w:val="left" w:pos="1800"/>
          <w:tab w:val="left" w:pos="2160"/>
          <w:tab w:val="left" w:pos="2520"/>
          <w:tab w:val="left" w:pos="2880"/>
        </w:tabs>
      </w:pPr>
      <w:bookmarkStart w:id="13" w:name="_Toc484613525"/>
      <w:r>
        <w:lastRenderedPageBreak/>
        <w:t>Financial and Asset Management</w:t>
      </w:r>
      <w:bookmarkEnd w:id="13"/>
    </w:p>
    <w:p w:rsidR="00070394" w:rsidRPr="00DC69A2" w:rsidRDefault="00BD44BB" w:rsidP="00070394">
      <w:pPr>
        <w:tabs>
          <w:tab w:val="left" w:pos="360"/>
          <w:tab w:val="left" w:pos="720"/>
          <w:tab w:val="left" w:pos="1080"/>
          <w:tab w:val="left" w:pos="1440"/>
          <w:tab w:val="left" w:pos="1800"/>
          <w:tab w:val="left" w:pos="2160"/>
        </w:tabs>
        <w:rPr>
          <w:rFonts w:eastAsia="Times New Roman" w:cs="Times New Roman"/>
          <w:b/>
          <w:i/>
          <w:sz w:val="28"/>
          <w:szCs w:val="28"/>
        </w:rPr>
      </w:pPr>
      <w:r w:rsidRPr="00BD44BB">
        <w:rPr>
          <w:rFonts w:eastAsia="Times New Roman" w:cs="Times New Roman"/>
          <w:b/>
          <w:i/>
          <w:sz w:val="28"/>
          <w:szCs w:val="28"/>
        </w:rPr>
        <w:t>Contextual Background</w:t>
      </w:r>
    </w:p>
    <w:p w:rsidR="00070394" w:rsidRDefault="000D4B33" w:rsidP="00070394">
      <w:pPr>
        <w:tabs>
          <w:tab w:val="left" w:pos="270"/>
        </w:tabs>
        <w:autoSpaceDE w:val="0"/>
        <w:autoSpaceDN w:val="0"/>
        <w:adjustRightInd w:val="0"/>
        <w:rPr>
          <w:rFonts w:eastAsia="Times New Roman" w:cs="Times New Roman"/>
        </w:rPr>
      </w:pPr>
      <w:r>
        <w:rPr>
          <w:rFonts w:eastAsia="Times New Roman" w:cs="Times New Roman"/>
        </w:rPr>
        <w:t xml:space="preserve">In the 2016–2017 school year, the </w:t>
      </w:r>
      <w:r w:rsidR="00070394">
        <w:rPr>
          <w:rFonts w:eastAsia="Times New Roman" w:cs="Times New Roman"/>
        </w:rPr>
        <w:t>Dighton-</w:t>
      </w:r>
      <w:r w:rsidR="00070394" w:rsidRPr="001049C1">
        <w:rPr>
          <w:rFonts w:eastAsia="Times New Roman" w:cs="Times New Roman"/>
        </w:rPr>
        <w:t xml:space="preserve">Rehoboth Regional School District </w:t>
      </w:r>
      <w:r>
        <w:rPr>
          <w:rFonts w:eastAsia="Times New Roman" w:cs="Times New Roman"/>
        </w:rPr>
        <w:t xml:space="preserve">served </w:t>
      </w:r>
      <w:r w:rsidR="00070394">
        <w:rPr>
          <w:rFonts w:eastAsia="Times New Roman" w:cs="Times New Roman"/>
        </w:rPr>
        <w:t>2,883</w:t>
      </w:r>
      <w:r w:rsidR="00070394" w:rsidRPr="001049C1">
        <w:rPr>
          <w:rFonts w:eastAsia="Times New Roman" w:cs="Times New Roman"/>
        </w:rPr>
        <w:t xml:space="preserve"> students in </w:t>
      </w:r>
      <w:r>
        <w:rPr>
          <w:rFonts w:eastAsia="Times New Roman" w:cs="Times New Roman"/>
        </w:rPr>
        <w:t>p</w:t>
      </w:r>
      <w:r w:rsidRPr="001049C1">
        <w:rPr>
          <w:rFonts w:eastAsia="Times New Roman" w:cs="Times New Roman"/>
        </w:rPr>
        <w:t>re</w:t>
      </w:r>
      <w:r w:rsidR="00070394" w:rsidRPr="001049C1">
        <w:rPr>
          <w:rFonts w:eastAsia="Times New Roman" w:cs="Times New Roman"/>
        </w:rPr>
        <w:t>-</w:t>
      </w:r>
      <w:r>
        <w:rPr>
          <w:rFonts w:eastAsia="Times New Roman" w:cs="Times New Roman"/>
        </w:rPr>
        <w:t>k</w:t>
      </w:r>
      <w:r w:rsidRPr="001049C1">
        <w:rPr>
          <w:rFonts w:eastAsia="Times New Roman" w:cs="Times New Roman"/>
        </w:rPr>
        <w:t xml:space="preserve">indergarten </w:t>
      </w:r>
      <w:r w:rsidR="00070394" w:rsidRPr="001049C1">
        <w:rPr>
          <w:rFonts w:eastAsia="Times New Roman" w:cs="Times New Roman"/>
        </w:rPr>
        <w:t xml:space="preserve">through </w:t>
      </w:r>
      <w:r>
        <w:rPr>
          <w:rFonts w:eastAsia="Times New Roman" w:cs="Times New Roman"/>
        </w:rPr>
        <w:t xml:space="preserve">grade </w:t>
      </w:r>
      <w:r w:rsidR="00070394" w:rsidRPr="001049C1">
        <w:rPr>
          <w:rFonts w:eastAsia="Times New Roman" w:cs="Times New Roman"/>
        </w:rPr>
        <w:t xml:space="preserve">12.    </w:t>
      </w:r>
      <w:r>
        <w:rPr>
          <w:rFonts w:eastAsia="Times New Roman" w:cs="Times New Roman"/>
        </w:rPr>
        <w:t xml:space="preserve">Between 2013 and 2017, enrollment </w:t>
      </w:r>
      <w:r w:rsidR="00070394">
        <w:rPr>
          <w:rFonts w:eastAsia="Times New Roman" w:cs="Times New Roman"/>
        </w:rPr>
        <w:t xml:space="preserve">decreased by </w:t>
      </w:r>
      <w:r>
        <w:rPr>
          <w:rFonts w:eastAsia="Times New Roman" w:cs="Times New Roman"/>
        </w:rPr>
        <w:t>5.1</w:t>
      </w:r>
      <w:r w:rsidR="00070394">
        <w:rPr>
          <w:rFonts w:eastAsia="Times New Roman" w:cs="Times New Roman"/>
        </w:rPr>
        <w:t xml:space="preserve"> percent</w:t>
      </w:r>
      <w:r w:rsidR="004F04B3">
        <w:rPr>
          <w:rFonts w:eastAsia="Times New Roman" w:cs="Times New Roman"/>
        </w:rPr>
        <w:t>;</w:t>
      </w:r>
      <w:r w:rsidR="004F04B3" w:rsidRPr="001049C1">
        <w:rPr>
          <w:rFonts w:eastAsia="Times New Roman" w:cs="Times New Roman"/>
        </w:rPr>
        <w:t xml:space="preserve"> </w:t>
      </w:r>
      <w:r w:rsidR="004F04B3">
        <w:rPr>
          <w:rFonts w:eastAsia="Times New Roman" w:cs="Times New Roman"/>
        </w:rPr>
        <w:t xml:space="preserve">in 2013 </w:t>
      </w:r>
      <w:r>
        <w:rPr>
          <w:rFonts w:eastAsia="Times New Roman" w:cs="Times New Roman"/>
        </w:rPr>
        <w:t xml:space="preserve">the New England School Development Council (NESDEC) </w:t>
      </w:r>
      <w:r w:rsidR="004F04B3">
        <w:rPr>
          <w:rFonts w:eastAsia="Times New Roman" w:cs="Times New Roman"/>
        </w:rPr>
        <w:t xml:space="preserve">projected that </w:t>
      </w:r>
      <w:r w:rsidR="00070394" w:rsidRPr="001049C1">
        <w:rPr>
          <w:rFonts w:eastAsia="Times New Roman" w:cs="Times New Roman"/>
        </w:rPr>
        <w:t xml:space="preserve">slight but continuous declines in enrollment </w:t>
      </w:r>
      <w:r w:rsidR="004F04B3">
        <w:rPr>
          <w:rFonts w:eastAsia="Times New Roman" w:cs="Times New Roman"/>
        </w:rPr>
        <w:t>would</w:t>
      </w:r>
      <w:r w:rsidR="004F04B3" w:rsidRPr="001049C1">
        <w:rPr>
          <w:rFonts w:eastAsia="Times New Roman" w:cs="Times New Roman"/>
        </w:rPr>
        <w:t xml:space="preserve"> </w:t>
      </w:r>
      <w:r w:rsidR="00070394" w:rsidRPr="001049C1">
        <w:rPr>
          <w:rFonts w:eastAsia="Times New Roman" w:cs="Times New Roman"/>
        </w:rPr>
        <w:t xml:space="preserve">continue until 2023. </w:t>
      </w:r>
    </w:p>
    <w:p w:rsidR="00493B44" w:rsidRPr="001049C1" w:rsidRDefault="00493B44" w:rsidP="00070394">
      <w:pPr>
        <w:tabs>
          <w:tab w:val="left" w:pos="270"/>
        </w:tabs>
        <w:autoSpaceDE w:val="0"/>
        <w:autoSpaceDN w:val="0"/>
        <w:adjustRightInd w:val="0"/>
        <w:rPr>
          <w:rFonts w:eastAsia="Times New Roman" w:cs="Times New Roman"/>
        </w:rPr>
      </w:pPr>
      <w:r>
        <w:rPr>
          <w:rFonts w:eastAsia="Times New Roman" w:cs="Times New Roman"/>
        </w:rPr>
        <w:t>The district has an open and collaborative budget development process. Principals told the review team that the district has had balanced budgets in recent years and credited the superintendent with achieving this.</w:t>
      </w:r>
    </w:p>
    <w:p w:rsidR="00070394" w:rsidRDefault="004F04B3" w:rsidP="00070394">
      <w:pPr>
        <w:tabs>
          <w:tab w:val="left" w:pos="270"/>
        </w:tabs>
        <w:autoSpaceDE w:val="0"/>
        <w:autoSpaceDN w:val="0"/>
        <w:adjustRightInd w:val="0"/>
        <w:rPr>
          <w:rFonts w:eastAsia="Times New Roman" w:cs="Times New Roman"/>
        </w:rPr>
      </w:pPr>
      <w:r>
        <w:rPr>
          <w:rFonts w:eastAsia="Times New Roman" w:cs="Times New Roman"/>
        </w:rPr>
        <w:t xml:space="preserve">At the time of the onsite in January 2017, </w:t>
      </w:r>
      <w:r w:rsidR="00070394" w:rsidRPr="001049C1">
        <w:rPr>
          <w:rFonts w:eastAsia="Times New Roman" w:cs="Times New Roman"/>
        </w:rPr>
        <w:t xml:space="preserve">the district </w:t>
      </w:r>
      <w:r w:rsidR="00596BF8">
        <w:rPr>
          <w:rFonts w:eastAsia="Times New Roman" w:cs="Times New Roman"/>
        </w:rPr>
        <w:t xml:space="preserve">had three budgets, a </w:t>
      </w:r>
      <w:r w:rsidR="00070394">
        <w:rPr>
          <w:rFonts w:eastAsia="Times New Roman" w:cs="Times New Roman"/>
        </w:rPr>
        <w:t>regional</w:t>
      </w:r>
      <w:r w:rsidR="00070394" w:rsidRPr="001049C1">
        <w:rPr>
          <w:rFonts w:eastAsia="Times New Roman" w:cs="Times New Roman"/>
        </w:rPr>
        <w:t xml:space="preserve"> </w:t>
      </w:r>
      <w:r w:rsidR="00596BF8">
        <w:rPr>
          <w:rFonts w:eastAsia="Times New Roman" w:cs="Times New Roman"/>
        </w:rPr>
        <w:t xml:space="preserve">budget </w:t>
      </w:r>
      <w:r w:rsidR="00070394" w:rsidRPr="001049C1">
        <w:rPr>
          <w:rFonts w:eastAsia="Times New Roman" w:cs="Times New Roman"/>
        </w:rPr>
        <w:t xml:space="preserve">for </w:t>
      </w:r>
      <w:r w:rsidR="00596BF8">
        <w:rPr>
          <w:rFonts w:eastAsia="Times New Roman" w:cs="Times New Roman"/>
        </w:rPr>
        <w:t>secondary expenditures and two town budgets, rather than one regional budget as required by Chapter 71, Section 16B, of the Massachusetts General Laws</w:t>
      </w:r>
      <w:r w:rsidR="00070394" w:rsidRPr="001049C1">
        <w:rPr>
          <w:rFonts w:eastAsia="Times New Roman" w:cs="Times New Roman"/>
        </w:rPr>
        <w:t xml:space="preserve">. </w:t>
      </w:r>
      <w:r w:rsidR="00596BF8">
        <w:rPr>
          <w:rFonts w:eastAsia="Times New Roman" w:cs="Times New Roman"/>
        </w:rPr>
        <w:t xml:space="preserve">The district has been working with ESE’s Office of Regional Governance to amend and update its regional agreement. </w:t>
      </w:r>
      <w:r w:rsidR="00DE067C">
        <w:rPr>
          <w:rFonts w:eastAsia="Times New Roman" w:cs="Times New Roman"/>
        </w:rPr>
        <w:t xml:space="preserve">It is critically important that the district </w:t>
      </w:r>
      <w:r w:rsidR="00DE067C" w:rsidRPr="00DE067C">
        <w:rPr>
          <w:rFonts w:eastAsia="Times New Roman" w:cs="Times New Roman"/>
        </w:rPr>
        <w:t>cont</w:t>
      </w:r>
      <w:r w:rsidR="00DE067C">
        <w:rPr>
          <w:rFonts w:eastAsia="Times New Roman" w:cs="Times New Roman"/>
        </w:rPr>
        <w:t>inue to work with ESE</w:t>
      </w:r>
      <w:r w:rsidR="00DE067C" w:rsidRPr="00DE067C">
        <w:rPr>
          <w:rFonts w:eastAsia="Times New Roman" w:cs="Times New Roman"/>
        </w:rPr>
        <w:t xml:space="preserve"> to ensure that the required changes are made to the regional agreement and to </w:t>
      </w:r>
      <w:r w:rsidR="00DE067C">
        <w:rPr>
          <w:rFonts w:eastAsia="Times New Roman" w:cs="Times New Roman"/>
        </w:rPr>
        <w:t>its</w:t>
      </w:r>
      <w:r w:rsidR="00DE067C" w:rsidRPr="00DE067C">
        <w:rPr>
          <w:rFonts w:eastAsia="Times New Roman" w:cs="Times New Roman"/>
        </w:rPr>
        <w:t xml:space="preserve"> financial operations</w:t>
      </w:r>
      <w:r w:rsidR="00DE067C">
        <w:rPr>
          <w:rFonts w:eastAsia="Times New Roman" w:cs="Times New Roman"/>
        </w:rPr>
        <w:t>.</w:t>
      </w:r>
      <w:r w:rsidR="00DE067C" w:rsidRPr="00DE067C" w:rsidDel="00DE067C">
        <w:rPr>
          <w:rFonts w:eastAsia="Times New Roman" w:cs="Times New Roman"/>
        </w:rPr>
        <w:t xml:space="preserve"> </w:t>
      </w:r>
    </w:p>
    <w:p w:rsidR="00BD44BB" w:rsidRDefault="00BD44BB" w:rsidP="00BD44BB">
      <w:pPr>
        <w:tabs>
          <w:tab w:val="left" w:pos="360"/>
          <w:tab w:val="left" w:pos="720"/>
          <w:tab w:val="left" w:pos="1080"/>
          <w:tab w:val="left" w:pos="1440"/>
          <w:tab w:val="left" w:pos="1800"/>
        </w:tabs>
        <w:rPr>
          <w:rFonts w:eastAsia="Times New Roman" w:cs="Times New Roman"/>
        </w:rPr>
      </w:pPr>
      <w:r w:rsidRPr="00BD44BB">
        <w:t xml:space="preserve">The district does not have a long-range capital plan for building repairs or replacement.  </w:t>
      </w:r>
      <w:r w:rsidR="009706D0" w:rsidRPr="001049C1">
        <w:rPr>
          <w:rFonts w:eastAsia="Times New Roman" w:cs="Times New Roman"/>
        </w:rPr>
        <w:t>Deferred maintenance is a</w:t>
      </w:r>
      <w:r w:rsidR="009706D0">
        <w:rPr>
          <w:rFonts w:eastAsia="Times New Roman" w:cs="Times New Roman"/>
        </w:rPr>
        <w:t>n</w:t>
      </w:r>
      <w:r w:rsidR="009706D0" w:rsidRPr="001049C1">
        <w:rPr>
          <w:rFonts w:eastAsia="Times New Roman" w:cs="Times New Roman"/>
        </w:rPr>
        <w:t xml:space="preserve"> </w:t>
      </w:r>
      <w:r w:rsidR="009706D0">
        <w:rPr>
          <w:rFonts w:eastAsia="Times New Roman" w:cs="Times New Roman"/>
        </w:rPr>
        <w:t>issue</w:t>
      </w:r>
      <w:r w:rsidR="009706D0" w:rsidRPr="001049C1">
        <w:rPr>
          <w:rFonts w:eastAsia="Times New Roman" w:cs="Times New Roman"/>
        </w:rPr>
        <w:t xml:space="preserve"> in several </w:t>
      </w:r>
      <w:r w:rsidR="009706D0">
        <w:rPr>
          <w:rFonts w:eastAsia="Times New Roman" w:cs="Times New Roman"/>
        </w:rPr>
        <w:t xml:space="preserve">school buildings in </w:t>
      </w:r>
      <w:r w:rsidR="009706D0" w:rsidRPr="001049C1">
        <w:rPr>
          <w:rFonts w:eastAsia="Times New Roman" w:cs="Times New Roman"/>
        </w:rPr>
        <w:t xml:space="preserve">the district.  </w:t>
      </w:r>
      <w:r w:rsidR="009706D0">
        <w:rPr>
          <w:rFonts w:eastAsia="Times New Roman" w:cs="Times New Roman"/>
        </w:rPr>
        <w:t>To conserve energy and save money, the district is replacing</w:t>
      </w:r>
      <w:r w:rsidR="009706D0" w:rsidRPr="001049C1">
        <w:rPr>
          <w:rFonts w:eastAsia="Times New Roman" w:cs="Times New Roman"/>
        </w:rPr>
        <w:t xml:space="preserve"> boilers and </w:t>
      </w:r>
      <w:r w:rsidR="009706D0">
        <w:rPr>
          <w:rFonts w:eastAsia="Times New Roman" w:cs="Times New Roman"/>
        </w:rPr>
        <w:t xml:space="preserve">upgrading </w:t>
      </w:r>
      <w:r w:rsidR="009706D0" w:rsidRPr="001049C1">
        <w:rPr>
          <w:rFonts w:eastAsia="Times New Roman" w:cs="Times New Roman"/>
        </w:rPr>
        <w:t xml:space="preserve">HVAC </w:t>
      </w:r>
      <w:r w:rsidR="009706D0">
        <w:rPr>
          <w:rFonts w:eastAsia="Times New Roman" w:cs="Times New Roman"/>
        </w:rPr>
        <w:t xml:space="preserve">(heating, ventilation, and air conditioning) </w:t>
      </w:r>
      <w:r w:rsidR="009706D0" w:rsidRPr="001049C1">
        <w:rPr>
          <w:rFonts w:eastAsia="Times New Roman" w:cs="Times New Roman"/>
        </w:rPr>
        <w:t>units</w:t>
      </w:r>
      <w:r w:rsidR="009706D0">
        <w:rPr>
          <w:rFonts w:eastAsia="Times New Roman" w:cs="Times New Roman"/>
        </w:rPr>
        <w:t>.  The district also has hired a f</w:t>
      </w:r>
      <w:r w:rsidR="009706D0" w:rsidRPr="001049C1">
        <w:rPr>
          <w:rFonts w:eastAsia="Times New Roman" w:cs="Times New Roman"/>
        </w:rPr>
        <w:t xml:space="preserve">acilities manager and an electrician to perform in-house maintenance.     </w:t>
      </w:r>
    </w:p>
    <w:p w:rsidR="009706D0" w:rsidRPr="001049C1" w:rsidRDefault="009706D0" w:rsidP="00070394">
      <w:pPr>
        <w:tabs>
          <w:tab w:val="left" w:pos="270"/>
        </w:tabs>
        <w:autoSpaceDE w:val="0"/>
        <w:autoSpaceDN w:val="0"/>
        <w:adjustRightInd w:val="0"/>
        <w:rPr>
          <w:rFonts w:eastAsia="Times New Roman" w:cs="Times New Roman"/>
        </w:rPr>
      </w:pPr>
    </w:p>
    <w:p w:rsidR="00070394" w:rsidRPr="001049C1" w:rsidRDefault="00070394" w:rsidP="00070394">
      <w:pPr>
        <w:tabs>
          <w:tab w:val="left" w:pos="360"/>
          <w:tab w:val="left" w:pos="720"/>
          <w:tab w:val="left" w:pos="1080"/>
          <w:tab w:val="left" w:pos="1440"/>
          <w:tab w:val="left" w:pos="1800"/>
          <w:tab w:val="left" w:pos="2160"/>
        </w:tabs>
        <w:rPr>
          <w:rFonts w:eastAsia="Times New Roman" w:cs="Times New Roman"/>
          <w:b/>
          <w:sz w:val="28"/>
          <w:szCs w:val="28"/>
        </w:rPr>
      </w:pPr>
      <w:r w:rsidRPr="001049C1">
        <w:rPr>
          <w:rFonts w:eastAsia="Times New Roman" w:cs="Times New Roman"/>
          <w:b/>
          <w:sz w:val="28"/>
          <w:szCs w:val="28"/>
        </w:rPr>
        <w:t xml:space="preserve">Strength Finding </w:t>
      </w:r>
    </w:p>
    <w:p w:rsidR="00070394" w:rsidRPr="001049C1" w:rsidRDefault="00070394" w:rsidP="00070394">
      <w:pPr>
        <w:tabs>
          <w:tab w:val="left" w:pos="360"/>
          <w:tab w:val="left" w:pos="720"/>
          <w:tab w:val="left" w:pos="1080"/>
          <w:tab w:val="left" w:pos="1440"/>
          <w:tab w:val="left" w:pos="1800"/>
          <w:tab w:val="left" w:pos="2160"/>
        </w:tabs>
        <w:ind w:left="360" w:hanging="360"/>
        <w:rPr>
          <w:rFonts w:eastAsia="Times New Roman" w:cs="Times New Roman"/>
          <w:b/>
          <w:i/>
        </w:rPr>
      </w:pPr>
      <w:r w:rsidRPr="001049C1">
        <w:rPr>
          <w:rFonts w:eastAsia="Times New Roman" w:cs="Times New Roman"/>
          <w:b/>
        </w:rPr>
        <w:t xml:space="preserve">1. </w:t>
      </w:r>
      <w:r w:rsidRPr="001049C1">
        <w:rPr>
          <w:rFonts w:eastAsia="Times New Roman" w:cs="Times New Roman"/>
          <w:b/>
        </w:rPr>
        <w:tab/>
      </w:r>
      <w:r w:rsidRPr="001049C1">
        <w:rPr>
          <w:b/>
        </w:rPr>
        <w:t xml:space="preserve">The district’s budget development process has been collaborative and transparent, and includes participation by administrators, school committee members, town officials, and the public in the consideration of district priorities that are </w:t>
      </w:r>
      <w:r w:rsidR="00BA3C87">
        <w:rPr>
          <w:b/>
        </w:rPr>
        <w:t>based on</w:t>
      </w:r>
      <w:r w:rsidRPr="001049C1">
        <w:rPr>
          <w:b/>
        </w:rPr>
        <w:t xml:space="preserve"> the needs of schools and students.  </w:t>
      </w:r>
    </w:p>
    <w:p w:rsidR="00BD44BB" w:rsidRDefault="009C5E1A" w:rsidP="00BD44BB">
      <w:pPr>
        <w:tabs>
          <w:tab w:val="left" w:pos="360"/>
          <w:tab w:val="left" w:pos="720"/>
          <w:tab w:val="left" w:pos="1080"/>
          <w:tab w:val="left" w:pos="1440"/>
          <w:tab w:val="left" w:pos="1800"/>
          <w:tab w:val="left" w:pos="2160"/>
        </w:tabs>
        <w:ind w:left="720" w:hanging="720"/>
        <w:rPr>
          <w:rFonts w:eastAsia="Times New Roman" w:cs="Times New Roman"/>
          <w:b/>
          <w:i/>
        </w:rPr>
      </w:pPr>
      <w:r>
        <w:rPr>
          <w:rFonts w:eastAsia="Times New Roman" w:cs="Times New Roman"/>
          <w:b/>
        </w:rPr>
        <w:tab/>
      </w:r>
      <w:r w:rsidR="00BD44BB" w:rsidRPr="00BD44BB">
        <w:rPr>
          <w:rFonts w:eastAsia="Times New Roman" w:cs="Times New Roman"/>
          <w:b/>
        </w:rPr>
        <w:t>A.</w:t>
      </w:r>
      <w:r w:rsidR="000B0C91">
        <w:rPr>
          <w:rFonts w:eastAsia="Times New Roman" w:cs="Times New Roman"/>
          <w:b/>
        </w:rPr>
        <w:tab/>
      </w:r>
      <w:r w:rsidR="00964B61">
        <w:rPr>
          <w:rFonts w:eastAsia="Times New Roman" w:cs="Times New Roman"/>
        </w:rPr>
        <w:t>T</w:t>
      </w:r>
      <w:r w:rsidR="00070394" w:rsidRPr="001049C1">
        <w:rPr>
          <w:rFonts w:eastAsia="Times New Roman" w:cs="Times New Roman"/>
        </w:rPr>
        <w:t xml:space="preserve">he budget development process includes opportunities for all principals and other cost center managers to meet with the superintendent, </w:t>
      </w:r>
      <w:r w:rsidR="00D74B21">
        <w:rPr>
          <w:rFonts w:eastAsia="Times New Roman" w:cs="Times New Roman"/>
        </w:rPr>
        <w:t xml:space="preserve">the </w:t>
      </w:r>
      <w:r w:rsidR="00070394" w:rsidRPr="001049C1">
        <w:rPr>
          <w:rFonts w:eastAsia="Times New Roman" w:cs="Times New Roman"/>
        </w:rPr>
        <w:t>assistant superintendent</w:t>
      </w:r>
      <w:r w:rsidR="00D74B21">
        <w:rPr>
          <w:rFonts w:eastAsia="Times New Roman" w:cs="Times New Roman"/>
        </w:rPr>
        <w:t>,</w:t>
      </w:r>
      <w:r w:rsidR="00070394" w:rsidRPr="001049C1">
        <w:rPr>
          <w:rFonts w:eastAsia="Times New Roman" w:cs="Times New Roman"/>
        </w:rPr>
        <w:t xml:space="preserve"> and </w:t>
      </w:r>
      <w:r w:rsidR="00D74B21">
        <w:rPr>
          <w:rFonts w:eastAsia="Times New Roman" w:cs="Times New Roman"/>
        </w:rPr>
        <w:t xml:space="preserve">the </w:t>
      </w:r>
      <w:r w:rsidR="00070394" w:rsidRPr="001049C1">
        <w:rPr>
          <w:rFonts w:eastAsia="Times New Roman" w:cs="Times New Roman"/>
        </w:rPr>
        <w:t xml:space="preserve">business administrator to discuss and </w:t>
      </w:r>
      <w:r w:rsidR="00D74B21">
        <w:rPr>
          <w:rFonts w:eastAsia="Times New Roman" w:cs="Times New Roman"/>
        </w:rPr>
        <w:t>explain</w:t>
      </w:r>
      <w:r w:rsidR="00D74B21" w:rsidRPr="001049C1">
        <w:rPr>
          <w:rFonts w:eastAsia="Times New Roman" w:cs="Times New Roman"/>
        </w:rPr>
        <w:t xml:space="preserve"> </w:t>
      </w:r>
      <w:r w:rsidR="00070394" w:rsidRPr="001049C1">
        <w:rPr>
          <w:rFonts w:eastAsia="Times New Roman" w:cs="Times New Roman"/>
        </w:rPr>
        <w:t xml:space="preserve">their budgetary needs. </w:t>
      </w:r>
    </w:p>
    <w:p w:rsidR="00BD44BB" w:rsidRDefault="009C5E1A" w:rsidP="00BD44BB">
      <w:pPr>
        <w:tabs>
          <w:tab w:val="left" w:pos="360"/>
          <w:tab w:val="left" w:pos="720"/>
          <w:tab w:val="left" w:pos="1080"/>
          <w:tab w:val="left" w:pos="1440"/>
          <w:tab w:val="left" w:pos="1800"/>
          <w:tab w:val="left" w:pos="2160"/>
        </w:tabs>
        <w:ind w:left="1080" w:hanging="720"/>
        <w:rPr>
          <w:rFonts w:eastAsia="Times New Roman" w:cs="Times New Roman"/>
          <w:b/>
          <w:i/>
        </w:rPr>
      </w:pPr>
      <w:r>
        <w:rPr>
          <w:rFonts w:eastAsia="Times New Roman" w:cs="Times New Roman"/>
        </w:rPr>
        <w:tab/>
      </w:r>
      <w:r w:rsidR="000B0C91">
        <w:rPr>
          <w:rFonts w:eastAsia="Times New Roman" w:cs="Times New Roman"/>
        </w:rPr>
        <w:t>1.</w:t>
      </w:r>
      <w:r w:rsidR="00ED0DE8">
        <w:rPr>
          <w:rFonts w:eastAsia="Times New Roman" w:cs="Times New Roman"/>
        </w:rPr>
        <w:tab/>
      </w:r>
      <w:r w:rsidR="00070394" w:rsidRPr="001049C1">
        <w:rPr>
          <w:rFonts w:eastAsia="Times New Roman" w:cs="Times New Roman"/>
        </w:rPr>
        <w:t>The district’s budget timeline</w:t>
      </w:r>
      <w:r w:rsidR="00D74B21">
        <w:rPr>
          <w:rFonts w:eastAsia="Times New Roman" w:cs="Times New Roman"/>
        </w:rPr>
        <w:t xml:space="preserve"> </w:t>
      </w:r>
      <w:r w:rsidR="00070394" w:rsidRPr="001049C1">
        <w:rPr>
          <w:rFonts w:eastAsia="Times New Roman" w:cs="Times New Roman"/>
        </w:rPr>
        <w:t xml:space="preserve">designates that November through February be </w:t>
      </w:r>
      <w:r w:rsidR="00BA3C87" w:rsidRPr="001049C1">
        <w:rPr>
          <w:rFonts w:eastAsia="Times New Roman" w:cs="Times New Roman"/>
        </w:rPr>
        <w:t>u</w:t>
      </w:r>
      <w:r w:rsidR="00BA3C87">
        <w:rPr>
          <w:rFonts w:eastAsia="Times New Roman" w:cs="Times New Roman"/>
        </w:rPr>
        <w:t>s</w:t>
      </w:r>
      <w:r w:rsidR="00BA3C87" w:rsidRPr="001049C1">
        <w:rPr>
          <w:rFonts w:eastAsia="Times New Roman" w:cs="Times New Roman"/>
        </w:rPr>
        <w:t xml:space="preserve">ed </w:t>
      </w:r>
      <w:r w:rsidR="00070394" w:rsidRPr="001049C1">
        <w:rPr>
          <w:rFonts w:eastAsia="Times New Roman" w:cs="Times New Roman"/>
        </w:rPr>
        <w:t xml:space="preserve">for administrative budget meetings. </w:t>
      </w:r>
    </w:p>
    <w:p w:rsidR="00BD44BB" w:rsidRDefault="009C5E1A" w:rsidP="00BD44BB">
      <w:pPr>
        <w:tabs>
          <w:tab w:val="left" w:pos="360"/>
          <w:tab w:val="left" w:pos="720"/>
          <w:tab w:val="left" w:pos="1080"/>
          <w:tab w:val="left" w:pos="1440"/>
          <w:tab w:val="left" w:pos="1800"/>
          <w:tab w:val="left" w:pos="2160"/>
        </w:tabs>
        <w:ind w:left="1440" w:hanging="720"/>
        <w:rPr>
          <w:rFonts w:eastAsia="Times New Roman" w:cs="Times New Roman"/>
          <w:b/>
          <w:i/>
        </w:rPr>
      </w:pPr>
      <w:r>
        <w:rPr>
          <w:rFonts w:eastAsia="Times New Roman" w:cs="Times New Roman"/>
        </w:rPr>
        <w:tab/>
        <w:t>a.</w:t>
      </w:r>
      <w:r>
        <w:rPr>
          <w:rFonts w:eastAsia="Times New Roman" w:cs="Times New Roman"/>
        </w:rPr>
        <w:tab/>
      </w:r>
      <w:r w:rsidR="00070394" w:rsidRPr="001049C1">
        <w:rPr>
          <w:rFonts w:eastAsia="Times New Roman" w:cs="Times New Roman"/>
        </w:rPr>
        <w:t xml:space="preserve">The business administrator </w:t>
      </w:r>
      <w:r w:rsidR="00D74B21" w:rsidRPr="001049C1">
        <w:rPr>
          <w:rFonts w:eastAsia="Times New Roman" w:cs="Times New Roman"/>
        </w:rPr>
        <w:t>report</w:t>
      </w:r>
      <w:r w:rsidR="00D74B21">
        <w:rPr>
          <w:rFonts w:eastAsia="Times New Roman" w:cs="Times New Roman"/>
        </w:rPr>
        <w:t>ed</w:t>
      </w:r>
      <w:r w:rsidR="00D74B21" w:rsidRPr="001049C1">
        <w:rPr>
          <w:rFonts w:eastAsia="Times New Roman" w:cs="Times New Roman"/>
        </w:rPr>
        <w:t xml:space="preserve"> </w:t>
      </w:r>
      <w:r w:rsidR="00070394" w:rsidRPr="001049C1">
        <w:rPr>
          <w:rFonts w:eastAsia="Times New Roman" w:cs="Times New Roman"/>
        </w:rPr>
        <w:t>that principals and directors have been able to use these meetings to advocate for adjustments and reallocations in staffing and other needs.  Student performance data is presented and discussed in order to support budgetary requests.</w:t>
      </w:r>
      <w:r w:rsidR="00070394">
        <w:rPr>
          <w:rFonts w:eastAsia="Times New Roman" w:cs="Times New Roman"/>
        </w:rPr>
        <w:t xml:space="preserve"> </w:t>
      </w:r>
    </w:p>
    <w:p w:rsidR="00BD44BB" w:rsidRDefault="00176E88" w:rsidP="00D263E8">
      <w:pPr>
        <w:tabs>
          <w:tab w:val="left" w:pos="360"/>
          <w:tab w:val="left" w:pos="720"/>
          <w:tab w:val="left" w:pos="1080"/>
          <w:tab w:val="left" w:pos="1440"/>
          <w:tab w:val="left" w:pos="1800"/>
          <w:tab w:val="left" w:pos="2160"/>
        </w:tabs>
        <w:ind w:left="1080" w:hanging="360"/>
        <w:rPr>
          <w:rFonts w:eastAsia="Times New Roman" w:cs="Times New Roman"/>
          <w:b/>
          <w:i/>
        </w:rPr>
      </w:pPr>
      <w:r>
        <w:rPr>
          <w:rFonts w:eastAsia="Times New Roman" w:cs="Times New Roman"/>
        </w:rPr>
        <w:lastRenderedPageBreak/>
        <w:t>2.</w:t>
      </w:r>
      <w:r>
        <w:rPr>
          <w:rFonts w:eastAsia="Times New Roman" w:cs="Times New Roman"/>
        </w:rPr>
        <w:tab/>
      </w:r>
      <w:r w:rsidR="00070394">
        <w:rPr>
          <w:rFonts w:eastAsia="Times New Roman" w:cs="Times New Roman"/>
        </w:rPr>
        <w:t>Principals repo</w:t>
      </w:r>
      <w:r w:rsidR="00412654">
        <w:rPr>
          <w:rFonts w:eastAsia="Times New Roman" w:cs="Times New Roman"/>
        </w:rPr>
        <w:t>rt</w:t>
      </w:r>
      <w:r w:rsidR="00FB1901">
        <w:rPr>
          <w:rFonts w:eastAsia="Times New Roman" w:cs="Times New Roman"/>
        </w:rPr>
        <w:t>ed</w:t>
      </w:r>
      <w:r w:rsidR="00412654">
        <w:rPr>
          <w:rFonts w:eastAsia="Times New Roman" w:cs="Times New Roman"/>
        </w:rPr>
        <w:t xml:space="preserve"> that SIPs</w:t>
      </w:r>
      <w:r w:rsidR="00070394">
        <w:rPr>
          <w:rFonts w:eastAsia="Times New Roman" w:cs="Times New Roman"/>
        </w:rPr>
        <w:t xml:space="preserve"> and</w:t>
      </w:r>
      <w:r w:rsidR="00412654">
        <w:rPr>
          <w:rFonts w:eastAsia="Times New Roman" w:cs="Times New Roman"/>
        </w:rPr>
        <w:t xml:space="preserve"> the DIP</w:t>
      </w:r>
      <w:r w:rsidR="00070394">
        <w:rPr>
          <w:rFonts w:eastAsia="Times New Roman" w:cs="Times New Roman"/>
        </w:rPr>
        <w:t xml:space="preserve"> are key documents in the development of the district budget, because they link budgetary expenditures to school and district priorities. </w:t>
      </w:r>
    </w:p>
    <w:p w:rsidR="00070394" w:rsidRPr="00853BD6" w:rsidRDefault="00070394" w:rsidP="00070394">
      <w:pPr>
        <w:numPr>
          <w:ilvl w:val="1"/>
          <w:numId w:val="5"/>
        </w:numPr>
        <w:tabs>
          <w:tab w:val="left" w:pos="0"/>
          <w:tab w:val="left" w:pos="360"/>
          <w:tab w:val="left" w:pos="1080"/>
          <w:tab w:val="left" w:pos="1800"/>
          <w:tab w:val="left" w:pos="2160"/>
        </w:tabs>
        <w:ind w:left="720"/>
        <w:rPr>
          <w:rFonts w:eastAsia="Times New Roman" w:cs="Times New Roman"/>
        </w:rPr>
      </w:pPr>
      <w:r w:rsidRPr="001049C1">
        <w:rPr>
          <w:rFonts w:eastAsia="Times New Roman" w:cs="Times New Roman"/>
        </w:rPr>
        <w:t xml:space="preserve">The superintendent supplements </w:t>
      </w:r>
      <w:r>
        <w:rPr>
          <w:rFonts w:eastAsia="Times New Roman" w:cs="Times New Roman"/>
        </w:rPr>
        <w:t xml:space="preserve">written </w:t>
      </w:r>
      <w:r w:rsidRPr="001049C1">
        <w:rPr>
          <w:rFonts w:eastAsia="Times New Roman" w:cs="Times New Roman"/>
        </w:rPr>
        <w:t xml:space="preserve">budgetary requests with an extensive </w:t>
      </w:r>
      <w:r w:rsidR="00D74B21">
        <w:rPr>
          <w:rFonts w:eastAsia="Times New Roman" w:cs="Times New Roman"/>
        </w:rPr>
        <w:t>P</w:t>
      </w:r>
      <w:r w:rsidR="00D74B21" w:rsidRPr="001049C1">
        <w:rPr>
          <w:rFonts w:eastAsia="Times New Roman" w:cs="Times New Roman"/>
        </w:rPr>
        <w:t xml:space="preserve">ower </w:t>
      </w:r>
      <w:r w:rsidR="00D74B21">
        <w:rPr>
          <w:rFonts w:eastAsia="Times New Roman" w:cs="Times New Roman"/>
        </w:rPr>
        <w:t>P</w:t>
      </w:r>
      <w:r w:rsidR="00D74B21" w:rsidRPr="001049C1">
        <w:rPr>
          <w:rFonts w:eastAsia="Times New Roman" w:cs="Times New Roman"/>
        </w:rPr>
        <w:t xml:space="preserve">oint </w:t>
      </w:r>
      <w:r w:rsidRPr="001049C1">
        <w:rPr>
          <w:rFonts w:eastAsia="Times New Roman" w:cs="Times New Roman"/>
        </w:rPr>
        <w:t>presentation, which delin</w:t>
      </w:r>
      <w:r>
        <w:rPr>
          <w:rFonts w:eastAsia="Times New Roman" w:cs="Times New Roman"/>
        </w:rPr>
        <w:t>eates the district</w:t>
      </w:r>
      <w:r w:rsidR="00D74B21">
        <w:rPr>
          <w:rFonts w:eastAsia="Times New Roman" w:cs="Times New Roman"/>
        </w:rPr>
        <w:t>’</w:t>
      </w:r>
      <w:r>
        <w:rPr>
          <w:rFonts w:eastAsia="Times New Roman" w:cs="Times New Roman"/>
        </w:rPr>
        <w:t xml:space="preserve">s mission, </w:t>
      </w:r>
      <w:r w:rsidRPr="001049C1">
        <w:rPr>
          <w:rFonts w:eastAsia="Times New Roman" w:cs="Times New Roman"/>
        </w:rPr>
        <w:t>core values, budget priorities, enrollment trends</w:t>
      </w:r>
      <w:r w:rsidR="00D74B21">
        <w:rPr>
          <w:rFonts w:eastAsia="Times New Roman" w:cs="Times New Roman"/>
        </w:rPr>
        <w:t>,</w:t>
      </w:r>
      <w:r w:rsidRPr="001049C1">
        <w:rPr>
          <w:rFonts w:eastAsia="Times New Roman" w:cs="Times New Roman"/>
        </w:rPr>
        <w:t xml:space="preserve"> and proposed changes in spending from the previous year.</w:t>
      </w:r>
      <w:r>
        <w:rPr>
          <w:rFonts w:eastAsia="Times New Roman" w:cs="Times New Roman"/>
        </w:rPr>
        <w:t xml:space="preserve">  This presentation is prepared</w:t>
      </w:r>
      <w:r w:rsidRPr="001049C1">
        <w:rPr>
          <w:rFonts w:eastAsia="Times New Roman" w:cs="Times New Roman"/>
        </w:rPr>
        <w:t xml:space="preserve"> for scho</w:t>
      </w:r>
      <w:r>
        <w:rPr>
          <w:rFonts w:eastAsia="Times New Roman" w:cs="Times New Roman"/>
        </w:rPr>
        <w:t>ol committee, administrators,</w:t>
      </w:r>
      <w:r w:rsidRPr="001049C1">
        <w:rPr>
          <w:rFonts w:eastAsia="Times New Roman" w:cs="Times New Roman"/>
        </w:rPr>
        <w:t xml:space="preserve"> town officials</w:t>
      </w:r>
      <w:r w:rsidR="00D74B21">
        <w:rPr>
          <w:rFonts w:eastAsia="Times New Roman" w:cs="Times New Roman"/>
        </w:rPr>
        <w:t>,</w:t>
      </w:r>
      <w:r>
        <w:rPr>
          <w:rFonts w:eastAsia="Times New Roman" w:cs="Times New Roman"/>
        </w:rPr>
        <w:t xml:space="preserve"> and other stakeholders</w:t>
      </w:r>
      <w:r w:rsidRPr="001049C1">
        <w:rPr>
          <w:rFonts w:eastAsia="Times New Roman" w:cs="Times New Roman"/>
        </w:rPr>
        <w:t>.  Slides from the presentation are also included in the paper copies of the budget document.</w:t>
      </w:r>
      <w:r>
        <w:rPr>
          <w:rFonts w:eastAsia="Times New Roman" w:cs="Times New Roman"/>
        </w:rPr>
        <w:t xml:space="preserve"> </w:t>
      </w:r>
    </w:p>
    <w:p w:rsidR="00070394" w:rsidRDefault="00070394" w:rsidP="00070394">
      <w:pPr>
        <w:numPr>
          <w:ilvl w:val="0"/>
          <w:numId w:val="6"/>
        </w:numPr>
        <w:tabs>
          <w:tab w:val="left" w:pos="360"/>
          <w:tab w:val="left" w:pos="720"/>
          <w:tab w:val="left" w:pos="1080"/>
          <w:tab w:val="left" w:pos="1800"/>
          <w:tab w:val="left" w:pos="2160"/>
        </w:tabs>
        <w:ind w:left="720"/>
        <w:rPr>
          <w:rFonts w:eastAsia="Times New Roman" w:cs="Times New Roman"/>
        </w:rPr>
      </w:pPr>
      <w:r w:rsidRPr="001049C1">
        <w:rPr>
          <w:rFonts w:eastAsia="Times New Roman" w:cs="Times New Roman"/>
        </w:rPr>
        <w:t xml:space="preserve">The superintendent and </w:t>
      </w:r>
      <w:r w:rsidR="00D74B21">
        <w:rPr>
          <w:rFonts w:eastAsia="Times New Roman" w:cs="Times New Roman"/>
        </w:rPr>
        <w:t xml:space="preserve">the </w:t>
      </w:r>
      <w:r w:rsidRPr="001049C1">
        <w:rPr>
          <w:rFonts w:eastAsia="Times New Roman" w:cs="Times New Roman"/>
        </w:rPr>
        <w:t>school committee work together to leverage resources</w:t>
      </w:r>
      <w:r>
        <w:rPr>
          <w:rFonts w:eastAsia="Times New Roman" w:cs="Times New Roman"/>
        </w:rPr>
        <w:t xml:space="preserve"> in order</w:t>
      </w:r>
      <w:r w:rsidRPr="001049C1">
        <w:rPr>
          <w:rFonts w:eastAsia="Times New Roman" w:cs="Times New Roman"/>
        </w:rPr>
        <w:t xml:space="preserve"> to achieve the best student performance outcomes.</w:t>
      </w:r>
      <w:r>
        <w:rPr>
          <w:rFonts w:eastAsia="Times New Roman" w:cs="Times New Roman"/>
        </w:rPr>
        <w:t xml:space="preserve"> </w:t>
      </w:r>
    </w:p>
    <w:p w:rsidR="00070394" w:rsidRPr="00853BD6" w:rsidRDefault="00070394" w:rsidP="00645383">
      <w:pPr>
        <w:numPr>
          <w:ilvl w:val="2"/>
          <w:numId w:val="6"/>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The superintendent reported that the school committee</w:t>
      </w:r>
      <w:r w:rsidRPr="001049C1">
        <w:rPr>
          <w:rFonts w:eastAsia="Times New Roman" w:cs="Times New Roman"/>
        </w:rPr>
        <w:t xml:space="preserve"> had a high degree of </w:t>
      </w:r>
      <w:r>
        <w:rPr>
          <w:rFonts w:eastAsia="Times New Roman" w:cs="Times New Roman"/>
        </w:rPr>
        <w:t xml:space="preserve">trust in him </w:t>
      </w:r>
      <w:r w:rsidRPr="001049C1">
        <w:rPr>
          <w:rFonts w:eastAsia="Times New Roman" w:cs="Times New Roman"/>
        </w:rPr>
        <w:t>and</w:t>
      </w:r>
      <w:r>
        <w:rPr>
          <w:rFonts w:eastAsia="Times New Roman" w:cs="Times New Roman"/>
        </w:rPr>
        <w:t xml:space="preserve"> his</w:t>
      </w:r>
      <w:r w:rsidRPr="001049C1">
        <w:rPr>
          <w:rFonts w:eastAsia="Times New Roman" w:cs="Times New Roman"/>
        </w:rPr>
        <w:t xml:space="preserve"> business administrator with regard to their budgetary </w:t>
      </w:r>
      <w:r>
        <w:rPr>
          <w:rFonts w:eastAsia="Times New Roman" w:cs="Times New Roman"/>
        </w:rPr>
        <w:t xml:space="preserve">decisions.  He </w:t>
      </w:r>
      <w:r w:rsidR="00D74B21">
        <w:rPr>
          <w:rFonts w:eastAsia="Times New Roman" w:cs="Times New Roman"/>
        </w:rPr>
        <w:t>said</w:t>
      </w:r>
      <w:r>
        <w:rPr>
          <w:rFonts w:eastAsia="Times New Roman" w:cs="Times New Roman"/>
        </w:rPr>
        <w:t xml:space="preserve"> that he meets once a month with town officials in both towns and that this frequent communication has brought “trust, honesty</w:t>
      </w:r>
      <w:r w:rsidR="008E2054">
        <w:rPr>
          <w:rFonts w:eastAsia="Times New Roman" w:cs="Times New Roman"/>
        </w:rPr>
        <w:t>,</w:t>
      </w:r>
      <w:r>
        <w:rPr>
          <w:rFonts w:eastAsia="Times New Roman" w:cs="Times New Roman"/>
        </w:rPr>
        <w:t xml:space="preserve"> and transparency” in both communities.  </w:t>
      </w:r>
    </w:p>
    <w:p w:rsidR="00070394" w:rsidRDefault="00070394" w:rsidP="00070394">
      <w:r w:rsidRPr="001049C1">
        <w:rPr>
          <w:b/>
        </w:rPr>
        <w:t>Impact:</w:t>
      </w:r>
      <w:r w:rsidRPr="001049C1">
        <w:t xml:space="preserve"> The frequent and</w:t>
      </w:r>
      <w:r>
        <w:t xml:space="preserve"> open communication </w:t>
      </w:r>
      <w:r w:rsidR="00322233">
        <w:t xml:space="preserve">in the budget development </w:t>
      </w:r>
      <w:r>
        <w:t>process has</w:t>
      </w:r>
      <w:r w:rsidRPr="001049C1">
        <w:t xml:space="preserve"> resulted in high levels of cooperation and </w:t>
      </w:r>
      <w:r w:rsidR="00322233">
        <w:t>trust as stakeholders consider district initiatives based on students’ needs</w:t>
      </w:r>
      <w:r w:rsidRPr="001049C1">
        <w:t>.</w:t>
      </w:r>
    </w:p>
    <w:p w:rsidR="00B666CB" w:rsidRDefault="00B666CB" w:rsidP="00070394"/>
    <w:p w:rsidR="00070394" w:rsidRPr="001049C1" w:rsidRDefault="00070394" w:rsidP="00070394">
      <w:pPr>
        <w:tabs>
          <w:tab w:val="left" w:pos="360"/>
          <w:tab w:val="left" w:pos="720"/>
          <w:tab w:val="left" w:pos="1080"/>
          <w:tab w:val="left" w:pos="1440"/>
          <w:tab w:val="left" w:pos="1800"/>
          <w:tab w:val="left" w:pos="2160"/>
        </w:tabs>
        <w:rPr>
          <w:rFonts w:eastAsia="Times New Roman" w:cs="Times New Roman"/>
          <w:b/>
          <w:sz w:val="28"/>
          <w:szCs w:val="28"/>
        </w:rPr>
      </w:pPr>
      <w:r w:rsidRPr="001049C1">
        <w:rPr>
          <w:rFonts w:eastAsia="Times New Roman" w:cs="Times New Roman"/>
          <w:b/>
          <w:sz w:val="28"/>
          <w:szCs w:val="28"/>
        </w:rPr>
        <w:t>Challenges and Areas for Growth</w:t>
      </w:r>
    </w:p>
    <w:p w:rsidR="00070394" w:rsidRPr="000345C9" w:rsidRDefault="00730088" w:rsidP="000B0C91">
      <w:pPr>
        <w:tabs>
          <w:tab w:val="left" w:pos="360"/>
          <w:tab w:val="left" w:pos="720"/>
          <w:tab w:val="left" w:pos="1080"/>
          <w:tab w:val="left" w:pos="1440"/>
          <w:tab w:val="left" w:pos="1800"/>
        </w:tabs>
        <w:ind w:left="360" w:hanging="360"/>
        <w:rPr>
          <w:b/>
          <w:i/>
        </w:rPr>
      </w:pPr>
      <w:r>
        <w:rPr>
          <w:b/>
        </w:rPr>
        <w:t>2</w:t>
      </w:r>
      <w:r w:rsidR="000345C9">
        <w:rPr>
          <w:b/>
        </w:rPr>
        <w:t xml:space="preserve">. </w:t>
      </w:r>
      <w:r w:rsidR="000B0C91">
        <w:rPr>
          <w:b/>
        </w:rPr>
        <w:tab/>
      </w:r>
      <w:r w:rsidR="00070394" w:rsidRPr="000345C9">
        <w:rPr>
          <w:b/>
        </w:rPr>
        <w:t xml:space="preserve">The </w:t>
      </w:r>
      <w:r w:rsidR="000B0C91">
        <w:rPr>
          <w:b/>
        </w:rPr>
        <w:t>district has three budgets, a</w:t>
      </w:r>
      <w:r w:rsidR="000B0C91" w:rsidRPr="000345C9">
        <w:rPr>
          <w:b/>
        </w:rPr>
        <w:t xml:space="preserve"> </w:t>
      </w:r>
      <w:r w:rsidR="00070394" w:rsidRPr="000345C9">
        <w:rPr>
          <w:b/>
        </w:rPr>
        <w:t xml:space="preserve">regional </w:t>
      </w:r>
      <w:r w:rsidR="000B0C91">
        <w:rPr>
          <w:b/>
        </w:rPr>
        <w:t xml:space="preserve">budget for secondary expenditures </w:t>
      </w:r>
      <w:r w:rsidR="00070394" w:rsidRPr="000345C9">
        <w:rPr>
          <w:b/>
        </w:rPr>
        <w:t xml:space="preserve">and </w:t>
      </w:r>
      <w:r w:rsidR="000B0C91">
        <w:rPr>
          <w:b/>
        </w:rPr>
        <w:t>two town budgets,</w:t>
      </w:r>
      <w:r w:rsidR="00070394" w:rsidRPr="000345C9">
        <w:rPr>
          <w:b/>
        </w:rPr>
        <w:t xml:space="preserve"> </w:t>
      </w:r>
      <w:r w:rsidR="000B0C91">
        <w:rPr>
          <w:b/>
        </w:rPr>
        <w:t>rather than one</w:t>
      </w:r>
      <w:r w:rsidR="000B0C91" w:rsidRPr="000345C9">
        <w:rPr>
          <w:b/>
        </w:rPr>
        <w:t xml:space="preserve"> </w:t>
      </w:r>
      <w:r w:rsidR="00070394" w:rsidRPr="000345C9">
        <w:rPr>
          <w:b/>
        </w:rPr>
        <w:t>region</w:t>
      </w:r>
      <w:r w:rsidR="000B0C91">
        <w:rPr>
          <w:b/>
        </w:rPr>
        <w:t>al</w:t>
      </w:r>
      <w:r w:rsidR="00070394" w:rsidRPr="000345C9">
        <w:rPr>
          <w:b/>
        </w:rPr>
        <w:t xml:space="preserve"> </w:t>
      </w:r>
      <w:r w:rsidR="000B0C91">
        <w:rPr>
          <w:b/>
        </w:rPr>
        <w:t>budget as required by Chapter 71, Section 16B, of the Massachusetts General Laws</w:t>
      </w:r>
      <w:r w:rsidR="00070394" w:rsidRPr="000345C9">
        <w:rPr>
          <w:b/>
        </w:rPr>
        <w:t>.</w:t>
      </w:r>
    </w:p>
    <w:p w:rsidR="00BD44BB" w:rsidRDefault="00BD44BB" w:rsidP="00BD44BB">
      <w:pPr>
        <w:tabs>
          <w:tab w:val="left" w:pos="360"/>
          <w:tab w:val="left" w:pos="720"/>
          <w:tab w:val="left" w:pos="1080"/>
          <w:tab w:val="left" w:pos="1440"/>
          <w:tab w:val="left" w:pos="1800"/>
          <w:tab w:val="left" w:pos="2160"/>
        </w:tabs>
        <w:ind w:left="720" w:hanging="360"/>
      </w:pPr>
      <w:r w:rsidRPr="00BD44BB">
        <w:rPr>
          <w:b/>
        </w:rPr>
        <w:t>A.</w:t>
      </w:r>
      <w:r w:rsidR="000B0C91">
        <w:rPr>
          <w:b/>
        </w:rPr>
        <w:tab/>
      </w:r>
      <w:r w:rsidR="00070394" w:rsidRPr="001049C1">
        <w:t xml:space="preserve">The business administrator </w:t>
      </w:r>
      <w:r w:rsidR="000B0C91" w:rsidRPr="001049C1">
        <w:t>report</w:t>
      </w:r>
      <w:r w:rsidR="000B0C91">
        <w:t>ed</w:t>
      </w:r>
      <w:r w:rsidR="007342AE">
        <w:t xml:space="preserve"> </w:t>
      </w:r>
      <w:r w:rsidR="00070394" w:rsidRPr="001049C1">
        <w:t>that the budget is prepared in three sections</w:t>
      </w:r>
      <w:r w:rsidR="007342AE">
        <w:t>:</w:t>
      </w:r>
      <w:r w:rsidR="007342AE" w:rsidRPr="001049C1">
        <w:t xml:space="preserve"> </w:t>
      </w:r>
      <w:r w:rsidR="00070394" w:rsidRPr="001049C1">
        <w:t xml:space="preserve">the </w:t>
      </w:r>
      <w:r w:rsidR="000B0C91">
        <w:t>P</w:t>
      </w:r>
      <w:r w:rsidR="000B0C91" w:rsidRPr="001049C1">
        <w:t>re</w:t>
      </w:r>
      <w:r w:rsidR="00070394" w:rsidRPr="001049C1">
        <w:t>-</w:t>
      </w:r>
      <w:r w:rsidR="000B0C91">
        <w:t>K</w:t>
      </w:r>
      <w:r w:rsidR="000B0C91" w:rsidRPr="001049C1">
        <w:t xml:space="preserve"> </w:t>
      </w:r>
      <w:r w:rsidR="000B0C91">
        <w:t>–</w:t>
      </w:r>
      <w:r w:rsidR="00070394" w:rsidRPr="001049C1">
        <w:t xml:space="preserve"> 8 educ</w:t>
      </w:r>
      <w:r w:rsidR="00412654">
        <w:t>ation programs in each community</w:t>
      </w:r>
      <w:r w:rsidR="00070394" w:rsidRPr="001049C1">
        <w:t xml:space="preserve"> and the regional high school educational program with district central office functions. </w:t>
      </w:r>
    </w:p>
    <w:p w:rsidR="00070394" w:rsidRPr="001049C1" w:rsidRDefault="00CF0B68" w:rsidP="00070394">
      <w:pPr>
        <w:pStyle w:val="ListParagraph"/>
        <w:numPr>
          <w:ilvl w:val="0"/>
          <w:numId w:val="4"/>
        </w:numPr>
        <w:tabs>
          <w:tab w:val="left" w:pos="360"/>
          <w:tab w:val="left" w:pos="720"/>
          <w:tab w:val="left" w:pos="1080"/>
          <w:tab w:val="left" w:pos="1440"/>
          <w:tab w:val="left" w:pos="1800"/>
          <w:tab w:val="left" w:pos="2160"/>
        </w:tabs>
        <w:contextualSpacing w:val="0"/>
      </w:pPr>
      <w:r>
        <w:t xml:space="preserve">Some </w:t>
      </w:r>
      <w:r w:rsidR="00070394" w:rsidRPr="001049C1">
        <w:t xml:space="preserve">Rehoboth selectmen and finance committee members </w:t>
      </w:r>
      <w:r w:rsidR="006C4F67">
        <w:t>expressed</w:t>
      </w:r>
      <w:r w:rsidR="006C4F67" w:rsidRPr="001049C1">
        <w:t xml:space="preserve"> </w:t>
      </w:r>
      <w:r w:rsidR="00070394" w:rsidRPr="001049C1">
        <w:t xml:space="preserve">agreement that the district is currently not functioning as a “true regional district,” because each town supports its own elementary and middle school. </w:t>
      </w:r>
    </w:p>
    <w:p w:rsidR="00070394" w:rsidRPr="001049C1" w:rsidRDefault="00FB7983" w:rsidP="00070394">
      <w:pPr>
        <w:pStyle w:val="ListParagraph"/>
        <w:numPr>
          <w:ilvl w:val="1"/>
          <w:numId w:val="4"/>
        </w:numPr>
        <w:tabs>
          <w:tab w:val="left" w:pos="360"/>
          <w:tab w:val="left" w:pos="720"/>
          <w:tab w:val="left" w:pos="1080"/>
          <w:tab w:val="left" w:pos="1440"/>
          <w:tab w:val="left" w:pos="2160"/>
        </w:tabs>
        <w:ind w:left="1440"/>
        <w:contextualSpacing w:val="0"/>
      </w:pPr>
      <w:r>
        <w:t>Some s</w:t>
      </w:r>
      <w:r w:rsidRPr="001049C1">
        <w:t xml:space="preserve">electmen </w:t>
      </w:r>
      <w:r w:rsidR="00070394" w:rsidRPr="001049C1">
        <w:t xml:space="preserve">and finance committee members reported that </w:t>
      </w:r>
      <w:r>
        <w:t xml:space="preserve">several </w:t>
      </w:r>
      <w:r w:rsidR="00070394" w:rsidRPr="001049C1">
        <w:t xml:space="preserve">years ago  a “massive dispute” caused </w:t>
      </w:r>
      <w:r w:rsidR="00070394">
        <w:t>large</w:t>
      </w:r>
      <w:r w:rsidR="00070394" w:rsidRPr="001049C1">
        <w:t xml:space="preserve"> cuts to </w:t>
      </w:r>
      <w:r w:rsidR="00070394">
        <w:t xml:space="preserve">the </w:t>
      </w:r>
      <w:r w:rsidR="00070394" w:rsidRPr="001049C1">
        <w:t>Rehoboth</w:t>
      </w:r>
      <w:r w:rsidR="00070394">
        <w:t xml:space="preserve"> budget</w:t>
      </w:r>
      <w:r w:rsidR="00070394" w:rsidRPr="001049C1">
        <w:t xml:space="preserve">.  </w:t>
      </w:r>
      <w:r w:rsidR="00CF0B68">
        <w:t xml:space="preserve">Some </w:t>
      </w:r>
      <w:r w:rsidR="00070394" w:rsidRPr="001049C1">
        <w:t>Dighton selectmen</w:t>
      </w:r>
      <w:r w:rsidR="006C4F67">
        <w:t xml:space="preserve"> told the team that</w:t>
      </w:r>
      <w:r w:rsidR="00070394" w:rsidRPr="001049C1">
        <w:t xml:space="preserve"> this dispute arose when it was discovered that Dighton was overp</w:t>
      </w:r>
      <w:r w:rsidR="00070394">
        <w:t xml:space="preserve">aying </w:t>
      </w:r>
      <w:r w:rsidR="006C4F67">
        <w:t xml:space="preserve">its </w:t>
      </w:r>
      <w:r w:rsidR="00070394">
        <w:t>assessment.</w:t>
      </w:r>
      <w:r w:rsidR="00070394" w:rsidRPr="001049C1">
        <w:t xml:space="preserve">  </w:t>
      </w:r>
    </w:p>
    <w:p w:rsidR="00070394" w:rsidRPr="001049C1" w:rsidRDefault="00CF0B68" w:rsidP="00070394">
      <w:pPr>
        <w:pStyle w:val="ListParagraph"/>
        <w:numPr>
          <w:ilvl w:val="1"/>
          <w:numId w:val="4"/>
        </w:numPr>
        <w:tabs>
          <w:tab w:val="left" w:pos="360"/>
          <w:tab w:val="left" w:pos="720"/>
          <w:tab w:val="left" w:pos="1080"/>
          <w:tab w:val="left" w:pos="1440"/>
          <w:tab w:val="left" w:pos="2160"/>
        </w:tabs>
        <w:ind w:left="1440"/>
        <w:contextualSpacing w:val="0"/>
      </w:pPr>
      <w:r>
        <w:t xml:space="preserve">Some </w:t>
      </w:r>
      <w:r w:rsidR="00070394" w:rsidRPr="001049C1">
        <w:t xml:space="preserve">Dighton and Rehoboth selectmen reported that a Regional Agreement Committee (RAC) was </w:t>
      </w:r>
      <w:r w:rsidR="006C4F67">
        <w:t>formed</w:t>
      </w:r>
      <w:r w:rsidR="00070394" w:rsidRPr="001049C1">
        <w:t xml:space="preserve"> to </w:t>
      </w:r>
      <w:r w:rsidR="00FB7983" w:rsidRPr="001049C1">
        <w:t>updat</w:t>
      </w:r>
      <w:r w:rsidR="00FB7983">
        <w:t>e</w:t>
      </w:r>
      <w:r w:rsidR="00FB7983" w:rsidRPr="001049C1">
        <w:t xml:space="preserve"> </w:t>
      </w:r>
      <w:r w:rsidR="00070394" w:rsidRPr="001049C1">
        <w:t>the regional agreement.  The</w:t>
      </w:r>
      <w:r w:rsidR="006C4F67">
        <w:t>y noted that the C</w:t>
      </w:r>
      <w:r w:rsidR="006C4F67" w:rsidRPr="001049C1">
        <w:t xml:space="preserve">ommittee </w:t>
      </w:r>
      <w:r w:rsidR="00070394" w:rsidRPr="001049C1">
        <w:t>met for two years without progress, and was recently disbanded.</w:t>
      </w:r>
      <w:r w:rsidR="00070394" w:rsidRPr="001049C1">
        <w:tab/>
      </w:r>
      <w:r w:rsidR="00070394" w:rsidRPr="001049C1">
        <w:tab/>
      </w:r>
    </w:p>
    <w:p w:rsidR="00BD44BB" w:rsidRDefault="0054528B" w:rsidP="00BD44BB">
      <w:pPr>
        <w:tabs>
          <w:tab w:val="left" w:pos="360"/>
          <w:tab w:val="left" w:pos="720"/>
          <w:tab w:val="left" w:pos="1080"/>
          <w:tab w:val="left" w:pos="1440"/>
          <w:tab w:val="left" w:pos="1800"/>
          <w:tab w:val="left" w:pos="2160"/>
        </w:tabs>
        <w:ind w:left="720" w:hanging="720"/>
      </w:pPr>
      <w:r>
        <w:lastRenderedPageBreak/>
        <w:tab/>
      </w:r>
      <w:r w:rsidR="00BD44BB" w:rsidRPr="00BD44BB">
        <w:rPr>
          <w:b/>
        </w:rPr>
        <w:t>B.</w:t>
      </w:r>
      <w:r w:rsidR="007A5C0E">
        <w:t xml:space="preserve">  </w:t>
      </w:r>
      <w:r w:rsidR="00CF0B68">
        <w:tab/>
      </w:r>
      <w:r w:rsidR="00070394" w:rsidRPr="001049C1">
        <w:t xml:space="preserve">An article </w:t>
      </w:r>
      <w:r w:rsidR="00D452A3">
        <w:t xml:space="preserve">posted </w:t>
      </w:r>
      <w:r w:rsidR="00070394" w:rsidRPr="001049C1">
        <w:t xml:space="preserve">in the </w:t>
      </w:r>
      <w:r w:rsidR="00BD44BB" w:rsidRPr="00BD44BB">
        <w:rPr>
          <w:i/>
        </w:rPr>
        <w:t>Metrowest Daily News</w:t>
      </w:r>
      <w:r w:rsidR="00070394" w:rsidRPr="001049C1">
        <w:t xml:space="preserve"> </w:t>
      </w:r>
      <w:r w:rsidR="00D452A3">
        <w:t xml:space="preserve">on April 14, 2014, </w:t>
      </w:r>
      <w:r w:rsidR="00070394" w:rsidRPr="001049C1">
        <w:t xml:space="preserve">stated </w:t>
      </w:r>
      <w:r w:rsidR="00D452A3">
        <w:t>that</w:t>
      </w:r>
      <w:r w:rsidR="00070394" w:rsidRPr="001049C1">
        <w:t xml:space="preserve"> a Rehoboth town meeting bal</w:t>
      </w:r>
      <w:r w:rsidR="003F35BD">
        <w:t>lot question to approve</w:t>
      </w:r>
      <w:r w:rsidR="00D452A3">
        <w:t xml:space="preserve"> a</w:t>
      </w:r>
      <w:r w:rsidR="003F35BD">
        <w:t xml:space="preserve"> $6,698,587 </w:t>
      </w:r>
      <w:r w:rsidR="00070394" w:rsidRPr="001049C1">
        <w:t>project to fix the roof at the shared regional high school was voted down by just two votes.  The</w:t>
      </w:r>
      <w:r w:rsidR="00070394">
        <w:t xml:space="preserve"> Massachusetts</w:t>
      </w:r>
      <w:r w:rsidR="00070394" w:rsidRPr="001049C1">
        <w:t xml:space="preserve"> S</w:t>
      </w:r>
      <w:r w:rsidR="00070394">
        <w:t>chool Building Authority</w:t>
      </w:r>
      <w:r w:rsidR="00070394" w:rsidRPr="001049C1">
        <w:t xml:space="preserve"> had previously approved this project for state financial assistance, but the failed vote eliminated any chance of state aid.  </w:t>
      </w:r>
    </w:p>
    <w:p w:rsidR="00070394" w:rsidRPr="001049C1" w:rsidRDefault="004F4510" w:rsidP="004F4510">
      <w:pPr>
        <w:tabs>
          <w:tab w:val="left" w:pos="360"/>
          <w:tab w:val="left" w:pos="720"/>
          <w:tab w:val="left" w:pos="1080"/>
          <w:tab w:val="left" w:pos="1440"/>
          <w:tab w:val="left" w:pos="1800"/>
          <w:tab w:val="left" w:pos="2160"/>
        </w:tabs>
        <w:ind w:left="1080" w:hanging="1080"/>
      </w:pPr>
      <w:r>
        <w:rPr>
          <w:b/>
        </w:rPr>
        <w:tab/>
      </w:r>
      <w:r>
        <w:rPr>
          <w:b/>
        </w:rPr>
        <w:tab/>
      </w:r>
      <w:r w:rsidR="00BD44BB" w:rsidRPr="00BD44BB">
        <w:t>1.</w:t>
      </w:r>
      <w:r>
        <w:tab/>
      </w:r>
      <w:r w:rsidR="00070394" w:rsidRPr="001049C1">
        <w:t xml:space="preserve">The article further stated that the vote against the roof project came after a problem with town assessments came to light, showing that Dighton was paying $1 million more annually than it should have.  In its own town meeting, Dighton approved the </w:t>
      </w:r>
      <w:r w:rsidR="00D452A3" w:rsidRPr="001049C1">
        <w:t xml:space="preserve">project </w:t>
      </w:r>
      <w:r w:rsidR="00D452A3">
        <w:t xml:space="preserve">to </w:t>
      </w:r>
      <w:r w:rsidR="00D452A3" w:rsidRPr="001049C1">
        <w:t xml:space="preserve">repair </w:t>
      </w:r>
      <w:r w:rsidR="00D452A3">
        <w:t xml:space="preserve">the </w:t>
      </w:r>
      <w:r w:rsidR="00070394" w:rsidRPr="001049C1">
        <w:t xml:space="preserve">high school roof.  Without the majority of Rehoboth voters approving the project, the </w:t>
      </w:r>
      <w:r w:rsidR="00961006">
        <w:t>ballot question</w:t>
      </w:r>
      <w:r w:rsidR="00961006" w:rsidRPr="001049C1">
        <w:t xml:space="preserve"> </w:t>
      </w:r>
      <w:r w:rsidR="00070394" w:rsidRPr="001049C1">
        <w:t xml:space="preserve">was defeated.  </w:t>
      </w:r>
    </w:p>
    <w:p w:rsidR="00070394" w:rsidRPr="001049C1" w:rsidRDefault="00070394" w:rsidP="00070394">
      <w:pPr>
        <w:tabs>
          <w:tab w:val="left" w:pos="0"/>
          <w:tab w:val="left" w:pos="720"/>
          <w:tab w:val="left" w:pos="1080"/>
          <w:tab w:val="left" w:pos="1440"/>
          <w:tab w:val="left" w:pos="1800"/>
          <w:tab w:val="left" w:pos="2160"/>
        </w:tabs>
      </w:pPr>
      <w:r w:rsidRPr="001049C1">
        <w:rPr>
          <w:b/>
        </w:rPr>
        <w:t>Impact</w:t>
      </w:r>
      <w:r w:rsidRPr="001049C1">
        <w:t xml:space="preserve">: </w:t>
      </w:r>
      <w:r w:rsidR="006C4F67">
        <w:t xml:space="preserve">Without one </w:t>
      </w:r>
      <w:r w:rsidRPr="001049C1">
        <w:t xml:space="preserve">regional budget </w:t>
      </w:r>
      <w:r w:rsidR="006C4F67">
        <w:t>as required by law,</w:t>
      </w:r>
      <w:r w:rsidRPr="001049C1">
        <w:t xml:space="preserve"> the district </w:t>
      </w:r>
      <w:r w:rsidR="006C4F67">
        <w:t>does not have an efficient budget and assessment process</w:t>
      </w:r>
      <w:r w:rsidR="005B1558">
        <w:t xml:space="preserve"> and has lost opportunit</w:t>
      </w:r>
      <w:r w:rsidR="0070662B">
        <w:t>ies</w:t>
      </w:r>
      <w:r w:rsidR="005B1558">
        <w:t xml:space="preserve"> to obtain revenue for school building repairs</w:t>
      </w:r>
      <w:r>
        <w:t>.</w:t>
      </w:r>
    </w:p>
    <w:p w:rsidR="00070394" w:rsidRPr="000345C9" w:rsidRDefault="00730088" w:rsidP="005B1558">
      <w:pPr>
        <w:tabs>
          <w:tab w:val="left" w:pos="360"/>
          <w:tab w:val="left" w:pos="720"/>
          <w:tab w:val="left" w:pos="1080"/>
          <w:tab w:val="left" w:pos="1440"/>
          <w:tab w:val="left" w:pos="1800"/>
        </w:tabs>
        <w:ind w:left="360" w:hanging="360"/>
        <w:rPr>
          <w:b/>
        </w:rPr>
      </w:pPr>
      <w:r>
        <w:rPr>
          <w:b/>
        </w:rPr>
        <w:t>3</w:t>
      </w:r>
      <w:r w:rsidR="000345C9">
        <w:rPr>
          <w:b/>
        </w:rPr>
        <w:t xml:space="preserve">. </w:t>
      </w:r>
      <w:r w:rsidR="005B1558">
        <w:rPr>
          <w:b/>
        </w:rPr>
        <w:tab/>
      </w:r>
      <w:r w:rsidR="00070394" w:rsidRPr="000345C9">
        <w:rPr>
          <w:b/>
        </w:rPr>
        <w:t xml:space="preserve">The district does not have a long-range capital plan for building repairs or replacement.  </w:t>
      </w:r>
    </w:p>
    <w:p w:rsidR="00070394" w:rsidRPr="001049C1" w:rsidRDefault="005B1558" w:rsidP="005B1558">
      <w:pPr>
        <w:tabs>
          <w:tab w:val="left" w:pos="360"/>
          <w:tab w:val="left" w:pos="720"/>
          <w:tab w:val="left" w:pos="1080"/>
          <w:tab w:val="left" w:pos="1440"/>
          <w:tab w:val="left" w:pos="1800"/>
          <w:tab w:val="left" w:pos="2160"/>
        </w:tabs>
        <w:ind w:left="720" w:hanging="360"/>
        <w:rPr>
          <w:rFonts w:eastAsia="Times New Roman" w:cs="Times New Roman"/>
        </w:rPr>
      </w:pPr>
      <w:r>
        <w:rPr>
          <w:b/>
        </w:rPr>
        <w:t xml:space="preserve"> </w:t>
      </w:r>
      <w:r w:rsidR="00070394" w:rsidRPr="001049C1">
        <w:rPr>
          <w:b/>
        </w:rPr>
        <w:t>A.</w:t>
      </w:r>
      <w:r w:rsidR="00070394" w:rsidRPr="001049C1">
        <w:rPr>
          <w:b/>
        </w:rPr>
        <w:tab/>
      </w:r>
      <w:r w:rsidR="00070394" w:rsidRPr="001049C1">
        <w:rPr>
          <w:rFonts w:eastAsia="Times New Roman" w:cs="Times New Roman"/>
        </w:rPr>
        <w:t xml:space="preserve">The </w:t>
      </w:r>
      <w:r w:rsidR="00AC028E">
        <w:rPr>
          <w:rFonts w:eastAsia="Times New Roman" w:cs="Times New Roman"/>
        </w:rPr>
        <w:t xml:space="preserve">city and the </w:t>
      </w:r>
      <w:r w:rsidR="00070394" w:rsidRPr="001049C1">
        <w:rPr>
          <w:rFonts w:eastAsia="Times New Roman" w:cs="Times New Roman"/>
        </w:rPr>
        <w:t xml:space="preserve">district </w:t>
      </w:r>
      <w:r w:rsidR="00AC028E" w:rsidRPr="001049C1">
        <w:rPr>
          <w:rFonts w:eastAsia="Times New Roman" w:cs="Times New Roman"/>
        </w:rPr>
        <w:t>ha</w:t>
      </w:r>
      <w:r w:rsidR="00AC028E">
        <w:rPr>
          <w:rFonts w:eastAsia="Times New Roman" w:cs="Times New Roman"/>
        </w:rPr>
        <w:t>ve</w:t>
      </w:r>
      <w:r w:rsidR="00AC028E" w:rsidRPr="001049C1">
        <w:rPr>
          <w:rFonts w:eastAsia="Times New Roman" w:cs="Times New Roman"/>
        </w:rPr>
        <w:t xml:space="preserve"> </w:t>
      </w:r>
      <w:r w:rsidR="00070394" w:rsidRPr="001049C1">
        <w:rPr>
          <w:rFonts w:eastAsia="Times New Roman" w:cs="Times New Roman"/>
        </w:rPr>
        <w:t>taken steps to renovate and repair school buildings.</w:t>
      </w:r>
    </w:p>
    <w:p w:rsidR="00AC028E" w:rsidRDefault="00070394" w:rsidP="00070394">
      <w:pPr>
        <w:numPr>
          <w:ilvl w:val="0"/>
          <w:numId w:val="17"/>
        </w:numPr>
        <w:tabs>
          <w:tab w:val="left" w:pos="360"/>
          <w:tab w:val="left" w:pos="720"/>
          <w:tab w:val="left" w:pos="1080"/>
          <w:tab w:val="left" w:pos="1440"/>
          <w:tab w:val="left" w:pos="1800"/>
          <w:tab w:val="left" w:pos="2160"/>
        </w:tabs>
        <w:rPr>
          <w:rFonts w:eastAsia="Times New Roman" w:cs="Times New Roman"/>
        </w:rPr>
      </w:pPr>
      <w:r w:rsidRPr="001049C1">
        <w:rPr>
          <w:rFonts w:eastAsia="Times New Roman" w:cs="Times New Roman"/>
        </w:rPr>
        <w:t xml:space="preserve">The business administrator </w:t>
      </w:r>
      <w:r w:rsidR="00AC028E" w:rsidRPr="001049C1">
        <w:rPr>
          <w:rFonts w:eastAsia="Times New Roman" w:cs="Times New Roman"/>
        </w:rPr>
        <w:t>report</w:t>
      </w:r>
      <w:r w:rsidR="00AC028E">
        <w:rPr>
          <w:rFonts w:eastAsia="Times New Roman" w:cs="Times New Roman"/>
        </w:rPr>
        <w:t>ed</w:t>
      </w:r>
      <w:r w:rsidR="00AC028E" w:rsidRPr="001049C1">
        <w:rPr>
          <w:rFonts w:eastAsia="Times New Roman" w:cs="Times New Roman"/>
        </w:rPr>
        <w:t xml:space="preserve"> </w:t>
      </w:r>
      <w:r w:rsidRPr="001049C1">
        <w:rPr>
          <w:rFonts w:eastAsia="Times New Roman" w:cs="Times New Roman"/>
        </w:rPr>
        <w:t>“major facilities issues</w:t>
      </w:r>
      <w:r w:rsidR="00AC028E">
        <w:rPr>
          <w:rFonts w:eastAsia="Times New Roman" w:cs="Times New Roman"/>
        </w:rPr>
        <w:t>,</w:t>
      </w:r>
      <w:r w:rsidRPr="001049C1">
        <w:rPr>
          <w:rFonts w:eastAsia="Times New Roman" w:cs="Times New Roman"/>
        </w:rPr>
        <w:t>”</w:t>
      </w:r>
      <w:r>
        <w:rPr>
          <w:rFonts w:eastAsia="Times New Roman" w:cs="Times New Roman"/>
        </w:rPr>
        <w:t xml:space="preserve"> especially at the high school and the Palmer </w:t>
      </w:r>
      <w:r w:rsidR="001463E0">
        <w:rPr>
          <w:rFonts w:eastAsia="Times New Roman" w:cs="Times New Roman"/>
        </w:rPr>
        <w:t>Elementary School</w:t>
      </w:r>
      <w:r w:rsidRPr="001049C1">
        <w:rPr>
          <w:rFonts w:eastAsia="Times New Roman" w:cs="Times New Roman"/>
        </w:rPr>
        <w:t xml:space="preserve">. A facilities manager and an electrician </w:t>
      </w:r>
      <w:r w:rsidR="00AC028E">
        <w:rPr>
          <w:rFonts w:eastAsia="Times New Roman" w:cs="Times New Roman"/>
        </w:rPr>
        <w:t>have been</w:t>
      </w:r>
      <w:r w:rsidR="00AC028E" w:rsidRPr="001049C1">
        <w:rPr>
          <w:rFonts w:eastAsia="Times New Roman" w:cs="Times New Roman"/>
        </w:rPr>
        <w:t xml:space="preserve"> </w:t>
      </w:r>
      <w:r w:rsidRPr="001049C1">
        <w:rPr>
          <w:rFonts w:eastAsia="Times New Roman" w:cs="Times New Roman"/>
        </w:rPr>
        <w:t xml:space="preserve">hired to address </w:t>
      </w:r>
      <w:r>
        <w:rPr>
          <w:rFonts w:eastAsia="Times New Roman" w:cs="Times New Roman"/>
        </w:rPr>
        <w:t>these issues</w:t>
      </w:r>
      <w:r w:rsidRPr="001049C1">
        <w:rPr>
          <w:rFonts w:eastAsia="Times New Roman" w:cs="Times New Roman"/>
        </w:rPr>
        <w:t xml:space="preserve">.  </w:t>
      </w:r>
    </w:p>
    <w:p w:rsidR="00070394" w:rsidRPr="001049C1" w:rsidRDefault="00AC028E" w:rsidP="00AC028E">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a.</w:t>
      </w:r>
      <w:r>
        <w:rPr>
          <w:rFonts w:eastAsia="Times New Roman" w:cs="Times New Roman"/>
        </w:rPr>
        <w:tab/>
      </w:r>
      <w:r w:rsidR="00070394" w:rsidRPr="001049C1">
        <w:rPr>
          <w:rFonts w:eastAsia="Times New Roman" w:cs="Times New Roman"/>
        </w:rPr>
        <w:t xml:space="preserve">A tour of the high school and Palmer </w:t>
      </w:r>
      <w:r w:rsidR="00B344E1">
        <w:rPr>
          <w:rFonts w:eastAsia="Times New Roman" w:cs="Times New Roman"/>
        </w:rPr>
        <w:t>River Elementary S</w:t>
      </w:r>
      <w:r w:rsidR="00B344E1" w:rsidRPr="001049C1">
        <w:rPr>
          <w:rFonts w:eastAsia="Times New Roman" w:cs="Times New Roman"/>
        </w:rPr>
        <w:t xml:space="preserve">chool </w:t>
      </w:r>
      <w:r w:rsidR="00B07A60">
        <w:rPr>
          <w:rFonts w:eastAsia="Times New Roman" w:cs="Times New Roman"/>
        </w:rPr>
        <w:t xml:space="preserve">showed </w:t>
      </w:r>
      <w:r w:rsidR="00070394" w:rsidRPr="001049C1">
        <w:rPr>
          <w:rFonts w:eastAsia="Times New Roman" w:cs="Times New Roman"/>
        </w:rPr>
        <w:t xml:space="preserve">extensive water damage in </w:t>
      </w:r>
      <w:r w:rsidR="00B07A60">
        <w:rPr>
          <w:rFonts w:eastAsia="Times New Roman" w:cs="Times New Roman"/>
        </w:rPr>
        <w:t xml:space="preserve">some </w:t>
      </w:r>
      <w:r w:rsidR="00070394" w:rsidRPr="001049C1">
        <w:rPr>
          <w:rFonts w:eastAsia="Times New Roman" w:cs="Times New Roman"/>
        </w:rPr>
        <w:t xml:space="preserve">classrooms and </w:t>
      </w:r>
      <w:r w:rsidR="00B344E1">
        <w:rPr>
          <w:rFonts w:eastAsia="Times New Roman" w:cs="Times New Roman"/>
        </w:rPr>
        <w:t xml:space="preserve">in </w:t>
      </w:r>
      <w:r w:rsidR="00070394" w:rsidRPr="001049C1">
        <w:rPr>
          <w:rFonts w:eastAsia="Times New Roman" w:cs="Times New Roman"/>
        </w:rPr>
        <w:t>the high school computer lab</w:t>
      </w:r>
      <w:r w:rsidR="00B07A60">
        <w:rPr>
          <w:rFonts w:eastAsia="Times New Roman" w:cs="Times New Roman"/>
        </w:rPr>
        <w:t xml:space="preserve"> because of leaks in the roof</w:t>
      </w:r>
      <w:r w:rsidR="00070394" w:rsidRPr="001049C1">
        <w:rPr>
          <w:rFonts w:eastAsia="Times New Roman" w:cs="Times New Roman"/>
        </w:rPr>
        <w:t xml:space="preserve">.  </w:t>
      </w:r>
      <w:r w:rsidR="00B344E1">
        <w:rPr>
          <w:rFonts w:eastAsia="Times New Roman" w:cs="Times New Roman"/>
        </w:rPr>
        <w:t>Also, windows in t</w:t>
      </w:r>
      <w:r w:rsidR="00B344E1" w:rsidRPr="001049C1">
        <w:rPr>
          <w:rFonts w:eastAsia="Times New Roman" w:cs="Times New Roman"/>
        </w:rPr>
        <w:t xml:space="preserve">he </w:t>
      </w:r>
      <w:r w:rsidR="00070394" w:rsidRPr="001049C1">
        <w:rPr>
          <w:rFonts w:eastAsia="Times New Roman" w:cs="Times New Roman"/>
        </w:rPr>
        <w:t>Palmer school are single-paned, and as a result, contribute to significant heat loss.</w:t>
      </w:r>
    </w:p>
    <w:p w:rsidR="00070394" w:rsidRDefault="00132C98" w:rsidP="00070394">
      <w:pPr>
        <w:numPr>
          <w:ilvl w:val="0"/>
          <w:numId w:val="17"/>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To conserve energy and save money, t</w:t>
      </w:r>
      <w:r w:rsidRPr="001049C1">
        <w:rPr>
          <w:rFonts w:eastAsia="Times New Roman" w:cs="Times New Roman"/>
        </w:rPr>
        <w:t xml:space="preserve">he </w:t>
      </w:r>
      <w:r w:rsidR="00070394" w:rsidRPr="001049C1">
        <w:rPr>
          <w:rFonts w:eastAsia="Times New Roman" w:cs="Times New Roman"/>
        </w:rPr>
        <w:t xml:space="preserve">district </w:t>
      </w:r>
      <w:r>
        <w:rPr>
          <w:rFonts w:eastAsia="Times New Roman" w:cs="Times New Roman"/>
        </w:rPr>
        <w:t xml:space="preserve">is </w:t>
      </w:r>
      <w:r w:rsidR="008B059E">
        <w:rPr>
          <w:rFonts w:eastAsia="Times New Roman" w:cs="Times New Roman"/>
        </w:rPr>
        <w:t xml:space="preserve">in the process of </w:t>
      </w:r>
      <w:r w:rsidRPr="001049C1">
        <w:rPr>
          <w:rFonts w:eastAsia="Times New Roman" w:cs="Times New Roman"/>
        </w:rPr>
        <w:t>replac</w:t>
      </w:r>
      <w:r>
        <w:rPr>
          <w:rFonts w:eastAsia="Times New Roman" w:cs="Times New Roman"/>
        </w:rPr>
        <w:t>ing</w:t>
      </w:r>
      <w:r w:rsidRPr="001049C1">
        <w:rPr>
          <w:rFonts w:eastAsia="Times New Roman" w:cs="Times New Roman"/>
        </w:rPr>
        <w:t xml:space="preserve"> </w:t>
      </w:r>
      <w:r w:rsidR="00070394" w:rsidRPr="001049C1">
        <w:rPr>
          <w:rFonts w:eastAsia="Times New Roman" w:cs="Times New Roman"/>
        </w:rPr>
        <w:t xml:space="preserve">boilers </w:t>
      </w:r>
      <w:r>
        <w:rPr>
          <w:rFonts w:eastAsia="Times New Roman" w:cs="Times New Roman"/>
        </w:rPr>
        <w:t xml:space="preserve">and upgrading </w:t>
      </w:r>
      <w:r w:rsidR="001463E0">
        <w:rPr>
          <w:rFonts w:eastAsia="Times New Roman" w:cs="Times New Roman"/>
        </w:rPr>
        <w:t xml:space="preserve">heating, </w:t>
      </w:r>
      <w:r w:rsidR="00AC25E5">
        <w:rPr>
          <w:rFonts w:eastAsia="Times New Roman" w:cs="Times New Roman"/>
        </w:rPr>
        <w:t xml:space="preserve">ventilation, and </w:t>
      </w:r>
      <w:r w:rsidR="001463E0">
        <w:rPr>
          <w:rFonts w:eastAsia="Times New Roman" w:cs="Times New Roman"/>
        </w:rPr>
        <w:t xml:space="preserve">air-conditioning </w:t>
      </w:r>
      <w:r>
        <w:rPr>
          <w:rFonts w:eastAsia="Times New Roman" w:cs="Times New Roman"/>
        </w:rPr>
        <w:t>units</w:t>
      </w:r>
      <w:r w:rsidR="00070394" w:rsidRPr="001049C1">
        <w:rPr>
          <w:rFonts w:eastAsia="Times New Roman" w:cs="Times New Roman"/>
        </w:rPr>
        <w:t xml:space="preserve">. </w:t>
      </w:r>
    </w:p>
    <w:p w:rsidR="00BD44BB" w:rsidRPr="00BD44BB" w:rsidRDefault="00B666CB" w:rsidP="00BD44BB">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BD44BB" w:rsidRPr="00BD44BB">
        <w:rPr>
          <w:rFonts w:eastAsia="Times New Roman" w:cs="Times New Roman"/>
          <w:b/>
        </w:rPr>
        <w:t>B.</w:t>
      </w:r>
      <w:r w:rsidR="0054528B">
        <w:rPr>
          <w:rFonts w:eastAsia="Times New Roman" w:cs="Times New Roman"/>
          <w:b/>
        </w:rPr>
        <w:tab/>
      </w:r>
      <w:r w:rsidR="00BD44BB" w:rsidRPr="00BD44BB">
        <w:rPr>
          <w:rFonts w:eastAsia="Times New Roman" w:cs="Times New Roman"/>
        </w:rPr>
        <w:t xml:space="preserve">The superintendent told the team that the district </w:t>
      </w:r>
      <w:r w:rsidR="008B059E">
        <w:rPr>
          <w:rFonts w:eastAsia="Times New Roman" w:cs="Times New Roman"/>
        </w:rPr>
        <w:t>“</w:t>
      </w:r>
      <w:r w:rsidR="00BD44BB" w:rsidRPr="00BD44BB">
        <w:rPr>
          <w:rFonts w:eastAsia="Times New Roman" w:cs="Times New Roman"/>
        </w:rPr>
        <w:t>is running out of space</w:t>
      </w:r>
      <w:r w:rsidR="005A3AE2">
        <w:rPr>
          <w:rFonts w:eastAsia="Times New Roman" w:cs="Times New Roman"/>
        </w:rPr>
        <w:t>.”</w:t>
      </w:r>
      <w:r w:rsidR="00BD44BB" w:rsidRPr="00BD44BB">
        <w:rPr>
          <w:rFonts w:eastAsia="Times New Roman" w:cs="Times New Roman"/>
        </w:rPr>
        <w:t xml:space="preserve">  He said that he </w:t>
      </w:r>
      <w:r w:rsidR="00A2606E">
        <w:rPr>
          <w:rFonts w:eastAsia="Times New Roman" w:cs="Times New Roman"/>
        </w:rPr>
        <w:t>i</w:t>
      </w:r>
      <w:r w:rsidR="00BD44BB" w:rsidRPr="00BD44BB">
        <w:rPr>
          <w:rFonts w:eastAsia="Times New Roman" w:cs="Times New Roman"/>
        </w:rPr>
        <w:t xml:space="preserve">s planning to purchase a number of modular classrooms to provide more space. He also acknowledged that the district does not have a capital plan, and </w:t>
      </w:r>
      <w:r w:rsidR="00713D10">
        <w:rPr>
          <w:rFonts w:eastAsia="Times New Roman" w:cs="Times New Roman"/>
        </w:rPr>
        <w:t>that it</w:t>
      </w:r>
      <w:r w:rsidR="00BD44BB" w:rsidRPr="00BD44BB">
        <w:rPr>
          <w:rFonts w:eastAsia="Times New Roman" w:cs="Times New Roman"/>
        </w:rPr>
        <w:t xml:space="preserve"> needs to develop one.</w:t>
      </w:r>
    </w:p>
    <w:p w:rsidR="00B344E1" w:rsidRPr="00EB2A54" w:rsidRDefault="00B344E1" w:rsidP="00B344E1">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r>
      <w:r w:rsidRPr="001049C1">
        <w:rPr>
          <w:rFonts w:eastAsia="Times New Roman" w:cs="Times New Roman"/>
        </w:rPr>
        <w:t>The superintendent’s budget pre</w:t>
      </w:r>
      <w:r>
        <w:rPr>
          <w:rFonts w:eastAsia="Times New Roman" w:cs="Times New Roman"/>
        </w:rPr>
        <w:t>sentation summarize</w:t>
      </w:r>
      <w:r w:rsidR="00010EF9">
        <w:rPr>
          <w:rFonts w:eastAsia="Times New Roman" w:cs="Times New Roman"/>
        </w:rPr>
        <w:t>s</w:t>
      </w:r>
      <w:r>
        <w:rPr>
          <w:rFonts w:eastAsia="Times New Roman" w:cs="Times New Roman"/>
        </w:rPr>
        <w:t xml:space="preserve"> </w:t>
      </w:r>
      <w:r w:rsidRPr="001049C1">
        <w:rPr>
          <w:rFonts w:eastAsia="Times New Roman" w:cs="Times New Roman"/>
        </w:rPr>
        <w:t>the capital improvement</w:t>
      </w:r>
      <w:r w:rsidR="0070662B">
        <w:rPr>
          <w:rFonts w:eastAsia="Times New Roman" w:cs="Times New Roman"/>
        </w:rPr>
        <w:t>s</w:t>
      </w:r>
      <w:r w:rsidRPr="001049C1">
        <w:rPr>
          <w:rFonts w:eastAsia="Times New Roman" w:cs="Times New Roman"/>
        </w:rPr>
        <w:t xml:space="preserve"> need</w:t>
      </w:r>
      <w:r w:rsidR="0070662B">
        <w:rPr>
          <w:rFonts w:eastAsia="Times New Roman" w:cs="Times New Roman"/>
        </w:rPr>
        <w:t>ed</w:t>
      </w:r>
      <w:r w:rsidRPr="001049C1">
        <w:rPr>
          <w:rFonts w:eastAsia="Times New Roman" w:cs="Times New Roman"/>
        </w:rPr>
        <w:t xml:space="preserve"> for each school building</w:t>
      </w:r>
      <w:r>
        <w:rPr>
          <w:rFonts w:eastAsia="Times New Roman" w:cs="Times New Roman"/>
        </w:rPr>
        <w:t xml:space="preserve">.  They include security, window replacement, boilers, lockers, septic system, roofs, </w:t>
      </w:r>
      <w:r w:rsidR="00A2606E">
        <w:rPr>
          <w:rFonts w:eastAsia="Times New Roman" w:cs="Times New Roman"/>
        </w:rPr>
        <w:t xml:space="preserve">energy management </w:t>
      </w:r>
      <w:r>
        <w:rPr>
          <w:rFonts w:eastAsia="Times New Roman" w:cs="Times New Roman"/>
        </w:rPr>
        <w:t xml:space="preserve">systems, </w:t>
      </w:r>
      <w:r w:rsidR="00010EF9">
        <w:rPr>
          <w:rFonts w:eastAsia="Times New Roman" w:cs="Times New Roman"/>
        </w:rPr>
        <w:t xml:space="preserve">and </w:t>
      </w:r>
      <w:r>
        <w:rPr>
          <w:rFonts w:eastAsia="Times New Roman" w:cs="Times New Roman"/>
        </w:rPr>
        <w:t xml:space="preserve">additional classrooms at selected schools.  These </w:t>
      </w:r>
      <w:r w:rsidR="00A2606E">
        <w:rPr>
          <w:rFonts w:eastAsia="Times New Roman" w:cs="Times New Roman"/>
        </w:rPr>
        <w:t>improvements</w:t>
      </w:r>
      <w:r>
        <w:rPr>
          <w:rFonts w:eastAsia="Times New Roman" w:cs="Times New Roman"/>
        </w:rPr>
        <w:t xml:space="preserve">, however, have not been cost estimated or itemized as they would be in a </w:t>
      </w:r>
      <w:r w:rsidR="00010EF9">
        <w:rPr>
          <w:rFonts w:eastAsia="Times New Roman" w:cs="Times New Roman"/>
        </w:rPr>
        <w:t xml:space="preserve">capital </w:t>
      </w:r>
      <w:r>
        <w:rPr>
          <w:rFonts w:eastAsia="Times New Roman" w:cs="Times New Roman"/>
        </w:rPr>
        <w:t>plan</w:t>
      </w:r>
      <w:r w:rsidRPr="001049C1">
        <w:rPr>
          <w:rFonts w:eastAsia="Times New Roman" w:cs="Times New Roman"/>
        </w:rPr>
        <w:t xml:space="preserve">. </w:t>
      </w:r>
    </w:p>
    <w:p w:rsidR="00BD44BB" w:rsidRPr="00BD44BB" w:rsidRDefault="00B666CB" w:rsidP="00BD44BB">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BD44BB" w:rsidRPr="00BD44BB">
        <w:rPr>
          <w:rFonts w:eastAsia="Times New Roman" w:cs="Times New Roman"/>
          <w:b/>
        </w:rPr>
        <w:t>C.</w:t>
      </w:r>
      <w:r w:rsidR="0054528B">
        <w:rPr>
          <w:rFonts w:eastAsia="Times New Roman" w:cs="Times New Roman"/>
          <w:b/>
        </w:rPr>
        <w:tab/>
      </w:r>
      <w:r w:rsidR="00BD44BB" w:rsidRPr="00BD44BB">
        <w:rPr>
          <w:rFonts w:eastAsia="Times New Roman" w:cs="Times New Roman"/>
        </w:rPr>
        <w:t xml:space="preserve">School committee members and the business administrator reported that a capital plan committee has been established.  This committee meets five times per year and is composed of regional school committee members, finance committee members from the towns, the facilities </w:t>
      </w:r>
      <w:r w:rsidR="00BD44BB" w:rsidRPr="00BD44BB">
        <w:rPr>
          <w:rFonts w:eastAsia="Times New Roman" w:cs="Times New Roman"/>
        </w:rPr>
        <w:lastRenderedPageBreak/>
        <w:t>director</w:t>
      </w:r>
      <w:r w:rsidR="000B333E">
        <w:rPr>
          <w:rFonts w:eastAsia="Times New Roman" w:cs="Times New Roman"/>
        </w:rPr>
        <w:t>,</w:t>
      </w:r>
      <w:r w:rsidR="00BD44BB" w:rsidRPr="00BD44BB">
        <w:rPr>
          <w:rFonts w:eastAsia="Times New Roman" w:cs="Times New Roman"/>
        </w:rPr>
        <w:t xml:space="preserve"> and the business administrator.  At the time of the onsite in January 2017, the committee had not developed a list of projects. </w:t>
      </w:r>
    </w:p>
    <w:p w:rsidR="00070394" w:rsidRDefault="00070394" w:rsidP="00070394">
      <w:pPr>
        <w:tabs>
          <w:tab w:val="left" w:pos="0"/>
          <w:tab w:val="left" w:pos="720"/>
          <w:tab w:val="left" w:pos="1080"/>
          <w:tab w:val="left" w:pos="1440"/>
          <w:tab w:val="left" w:pos="1800"/>
          <w:tab w:val="left" w:pos="2160"/>
        </w:tabs>
      </w:pPr>
      <w:r w:rsidRPr="001049C1">
        <w:rPr>
          <w:rFonts w:eastAsia="Times New Roman" w:cs="Times New Roman"/>
          <w:b/>
        </w:rPr>
        <w:t>Impact</w:t>
      </w:r>
      <w:r w:rsidRPr="001049C1">
        <w:rPr>
          <w:rFonts w:eastAsia="Times New Roman" w:cs="Times New Roman"/>
        </w:rPr>
        <w:t xml:space="preserve">: </w:t>
      </w:r>
      <w:r w:rsidRPr="001049C1">
        <w:t>The absence of long-range capital planning inhibits the prioritization of needed school repair and renovation</w:t>
      </w:r>
      <w:r w:rsidR="00A2606E">
        <w:t>;</w:t>
      </w:r>
      <w:r w:rsidR="00A2606E" w:rsidRPr="001049C1">
        <w:t xml:space="preserve"> </w:t>
      </w:r>
      <w:r w:rsidRPr="001049C1">
        <w:t>postpones needed improvements in some schools</w:t>
      </w:r>
      <w:r w:rsidR="00A2606E">
        <w:t>;</w:t>
      </w:r>
      <w:r w:rsidR="00A2606E" w:rsidRPr="001049C1">
        <w:t xml:space="preserve"> </w:t>
      </w:r>
      <w:r w:rsidRPr="001049C1">
        <w:t>and means that a clean, safe, appropriate, and adequate learning environment is not available to all students and staff.</w:t>
      </w:r>
    </w:p>
    <w:p w:rsidR="00961006" w:rsidRDefault="00961006" w:rsidP="00070394">
      <w:pPr>
        <w:tabs>
          <w:tab w:val="left" w:pos="360"/>
          <w:tab w:val="left" w:pos="720"/>
          <w:tab w:val="left" w:pos="1080"/>
          <w:tab w:val="left" w:pos="1440"/>
          <w:tab w:val="left" w:pos="1800"/>
          <w:tab w:val="left" w:pos="2160"/>
        </w:tabs>
        <w:rPr>
          <w:rFonts w:eastAsia="Times New Roman" w:cs="Times New Roman"/>
        </w:rPr>
      </w:pPr>
    </w:p>
    <w:p w:rsidR="00070394" w:rsidRDefault="00070394" w:rsidP="00070394">
      <w:pPr>
        <w:tabs>
          <w:tab w:val="left" w:pos="360"/>
          <w:tab w:val="left" w:pos="720"/>
          <w:tab w:val="left" w:pos="1080"/>
          <w:tab w:val="left" w:pos="1440"/>
          <w:tab w:val="left" w:pos="1800"/>
          <w:tab w:val="left" w:pos="2160"/>
        </w:tabs>
        <w:rPr>
          <w:rFonts w:eastAsia="Times New Roman" w:cs="Times New Roman"/>
          <w:b/>
          <w:sz w:val="28"/>
          <w:szCs w:val="28"/>
        </w:rPr>
      </w:pPr>
      <w:r w:rsidRPr="002510B5">
        <w:rPr>
          <w:rFonts w:eastAsia="Times New Roman" w:cs="Times New Roman"/>
          <w:b/>
          <w:sz w:val="28"/>
          <w:szCs w:val="28"/>
        </w:rPr>
        <w:t>Recommendations</w:t>
      </w:r>
    </w:p>
    <w:p w:rsidR="004D1ADB" w:rsidRDefault="005E1888" w:rsidP="00D706FD">
      <w:pPr>
        <w:pStyle w:val="NormalWeb"/>
        <w:tabs>
          <w:tab w:val="left" w:pos="360"/>
          <w:tab w:val="num" w:pos="480"/>
        </w:tabs>
        <w:spacing w:after="200" w:line="276" w:lineRule="auto"/>
        <w:ind w:left="360" w:hanging="360"/>
        <w:rPr>
          <w:rFonts w:asciiTheme="minorHAnsi" w:hAnsiTheme="minorHAnsi"/>
          <w:b/>
          <w:sz w:val="22"/>
          <w:szCs w:val="22"/>
        </w:rPr>
      </w:pPr>
      <w:r>
        <w:rPr>
          <w:rFonts w:asciiTheme="minorHAnsi" w:hAnsiTheme="minorHAnsi" w:cs="Calibri"/>
          <w:b/>
          <w:sz w:val="22"/>
          <w:szCs w:val="22"/>
        </w:rPr>
        <w:t>1</w:t>
      </w:r>
      <w:r w:rsidR="00D706FD" w:rsidRPr="00412654">
        <w:rPr>
          <w:rFonts w:asciiTheme="minorHAnsi" w:hAnsiTheme="minorHAnsi" w:cs="Calibri"/>
          <w:b/>
          <w:sz w:val="22"/>
          <w:szCs w:val="22"/>
        </w:rPr>
        <w:t>.</w:t>
      </w:r>
      <w:r w:rsidR="00D706FD" w:rsidRPr="00412654">
        <w:rPr>
          <w:rFonts w:asciiTheme="minorHAnsi" w:hAnsiTheme="minorHAnsi"/>
          <w:b/>
          <w:sz w:val="22"/>
          <w:szCs w:val="22"/>
        </w:rPr>
        <w:t xml:space="preserve">  </w:t>
      </w:r>
      <w:r w:rsidR="00D706FD">
        <w:rPr>
          <w:rFonts w:asciiTheme="minorHAnsi" w:hAnsiTheme="minorHAnsi"/>
          <w:b/>
          <w:sz w:val="22"/>
          <w:szCs w:val="22"/>
        </w:rPr>
        <w:t xml:space="preserve"> </w:t>
      </w:r>
      <w:r w:rsidR="00D706FD" w:rsidRPr="00412654">
        <w:rPr>
          <w:rFonts w:asciiTheme="minorHAnsi" w:hAnsiTheme="minorHAnsi"/>
          <w:b/>
          <w:sz w:val="22"/>
          <w:szCs w:val="22"/>
        </w:rPr>
        <w:t>The</w:t>
      </w:r>
      <w:r>
        <w:rPr>
          <w:rFonts w:asciiTheme="minorHAnsi" w:hAnsiTheme="minorHAnsi"/>
          <w:b/>
          <w:sz w:val="22"/>
          <w:szCs w:val="22"/>
        </w:rPr>
        <w:t xml:space="preserve"> district should continue to work with ESE to </w:t>
      </w:r>
      <w:r w:rsidR="00A13C34">
        <w:rPr>
          <w:rFonts w:asciiTheme="minorHAnsi" w:hAnsiTheme="minorHAnsi"/>
          <w:b/>
          <w:sz w:val="22"/>
          <w:szCs w:val="22"/>
        </w:rPr>
        <w:t>change</w:t>
      </w:r>
      <w:r>
        <w:rPr>
          <w:rFonts w:asciiTheme="minorHAnsi" w:hAnsiTheme="minorHAnsi"/>
          <w:b/>
          <w:sz w:val="22"/>
          <w:szCs w:val="22"/>
        </w:rPr>
        <w:t xml:space="preserve"> its regional agreement and</w:t>
      </w:r>
      <w:r w:rsidR="00D706FD" w:rsidRPr="00412654">
        <w:rPr>
          <w:rFonts w:asciiTheme="minorHAnsi" w:hAnsiTheme="minorHAnsi"/>
          <w:b/>
          <w:sz w:val="22"/>
          <w:szCs w:val="22"/>
        </w:rPr>
        <w:t xml:space="preserve"> </w:t>
      </w:r>
      <w:r>
        <w:rPr>
          <w:rFonts w:asciiTheme="minorHAnsi" w:hAnsiTheme="minorHAnsi"/>
          <w:b/>
          <w:sz w:val="22"/>
          <w:szCs w:val="22"/>
        </w:rPr>
        <w:t>financial operations</w:t>
      </w:r>
      <w:r w:rsidR="00A13C34">
        <w:rPr>
          <w:rFonts w:asciiTheme="minorHAnsi" w:hAnsiTheme="minorHAnsi"/>
          <w:b/>
          <w:sz w:val="22"/>
          <w:szCs w:val="22"/>
        </w:rPr>
        <w:t xml:space="preserve"> as required by law</w:t>
      </w:r>
      <w:r w:rsidR="00D706FD" w:rsidRPr="00412654">
        <w:rPr>
          <w:rFonts w:asciiTheme="minorHAnsi" w:hAnsiTheme="minorHAnsi"/>
          <w:b/>
          <w:sz w:val="22"/>
          <w:szCs w:val="22"/>
        </w:rPr>
        <w:t xml:space="preserve">.  </w:t>
      </w:r>
    </w:p>
    <w:p w:rsidR="00BD44BB" w:rsidRPr="00BD44BB" w:rsidRDefault="004D1ADB" w:rsidP="00BD44BB">
      <w:pPr>
        <w:pStyle w:val="NormalWeb"/>
        <w:tabs>
          <w:tab w:val="left" w:pos="360"/>
          <w:tab w:val="num" w:pos="480"/>
        </w:tabs>
        <w:spacing w:after="200" w:line="276" w:lineRule="auto"/>
        <w:ind w:left="720" w:hanging="720"/>
        <w:rPr>
          <w:rFonts w:asciiTheme="minorHAnsi" w:hAnsiTheme="minorHAnsi"/>
          <w:sz w:val="22"/>
          <w:szCs w:val="22"/>
        </w:rPr>
      </w:pPr>
      <w:r>
        <w:rPr>
          <w:rFonts w:asciiTheme="minorHAnsi" w:hAnsiTheme="minorHAnsi" w:cs="Calibri"/>
          <w:b/>
          <w:sz w:val="22"/>
          <w:szCs w:val="22"/>
        </w:rPr>
        <w:tab/>
        <w:t>A.</w:t>
      </w:r>
      <w:r>
        <w:rPr>
          <w:rFonts w:asciiTheme="minorHAnsi" w:hAnsiTheme="minorHAnsi"/>
          <w:b/>
          <w:sz w:val="22"/>
          <w:szCs w:val="22"/>
        </w:rPr>
        <w:t xml:space="preserve"> </w:t>
      </w:r>
      <w:r w:rsidR="00340B66">
        <w:rPr>
          <w:rFonts w:asciiTheme="minorHAnsi" w:hAnsiTheme="minorHAnsi"/>
          <w:b/>
          <w:sz w:val="22"/>
          <w:szCs w:val="22"/>
        </w:rPr>
        <w:tab/>
      </w:r>
      <w:r w:rsidR="00BD44BB" w:rsidRPr="00BD44BB">
        <w:rPr>
          <w:rFonts w:asciiTheme="minorHAnsi" w:hAnsiTheme="minorHAnsi"/>
          <w:sz w:val="22"/>
          <w:szCs w:val="22"/>
        </w:rPr>
        <w:t>Of primary import</w:t>
      </w:r>
      <w:r w:rsidR="00340B66">
        <w:rPr>
          <w:rFonts w:asciiTheme="minorHAnsi" w:hAnsiTheme="minorHAnsi"/>
          <w:sz w:val="22"/>
          <w:szCs w:val="22"/>
        </w:rPr>
        <w:t>ance is the need to change the</w:t>
      </w:r>
      <w:r w:rsidR="00BD44BB" w:rsidRPr="00BD44BB">
        <w:rPr>
          <w:rFonts w:asciiTheme="minorHAnsi" w:hAnsiTheme="minorHAnsi"/>
          <w:sz w:val="22"/>
          <w:szCs w:val="22"/>
        </w:rPr>
        <w:t xml:space="preserve"> budget and assessment process to ensure </w:t>
      </w:r>
      <w:r w:rsidR="00340B66">
        <w:rPr>
          <w:rFonts w:asciiTheme="minorHAnsi" w:hAnsiTheme="minorHAnsi"/>
          <w:sz w:val="22"/>
          <w:szCs w:val="22"/>
        </w:rPr>
        <w:t>that the district has</w:t>
      </w:r>
      <w:r w:rsidR="00BD44BB" w:rsidRPr="00BD44BB">
        <w:rPr>
          <w:rFonts w:asciiTheme="minorHAnsi" w:hAnsiTheme="minorHAnsi"/>
          <w:sz w:val="22"/>
          <w:szCs w:val="22"/>
        </w:rPr>
        <w:t xml:space="preserve"> one regional budget as required by </w:t>
      </w:r>
      <w:r w:rsidR="00660E43">
        <w:rPr>
          <w:rFonts w:asciiTheme="minorHAnsi" w:hAnsiTheme="minorHAnsi"/>
          <w:sz w:val="22"/>
          <w:szCs w:val="22"/>
        </w:rPr>
        <w:t xml:space="preserve">Massachusetts General Laws, </w:t>
      </w:r>
      <w:r w:rsidR="00BD44BB" w:rsidRPr="00BD44BB">
        <w:rPr>
          <w:rFonts w:asciiTheme="minorHAnsi" w:hAnsiTheme="minorHAnsi"/>
          <w:sz w:val="22"/>
          <w:szCs w:val="22"/>
        </w:rPr>
        <w:t>Chapter 71, Section 16B, rather than three budgets</w:t>
      </w:r>
      <w:r>
        <w:rPr>
          <w:rFonts w:asciiTheme="minorHAnsi" w:hAnsiTheme="minorHAnsi"/>
          <w:sz w:val="22"/>
          <w:szCs w:val="22"/>
        </w:rPr>
        <w:t>.</w:t>
      </w:r>
    </w:p>
    <w:p w:rsidR="00BD44BB" w:rsidRDefault="00D706FD" w:rsidP="00BD44BB">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b/>
        </w:rPr>
        <w:t>B</w:t>
      </w:r>
      <w:r w:rsidRPr="00C959AA">
        <w:rPr>
          <w:rFonts w:eastAsia="Times New Roman" w:cs="Times New Roman"/>
          <w:b/>
        </w:rPr>
        <w:t xml:space="preserve">enefits: </w:t>
      </w:r>
      <w:r w:rsidRPr="00190DBB">
        <w:t xml:space="preserve">Implementing this recommendation will </w:t>
      </w:r>
      <w:r>
        <w:t xml:space="preserve">provide the school district with a </w:t>
      </w:r>
      <w:r w:rsidR="00340B66">
        <w:t>foundation</w:t>
      </w:r>
      <w:r>
        <w:t xml:space="preserve"> for allocating resources equitably throughout the district.</w:t>
      </w:r>
    </w:p>
    <w:p w:rsidR="00070394" w:rsidRPr="00190DBB" w:rsidRDefault="00162250" w:rsidP="00070394">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070394" w:rsidRPr="00190DBB">
        <w:rPr>
          <w:rFonts w:eastAsia="Times New Roman" w:cs="Times New Roman"/>
          <w:b/>
        </w:rPr>
        <w:t>.</w:t>
      </w:r>
      <w:r w:rsidR="00070394" w:rsidRPr="00190DBB">
        <w:rPr>
          <w:rFonts w:eastAsia="Times New Roman" w:cs="Times New Roman"/>
          <w:b/>
        </w:rPr>
        <w:tab/>
      </w:r>
      <w:r w:rsidR="00070394" w:rsidRPr="00190DBB">
        <w:rPr>
          <w:b/>
        </w:rPr>
        <w:t>The dis</w:t>
      </w:r>
      <w:r w:rsidR="00412654">
        <w:rPr>
          <w:b/>
        </w:rPr>
        <w:t xml:space="preserve">trict should </w:t>
      </w:r>
      <w:r w:rsidR="00070394" w:rsidRPr="00190DBB">
        <w:rPr>
          <w:b/>
        </w:rPr>
        <w:t xml:space="preserve">develop a capital facilities master </w:t>
      </w:r>
      <w:r w:rsidR="00AE2DFB" w:rsidRPr="00190DBB">
        <w:rPr>
          <w:b/>
        </w:rPr>
        <w:t>plan</w:t>
      </w:r>
      <w:r w:rsidR="00070394" w:rsidRPr="00190DBB">
        <w:rPr>
          <w:b/>
        </w:rPr>
        <w:t xml:space="preserve"> and it should consider documenting preventive maintenance requirements for district buildings and infrastructure. </w:t>
      </w:r>
      <w:r w:rsidR="00070394" w:rsidRPr="00190DBB">
        <w:rPr>
          <w:b/>
        </w:rPr>
        <w:tab/>
      </w:r>
    </w:p>
    <w:p w:rsidR="00070394" w:rsidRPr="00190DBB" w:rsidRDefault="00070394" w:rsidP="00070394">
      <w:pPr>
        <w:pStyle w:val="ListParagraph"/>
        <w:numPr>
          <w:ilvl w:val="0"/>
          <w:numId w:val="14"/>
        </w:numPr>
        <w:tabs>
          <w:tab w:val="left" w:pos="360"/>
          <w:tab w:val="left" w:pos="720"/>
          <w:tab w:val="left" w:pos="1080"/>
          <w:tab w:val="left" w:pos="1440"/>
          <w:tab w:val="left" w:pos="1800"/>
          <w:tab w:val="left" w:pos="2160"/>
        </w:tabs>
        <w:ind w:left="720"/>
        <w:contextualSpacing w:val="0"/>
      </w:pPr>
      <w:r w:rsidRPr="00190DBB">
        <w:t xml:space="preserve">The district should base the capital plan on previous and ongoing reviews of all school building needs.  The plan should include financial estimates of the costs involved, priorities for recommended renovations and major repairs, and a reasonable schedule for them. </w:t>
      </w:r>
    </w:p>
    <w:p w:rsidR="00070394" w:rsidRDefault="00070394" w:rsidP="00070394">
      <w:pPr>
        <w:pStyle w:val="ListParagraph"/>
        <w:numPr>
          <w:ilvl w:val="6"/>
          <w:numId w:val="13"/>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rsidRPr="00190DBB">
        <w:t>The proposed renovations for the high school should be among those considered</w:t>
      </w:r>
      <w:r>
        <w:t xml:space="preserve"> as well as the technology infrastructure and any needed service contracts.</w:t>
      </w:r>
    </w:p>
    <w:p w:rsidR="00070394" w:rsidRPr="00190DBB" w:rsidRDefault="00070394" w:rsidP="003C2825">
      <w:pPr>
        <w:pStyle w:val="ListParagraph"/>
        <w:tabs>
          <w:tab w:val="left" w:pos="0"/>
          <w:tab w:val="left" w:pos="360"/>
          <w:tab w:val="left" w:pos="720"/>
          <w:tab w:val="left" w:pos="1800"/>
          <w:tab w:val="left" w:pos="2160"/>
        </w:tabs>
        <w:ind w:hanging="360"/>
      </w:pPr>
      <w:r>
        <w:rPr>
          <w:b/>
        </w:rPr>
        <w:t>B.</w:t>
      </w:r>
      <w:r w:rsidR="003C2825">
        <w:t xml:space="preserve">   </w:t>
      </w:r>
      <w:r w:rsidR="00443DFD">
        <w:t>T</w:t>
      </w:r>
      <w:r>
        <w:t>he district should consider implementing a facilities condition assessment</w:t>
      </w:r>
      <w:r w:rsidR="00443DFD">
        <w:t>.</w:t>
      </w:r>
    </w:p>
    <w:p w:rsidR="00BD44BB" w:rsidRDefault="003C2825" w:rsidP="00BD44BB">
      <w:pPr>
        <w:rPr>
          <w:b/>
        </w:rPr>
      </w:pPr>
      <w:r>
        <w:rPr>
          <w:rFonts w:eastAsia="Times New Roman" w:cs="Times New Roman"/>
          <w:b/>
        </w:rPr>
        <w:t>B</w:t>
      </w:r>
      <w:r w:rsidRPr="00C959AA">
        <w:rPr>
          <w:rFonts w:eastAsia="Times New Roman" w:cs="Times New Roman"/>
          <w:b/>
        </w:rPr>
        <w:t xml:space="preserve">enefits: </w:t>
      </w:r>
      <w:r w:rsidRPr="00C959AA">
        <w:rPr>
          <w:rFonts w:eastAsia="Times New Roman" w:cs="Times New Roman"/>
        </w:rPr>
        <w:t xml:space="preserve"> </w:t>
      </w:r>
      <w:r w:rsidR="00443DFD">
        <w:t>By i</w:t>
      </w:r>
      <w:r w:rsidR="00070394" w:rsidRPr="00190DBB">
        <w:t>mplementing this recommendation</w:t>
      </w:r>
      <w:r w:rsidR="00443DFD">
        <w:t>, the district will establish</w:t>
      </w:r>
      <w:r w:rsidR="00070394" w:rsidRPr="00190DBB">
        <w:t xml:space="preserve"> sound planning practices that will ensure that clean, safe, appropriate, and adequate</w:t>
      </w:r>
      <w:r w:rsidR="00070394" w:rsidRPr="00190DBB" w:rsidDel="001E4B5A">
        <w:t xml:space="preserve"> </w:t>
      </w:r>
      <w:r w:rsidR="00070394" w:rsidRPr="00190DBB">
        <w:t xml:space="preserve">learning environments are available to all </w:t>
      </w:r>
      <w:r w:rsidR="008E7F5D" w:rsidRPr="00190DBB">
        <w:t>Dighton Rehoboth</w:t>
      </w:r>
      <w:r w:rsidR="00070394" w:rsidRPr="00190DBB">
        <w:t xml:space="preserve"> students and staff.</w:t>
      </w:r>
    </w:p>
    <w:p w:rsidR="00070394" w:rsidRPr="00190DBB" w:rsidRDefault="00070394" w:rsidP="00070394">
      <w:pPr>
        <w:tabs>
          <w:tab w:val="left" w:pos="360"/>
          <w:tab w:val="left" w:pos="720"/>
          <w:tab w:val="left" w:pos="1080"/>
          <w:tab w:val="left" w:pos="1800"/>
          <w:tab w:val="left" w:pos="2160"/>
        </w:tabs>
        <w:rPr>
          <w:b/>
        </w:rPr>
      </w:pPr>
      <w:r w:rsidRPr="00190DBB">
        <w:rPr>
          <w:b/>
        </w:rPr>
        <w:t>Recommended resources:</w:t>
      </w:r>
    </w:p>
    <w:p w:rsidR="00070394" w:rsidRPr="00190DBB" w:rsidRDefault="00070394" w:rsidP="00070394">
      <w:pPr>
        <w:pStyle w:val="ListParagraph"/>
        <w:numPr>
          <w:ilvl w:val="0"/>
          <w:numId w:val="7"/>
        </w:numPr>
        <w:tabs>
          <w:tab w:val="left" w:pos="360"/>
          <w:tab w:val="left" w:pos="720"/>
          <w:tab w:val="left" w:pos="1080"/>
          <w:tab w:val="left" w:pos="1440"/>
          <w:tab w:val="left" w:pos="1800"/>
          <w:tab w:val="left" w:pos="2160"/>
        </w:tabs>
        <w:ind w:left="360"/>
        <w:contextualSpacing w:val="0"/>
      </w:pPr>
      <w:r w:rsidRPr="00190DBB">
        <w:rPr>
          <w:rFonts w:cs="Calibri"/>
        </w:rPr>
        <w:t xml:space="preserve">ESE’s </w:t>
      </w:r>
      <w:r w:rsidRPr="00190DBB">
        <w:rPr>
          <w:rFonts w:cs="Calibri"/>
          <w:i/>
        </w:rPr>
        <w:t>School Building Issues</w:t>
      </w:r>
      <w:r w:rsidRPr="00190DBB">
        <w:rPr>
          <w:rFonts w:cs="Calibri"/>
        </w:rPr>
        <w:t xml:space="preserve"> web page (</w:t>
      </w:r>
      <w:hyperlink r:id="rId21" w:history="1">
        <w:r w:rsidRPr="00190DBB">
          <w:rPr>
            <w:rStyle w:val="Hyperlink"/>
            <w:rFonts w:cs="Calibri"/>
          </w:rPr>
          <w:t>http://www.doe.mass.edu/finance/sbuilding/</w:t>
        </w:r>
      </w:hyperlink>
      <w:r w:rsidRPr="00190DBB">
        <w:rPr>
          <w:rFonts w:cs="Calibri"/>
        </w:rPr>
        <w:t>) includes funding opportunities, guidelines, and resources related to school buildings.</w:t>
      </w:r>
    </w:p>
    <w:p w:rsidR="00070394" w:rsidRPr="00190DBB" w:rsidRDefault="00070394" w:rsidP="00070394">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190DBB">
        <w:rPr>
          <w:rFonts w:asciiTheme="minorHAnsi" w:hAnsiTheme="minorHAnsi"/>
          <w:bCs/>
          <w:i/>
          <w:sz w:val="22"/>
          <w:szCs w:val="22"/>
        </w:rPr>
        <w:t xml:space="preserve">Planning Guide for Maintaining School Facilities </w:t>
      </w:r>
      <w:r w:rsidRPr="00190DBB">
        <w:rPr>
          <w:rFonts w:asciiTheme="minorHAnsi" w:hAnsiTheme="minorHAnsi"/>
          <w:bCs/>
          <w:sz w:val="22"/>
          <w:szCs w:val="22"/>
        </w:rPr>
        <w:t>(</w:t>
      </w:r>
      <w:hyperlink r:id="rId22" w:history="1">
        <w:r w:rsidRPr="00190DBB">
          <w:rPr>
            <w:rStyle w:val="Hyperlink"/>
            <w:rFonts w:asciiTheme="minorHAnsi" w:hAnsiTheme="minorHAnsi"/>
            <w:sz w:val="22"/>
            <w:szCs w:val="22"/>
          </w:rPr>
          <w:t>http://nces.ed.gov/pubsearch/pubsinfo.asp?pubid=2003347</w:t>
        </w:r>
      </w:hyperlink>
      <w:r w:rsidRPr="00190DBB">
        <w:rPr>
          <w:rFonts w:asciiTheme="minorHAnsi" w:hAnsiTheme="minorHAnsi"/>
          <w:sz w:val="22"/>
          <w:szCs w:val="22"/>
        </w:rPr>
        <w:t xml:space="preserve">), from the National Center for Education Statistics, is intended to help school districts plan for efficient and effective operations. It </w:t>
      </w:r>
      <w:r w:rsidRPr="00190DBB">
        <w:rPr>
          <w:rFonts w:asciiTheme="minorHAnsi" w:hAnsiTheme="minorHAnsi"/>
          <w:sz w:val="22"/>
          <w:szCs w:val="22"/>
        </w:rPr>
        <w:lastRenderedPageBreak/>
        <w:t xml:space="preserve">addresses various topics, including conducting a facilities audit, planning and evaluating maintenance, and managing staff and contractors. </w:t>
      </w:r>
    </w:p>
    <w:p w:rsidR="00070394" w:rsidRPr="00190DBB" w:rsidRDefault="00070394" w:rsidP="00070394">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190DBB">
        <w:rPr>
          <w:rFonts w:asciiTheme="minorHAnsi" w:hAnsiTheme="minorHAnsi"/>
          <w:bCs/>
          <w:i/>
          <w:sz w:val="22"/>
          <w:szCs w:val="22"/>
        </w:rPr>
        <w:t>The Massachusetts School Checklist</w:t>
      </w:r>
      <w:r w:rsidRPr="00190DBB">
        <w:rPr>
          <w:rFonts w:asciiTheme="minorHAnsi" w:hAnsiTheme="minorHAnsi"/>
          <w:bCs/>
          <w:sz w:val="22"/>
          <w:szCs w:val="22"/>
        </w:rPr>
        <w:t xml:space="preserve"> (</w:t>
      </w:r>
      <w:hyperlink r:id="rId23" w:history="1">
        <w:r w:rsidRPr="00190DBB">
          <w:rPr>
            <w:rStyle w:val="Hyperlink"/>
            <w:rFonts w:asciiTheme="minorHAnsi" w:eastAsiaTheme="minorHAnsi" w:hAnsiTheme="minorHAnsi"/>
            <w:sz w:val="22"/>
            <w:szCs w:val="22"/>
          </w:rPr>
          <w:t>http://www.mass.gov/eohhs/gov/departments/dph/programs/environmental-health/exposure-topics/iaq/iaq-methods/the-mass-school-checklist.html</w:t>
        </w:r>
      </w:hyperlink>
      <w:r w:rsidRPr="00190DBB">
        <w:rPr>
          <w:rFonts w:asciiTheme="minorHAnsi" w:hAnsiTheme="minorHAnsi"/>
          <w:bCs/>
          <w:sz w:val="22"/>
          <w:szCs w:val="22"/>
        </w:rPr>
        <w:t>) is a list of the most important environmental health and safety issues for schools to address.</w:t>
      </w:r>
      <w:r w:rsidRPr="00190DBB" w:rsidDel="005807E2">
        <w:rPr>
          <w:rFonts w:asciiTheme="minorHAnsi" w:hAnsiTheme="minorHAnsi"/>
          <w:bCs/>
          <w:sz w:val="22"/>
          <w:szCs w:val="22"/>
        </w:rPr>
        <w:t xml:space="preserve"> </w:t>
      </w:r>
      <w:r w:rsidRPr="00190DBB">
        <w:rPr>
          <w:rFonts w:asciiTheme="minorHAnsi" w:hAnsiTheme="minorHAnsi"/>
          <w:bCs/>
          <w:sz w:val="22"/>
          <w:szCs w:val="22"/>
        </w:rPr>
        <w:t>It includes regulations and industry standards/guidelines related to elements on the checklist, as well as additional resources.</w:t>
      </w:r>
    </w:p>
    <w:p w:rsidR="00070394" w:rsidRDefault="00070394" w:rsidP="00070394">
      <w:pPr>
        <w:pStyle w:val="NormalWeb"/>
        <w:numPr>
          <w:ilvl w:val="0"/>
          <w:numId w:val="12"/>
        </w:numPr>
        <w:tabs>
          <w:tab w:val="clear" w:pos="216"/>
          <w:tab w:val="num" w:pos="360"/>
          <w:tab w:val="num" w:pos="480"/>
        </w:tabs>
        <w:spacing w:after="200" w:line="276" w:lineRule="auto"/>
        <w:ind w:left="360"/>
        <w:rPr>
          <w:rFonts w:asciiTheme="minorHAnsi" w:hAnsiTheme="minorHAnsi" w:cs="Calibri"/>
          <w:sz w:val="22"/>
          <w:szCs w:val="22"/>
        </w:rPr>
      </w:pPr>
      <w:r w:rsidRPr="00190DBB">
        <w:rPr>
          <w:rFonts w:asciiTheme="minorHAnsi" w:hAnsiTheme="minorHAnsi"/>
          <w:sz w:val="22"/>
          <w:szCs w:val="22"/>
        </w:rPr>
        <w:t>MassEnergyInsight (</w:t>
      </w:r>
      <w:hyperlink r:id="rId24" w:history="1">
        <w:r w:rsidRPr="00190DBB">
          <w:rPr>
            <w:rStyle w:val="Hyperlink"/>
            <w:rFonts w:asciiTheme="minorHAnsi" w:eastAsiaTheme="minorHAnsi" w:hAnsiTheme="minorHAnsi"/>
            <w:sz w:val="22"/>
          </w:rPr>
          <w:t>https://www.massenergyinsight.net/home</w:t>
        </w:r>
      </w:hyperlink>
      <w:r w:rsidRPr="00190DBB">
        <w:rPr>
          <w:rFonts w:asciiTheme="minorHAnsi" w:hAnsiTheme="minorHAnsi"/>
          <w:sz w:val="22"/>
          <w:szCs w:val="22"/>
        </w:rPr>
        <w:t>) is a free, web-based tool made available by the Massachusetts</w:t>
      </w:r>
      <w:r w:rsidRPr="00190DBB">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190DBB">
        <w:rPr>
          <w:rFonts w:asciiTheme="minorHAnsi" w:hAnsiTheme="minorHAnsi" w:cs="Calibri"/>
          <w:sz w:val="22"/>
          <w:szCs w:val="22"/>
        </w:rPr>
        <w:t xml:space="preserve"> </w:t>
      </w:r>
    </w:p>
    <w:p w:rsidR="00C24AA8" w:rsidRPr="00221181" w:rsidRDefault="00BD44BB" w:rsidP="00C24AA8">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BD44BB">
        <w:rPr>
          <w:rFonts w:asciiTheme="minorHAnsi" w:hAnsiTheme="minorHAns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BD44BB">
        <w:rPr>
          <w:rFonts w:asciiTheme="minorHAnsi" w:hAnsiTheme="minorHAnsi"/>
          <w:i/>
          <w:sz w:val="22"/>
          <w:szCs w:val="22"/>
        </w:rPr>
        <w:t xml:space="preserve">Green Ribbon Schools Award Resource Guide </w:t>
      </w:r>
      <w:r w:rsidRPr="00BD44BB">
        <w:rPr>
          <w:rFonts w:asciiTheme="minorHAnsi" w:hAnsiTheme="minorHAnsi"/>
          <w:sz w:val="22"/>
          <w:szCs w:val="22"/>
        </w:rPr>
        <w:t>(</w:t>
      </w:r>
      <w:hyperlink r:id="rId25" w:history="1">
        <w:r w:rsidRPr="00BD44BB">
          <w:rPr>
            <w:rStyle w:val="Hyperlink"/>
            <w:rFonts w:asciiTheme="minorHAnsi" w:eastAsiaTheme="minorHAnsi" w:hAnsiTheme="minorHAnsi"/>
            <w:sz w:val="22"/>
            <w:szCs w:val="22"/>
          </w:rPr>
          <w:t>http://www.doe.mass.edu/finance/sbuilding/GreenRibbon/ResourcesGuide.pdf</w:t>
        </w:r>
      </w:hyperlink>
      <w:r w:rsidRPr="00BD44BB">
        <w:rPr>
          <w:rFonts w:asciiTheme="minorHAnsi" w:hAnsiTheme="minorHAnsi"/>
          <w:sz w:val="22"/>
          <w:szCs w:val="22"/>
        </w:rPr>
        <w:t xml:space="preserve">) and the US Department of Education’s </w:t>
      </w:r>
      <w:r w:rsidRPr="00BD44BB">
        <w:rPr>
          <w:rFonts w:asciiTheme="minorHAnsi" w:hAnsiTheme="minorHAnsi"/>
          <w:i/>
          <w:sz w:val="22"/>
          <w:szCs w:val="22"/>
        </w:rPr>
        <w:t>Green Strides</w:t>
      </w:r>
      <w:r w:rsidRPr="00BD44BB">
        <w:rPr>
          <w:rFonts w:asciiTheme="minorHAnsi" w:hAnsiTheme="minorHAnsi"/>
          <w:sz w:val="22"/>
          <w:szCs w:val="22"/>
        </w:rPr>
        <w:t xml:space="preserve"> resource list (</w:t>
      </w:r>
      <w:hyperlink r:id="rId26" w:history="1">
        <w:r w:rsidRPr="00BD44BB">
          <w:rPr>
            <w:rStyle w:val="Hyperlink"/>
            <w:rFonts w:asciiTheme="minorHAnsi" w:eastAsiaTheme="minorHAnsi" w:hAnsiTheme="minorHAnsi"/>
            <w:sz w:val="22"/>
            <w:szCs w:val="22"/>
          </w:rPr>
          <w:t>http://www2.ed.gov/about/inits/ed/green-strides/resources.html</w:t>
        </w:r>
      </w:hyperlink>
      <w:r w:rsidRPr="00BD44BB">
        <w:rPr>
          <w:rFonts w:asciiTheme="minorHAnsi" w:hAnsiTheme="minorHAnsi"/>
          <w:sz w:val="22"/>
          <w:szCs w:val="22"/>
        </w:rPr>
        <w:t>).</w:t>
      </w:r>
    </w:p>
    <w:p w:rsidR="00070394" w:rsidRDefault="00070394" w:rsidP="002E153B">
      <w:pPr>
        <w:pStyle w:val="Subsection"/>
        <w:tabs>
          <w:tab w:val="left" w:pos="360"/>
          <w:tab w:val="left" w:pos="720"/>
          <w:tab w:val="left" w:pos="1080"/>
          <w:tab w:val="left" w:pos="1440"/>
          <w:tab w:val="left" w:pos="1800"/>
          <w:tab w:val="left" w:pos="2160"/>
          <w:tab w:val="left" w:pos="2520"/>
          <w:tab w:val="left" w:pos="2880"/>
        </w:tabs>
        <w:spacing w:before="0"/>
      </w:pPr>
    </w:p>
    <w:p w:rsidR="002E153B" w:rsidRPr="006E1E6A" w:rsidRDefault="002E153B" w:rsidP="002E153B">
      <w:pPr>
        <w:tabs>
          <w:tab w:val="left" w:pos="360"/>
          <w:tab w:val="left" w:pos="720"/>
          <w:tab w:val="left" w:pos="1080"/>
          <w:tab w:val="left" w:pos="1440"/>
          <w:tab w:val="left" w:pos="1800"/>
          <w:tab w:val="left" w:pos="2160"/>
          <w:tab w:val="left" w:pos="2520"/>
          <w:tab w:val="left" w:pos="2880"/>
        </w:tabs>
        <w:ind w:left="360" w:hanging="360"/>
        <w:rPr>
          <w:rFonts w:ascii="Calibri" w:hAnsi="Calibri"/>
        </w:rPr>
      </w:pPr>
      <w:r>
        <w:rPr>
          <w:b/>
          <w:szCs w:val="28"/>
        </w:rPr>
        <w:tab/>
      </w:r>
    </w:p>
    <w:p w:rsidR="008E314D" w:rsidRDefault="008E314D" w:rsidP="002A36F3">
      <w:pPr>
        <w:pStyle w:val="Section"/>
      </w:pPr>
      <w:bookmarkStart w:id="14" w:name="_Toc273777167"/>
      <w:bookmarkStart w:id="15" w:name="_Toc277066425"/>
      <w:bookmarkStart w:id="16" w:name="_Toc337817149"/>
      <w:bookmarkStart w:id="17" w:name="_Toc484613526"/>
      <w:r w:rsidRPr="00C7256A">
        <w:lastRenderedPageBreak/>
        <w:t xml:space="preserve">Appendix A: Review </w:t>
      </w:r>
      <w:bookmarkEnd w:id="14"/>
      <w:bookmarkEnd w:id="15"/>
      <w:bookmarkEnd w:id="16"/>
      <w:r w:rsidRPr="00C7256A">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2212E1"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DD1279">
        <w:t>January 17</w:t>
      </w:r>
      <w:r w:rsidR="006F417F">
        <w:t>–</w:t>
      </w:r>
      <w:r w:rsidR="00DD1279">
        <w:t>19, 2017</w:t>
      </w:r>
      <w:r w:rsidR="006F417F">
        <w:t>,</w:t>
      </w:r>
      <w:r w:rsidR="00DD1279">
        <w:t xml:space="preserve"> </w:t>
      </w:r>
      <w:r w:rsidRPr="00E06B74">
        <w:t xml:space="preserve">by the following team of independent </w:t>
      </w:r>
      <w:r>
        <w:t xml:space="preserve">ESE </w:t>
      </w:r>
      <w:r w:rsidR="002212E1">
        <w:t>consultants.</w:t>
      </w:r>
    </w:p>
    <w:p w:rsidR="008E314D" w:rsidRDefault="002212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James A. Caradonio</w:t>
      </w:r>
      <w:r w:rsidR="008E314D" w:rsidRPr="00097A69">
        <w:rPr>
          <w:rFonts w:ascii="Calibri" w:hAnsi="Calibri"/>
        </w:rPr>
        <w:t xml:space="preserve">, </w:t>
      </w:r>
      <w:r>
        <w:rPr>
          <w:rFonts w:ascii="Calibri" w:hAnsi="Calibri"/>
        </w:rPr>
        <w:t>Leadership and Governance</w:t>
      </w:r>
      <w:r w:rsidR="008E314D" w:rsidRPr="00097A69">
        <w:rPr>
          <w:rFonts w:ascii="Calibri" w:hAnsi="Calibri"/>
        </w:rPr>
        <w:t xml:space="preserve"> </w:t>
      </w:r>
    </w:p>
    <w:p w:rsidR="008E314D" w:rsidRDefault="006025A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L. Hearns</w:t>
      </w:r>
      <w:r w:rsidR="008E314D" w:rsidRPr="00097A69">
        <w:rPr>
          <w:rFonts w:ascii="Calibri" w:hAnsi="Calibri"/>
        </w:rPr>
        <w:t xml:space="preserve">, </w:t>
      </w:r>
      <w:r w:rsidR="002212E1">
        <w:rPr>
          <w:rFonts w:ascii="Calibri" w:hAnsi="Calibri"/>
        </w:rPr>
        <w:t>Human Resources</w:t>
      </w:r>
      <w:r w:rsidR="006F417F">
        <w:rPr>
          <w:rFonts w:ascii="Calibri" w:hAnsi="Calibri"/>
        </w:rPr>
        <w:t xml:space="preserve">, </w:t>
      </w:r>
      <w:r w:rsidR="00BD44BB" w:rsidRPr="00BD44BB">
        <w:rPr>
          <w:rFonts w:ascii="Calibri" w:hAnsi="Calibri"/>
          <w:i/>
        </w:rPr>
        <w:t>review team coordinator</w:t>
      </w:r>
    </w:p>
    <w:p w:rsidR="008E314D" w:rsidRDefault="002212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Coral Grout</w:t>
      </w:r>
      <w:r w:rsidR="008E314D" w:rsidRPr="00097A69">
        <w:rPr>
          <w:rFonts w:ascii="Calibri" w:hAnsi="Calibri"/>
        </w:rPr>
        <w:t xml:space="preserve">, </w:t>
      </w:r>
      <w:r>
        <w:rPr>
          <w:rFonts w:ascii="Calibri" w:hAnsi="Calibri"/>
        </w:rPr>
        <w:t>Instruction</w:t>
      </w:r>
    </w:p>
    <w:p w:rsidR="002212E1" w:rsidRDefault="002212E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 Professional Development</w:t>
      </w:r>
    </w:p>
    <w:p w:rsidR="002212E1" w:rsidRPr="00FE4EF6" w:rsidRDefault="002212E1" w:rsidP="002212E1">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Crafton, Financial and Asset Management</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C24114" w:rsidRPr="002212E1"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944F6F">
        <w:t xml:space="preserve">the </w:t>
      </w:r>
      <w:r w:rsidR="008D47F2">
        <w:t xml:space="preserve">business administrator and </w:t>
      </w:r>
      <w:r w:rsidR="00944F6F">
        <w:t xml:space="preserve">the </w:t>
      </w:r>
      <w:r w:rsidR="005E5827">
        <w:t>financial analyst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944F6F">
        <w:t xml:space="preserve">the </w:t>
      </w:r>
      <w:r w:rsidR="00C26DA2">
        <w:t xml:space="preserve">vice-chair, </w:t>
      </w:r>
      <w:r w:rsidR="00944F6F">
        <w:t xml:space="preserve">the </w:t>
      </w:r>
      <w:r w:rsidR="00C26DA2">
        <w:t>secretary, and three additional members.  Three school committee members were from Rehoboth and two from Dighton.</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0011766E">
        <w:t xml:space="preserve">of the teachers’ association: </w:t>
      </w:r>
      <w:r w:rsidR="00944F6F">
        <w:t xml:space="preserve">the </w:t>
      </w:r>
      <w:r w:rsidR="00361CA9">
        <w:t>co-president,</w:t>
      </w:r>
      <w:r w:rsidR="00944F6F">
        <w:t xml:space="preserve"> the </w:t>
      </w:r>
      <w:r w:rsidR="00361CA9">
        <w:t>vice-president, and two 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w:t>
      </w:r>
      <w:r w:rsidR="00361CA9">
        <w:t xml:space="preserve"> </w:t>
      </w:r>
      <w:r w:rsidR="00944F6F">
        <w:t xml:space="preserve">the </w:t>
      </w:r>
      <w:r w:rsidR="00361CA9">
        <w:t>superintendent</w:t>
      </w:r>
      <w:r w:rsidR="00944F6F">
        <w:t>;</w:t>
      </w:r>
      <w:r w:rsidR="00361CA9">
        <w:t xml:space="preserve"> </w:t>
      </w:r>
      <w:r w:rsidR="00944F6F">
        <w:t>the assistant superintendent; the director of career and technical education; the interim director of special education; the technology and network manager; the director of buildings, grounds, and operations; the business administrator; the treasurer; and the financial analyst</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F1393">
        <w:t>Palmer River</w:t>
      </w:r>
      <w:r w:rsidRPr="00097A69">
        <w:t xml:space="preserve"> (</w:t>
      </w:r>
      <w:r w:rsidR="008F1393">
        <w:t>K</w:t>
      </w:r>
      <w:r w:rsidR="00944F6F">
        <w:t>–</w:t>
      </w:r>
      <w:r w:rsidR="008F1393">
        <w:t>4</w:t>
      </w:r>
      <w:r w:rsidRPr="00097A69">
        <w:t xml:space="preserve">), </w:t>
      </w:r>
      <w:r w:rsidR="008F1393">
        <w:t xml:space="preserve">Dighton Elementary School </w:t>
      </w:r>
      <w:r w:rsidRPr="00097A69">
        <w:t>(</w:t>
      </w:r>
      <w:r w:rsidR="008F1393">
        <w:t>K</w:t>
      </w:r>
      <w:r w:rsidR="00944F6F">
        <w:t>–</w:t>
      </w:r>
      <w:r w:rsidR="008F1393">
        <w:t>4</w:t>
      </w:r>
      <w:r w:rsidRPr="00097A69">
        <w:t xml:space="preserve">), </w:t>
      </w:r>
      <w:r w:rsidR="008F1393">
        <w:t>Dorothy L. Beckwith</w:t>
      </w:r>
      <w:r w:rsidRPr="00097A69">
        <w:t xml:space="preserve"> (grades </w:t>
      </w:r>
      <w:r w:rsidR="008F1393">
        <w:t>5</w:t>
      </w:r>
      <w:r w:rsidR="00944F6F">
        <w:t>–</w:t>
      </w:r>
      <w:r w:rsidR="008F1393">
        <w:t>8</w:t>
      </w:r>
      <w:r w:rsidRPr="00097A69">
        <w:t>),</w:t>
      </w:r>
      <w:r>
        <w:t xml:space="preserve"> and</w:t>
      </w:r>
      <w:r w:rsidR="00854C29">
        <w:t xml:space="preserve"> </w:t>
      </w:r>
      <w:r w:rsidR="008F1393">
        <w:t>Dighton Middle School (grades 5</w:t>
      </w:r>
      <w:r w:rsidR="00944F6F">
        <w:t>–</w:t>
      </w:r>
      <w:r w:rsidR="008F1393">
        <w:t>8</w:t>
      </w:r>
      <w:r w:rsidR="00944F6F" w:rsidRPr="008F1393">
        <w:t>)</w:t>
      </w:r>
      <w:r w:rsidR="00944F6F">
        <w:t xml:space="preserve">, </w:t>
      </w:r>
      <w:r w:rsidR="008F1393">
        <w:t xml:space="preserve">and Dighton-Rehoboth Regional High School (Pre-K, </w:t>
      </w:r>
      <w:r w:rsidR="00944F6F">
        <w:t xml:space="preserve">grades </w:t>
      </w:r>
      <w:r w:rsidR="008F1393">
        <w:t>9</w:t>
      </w:r>
      <w:r w:rsidR="00944F6F">
        <w:t>–</w:t>
      </w:r>
      <w:r w:rsidR="008F1393">
        <w:t>12)</w:t>
      </w:r>
      <w:r w:rsidR="0057528D">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w:t>
      </w:r>
      <w:r w:rsidR="008F1393">
        <w:t xml:space="preserve"> team conducted </w:t>
      </w:r>
      <w:r w:rsidRPr="00097A69">
        <w:t xml:space="preserve">focus groups with </w:t>
      </w:r>
      <w:r w:rsidR="008D47F2">
        <w:t>8</w:t>
      </w:r>
      <w:r w:rsidRPr="00097A69">
        <w:t xml:space="preserve"> </w:t>
      </w:r>
      <w:r w:rsidR="00511CC6" w:rsidRPr="00097A69">
        <w:t>elementary</w:t>
      </w:r>
      <w:r w:rsidR="00511CC6">
        <w:t>-</w:t>
      </w:r>
      <w:r w:rsidRPr="00097A69">
        <w:t xml:space="preserve">school teachers, </w:t>
      </w:r>
      <w:r w:rsidR="008D47F2">
        <w:t>5</w:t>
      </w:r>
      <w:r w:rsidRPr="00097A69">
        <w:t xml:space="preserve"> </w:t>
      </w:r>
      <w:r w:rsidR="00511CC6" w:rsidRPr="00097A69">
        <w:t>middle</w:t>
      </w:r>
      <w:r w:rsidR="00511CC6">
        <w:t>-</w:t>
      </w:r>
      <w:r w:rsidRPr="00097A69">
        <w:t xml:space="preserve">school teachers, and </w:t>
      </w:r>
      <w:r w:rsidR="008F1393">
        <w:t xml:space="preserve">1 </w:t>
      </w:r>
      <w:r w:rsidR="00511CC6" w:rsidRPr="00097A69">
        <w:t>high</w:t>
      </w:r>
      <w:r w:rsidR="00511CC6">
        <w:t>-</w:t>
      </w:r>
      <w:r w:rsidRPr="00097A69">
        <w:t xml:space="preserve">school teacher. </w:t>
      </w:r>
    </w:p>
    <w:p w:rsidR="008E314D" w:rsidRDefault="005E5827" w:rsidP="008E314D">
      <w:pPr>
        <w:tabs>
          <w:tab w:val="left" w:pos="360"/>
          <w:tab w:val="left" w:pos="720"/>
          <w:tab w:val="left" w:pos="1080"/>
          <w:tab w:val="left" w:pos="1440"/>
          <w:tab w:val="left" w:pos="1800"/>
          <w:tab w:val="left" w:pos="2160"/>
          <w:tab w:val="left" w:pos="2520"/>
          <w:tab w:val="left" w:pos="2880"/>
        </w:tabs>
      </w:pPr>
      <w:r>
        <w:t>The team observed 50</w:t>
      </w:r>
      <w:r w:rsidR="008E314D" w:rsidRPr="00097A69">
        <w:t xml:space="preserve"> classes</w:t>
      </w:r>
      <w:r w:rsidR="008E314D">
        <w:t xml:space="preserve"> in the district</w:t>
      </w:r>
      <w:r w:rsidR="008E314D" w:rsidRPr="00097A69">
        <w:t xml:space="preserve">:  </w:t>
      </w:r>
      <w:r>
        <w:t>17 at the 1</w:t>
      </w:r>
      <w:r w:rsidR="008F1393">
        <w:t xml:space="preserve"> </w:t>
      </w:r>
      <w:r>
        <w:t>high school</w:t>
      </w:r>
      <w:r w:rsidR="008E314D" w:rsidRPr="00097A69">
        <w:t xml:space="preserve">, </w:t>
      </w:r>
      <w:r>
        <w:t>16</w:t>
      </w:r>
      <w:r w:rsidRPr="00097A69">
        <w:t xml:space="preserve"> at</w:t>
      </w:r>
      <w:r w:rsidR="008E314D" w:rsidRPr="00097A69">
        <w:t xml:space="preserve"> the </w:t>
      </w:r>
      <w:r>
        <w:t xml:space="preserve">2 </w:t>
      </w:r>
      <w:r w:rsidR="008E314D" w:rsidRPr="00097A69">
        <w:t xml:space="preserve">middle schools, and </w:t>
      </w:r>
      <w:r>
        <w:t xml:space="preserve">17 </w:t>
      </w:r>
      <w:r w:rsidR="008E314D" w:rsidRPr="00097A69">
        <w:t xml:space="preserve">at the </w:t>
      </w:r>
      <w:r>
        <w:t xml:space="preserve">2 </w:t>
      </w:r>
      <w:r w:rsidR="008E314D" w:rsidRPr="00097A69">
        <w:t>elementary schools</w:t>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5E5827" w:rsidRDefault="008E314D" w:rsidP="005E5827">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8D47F2" w:rsidRPr="00E06B74" w:rsidTr="008D47F2">
        <w:trPr>
          <w:trHeight w:val="77"/>
        </w:trPr>
        <w:tc>
          <w:tcPr>
            <w:tcW w:w="2178" w:type="dxa"/>
            <w:shd w:val="clear" w:color="auto" w:fill="D9D9D9" w:themeFill="background1" w:themeFillShade="D9"/>
          </w:tcPr>
          <w:p w:rsidR="008D47F2" w:rsidRDefault="008D47F2" w:rsidP="008D47F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D47F2" w:rsidRPr="008D47F2" w:rsidRDefault="008D47F2" w:rsidP="008D47F2">
            <w:pPr>
              <w:tabs>
                <w:tab w:val="left" w:pos="360"/>
                <w:tab w:val="left" w:pos="720"/>
                <w:tab w:val="left" w:pos="1080"/>
                <w:tab w:val="left" w:pos="1440"/>
                <w:tab w:val="left" w:pos="1800"/>
                <w:tab w:val="left" w:pos="2160"/>
                <w:tab w:val="left" w:pos="2520"/>
                <w:tab w:val="left" w:pos="2880"/>
              </w:tabs>
              <w:jc w:val="center"/>
              <w:rPr>
                <w:b/>
                <w:sz w:val="20"/>
              </w:rPr>
            </w:pPr>
            <w:r>
              <w:rPr>
                <w:b/>
                <w:sz w:val="20"/>
              </w:rPr>
              <w:t>01/17/2017</w:t>
            </w:r>
          </w:p>
        </w:tc>
        <w:tc>
          <w:tcPr>
            <w:tcW w:w="2190" w:type="dxa"/>
            <w:shd w:val="clear" w:color="auto" w:fill="D9D9D9" w:themeFill="background1" w:themeFillShade="D9"/>
          </w:tcPr>
          <w:p w:rsidR="008D47F2" w:rsidRDefault="008D47F2"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D47F2" w:rsidRDefault="008D47F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01/18/2017</w:t>
            </w:r>
          </w:p>
        </w:tc>
        <w:tc>
          <w:tcPr>
            <w:tcW w:w="2292" w:type="dxa"/>
            <w:shd w:val="clear" w:color="auto" w:fill="D9D9D9" w:themeFill="background1" w:themeFillShade="D9"/>
          </w:tcPr>
          <w:p w:rsidR="008D47F2" w:rsidRDefault="008D47F2"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D47F2" w:rsidRDefault="008D47F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01/19/2017</w:t>
            </w:r>
          </w:p>
        </w:tc>
      </w:tr>
      <w:tr w:rsidR="008D47F2" w:rsidRPr="00E06B74" w:rsidTr="008D47F2">
        <w:trPr>
          <w:trHeight w:val="620"/>
        </w:trPr>
        <w:tc>
          <w:tcPr>
            <w:tcW w:w="2178" w:type="dxa"/>
          </w:tcPr>
          <w:p w:rsidR="008D47F2" w:rsidRDefault="008D47F2" w:rsidP="000B46A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w:t>
            </w:r>
            <w:r>
              <w:rPr>
                <w:sz w:val="20"/>
              </w:rPr>
              <w:t xml:space="preserve">review of personnel files; </w:t>
            </w:r>
            <w:r w:rsidRPr="007C5F07">
              <w:rPr>
                <w:sz w:val="20"/>
              </w:rPr>
              <w:t xml:space="preserve">interviews with district staff and principals; </w:t>
            </w:r>
            <w:r>
              <w:rPr>
                <w:sz w:val="20"/>
              </w:rPr>
              <w:t>document reviews</w:t>
            </w:r>
            <w:r w:rsidRPr="007C5F07">
              <w:rPr>
                <w:sz w:val="20"/>
              </w:rPr>
              <w:t xml:space="preserve">; </w:t>
            </w:r>
            <w:r w:rsidR="00D0355D">
              <w:rPr>
                <w:sz w:val="20"/>
              </w:rPr>
              <w:t xml:space="preserve">middle and high school teacher focus groups; </w:t>
            </w:r>
            <w:r w:rsidRPr="007C5F07">
              <w:rPr>
                <w:sz w:val="20"/>
              </w:rPr>
              <w:t xml:space="preserve">interview with teachers’ association; </w:t>
            </w:r>
            <w:r>
              <w:rPr>
                <w:sz w:val="20"/>
              </w:rPr>
              <w:t xml:space="preserve">and </w:t>
            </w:r>
            <w:r w:rsidRPr="007C5F07">
              <w:rPr>
                <w:sz w:val="20"/>
              </w:rPr>
              <w:t xml:space="preserve">visits to </w:t>
            </w:r>
            <w:r w:rsidR="00C26DA2">
              <w:rPr>
                <w:sz w:val="20"/>
              </w:rPr>
              <w:t xml:space="preserve">the Dighton Elementary and </w:t>
            </w:r>
            <w:r w:rsidR="000B46A1">
              <w:rPr>
                <w:sz w:val="20"/>
              </w:rPr>
              <w:t xml:space="preserve">the middle schools </w:t>
            </w:r>
            <w:r>
              <w:rPr>
                <w:sz w:val="20"/>
              </w:rPr>
              <w:t>for classroom observations.</w:t>
            </w:r>
          </w:p>
        </w:tc>
        <w:tc>
          <w:tcPr>
            <w:tcW w:w="2190" w:type="dxa"/>
          </w:tcPr>
          <w:p w:rsidR="008D47F2" w:rsidRDefault="008D47F2"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D0355D">
              <w:rPr>
                <w:sz w:val="20"/>
              </w:rPr>
              <w:t>elementary teacher focus groups</w:t>
            </w:r>
            <w:r w:rsidRPr="007C5F07">
              <w:rPr>
                <w:sz w:val="20"/>
              </w:rPr>
              <w:t xml:space="preserve"> </w:t>
            </w:r>
            <w:r>
              <w:rPr>
                <w:sz w:val="20"/>
              </w:rPr>
              <w:t xml:space="preserve">parent focus group; </w:t>
            </w:r>
            <w:r w:rsidR="00D0355D">
              <w:rPr>
                <w:sz w:val="20"/>
              </w:rPr>
              <w:t xml:space="preserve">interview with school committee; interviews with town officials, </w:t>
            </w:r>
            <w:r>
              <w:rPr>
                <w:sz w:val="20"/>
              </w:rPr>
              <w:t xml:space="preserve">and </w:t>
            </w:r>
            <w:r w:rsidRPr="007C5F07">
              <w:rPr>
                <w:sz w:val="20"/>
              </w:rPr>
              <w:t xml:space="preserve">visits to </w:t>
            </w:r>
            <w:r w:rsidR="00C26DA2">
              <w:rPr>
                <w:sz w:val="20"/>
              </w:rPr>
              <w:t xml:space="preserve">Dorothy L. Beckwith, Palmer River, and Dighton-Rehoboth Regional High School </w:t>
            </w:r>
            <w:r>
              <w:rPr>
                <w:sz w:val="20"/>
              </w:rPr>
              <w:t>for classroom observations.</w:t>
            </w:r>
          </w:p>
        </w:tc>
        <w:tc>
          <w:tcPr>
            <w:tcW w:w="2292" w:type="dxa"/>
          </w:tcPr>
          <w:p w:rsidR="008D47F2" w:rsidRDefault="008D47F2"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sidR="00D0355D">
              <w:rPr>
                <w:sz w:val="20"/>
              </w:rPr>
              <w:t>focus group with students</w:t>
            </w:r>
            <w:r>
              <w:rPr>
                <w:sz w:val="20"/>
              </w:rPr>
              <w:t xml:space="preserve">; </w:t>
            </w:r>
            <w:r w:rsidRPr="007C5F07">
              <w:rPr>
                <w:sz w:val="20"/>
              </w:rPr>
              <w:t xml:space="preserve">visits to </w:t>
            </w:r>
            <w:r w:rsidR="00D0355D">
              <w:rPr>
                <w:sz w:val="20"/>
              </w:rPr>
              <w:t>Dighton-Rehoboth Regional High School, Palmer River, and Dighton Elementary School</w:t>
            </w:r>
            <w:r>
              <w:rPr>
                <w:sz w:val="20"/>
              </w:rPr>
              <w:t xml:space="preserve"> for classroom observations.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8" w:name="_Toc337817151"/>
      <w:r>
        <w:br w:type="page"/>
      </w:r>
    </w:p>
    <w:p w:rsidR="002F1EBE" w:rsidRPr="002F1EBE" w:rsidRDefault="002F1EBE" w:rsidP="00C85CD0">
      <w:pPr>
        <w:pStyle w:val="Section"/>
      </w:pPr>
      <w:bookmarkStart w:id="19" w:name="_Toc484613527"/>
      <w:r w:rsidRPr="002F1EBE">
        <w:lastRenderedPageBreak/>
        <w:t>Appendix B: Enrollment, Performance, Expenditures</w:t>
      </w:r>
      <w:bookmarkEnd w:id="19"/>
    </w:p>
    <w:p w:rsidR="0045634E" w:rsidRPr="00457613" w:rsidRDefault="0045634E" w:rsidP="0045634E">
      <w:pPr>
        <w:spacing w:after="0"/>
        <w:jc w:val="center"/>
        <w:rPr>
          <w:rFonts w:ascii="Calibri" w:eastAsia="Calibri" w:hAnsi="Calibri" w:cs="Times New Roman"/>
          <w:b/>
          <w:sz w:val="20"/>
        </w:rPr>
      </w:pPr>
      <w:r w:rsidRPr="00457613">
        <w:rPr>
          <w:rFonts w:ascii="Calibri" w:eastAsia="Calibri" w:hAnsi="Calibri" w:cs="Times New Roman"/>
          <w:b/>
          <w:sz w:val="20"/>
        </w:rPr>
        <w:t>Table B1a: Dighton-Rehoboth Regional School District</w:t>
      </w:r>
    </w:p>
    <w:p w:rsidR="0045634E" w:rsidRPr="00457613" w:rsidRDefault="0045634E" w:rsidP="0045634E">
      <w:pPr>
        <w:spacing w:after="0"/>
        <w:jc w:val="center"/>
        <w:rPr>
          <w:rFonts w:ascii="Calibri" w:eastAsia="Calibri" w:hAnsi="Calibri" w:cs="Times New Roman"/>
          <w:b/>
          <w:sz w:val="20"/>
        </w:rPr>
      </w:pPr>
      <w:r w:rsidRPr="00457613">
        <w:rPr>
          <w:rFonts w:ascii="Calibri" w:eastAsia="Calibri" w:hAnsi="Calibri" w:cs="Times New Roman"/>
          <w:b/>
          <w:sz w:val="20"/>
        </w:rPr>
        <w:t>2015–2016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45634E" w:rsidRPr="00457613" w:rsidTr="008F0BE1">
        <w:tc>
          <w:tcPr>
            <w:tcW w:w="2898" w:type="dxa"/>
            <w:vAlign w:val="center"/>
          </w:tcPr>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Student Group</w:t>
            </w:r>
          </w:p>
        </w:tc>
        <w:tc>
          <w:tcPr>
            <w:tcW w:w="1489" w:type="dxa"/>
            <w:vAlign w:val="center"/>
          </w:tcPr>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Percent</w:t>
            </w:r>
          </w:p>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of Total</w:t>
            </w:r>
          </w:p>
        </w:tc>
        <w:tc>
          <w:tcPr>
            <w:tcW w:w="1489" w:type="dxa"/>
            <w:vAlign w:val="center"/>
          </w:tcPr>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Percent of</w:t>
            </w:r>
          </w:p>
          <w:p w:rsidR="0045634E" w:rsidRPr="00457613" w:rsidRDefault="0045634E" w:rsidP="008F0BE1">
            <w:pPr>
              <w:spacing w:after="0" w:line="240" w:lineRule="auto"/>
              <w:jc w:val="center"/>
              <w:rPr>
                <w:rFonts w:ascii="Calibri" w:eastAsia="Times New Roman" w:hAnsi="Calibri" w:cs="Times New Roman"/>
                <w:b/>
                <w:sz w:val="20"/>
                <w:szCs w:val="20"/>
              </w:rPr>
            </w:pPr>
            <w:r w:rsidRPr="00457613">
              <w:rPr>
                <w:rFonts w:ascii="Calibri" w:eastAsia="Times New Roman" w:hAnsi="Calibri" w:cs="Times New Roman"/>
                <w:b/>
                <w:sz w:val="20"/>
                <w:szCs w:val="20"/>
              </w:rPr>
              <w:t>Total</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African-American</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22</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0.8%</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83,481</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8.8%</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Asian</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36</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1.2%</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61,584</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6.5%</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Hispanic</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113</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3.9%</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176,873</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18.6%</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Native American</w:t>
            </w:r>
          </w:p>
        </w:tc>
        <w:tc>
          <w:tcPr>
            <w:tcW w:w="1489" w:type="dxa"/>
            <w:vAlign w:val="center"/>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w:t>
            </w:r>
          </w:p>
        </w:tc>
        <w:tc>
          <w:tcPr>
            <w:tcW w:w="1490" w:type="dxa"/>
            <w:shd w:val="clear" w:color="auto" w:fill="D9D9D9" w:themeFill="background1" w:themeFillShade="D9"/>
            <w:vAlign w:val="center"/>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2,179</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0.2%</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White</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2,674</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91.9%</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597,502</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62.7%</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Native Hawaiian</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888</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0.1%</w:t>
            </w:r>
          </w:p>
        </w:tc>
      </w:tr>
      <w:tr w:rsidR="0045634E" w:rsidRPr="00457613" w:rsidTr="008F0BE1">
        <w:tc>
          <w:tcPr>
            <w:tcW w:w="2898" w:type="dxa"/>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 xml:space="preserve">Multi-Race, Non-Hispanic </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65</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2.2%</w:t>
            </w:r>
          </w:p>
        </w:tc>
        <w:tc>
          <w:tcPr>
            <w:tcW w:w="1489"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30,922</w:t>
            </w:r>
          </w:p>
        </w:tc>
        <w:tc>
          <w:tcPr>
            <w:tcW w:w="149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3.2%</w:t>
            </w:r>
          </w:p>
        </w:tc>
      </w:tr>
      <w:tr w:rsidR="0045634E" w:rsidRPr="00457613" w:rsidTr="008F0BE1">
        <w:tc>
          <w:tcPr>
            <w:tcW w:w="2898" w:type="dxa"/>
            <w:tcBorders>
              <w:bottom w:val="single" w:sz="4" w:space="0" w:color="auto"/>
            </w:tcBorders>
            <w:vAlign w:val="bottom"/>
          </w:tcPr>
          <w:p w:rsidR="0045634E" w:rsidRPr="00457613" w:rsidRDefault="0045634E" w:rsidP="008F0BE1">
            <w:pPr>
              <w:spacing w:after="0" w:line="240" w:lineRule="auto"/>
              <w:rPr>
                <w:rFonts w:ascii="Calibri" w:eastAsia="Times New Roman" w:hAnsi="Calibri" w:cs="Times New Roman"/>
                <w:b/>
                <w:sz w:val="20"/>
                <w:szCs w:val="20"/>
              </w:rPr>
            </w:pPr>
            <w:r w:rsidRPr="00457613">
              <w:rPr>
                <w:rFonts w:ascii="Calibri" w:eastAsia="Times New Roman" w:hAnsi="Calibri" w:cs="Times New Roman"/>
                <w:b/>
                <w:sz w:val="20"/>
                <w:szCs w:val="20"/>
              </w:rPr>
              <w:t>All Students</w:t>
            </w:r>
          </w:p>
        </w:tc>
        <w:tc>
          <w:tcPr>
            <w:tcW w:w="1489" w:type="dxa"/>
            <w:tcBorders>
              <w:bottom w:val="single" w:sz="4" w:space="0" w:color="auto"/>
            </w:tcBorders>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2,910</w:t>
            </w:r>
          </w:p>
        </w:tc>
        <w:tc>
          <w:tcPr>
            <w:tcW w:w="1490"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100.0%</w:t>
            </w:r>
          </w:p>
        </w:tc>
        <w:tc>
          <w:tcPr>
            <w:tcW w:w="1489" w:type="dxa"/>
            <w:tcBorders>
              <w:bottom w:val="single" w:sz="4" w:space="0" w:color="auto"/>
            </w:tcBorders>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100.0%</w:t>
            </w:r>
          </w:p>
        </w:tc>
      </w:tr>
      <w:tr w:rsidR="0045634E" w:rsidRPr="00457613" w:rsidTr="008F0BE1">
        <w:tc>
          <w:tcPr>
            <w:tcW w:w="8856" w:type="dxa"/>
            <w:gridSpan w:val="5"/>
            <w:tcBorders>
              <w:left w:val="nil"/>
              <w:bottom w:val="nil"/>
              <w:right w:val="nil"/>
            </w:tcBorders>
            <w:vAlign w:val="bottom"/>
          </w:tcPr>
          <w:p w:rsidR="0045634E" w:rsidRPr="00457613" w:rsidRDefault="0045634E" w:rsidP="008F0BE1">
            <w:pPr>
              <w:spacing w:after="0" w:line="240" w:lineRule="auto"/>
              <w:rPr>
                <w:rFonts w:ascii="Calibri" w:eastAsia="Times New Roman" w:hAnsi="Calibri" w:cs="Times New Roman"/>
                <w:sz w:val="20"/>
                <w:szCs w:val="20"/>
              </w:rPr>
            </w:pPr>
            <w:r w:rsidRPr="00457613">
              <w:rPr>
                <w:rFonts w:ascii="Calibri" w:eastAsia="Times New Roman" w:hAnsi="Calibri" w:cs="Times New Roman"/>
                <w:sz w:val="20"/>
                <w:szCs w:val="20"/>
              </w:rPr>
              <w:t>Note: As of October 1, 2015</w:t>
            </w:r>
          </w:p>
        </w:tc>
      </w:tr>
    </w:tbl>
    <w:p w:rsidR="0045634E" w:rsidRPr="00457613" w:rsidRDefault="0045634E" w:rsidP="0045634E">
      <w:pPr>
        <w:spacing w:after="0"/>
        <w:rPr>
          <w:rFonts w:ascii="Calibri" w:eastAsia="Calibri" w:hAnsi="Calibri" w:cs="Times New Roman"/>
          <w:sz w:val="20"/>
        </w:rPr>
      </w:pPr>
    </w:p>
    <w:p w:rsidR="0045634E" w:rsidRPr="00457613" w:rsidRDefault="0045634E" w:rsidP="0045634E">
      <w:pPr>
        <w:spacing w:after="0"/>
        <w:jc w:val="center"/>
        <w:rPr>
          <w:b/>
          <w:sz w:val="20"/>
        </w:rPr>
      </w:pPr>
      <w:r w:rsidRPr="00457613">
        <w:rPr>
          <w:b/>
          <w:sz w:val="20"/>
        </w:rPr>
        <w:t xml:space="preserve">Table B1b: </w:t>
      </w:r>
      <w:r w:rsidRPr="00457613">
        <w:rPr>
          <w:rFonts w:ascii="Calibri" w:eastAsia="Calibri" w:hAnsi="Calibri" w:cs="Times New Roman"/>
          <w:b/>
          <w:sz w:val="20"/>
        </w:rPr>
        <w:t>Dighton-Rehoboth Regional School District</w:t>
      </w:r>
    </w:p>
    <w:p w:rsidR="0045634E" w:rsidRPr="00457613" w:rsidRDefault="0045634E" w:rsidP="0045634E">
      <w:pPr>
        <w:spacing w:after="0"/>
        <w:jc w:val="center"/>
        <w:rPr>
          <w:b/>
          <w:sz w:val="20"/>
        </w:rPr>
      </w:pPr>
      <w:r w:rsidRPr="00457613">
        <w:rPr>
          <w:b/>
          <w:sz w:val="20"/>
        </w:rPr>
        <w:t>2015–2016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45634E" w:rsidRPr="00457613" w:rsidTr="008F0BE1">
        <w:tc>
          <w:tcPr>
            <w:tcW w:w="2268" w:type="dxa"/>
            <w:vMerge w:val="restart"/>
            <w:vAlign w:val="center"/>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Student Groups</w:t>
            </w:r>
          </w:p>
        </w:tc>
        <w:tc>
          <w:tcPr>
            <w:tcW w:w="3295" w:type="dxa"/>
            <w:gridSpan w:val="3"/>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District</w:t>
            </w:r>
          </w:p>
        </w:tc>
        <w:tc>
          <w:tcPr>
            <w:tcW w:w="3295" w:type="dxa"/>
            <w:gridSpan w:val="3"/>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State</w:t>
            </w:r>
          </w:p>
        </w:tc>
      </w:tr>
      <w:tr w:rsidR="0045634E" w:rsidRPr="00457613" w:rsidTr="008F0BE1">
        <w:tc>
          <w:tcPr>
            <w:tcW w:w="2268" w:type="dxa"/>
            <w:vMerge/>
          </w:tcPr>
          <w:p w:rsidR="0045634E" w:rsidRPr="00457613" w:rsidRDefault="0045634E" w:rsidP="008F0BE1">
            <w:pPr>
              <w:spacing w:after="0"/>
              <w:rPr>
                <w:rFonts w:ascii="Calibri" w:eastAsia="Calibri" w:hAnsi="Calibri" w:cs="Times New Roman"/>
                <w:sz w:val="20"/>
                <w:szCs w:val="20"/>
              </w:rPr>
            </w:pPr>
          </w:p>
        </w:tc>
        <w:tc>
          <w:tcPr>
            <w:tcW w:w="900" w:type="dxa"/>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N</w:t>
            </w:r>
          </w:p>
        </w:tc>
        <w:tc>
          <w:tcPr>
            <w:tcW w:w="1197" w:type="dxa"/>
            <w:shd w:val="clear" w:color="auto" w:fill="D9D9D9" w:themeFill="background1" w:themeFillShade="D9"/>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Percent of High Needs</w:t>
            </w:r>
          </w:p>
        </w:tc>
        <w:tc>
          <w:tcPr>
            <w:tcW w:w="1198" w:type="dxa"/>
            <w:shd w:val="clear" w:color="auto" w:fill="D9D9D9" w:themeFill="background1" w:themeFillShade="D9"/>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Percent of District</w:t>
            </w:r>
          </w:p>
        </w:tc>
        <w:tc>
          <w:tcPr>
            <w:tcW w:w="935" w:type="dxa"/>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N</w:t>
            </w:r>
          </w:p>
        </w:tc>
        <w:tc>
          <w:tcPr>
            <w:tcW w:w="1180" w:type="dxa"/>
            <w:shd w:val="clear" w:color="auto" w:fill="D9D9D9" w:themeFill="background1" w:themeFillShade="D9"/>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Percent of High Needs</w:t>
            </w:r>
          </w:p>
        </w:tc>
        <w:tc>
          <w:tcPr>
            <w:tcW w:w="1180" w:type="dxa"/>
            <w:shd w:val="clear" w:color="auto" w:fill="D9D9D9" w:themeFill="background1" w:themeFillShade="D9"/>
          </w:tcPr>
          <w:p w:rsidR="0045634E" w:rsidRPr="00457613" w:rsidRDefault="0045634E" w:rsidP="008F0BE1">
            <w:pPr>
              <w:spacing w:after="0"/>
              <w:jc w:val="center"/>
              <w:rPr>
                <w:rFonts w:ascii="Calibri" w:eastAsia="Calibri" w:hAnsi="Calibri" w:cs="Times New Roman"/>
                <w:b/>
                <w:sz w:val="20"/>
                <w:szCs w:val="20"/>
              </w:rPr>
            </w:pPr>
            <w:r w:rsidRPr="00457613">
              <w:rPr>
                <w:rFonts w:ascii="Calibri" w:eastAsia="Calibri" w:hAnsi="Calibri" w:cs="Times New Roman"/>
                <w:b/>
                <w:sz w:val="20"/>
                <w:szCs w:val="20"/>
              </w:rPr>
              <w:t>Percent of State</w:t>
            </w:r>
          </w:p>
        </w:tc>
      </w:tr>
      <w:tr w:rsidR="0045634E" w:rsidRPr="00457613" w:rsidTr="008F0BE1">
        <w:tc>
          <w:tcPr>
            <w:tcW w:w="2268" w:type="dxa"/>
          </w:tcPr>
          <w:p w:rsidR="0045634E" w:rsidRPr="00457613" w:rsidRDefault="0045634E" w:rsidP="008F0BE1">
            <w:pPr>
              <w:spacing w:after="0"/>
              <w:rPr>
                <w:rFonts w:ascii="Calibri" w:eastAsia="Calibri" w:hAnsi="Calibri" w:cs="Times New Roman"/>
                <w:sz w:val="20"/>
                <w:szCs w:val="20"/>
              </w:rPr>
            </w:pPr>
            <w:r w:rsidRPr="00457613">
              <w:rPr>
                <w:rFonts w:ascii="Calibri" w:eastAsia="Calibri" w:hAnsi="Calibri" w:cs="Times New Roman"/>
                <w:sz w:val="20"/>
                <w:szCs w:val="20"/>
              </w:rPr>
              <w:t>Students w/ disabilities</w:t>
            </w:r>
          </w:p>
        </w:tc>
        <w:tc>
          <w:tcPr>
            <w:tcW w:w="900"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389</w:t>
            </w:r>
          </w:p>
        </w:tc>
        <w:tc>
          <w:tcPr>
            <w:tcW w:w="1197"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55.3%</w:t>
            </w:r>
          </w:p>
        </w:tc>
        <w:tc>
          <w:tcPr>
            <w:tcW w:w="1198"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13.2%</w:t>
            </w:r>
          </w:p>
        </w:tc>
        <w:tc>
          <w:tcPr>
            <w:tcW w:w="935"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165,559</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39.4%</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17.2%</w:t>
            </w:r>
          </w:p>
        </w:tc>
      </w:tr>
      <w:tr w:rsidR="0045634E" w:rsidRPr="00457613" w:rsidTr="008F0BE1">
        <w:tc>
          <w:tcPr>
            <w:tcW w:w="2268" w:type="dxa"/>
          </w:tcPr>
          <w:p w:rsidR="0045634E" w:rsidRPr="00457613" w:rsidRDefault="0045634E" w:rsidP="008F0BE1">
            <w:pPr>
              <w:spacing w:after="0"/>
              <w:rPr>
                <w:rFonts w:ascii="Calibri" w:eastAsia="Calibri" w:hAnsi="Calibri" w:cs="Times New Roman"/>
                <w:sz w:val="20"/>
                <w:szCs w:val="20"/>
              </w:rPr>
            </w:pPr>
            <w:r w:rsidRPr="00457613">
              <w:rPr>
                <w:rFonts w:ascii="Calibri" w:eastAsia="Calibri" w:hAnsi="Calibri" w:cs="Times New Roman"/>
                <w:sz w:val="20"/>
                <w:szCs w:val="20"/>
              </w:rPr>
              <w:t>Econ. Disad.</w:t>
            </w:r>
          </w:p>
        </w:tc>
        <w:tc>
          <w:tcPr>
            <w:tcW w:w="900"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392</w:t>
            </w:r>
          </w:p>
        </w:tc>
        <w:tc>
          <w:tcPr>
            <w:tcW w:w="1197"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55.8%</w:t>
            </w:r>
          </w:p>
        </w:tc>
        <w:tc>
          <w:tcPr>
            <w:tcW w:w="1198"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13.5%</w:t>
            </w:r>
          </w:p>
        </w:tc>
        <w:tc>
          <w:tcPr>
            <w:tcW w:w="935"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260,998</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62.2%</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27.4%</w:t>
            </w:r>
          </w:p>
        </w:tc>
      </w:tr>
      <w:tr w:rsidR="0045634E" w:rsidRPr="00457613" w:rsidTr="008F0BE1">
        <w:tc>
          <w:tcPr>
            <w:tcW w:w="2268" w:type="dxa"/>
          </w:tcPr>
          <w:p w:rsidR="0045634E" w:rsidRPr="00457613" w:rsidRDefault="0045634E" w:rsidP="008F0BE1">
            <w:pPr>
              <w:spacing w:after="0"/>
              <w:rPr>
                <w:rFonts w:ascii="Calibri" w:eastAsia="Calibri" w:hAnsi="Calibri" w:cs="Times New Roman"/>
                <w:sz w:val="20"/>
                <w:szCs w:val="20"/>
              </w:rPr>
            </w:pPr>
            <w:r w:rsidRPr="00457613">
              <w:rPr>
                <w:rFonts w:ascii="Calibri" w:eastAsia="Calibri" w:hAnsi="Calibri" w:cs="Times New Roman"/>
                <w:sz w:val="20"/>
                <w:szCs w:val="20"/>
              </w:rPr>
              <w:t>ELLs and Former ELLs</w:t>
            </w:r>
          </w:p>
        </w:tc>
        <w:tc>
          <w:tcPr>
            <w:tcW w:w="900"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w:t>
            </w:r>
          </w:p>
        </w:tc>
        <w:tc>
          <w:tcPr>
            <w:tcW w:w="1197"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0.3%</w:t>
            </w:r>
          </w:p>
        </w:tc>
        <w:tc>
          <w:tcPr>
            <w:tcW w:w="1198"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0.1%</w:t>
            </w:r>
          </w:p>
        </w:tc>
        <w:tc>
          <w:tcPr>
            <w:tcW w:w="935" w:type="dxa"/>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85,763</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20.4%</w:t>
            </w:r>
          </w:p>
        </w:tc>
        <w:tc>
          <w:tcPr>
            <w:tcW w:w="1180" w:type="dxa"/>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9.0%</w:t>
            </w:r>
          </w:p>
        </w:tc>
      </w:tr>
      <w:tr w:rsidR="0045634E" w:rsidRPr="00457613" w:rsidTr="008F0BE1">
        <w:tc>
          <w:tcPr>
            <w:tcW w:w="2268" w:type="dxa"/>
            <w:tcBorders>
              <w:bottom w:val="single" w:sz="4" w:space="0" w:color="auto"/>
            </w:tcBorders>
          </w:tcPr>
          <w:p w:rsidR="0045634E" w:rsidRPr="00457613" w:rsidRDefault="0045634E" w:rsidP="008F0BE1">
            <w:pPr>
              <w:spacing w:after="0"/>
              <w:rPr>
                <w:rFonts w:ascii="Calibri" w:eastAsia="Calibri" w:hAnsi="Calibri" w:cs="Times New Roman"/>
                <w:sz w:val="20"/>
                <w:szCs w:val="20"/>
              </w:rPr>
            </w:pPr>
            <w:r w:rsidRPr="00457613">
              <w:rPr>
                <w:rFonts w:ascii="Calibri" w:eastAsia="Calibri" w:hAnsi="Calibri" w:cs="Times New Roman"/>
                <w:sz w:val="20"/>
                <w:szCs w:val="20"/>
              </w:rPr>
              <w:t>All high needs students</w:t>
            </w:r>
          </w:p>
        </w:tc>
        <w:tc>
          <w:tcPr>
            <w:tcW w:w="900" w:type="dxa"/>
            <w:tcBorders>
              <w:bottom w:val="single" w:sz="4" w:space="0" w:color="auto"/>
            </w:tcBorders>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703</w:t>
            </w:r>
          </w:p>
        </w:tc>
        <w:tc>
          <w:tcPr>
            <w:tcW w:w="1197"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23.9%</w:t>
            </w:r>
          </w:p>
        </w:tc>
        <w:tc>
          <w:tcPr>
            <w:tcW w:w="935" w:type="dxa"/>
            <w:tcBorders>
              <w:bottom w:val="single" w:sz="4" w:space="0" w:color="auto"/>
            </w:tcBorders>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45634E" w:rsidRPr="00457613" w:rsidRDefault="0045634E" w:rsidP="008F0BE1">
            <w:pPr>
              <w:spacing w:after="0" w:line="240" w:lineRule="auto"/>
              <w:jc w:val="center"/>
              <w:rPr>
                <w:rFonts w:ascii="Calibri" w:hAnsi="Calibri"/>
                <w:sz w:val="20"/>
                <w:szCs w:val="20"/>
              </w:rPr>
            </w:pPr>
            <w:r w:rsidRPr="00457613">
              <w:rPr>
                <w:rFonts w:ascii="Calibri" w:hAnsi="Calibri"/>
                <w:sz w:val="20"/>
                <w:szCs w:val="20"/>
              </w:rPr>
              <w:t>43.5%</w:t>
            </w:r>
          </w:p>
        </w:tc>
      </w:tr>
      <w:tr w:rsidR="0045634E" w:rsidRPr="00457613" w:rsidTr="008F0BE1">
        <w:tc>
          <w:tcPr>
            <w:tcW w:w="8858" w:type="dxa"/>
            <w:gridSpan w:val="7"/>
            <w:tcBorders>
              <w:left w:val="nil"/>
              <w:bottom w:val="nil"/>
              <w:right w:val="nil"/>
            </w:tcBorders>
          </w:tcPr>
          <w:p w:rsidR="0045634E" w:rsidRPr="00457613" w:rsidRDefault="0045634E" w:rsidP="008F0BE1">
            <w:pPr>
              <w:spacing w:after="0"/>
              <w:rPr>
                <w:rFonts w:ascii="Calibri" w:eastAsia="Calibri" w:hAnsi="Calibri" w:cs="Times New Roman"/>
                <w:sz w:val="20"/>
              </w:rPr>
            </w:pPr>
            <w:r w:rsidRPr="00457613">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2,936; total state enrollment including students in out-of-district placement is 964,026.</w:t>
            </w:r>
          </w:p>
        </w:tc>
      </w:tr>
    </w:tbl>
    <w:p w:rsidR="0045634E" w:rsidRPr="00457613" w:rsidRDefault="0045634E" w:rsidP="0045634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6B5E05" w:rsidRPr="00080C86" w:rsidRDefault="006B5E05" w:rsidP="006B5E05">
      <w:pPr>
        <w:spacing w:after="0"/>
        <w:jc w:val="center"/>
        <w:rPr>
          <w:rFonts w:ascii="Calibri" w:eastAsia="Calibri" w:hAnsi="Calibri" w:cs="Times New Roman"/>
          <w:b/>
          <w:sz w:val="20"/>
        </w:rPr>
      </w:pPr>
      <w:r w:rsidRPr="00080C86">
        <w:rPr>
          <w:rFonts w:ascii="Calibri" w:eastAsia="Calibri" w:hAnsi="Calibri" w:cs="Times New Roman"/>
          <w:b/>
          <w:sz w:val="20"/>
        </w:rPr>
        <w:lastRenderedPageBreak/>
        <w:t>Table B2a: Dighton-Rehoboth Regional School District</w:t>
      </w:r>
    </w:p>
    <w:p w:rsidR="006B5E05" w:rsidRPr="00080C86" w:rsidRDefault="006B5E05" w:rsidP="006B5E05">
      <w:pPr>
        <w:spacing w:after="0"/>
        <w:jc w:val="center"/>
        <w:rPr>
          <w:rFonts w:ascii="Calibri" w:eastAsia="Calibri" w:hAnsi="Calibri" w:cs="Times New Roman"/>
          <w:b/>
          <w:sz w:val="20"/>
        </w:rPr>
      </w:pPr>
      <w:r w:rsidRPr="00080C86">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B5E05" w:rsidRPr="00080C86" w:rsidTr="008F0BE1">
        <w:tc>
          <w:tcPr>
            <w:tcW w:w="1278" w:type="dxa"/>
            <w:gridSpan w:val="2"/>
            <w:vMerge w:val="restart"/>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Grade and Measure</w:t>
            </w:r>
          </w:p>
        </w:tc>
        <w:tc>
          <w:tcPr>
            <w:tcW w:w="1396" w:type="dxa"/>
            <w:vMerge w:val="restart"/>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Number Included (2016)</w:t>
            </w:r>
          </w:p>
        </w:tc>
        <w:tc>
          <w:tcPr>
            <w:tcW w:w="4414" w:type="dxa"/>
            <w:gridSpan w:val="5"/>
            <w:vMerge w:val="restart"/>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Spring MCAS Year</w:t>
            </w:r>
          </w:p>
        </w:tc>
        <w:tc>
          <w:tcPr>
            <w:tcW w:w="1840" w:type="dxa"/>
            <w:gridSpan w:val="2"/>
          </w:tcPr>
          <w:p w:rsidR="006B5E05" w:rsidRPr="00080C86" w:rsidRDefault="006B5E05" w:rsidP="008F0BE1">
            <w:pPr>
              <w:spacing w:after="0" w:line="240" w:lineRule="auto"/>
              <w:rPr>
                <w:rFonts w:ascii="Calibri" w:eastAsia="Times New Roman" w:hAnsi="Calibri" w:cs="Times New Roman"/>
                <w:b/>
                <w:sz w:val="20"/>
                <w:szCs w:val="20"/>
              </w:rPr>
            </w:pPr>
            <w:r w:rsidRPr="00080C86">
              <w:rPr>
                <w:rFonts w:ascii="Calibri" w:eastAsia="Times New Roman" w:hAnsi="Calibri" w:cs="Times New Roman"/>
                <w:b/>
                <w:sz w:val="20"/>
                <w:szCs w:val="20"/>
              </w:rPr>
              <w:t>Gains and Declines</w:t>
            </w:r>
          </w:p>
        </w:tc>
      </w:tr>
      <w:tr w:rsidR="006B5E05" w:rsidRPr="00080C86" w:rsidTr="008F0BE1">
        <w:trPr>
          <w:trHeight w:val="244"/>
        </w:trPr>
        <w:tc>
          <w:tcPr>
            <w:tcW w:w="1278" w:type="dxa"/>
            <w:gridSpan w:val="2"/>
            <w:vMerge/>
          </w:tcPr>
          <w:p w:rsidR="006B5E05" w:rsidRPr="00080C86" w:rsidRDefault="006B5E05" w:rsidP="008F0BE1">
            <w:pPr>
              <w:spacing w:after="0" w:line="240" w:lineRule="auto"/>
              <w:rPr>
                <w:rFonts w:ascii="Calibri" w:eastAsia="Times New Roman" w:hAnsi="Calibri" w:cs="Times New Roman"/>
                <w:b/>
                <w:sz w:val="20"/>
                <w:szCs w:val="20"/>
              </w:rPr>
            </w:pPr>
          </w:p>
        </w:tc>
        <w:tc>
          <w:tcPr>
            <w:tcW w:w="1396" w:type="dxa"/>
            <w:vMerge/>
          </w:tcPr>
          <w:p w:rsidR="006B5E05" w:rsidRPr="00080C86" w:rsidRDefault="006B5E05" w:rsidP="008F0BE1">
            <w:pPr>
              <w:spacing w:after="0" w:line="240" w:lineRule="auto"/>
              <w:rPr>
                <w:rFonts w:ascii="Calibri" w:eastAsia="Times New Roman" w:hAnsi="Calibri" w:cs="Times New Roman"/>
                <w:b/>
                <w:sz w:val="20"/>
                <w:szCs w:val="20"/>
              </w:rPr>
            </w:pPr>
          </w:p>
        </w:tc>
        <w:tc>
          <w:tcPr>
            <w:tcW w:w="4414" w:type="dxa"/>
            <w:gridSpan w:val="5"/>
            <w:vMerge/>
          </w:tcPr>
          <w:p w:rsidR="006B5E05" w:rsidRPr="00080C86" w:rsidRDefault="006B5E05" w:rsidP="008F0BE1">
            <w:pPr>
              <w:spacing w:after="0" w:line="240" w:lineRule="auto"/>
              <w:rPr>
                <w:rFonts w:ascii="Calibri" w:eastAsia="Times New Roman" w:hAnsi="Calibri" w:cs="Times New Roman"/>
                <w:b/>
                <w:sz w:val="20"/>
                <w:szCs w:val="20"/>
              </w:rPr>
            </w:pPr>
          </w:p>
        </w:tc>
        <w:tc>
          <w:tcPr>
            <w:tcW w:w="884" w:type="dxa"/>
            <w:vMerge w:val="restart"/>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4-Year Trend</w:t>
            </w:r>
          </w:p>
        </w:tc>
        <w:tc>
          <w:tcPr>
            <w:tcW w:w="956" w:type="dxa"/>
            <w:vMerge w:val="restart"/>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2-Year Trend</w:t>
            </w:r>
          </w:p>
        </w:tc>
      </w:tr>
      <w:tr w:rsidR="006B5E05" w:rsidRPr="00080C86" w:rsidTr="008F0BE1">
        <w:tc>
          <w:tcPr>
            <w:tcW w:w="1278" w:type="dxa"/>
            <w:gridSpan w:val="2"/>
            <w:vMerge/>
          </w:tcPr>
          <w:p w:rsidR="006B5E05" w:rsidRPr="00080C86" w:rsidRDefault="006B5E05" w:rsidP="008F0BE1">
            <w:pPr>
              <w:spacing w:after="0" w:line="240" w:lineRule="auto"/>
              <w:rPr>
                <w:rFonts w:ascii="Calibri" w:eastAsia="Times New Roman" w:hAnsi="Calibri" w:cs="Times New Roman"/>
                <w:sz w:val="20"/>
                <w:szCs w:val="20"/>
              </w:rPr>
            </w:pPr>
          </w:p>
        </w:tc>
        <w:tc>
          <w:tcPr>
            <w:tcW w:w="1396" w:type="dxa"/>
            <w:vMerge/>
          </w:tcPr>
          <w:p w:rsidR="006B5E05" w:rsidRPr="00080C86" w:rsidRDefault="006B5E05" w:rsidP="008F0BE1">
            <w:pPr>
              <w:spacing w:after="0" w:line="240" w:lineRule="auto"/>
              <w:rPr>
                <w:rFonts w:ascii="Calibri" w:eastAsia="Times New Roman" w:hAnsi="Calibri" w:cs="Times New Roman"/>
                <w:sz w:val="20"/>
                <w:szCs w:val="20"/>
              </w:rPr>
            </w:pPr>
          </w:p>
        </w:tc>
        <w:tc>
          <w:tcPr>
            <w:tcW w:w="882" w:type="dxa"/>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2013</w:t>
            </w:r>
          </w:p>
        </w:tc>
        <w:tc>
          <w:tcPr>
            <w:tcW w:w="883" w:type="dxa"/>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2014</w:t>
            </w:r>
          </w:p>
        </w:tc>
        <w:tc>
          <w:tcPr>
            <w:tcW w:w="883" w:type="dxa"/>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2015</w:t>
            </w:r>
          </w:p>
        </w:tc>
        <w:tc>
          <w:tcPr>
            <w:tcW w:w="883" w:type="dxa"/>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State (2016)</w:t>
            </w:r>
          </w:p>
        </w:tc>
        <w:tc>
          <w:tcPr>
            <w:tcW w:w="884" w:type="dxa"/>
            <w:vMerge/>
          </w:tcPr>
          <w:p w:rsidR="006B5E05" w:rsidRPr="00080C86" w:rsidRDefault="006B5E05" w:rsidP="008F0BE1">
            <w:pPr>
              <w:spacing w:after="0" w:line="240" w:lineRule="auto"/>
              <w:rPr>
                <w:rFonts w:ascii="Calibri" w:eastAsia="Times New Roman" w:hAnsi="Calibri" w:cs="Times New Roman"/>
                <w:sz w:val="20"/>
                <w:szCs w:val="20"/>
              </w:rPr>
            </w:pPr>
          </w:p>
        </w:tc>
        <w:tc>
          <w:tcPr>
            <w:tcW w:w="956" w:type="dxa"/>
            <w:vMerge/>
          </w:tcPr>
          <w:p w:rsidR="006B5E05" w:rsidRPr="00080C86" w:rsidRDefault="006B5E05" w:rsidP="008F0BE1">
            <w:pPr>
              <w:spacing w:after="0" w:line="240" w:lineRule="auto"/>
              <w:rPr>
                <w:rFonts w:ascii="Calibri" w:eastAsia="Times New Roman" w:hAnsi="Calibri" w:cs="Times New Roman"/>
                <w:sz w:val="20"/>
                <w:szCs w:val="20"/>
              </w:rPr>
            </w:pP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3</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207</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84.4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82.8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86.8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82.2</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-4.6</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207</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55%</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66%</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56%</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4</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238</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82.4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78.8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80.5</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83.7</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1.3</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3.2</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238</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56%</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52%</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64%</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12%</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222</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49.0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47.0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48.0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5</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230</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86.5</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86.2</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80.7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84.7</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-1.8</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230</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69%</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63%</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221</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44.0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39.0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35.0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40.0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6</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228</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87.7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91.4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90.7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88.2</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0.5</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-2.5</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228</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69%</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75%</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71%</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216</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53.0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60.5</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52.0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7</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257</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92.2</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91.6</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91.9</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94.1</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1.9</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257</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81%</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3%</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251</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49.0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47.0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45.0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60.0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11.0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15.0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8</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243</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92.7</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95.1</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92.8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94.5</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1.8</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1.7</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243</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81%</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88%</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81%</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86%</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227</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57.0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59.0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52.0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10</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213</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98.4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98.3</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99.4</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97.3</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96.7</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-1.1</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-2.1</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213</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96%</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93%</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96%</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94%</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91%</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w:t>
            </w:r>
          </w:p>
        </w:tc>
      </w:tr>
      <w:tr w:rsidR="006B5E05" w:rsidRPr="00080C86" w:rsidTr="008F0BE1">
        <w:tc>
          <w:tcPr>
            <w:tcW w:w="554" w:type="dxa"/>
            <w:vMerge/>
            <w:vAlign w:val="center"/>
          </w:tcPr>
          <w:p w:rsidR="006B5E05" w:rsidRPr="00080C86" w:rsidRDefault="006B5E05" w:rsidP="008F0BE1">
            <w:pPr>
              <w:spacing w:after="0" w:line="240" w:lineRule="auto"/>
              <w:jc w:val="center"/>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188</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68.0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74.0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64.0</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64.0</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50.0</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-4.0</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0.0</w:t>
            </w:r>
          </w:p>
        </w:tc>
      </w:tr>
      <w:tr w:rsidR="006B5E05" w:rsidRPr="00080C86" w:rsidTr="008F0BE1">
        <w:tc>
          <w:tcPr>
            <w:tcW w:w="554" w:type="dxa"/>
            <w:vMerge w:val="restart"/>
            <w:vAlign w:val="center"/>
          </w:tcPr>
          <w:p w:rsidR="006B5E05" w:rsidRPr="00080C86" w:rsidRDefault="006B5E05"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All</w:t>
            </w: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1,616</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89.3</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89.3</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89</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89.4</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0.1</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0.4</w:t>
            </w:r>
          </w:p>
        </w:tc>
      </w:tr>
      <w:tr w:rsidR="006B5E05" w:rsidRPr="00080C86" w:rsidTr="008F0BE1">
        <w:tc>
          <w:tcPr>
            <w:tcW w:w="554" w:type="dxa"/>
            <w:vMerge/>
          </w:tcPr>
          <w:p w:rsidR="006B5E05" w:rsidRPr="00080C86" w:rsidRDefault="006B5E05" w:rsidP="008F0BE1">
            <w:pPr>
              <w:spacing w:after="0" w:line="240" w:lineRule="auto"/>
              <w:rPr>
                <w:rFonts w:ascii="Calibri" w:eastAsia="Times New Roman" w:hAnsi="Calibri" w:cs="Times New Roman"/>
                <w:sz w:val="20"/>
                <w:szCs w:val="20"/>
              </w:rPr>
            </w:pPr>
          </w:p>
        </w:tc>
        <w:tc>
          <w:tcPr>
            <w:tcW w:w="724" w:type="dxa"/>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1,616</w:t>
            </w:r>
          </w:p>
        </w:tc>
        <w:tc>
          <w:tcPr>
            <w:tcW w:w="882"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72%</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73%</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72%</w:t>
            </w:r>
          </w:p>
        </w:tc>
        <w:tc>
          <w:tcPr>
            <w:tcW w:w="883"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74%</w:t>
            </w:r>
          </w:p>
        </w:tc>
        <w:tc>
          <w:tcPr>
            <w:tcW w:w="883" w:type="dxa"/>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w:t>
            </w:r>
          </w:p>
        </w:tc>
        <w:tc>
          <w:tcPr>
            <w:tcW w:w="956" w:type="dxa"/>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2%</w:t>
            </w:r>
          </w:p>
        </w:tc>
      </w:tr>
      <w:tr w:rsidR="006B5E05" w:rsidRPr="00080C86" w:rsidTr="008F0BE1">
        <w:tc>
          <w:tcPr>
            <w:tcW w:w="554" w:type="dxa"/>
            <w:vMerge/>
            <w:tcBorders>
              <w:bottom w:val="single" w:sz="4" w:space="0" w:color="auto"/>
            </w:tcBorders>
          </w:tcPr>
          <w:p w:rsidR="006B5E05" w:rsidRPr="00080C86" w:rsidRDefault="006B5E05" w:rsidP="008F0BE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B5E05" w:rsidRPr="00080C86" w:rsidRDefault="006B5E05"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1396"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1,325</w:t>
            </w:r>
          </w:p>
        </w:tc>
        <w:tc>
          <w:tcPr>
            <w:tcW w:w="882"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52.5</w:t>
            </w:r>
          </w:p>
        </w:tc>
        <w:tc>
          <w:tcPr>
            <w:tcW w:w="883"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54.0</w:t>
            </w:r>
          </w:p>
        </w:tc>
        <w:tc>
          <w:tcPr>
            <w:tcW w:w="883"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48.0</w:t>
            </w:r>
          </w:p>
        </w:tc>
        <w:tc>
          <w:tcPr>
            <w:tcW w:w="883"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52.0</w:t>
            </w:r>
          </w:p>
        </w:tc>
        <w:tc>
          <w:tcPr>
            <w:tcW w:w="883" w:type="dxa"/>
            <w:tcBorders>
              <w:bottom w:val="single" w:sz="4" w:space="0" w:color="auto"/>
            </w:tcBorders>
            <w:shd w:val="clear" w:color="auto" w:fill="D9D9D9" w:themeFill="background1" w:themeFillShade="D9"/>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w:t>
            </w:r>
          </w:p>
        </w:tc>
        <w:tc>
          <w:tcPr>
            <w:tcW w:w="884"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-0.5</w:t>
            </w:r>
          </w:p>
        </w:tc>
        <w:tc>
          <w:tcPr>
            <w:tcW w:w="956" w:type="dxa"/>
            <w:tcBorders>
              <w:bottom w:val="single" w:sz="4" w:space="0" w:color="auto"/>
            </w:tcBorders>
            <w:vAlign w:val="center"/>
          </w:tcPr>
          <w:p w:rsidR="006B5E05" w:rsidRPr="00080C86" w:rsidRDefault="006B5E05" w:rsidP="008F0BE1">
            <w:pPr>
              <w:spacing w:after="0" w:line="240" w:lineRule="auto"/>
              <w:jc w:val="center"/>
              <w:rPr>
                <w:rFonts w:ascii="Calibri" w:hAnsi="Calibri"/>
                <w:sz w:val="20"/>
                <w:szCs w:val="20"/>
              </w:rPr>
            </w:pPr>
            <w:r w:rsidRPr="00080C86">
              <w:rPr>
                <w:rFonts w:ascii="Calibri" w:hAnsi="Calibri"/>
                <w:sz w:val="20"/>
                <w:szCs w:val="20"/>
              </w:rPr>
              <w:t>4.0</w:t>
            </w:r>
          </w:p>
        </w:tc>
      </w:tr>
      <w:tr w:rsidR="006B5E05" w:rsidRPr="00080C86" w:rsidTr="008F0BE1">
        <w:tc>
          <w:tcPr>
            <w:tcW w:w="8928" w:type="dxa"/>
            <w:gridSpan w:val="10"/>
            <w:tcBorders>
              <w:left w:val="nil"/>
              <w:bottom w:val="nil"/>
              <w:right w:val="nil"/>
            </w:tcBorders>
          </w:tcPr>
          <w:p w:rsidR="006B5E05" w:rsidRPr="00080C86" w:rsidRDefault="006B5E05" w:rsidP="008F0BE1">
            <w:pPr>
              <w:widowControl w:val="0"/>
              <w:overflowPunct w:val="0"/>
              <w:adjustRightInd w:val="0"/>
              <w:spacing w:before="80" w:after="0" w:line="240" w:lineRule="auto"/>
              <w:rPr>
                <w:rFonts w:ascii="Calibri" w:eastAsia="Times New Roman" w:hAnsi="Calibri" w:cs="Times New Roman"/>
                <w:bCs/>
                <w:kern w:val="28"/>
                <w:sz w:val="20"/>
                <w:szCs w:val="20"/>
              </w:rPr>
            </w:pPr>
            <w:r w:rsidRPr="00080C86">
              <w:rPr>
                <w:rFonts w:ascii="Calibri" w:eastAsia="Times New Roman" w:hAnsi="Calibri" w:cs="Times New Roman"/>
                <w:bCs/>
                <w:kern w:val="28"/>
                <w:sz w:val="20"/>
                <w:szCs w:val="20"/>
              </w:rPr>
              <w:t xml:space="preserve">Notes: The number of students included in CPI and percent </w:t>
            </w:r>
            <w:r w:rsidRPr="00080C86">
              <w:rPr>
                <w:rFonts w:ascii="Calibri" w:eastAsia="Times New Roman" w:hAnsi="Calibri" w:cs="Times New Roman"/>
                <w:bCs/>
                <w:i/>
                <w:kern w:val="28"/>
                <w:sz w:val="20"/>
                <w:szCs w:val="20"/>
              </w:rPr>
              <w:t>Proficient</w:t>
            </w:r>
            <w:r w:rsidRPr="00080C86">
              <w:rPr>
                <w:rFonts w:ascii="Calibri" w:eastAsia="Times New Roman" w:hAnsi="Calibri" w:cs="Times New Roman"/>
                <w:bCs/>
                <w:kern w:val="28"/>
                <w:sz w:val="20"/>
                <w:szCs w:val="20"/>
              </w:rPr>
              <w:t xml:space="preserve"> or </w:t>
            </w:r>
            <w:r w:rsidRPr="00080C86">
              <w:rPr>
                <w:rFonts w:ascii="Calibri" w:eastAsia="Times New Roman" w:hAnsi="Calibri" w:cs="Times New Roman"/>
                <w:bCs/>
                <w:i/>
                <w:kern w:val="28"/>
                <w:sz w:val="20"/>
                <w:szCs w:val="20"/>
              </w:rPr>
              <w:t>Advanced</w:t>
            </w:r>
            <w:r w:rsidRPr="00080C86">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604CF1" w:rsidRPr="00A6036B" w:rsidRDefault="00604CF1" w:rsidP="00604CF1">
      <w:pPr>
        <w:spacing w:after="0"/>
        <w:jc w:val="center"/>
        <w:rPr>
          <w:rFonts w:ascii="Calibri" w:eastAsia="Calibri" w:hAnsi="Calibri" w:cs="Times New Roman"/>
          <w:b/>
          <w:sz w:val="20"/>
        </w:rPr>
      </w:pPr>
      <w:r w:rsidRPr="00A6036B">
        <w:rPr>
          <w:rFonts w:ascii="Calibri" w:eastAsia="Calibri" w:hAnsi="Calibri" w:cs="Times New Roman"/>
          <w:b/>
          <w:sz w:val="20"/>
        </w:rPr>
        <w:t>Table B2b: Dighton-Rehoboth Regional School District</w:t>
      </w:r>
    </w:p>
    <w:p w:rsidR="00604CF1" w:rsidRPr="00A6036B" w:rsidRDefault="00604CF1" w:rsidP="00604CF1">
      <w:pPr>
        <w:spacing w:after="0"/>
        <w:jc w:val="center"/>
        <w:rPr>
          <w:rFonts w:ascii="Calibri" w:eastAsia="Calibri" w:hAnsi="Calibri" w:cs="Times New Roman"/>
          <w:b/>
          <w:sz w:val="20"/>
        </w:rPr>
      </w:pPr>
      <w:r w:rsidRPr="00A6036B">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04CF1" w:rsidRPr="00A6036B" w:rsidTr="008F0BE1">
        <w:tc>
          <w:tcPr>
            <w:tcW w:w="1278" w:type="dxa"/>
            <w:gridSpan w:val="2"/>
            <w:vMerge w:val="restart"/>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Grade and Measure</w:t>
            </w:r>
          </w:p>
        </w:tc>
        <w:tc>
          <w:tcPr>
            <w:tcW w:w="1396" w:type="dxa"/>
            <w:vMerge w:val="restart"/>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Number Included (2016)</w:t>
            </w:r>
          </w:p>
        </w:tc>
        <w:tc>
          <w:tcPr>
            <w:tcW w:w="4414" w:type="dxa"/>
            <w:gridSpan w:val="5"/>
            <w:vMerge w:val="restart"/>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Spring MCAS Year</w:t>
            </w:r>
          </w:p>
        </w:tc>
        <w:tc>
          <w:tcPr>
            <w:tcW w:w="1840" w:type="dxa"/>
            <w:gridSpan w:val="2"/>
          </w:tcPr>
          <w:p w:rsidR="00604CF1" w:rsidRPr="00A6036B" w:rsidRDefault="00604CF1" w:rsidP="008F0BE1">
            <w:pPr>
              <w:spacing w:after="0" w:line="240" w:lineRule="auto"/>
              <w:rPr>
                <w:rFonts w:ascii="Calibri" w:eastAsia="Times New Roman" w:hAnsi="Calibri" w:cs="Times New Roman"/>
                <w:b/>
                <w:sz w:val="20"/>
                <w:szCs w:val="20"/>
              </w:rPr>
            </w:pPr>
            <w:r w:rsidRPr="00A6036B">
              <w:rPr>
                <w:rFonts w:ascii="Calibri" w:eastAsia="Times New Roman" w:hAnsi="Calibri" w:cs="Times New Roman"/>
                <w:b/>
                <w:sz w:val="20"/>
                <w:szCs w:val="20"/>
              </w:rPr>
              <w:t>Gains and Declines</w:t>
            </w:r>
          </w:p>
        </w:tc>
      </w:tr>
      <w:tr w:rsidR="00604CF1" w:rsidRPr="00A6036B" w:rsidTr="008F0BE1">
        <w:trPr>
          <w:trHeight w:val="244"/>
        </w:trPr>
        <w:tc>
          <w:tcPr>
            <w:tcW w:w="1278" w:type="dxa"/>
            <w:gridSpan w:val="2"/>
            <w:vMerge/>
          </w:tcPr>
          <w:p w:rsidR="00604CF1" w:rsidRPr="00A6036B" w:rsidRDefault="00604CF1" w:rsidP="008F0BE1">
            <w:pPr>
              <w:spacing w:after="0" w:line="240" w:lineRule="auto"/>
              <w:rPr>
                <w:rFonts w:ascii="Calibri" w:eastAsia="Times New Roman" w:hAnsi="Calibri" w:cs="Times New Roman"/>
                <w:b/>
                <w:sz w:val="20"/>
                <w:szCs w:val="20"/>
              </w:rPr>
            </w:pPr>
          </w:p>
        </w:tc>
        <w:tc>
          <w:tcPr>
            <w:tcW w:w="1396" w:type="dxa"/>
            <w:vMerge/>
          </w:tcPr>
          <w:p w:rsidR="00604CF1" w:rsidRPr="00A6036B" w:rsidRDefault="00604CF1" w:rsidP="008F0BE1">
            <w:pPr>
              <w:spacing w:after="0" w:line="240" w:lineRule="auto"/>
              <w:rPr>
                <w:rFonts w:ascii="Calibri" w:eastAsia="Times New Roman" w:hAnsi="Calibri" w:cs="Times New Roman"/>
                <w:b/>
                <w:sz w:val="20"/>
                <w:szCs w:val="20"/>
              </w:rPr>
            </w:pPr>
          </w:p>
        </w:tc>
        <w:tc>
          <w:tcPr>
            <w:tcW w:w="4414" w:type="dxa"/>
            <w:gridSpan w:val="5"/>
            <w:vMerge/>
          </w:tcPr>
          <w:p w:rsidR="00604CF1" w:rsidRPr="00A6036B" w:rsidRDefault="00604CF1" w:rsidP="008F0BE1">
            <w:pPr>
              <w:spacing w:after="0" w:line="240" w:lineRule="auto"/>
              <w:rPr>
                <w:rFonts w:ascii="Calibri" w:eastAsia="Times New Roman" w:hAnsi="Calibri" w:cs="Times New Roman"/>
                <w:b/>
                <w:sz w:val="20"/>
                <w:szCs w:val="20"/>
              </w:rPr>
            </w:pPr>
          </w:p>
        </w:tc>
        <w:tc>
          <w:tcPr>
            <w:tcW w:w="884" w:type="dxa"/>
            <w:vMerge w:val="restart"/>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4-Year Trend</w:t>
            </w:r>
          </w:p>
        </w:tc>
        <w:tc>
          <w:tcPr>
            <w:tcW w:w="956" w:type="dxa"/>
            <w:vMerge w:val="restart"/>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2-Year Trend</w:t>
            </w:r>
          </w:p>
        </w:tc>
      </w:tr>
      <w:tr w:rsidR="00604CF1" w:rsidRPr="00A6036B" w:rsidTr="008F0BE1">
        <w:tc>
          <w:tcPr>
            <w:tcW w:w="1278" w:type="dxa"/>
            <w:gridSpan w:val="2"/>
            <w:vMerge/>
          </w:tcPr>
          <w:p w:rsidR="00604CF1" w:rsidRPr="00A6036B" w:rsidRDefault="00604CF1" w:rsidP="008F0BE1">
            <w:pPr>
              <w:spacing w:after="0" w:line="240" w:lineRule="auto"/>
              <w:rPr>
                <w:rFonts w:ascii="Calibri" w:eastAsia="Times New Roman" w:hAnsi="Calibri" w:cs="Times New Roman"/>
                <w:sz w:val="20"/>
                <w:szCs w:val="20"/>
              </w:rPr>
            </w:pPr>
          </w:p>
        </w:tc>
        <w:tc>
          <w:tcPr>
            <w:tcW w:w="1396" w:type="dxa"/>
            <w:vMerge/>
          </w:tcPr>
          <w:p w:rsidR="00604CF1" w:rsidRPr="00A6036B" w:rsidRDefault="00604CF1" w:rsidP="008F0BE1">
            <w:pPr>
              <w:spacing w:after="0" w:line="240" w:lineRule="auto"/>
              <w:rPr>
                <w:rFonts w:ascii="Calibri" w:eastAsia="Times New Roman" w:hAnsi="Calibri" w:cs="Times New Roman"/>
                <w:sz w:val="20"/>
                <w:szCs w:val="20"/>
              </w:rPr>
            </w:pPr>
          </w:p>
        </w:tc>
        <w:tc>
          <w:tcPr>
            <w:tcW w:w="882" w:type="dxa"/>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2013</w:t>
            </w:r>
          </w:p>
        </w:tc>
        <w:tc>
          <w:tcPr>
            <w:tcW w:w="883" w:type="dxa"/>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2014</w:t>
            </w:r>
          </w:p>
        </w:tc>
        <w:tc>
          <w:tcPr>
            <w:tcW w:w="883" w:type="dxa"/>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2015</w:t>
            </w:r>
          </w:p>
        </w:tc>
        <w:tc>
          <w:tcPr>
            <w:tcW w:w="883" w:type="dxa"/>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2016</w:t>
            </w:r>
          </w:p>
        </w:tc>
        <w:tc>
          <w:tcPr>
            <w:tcW w:w="883" w:type="dxa"/>
            <w:shd w:val="clear" w:color="auto" w:fill="BFBFBF" w:themeFill="background1" w:themeFillShade="BF"/>
            <w:vAlign w:val="center"/>
          </w:tcPr>
          <w:p w:rsidR="00604CF1" w:rsidRPr="00A6036B" w:rsidRDefault="00604CF1" w:rsidP="008F0BE1">
            <w:pPr>
              <w:spacing w:after="0" w:line="240" w:lineRule="auto"/>
              <w:jc w:val="center"/>
              <w:rPr>
                <w:rFonts w:ascii="Calibri" w:eastAsia="Times New Roman" w:hAnsi="Calibri" w:cs="Times New Roman"/>
                <w:b/>
                <w:sz w:val="20"/>
                <w:szCs w:val="20"/>
              </w:rPr>
            </w:pPr>
            <w:r w:rsidRPr="00A6036B">
              <w:rPr>
                <w:rFonts w:ascii="Calibri" w:eastAsia="Times New Roman" w:hAnsi="Calibri" w:cs="Times New Roman"/>
                <w:b/>
                <w:sz w:val="20"/>
                <w:szCs w:val="20"/>
              </w:rPr>
              <w:t>State (2016)</w:t>
            </w:r>
          </w:p>
        </w:tc>
        <w:tc>
          <w:tcPr>
            <w:tcW w:w="884" w:type="dxa"/>
            <w:vMerge/>
          </w:tcPr>
          <w:p w:rsidR="00604CF1" w:rsidRPr="00A6036B" w:rsidRDefault="00604CF1" w:rsidP="008F0BE1">
            <w:pPr>
              <w:spacing w:after="0" w:line="240" w:lineRule="auto"/>
              <w:rPr>
                <w:rFonts w:ascii="Calibri" w:eastAsia="Times New Roman" w:hAnsi="Calibri" w:cs="Times New Roman"/>
                <w:sz w:val="20"/>
                <w:szCs w:val="20"/>
              </w:rPr>
            </w:pPr>
          </w:p>
        </w:tc>
        <w:tc>
          <w:tcPr>
            <w:tcW w:w="956" w:type="dxa"/>
            <w:vMerge/>
          </w:tcPr>
          <w:p w:rsidR="00604CF1" w:rsidRPr="00A6036B" w:rsidRDefault="00604CF1" w:rsidP="008F0BE1">
            <w:pPr>
              <w:spacing w:after="0" w:line="240" w:lineRule="auto"/>
              <w:rPr>
                <w:rFonts w:ascii="Calibri" w:eastAsia="Times New Roman" w:hAnsi="Calibri" w:cs="Times New Roman"/>
                <w:sz w:val="20"/>
                <w:szCs w:val="20"/>
              </w:rPr>
            </w:pP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3</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208</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83.5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84.1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84.1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85.8</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2.3</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1.7</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208</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64%</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4</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238</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82.1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77.4</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76.1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82.7</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0.6</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6.6</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238</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54%</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56%</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17%</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224</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53.0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42.0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49.0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63.0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10.0</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14.0</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5</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231</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85.7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76.5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83.3</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-2.4</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6.8</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231</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53%</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221</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50.0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37.0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46.5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61.0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11.0</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14.5</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6</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227</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79.1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81.6</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78.7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80.8</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1.7</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2.1</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227</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214</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47.0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43.0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40.0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54.0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7.0</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14.0</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7</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253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80.6</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71.6</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81.2</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79</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-1.6</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253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62%</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55%</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248</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58.0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50.0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53.5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66.0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12.5</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8</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243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77.9</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75.2</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73</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74.8</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-3.1</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1.8</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243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56%</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48%</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51%</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226</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43.0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39.0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42.0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26.5</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-16.5</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-15.5</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10</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213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92.7</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92.1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95.1</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93.8</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89.7</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1.1</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-1.3</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213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83%</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82%</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86%</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83%</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78%</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0%</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w:t>
            </w:r>
          </w:p>
        </w:tc>
      </w:tr>
      <w:tr w:rsidR="00604CF1" w:rsidRPr="00A6036B" w:rsidTr="008F0BE1">
        <w:tc>
          <w:tcPr>
            <w:tcW w:w="554" w:type="dxa"/>
            <w:vMerge/>
            <w:vAlign w:val="center"/>
          </w:tcPr>
          <w:p w:rsidR="00604CF1" w:rsidRPr="00A6036B" w:rsidRDefault="00604CF1" w:rsidP="008F0BE1">
            <w:pPr>
              <w:spacing w:after="0" w:line="240" w:lineRule="auto"/>
              <w:jc w:val="center"/>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187</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52.5</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46.0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49.0</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52.0</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50.0</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-0.5</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3.0</w:t>
            </w:r>
          </w:p>
        </w:tc>
      </w:tr>
      <w:tr w:rsidR="00604CF1" w:rsidRPr="00A6036B" w:rsidTr="008F0BE1">
        <w:tc>
          <w:tcPr>
            <w:tcW w:w="554" w:type="dxa"/>
            <w:vMerge w:val="restart"/>
            <w:vAlign w:val="center"/>
          </w:tcPr>
          <w:p w:rsidR="00604CF1" w:rsidRPr="00A6036B" w:rsidRDefault="00604CF1" w:rsidP="008F0BE1">
            <w:pPr>
              <w:spacing w:after="0" w:line="240" w:lineRule="auto"/>
              <w:jc w:val="center"/>
              <w:rPr>
                <w:rFonts w:ascii="Calibri" w:eastAsia="Times New Roman" w:hAnsi="Calibri" w:cs="Times New Roman"/>
                <w:sz w:val="20"/>
                <w:szCs w:val="20"/>
              </w:rPr>
            </w:pPr>
            <w:r w:rsidRPr="00A6036B">
              <w:rPr>
                <w:rFonts w:ascii="Calibri" w:eastAsia="Times New Roman" w:hAnsi="Calibri" w:cs="Times New Roman"/>
                <w:sz w:val="20"/>
                <w:szCs w:val="20"/>
              </w:rPr>
              <w:t>All</w:t>
            </w: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CPI</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1,613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82.8</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80.2</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80.4</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82.6</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-0.2</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2.2</w:t>
            </w:r>
          </w:p>
        </w:tc>
      </w:tr>
      <w:tr w:rsidR="00604CF1" w:rsidRPr="00A6036B" w:rsidTr="008F0BE1">
        <w:tc>
          <w:tcPr>
            <w:tcW w:w="554" w:type="dxa"/>
            <w:vMerge/>
          </w:tcPr>
          <w:p w:rsidR="00604CF1" w:rsidRPr="00A6036B" w:rsidRDefault="00604CF1" w:rsidP="008F0BE1">
            <w:pPr>
              <w:spacing w:after="0" w:line="240" w:lineRule="auto"/>
              <w:rPr>
                <w:rFonts w:ascii="Calibri" w:eastAsia="Times New Roman" w:hAnsi="Calibri" w:cs="Times New Roman"/>
                <w:sz w:val="20"/>
                <w:szCs w:val="20"/>
              </w:rPr>
            </w:pPr>
          </w:p>
        </w:tc>
        <w:tc>
          <w:tcPr>
            <w:tcW w:w="724" w:type="dxa"/>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P+</w:t>
            </w:r>
          </w:p>
        </w:tc>
        <w:tc>
          <w:tcPr>
            <w:tcW w:w="139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1,613</w:t>
            </w:r>
          </w:p>
        </w:tc>
        <w:tc>
          <w:tcPr>
            <w:tcW w:w="882"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63%</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58%</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58%</w:t>
            </w:r>
          </w:p>
        </w:tc>
        <w:tc>
          <w:tcPr>
            <w:tcW w:w="883"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62%</w:t>
            </w:r>
          </w:p>
        </w:tc>
        <w:tc>
          <w:tcPr>
            <w:tcW w:w="883" w:type="dxa"/>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-1%</w:t>
            </w:r>
          </w:p>
        </w:tc>
        <w:tc>
          <w:tcPr>
            <w:tcW w:w="956" w:type="dxa"/>
            <w:vAlign w:val="center"/>
          </w:tcPr>
          <w:p w:rsidR="00604CF1" w:rsidRPr="00A6036B" w:rsidRDefault="00604CF1" w:rsidP="008F0BE1">
            <w:pPr>
              <w:spacing w:after="0" w:line="240" w:lineRule="auto"/>
              <w:jc w:val="center"/>
              <w:rPr>
                <w:rFonts w:ascii="Calibri" w:hAnsi="Calibri"/>
              </w:rPr>
            </w:pPr>
            <w:r w:rsidRPr="00A6036B">
              <w:rPr>
                <w:rFonts w:ascii="Calibri" w:hAnsi="Calibri"/>
              </w:rPr>
              <w:t>4%</w:t>
            </w:r>
          </w:p>
        </w:tc>
      </w:tr>
      <w:tr w:rsidR="00604CF1" w:rsidRPr="00A6036B" w:rsidTr="008F0BE1">
        <w:tc>
          <w:tcPr>
            <w:tcW w:w="554" w:type="dxa"/>
            <w:vMerge/>
            <w:tcBorders>
              <w:bottom w:val="single" w:sz="4" w:space="0" w:color="auto"/>
            </w:tcBorders>
          </w:tcPr>
          <w:p w:rsidR="00604CF1" w:rsidRPr="00A6036B" w:rsidRDefault="00604CF1" w:rsidP="008F0BE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04CF1" w:rsidRPr="00A6036B" w:rsidRDefault="00604CF1" w:rsidP="008F0BE1">
            <w:pPr>
              <w:spacing w:after="0" w:line="240" w:lineRule="auto"/>
              <w:rPr>
                <w:rFonts w:ascii="Calibri" w:eastAsia="Times New Roman" w:hAnsi="Calibri" w:cs="Times New Roman"/>
                <w:sz w:val="20"/>
                <w:szCs w:val="20"/>
              </w:rPr>
            </w:pPr>
            <w:r w:rsidRPr="00A6036B">
              <w:rPr>
                <w:rFonts w:ascii="Calibri" w:eastAsia="Times New Roman" w:hAnsi="Calibri" w:cs="Times New Roman"/>
                <w:sz w:val="20"/>
                <w:szCs w:val="20"/>
              </w:rPr>
              <w:t>SGP</w:t>
            </w:r>
          </w:p>
        </w:tc>
        <w:tc>
          <w:tcPr>
            <w:tcW w:w="1396"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1,320</w:t>
            </w:r>
          </w:p>
        </w:tc>
        <w:tc>
          <w:tcPr>
            <w:tcW w:w="882"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51.0</w:t>
            </w:r>
          </w:p>
        </w:tc>
        <w:tc>
          <w:tcPr>
            <w:tcW w:w="883"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43.0</w:t>
            </w:r>
          </w:p>
        </w:tc>
        <w:tc>
          <w:tcPr>
            <w:tcW w:w="883"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46.0</w:t>
            </w:r>
          </w:p>
        </w:tc>
        <w:tc>
          <w:tcPr>
            <w:tcW w:w="883"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56.0</w:t>
            </w:r>
          </w:p>
        </w:tc>
        <w:tc>
          <w:tcPr>
            <w:tcW w:w="883" w:type="dxa"/>
            <w:tcBorders>
              <w:bottom w:val="single" w:sz="4" w:space="0" w:color="auto"/>
            </w:tcBorders>
            <w:shd w:val="clear" w:color="auto" w:fill="BFBFBF" w:themeFill="background1" w:themeFillShade="BF"/>
            <w:vAlign w:val="bottom"/>
          </w:tcPr>
          <w:p w:rsidR="00604CF1" w:rsidRPr="00A6036B" w:rsidRDefault="00604CF1" w:rsidP="008F0BE1">
            <w:pPr>
              <w:spacing w:after="0" w:line="240" w:lineRule="auto"/>
              <w:jc w:val="center"/>
              <w:rPr>
                <w:rFonts w:ascii="Calibri" w:hAnsi="Calibri"/>
              </w:rPr>
            </w:pPr>
            <w:r w:rsidRPr="00A6036B">
              <w:rPr>
                <w:rFonts w:ascii="Calibri" w:hAnsi="Calibri"/>
              </w:rPr>
              <w:t>--</w:t>
            </w:r>
          </w:p>
        </w:tc>
        <w:tc>
          <w:tcPr>
            <w:tcW w:w="884"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5.0</w:t>
            </w:r>
          </w:p>
        </w:tc>
        <w:tc>
          <w:tcPr>
            <w:tcW w:w="956" w:type="dxa"/>
            <w:tcBorders>
              <w:bottom w:val="single" w:sz="4" w:space="0" w:color="auto"/>
            </w:tcBorders>
            <w:vAlign w:val="center"/>
          </w:tcPr>
          <w:p w:rsidR="00604CF1" w:rsidRPr="00A6036B" w:rsidRDefault="00604CF1" w:rsidP="008F0BE1">
            <w:pPr>
              <w:spacing w:after="0" w:line="240" w:lineRule="auto"/>
              <w:jc w:val="center"/>
              <w:rPr>
                <w:rFonts w:ascii="Calibri" w:hAnsi="Calibri"/>
              </w:rPr>
            </w:pPr>
            <w:r w:rsidRPr="00A6036B">
              <w:rPr>
                <w:rFonts w:ascii="Calibri" w:hAnsi="Calibri"/>
              </w:rPr>
              <w:t>10.0</w:t>
            </w:r>
          </w:p>
        </w:tc>
      </w:tr>
      <w:tr w:rsidR="00604CF1" w:rsidRPr="00A6036B" w:rsidTr="008F0BE1">
        <w:tc>
          <w:tcPr>
            <w:tcW w:w="8928" w:type="dxa"/>
            <w:gridSpan w:val="10"/>
            <w:tcBorders>
              <w:left w:val="nil"/>
              <w:bottom w:val="nil"/>
              <w:right w:val="nil"/>
            </w:tcBorders>
          </w:tcPr>
          <w:p w:rsidR="00604CF1" w:rsidRPr="00A6036B" w:rsidRDefault="00604CF1" w:rsidP="008F0BE1">
            <w:pPr>
              <w:widowControl w:val="0"/>
              <w:overflowPunct w:val="0"/>
              <w:adjustRightInd w:val="0"/>
              <w:spacing w:before="80" w:after="0" w:line="240" w:lineRule="auto"/>
              <w:rPr>
                <w:rFonts w:ascii="Calibri" w:eastAsia="Times New Roman" w:hAnsi="Calibri" w:cs="Times New Roman"/>
                <w:bCs/>
                <w:kern w:val="28"/>
                <w:sz w:val="20"/>
                <w:szCs w:val="20"/>
              </w:rPr>
            </w:pPr>
            <w:r w:rsidRPr="00A6036B">
              <w:rPr>
                <w:rFonts w:ascii="Calibri" w:eastAsia="Times New Roman" w:hAnsi="Calibri" w:cs="Times New Roman"/>
                <w:bCs/>
                <w:kern w:val="28"/>
                <w:sz w:val="20"/>
                <w:szCs w:val="20"/>
              </w:rPr>
              <w:t xml:space="preserve">Notes: The number of students included in CPI and percent </w:t>
            </w:r>
            <w:r w:rsidRPr="00A6036B">
              <w:rPr>
                <w:rFonts w:ascii="Calibri" w:eastAsia="Times New Roman" w:hAnsi="Calibri" w:cs="Times New Roman"/>
                <w:bCs/>
                <w:i/>
                <w:kern w:val="28"/>
                <w:sz w:val="20"/>
                <w:szCs w:val="20"/>
              </w:rPr>
              <w:t>Proficient</w:t>
            </w:r>
            <w:r w:rsidRPr="00A6036B">
              <w:rPr>
                <w:rFonts w:ascii="Calibri" w:eastAsia="Times New Roman" w:hAnsi="Calibri" w:cs="Times New Roman"/>
                <w:bCs/>
                <w:kern w:val="28"/>
                <w:sz w:val="20"/>
                <w:szCs w:val="20"/>
              </w:rPr>
              <w:t xml:space="preserve"> or </w:t>
            </w:r>
            <w:r w:rsidRPr="00A6036B">
              <w:rPr>
                <w:rFonts w:ascii="Calibri" w:eastAsia="Times New Roman" w:hAnsi="Calibri" w:cs="Times New Roman"/>
                <w:bCs/>
                <w:i/>
                <w:kern w:val="28"/>
                <w:sz w:val="20"/>
                <w:szCs w:val="20"/>
              </w:rPr>
              <w:t>Advanced</w:t>
            </w:r>
            <w:r w:rsidRPr="00A6036B">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54E16" w:rsidRPr="00080C86" w:rsidRDefault="00654E16" w:rsidP="00654E16">
      <w:pPr>
        <w:spacing w:after="0"/>
        <w:jc w:val="center"/>
        <w:rPr>
          <w:rFonts w:ascii="Calibri" w:eastAsia="Calibri" w:hAnsi="Calibri" w:cs="Times New Roman"/>
          <w:b/>
          <w:sz w:val="20"/>
        </w:rPr>
      </w:pPr>
      <w:r w:rsidRPr="00080C86">
        <w:rPr>
          <w:rFonts w:ascii="Calibri" w:eastAsia="Calibri" w:hAnsi="Calibri" w:cs="Times New Roman"/>
          <w:b/>
          <w:sz w:val="20"/>
        </w:rPr>
        <w:lastRenderedPageBreak/>
        <w:t>Table B2c: Dighton-Rehoboth Regional School District</w:t>
      </w:r>
    </w:p>
    <w:p w:rsidR="00654E16" w:rsidRPr="00080C86" w:rsidRDefault="00654E16" w:rsidP="00654E16">
      <w:pPr>
        <w:spacing w:after="0"/>
        <w:jc w:val="center"/>
        <w:rPr>
          <w:rFonts w:ascii="Calibri" w:eastAsia="Calibri" w:hAnsi="Calibri" w:cs="Times New Roman"/>
          <w:b/>
          <w:sz w:val="20"/>
        </w:rPr>
      </w:pPr>
      <w:r w:rsidRPr="00080C86">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54E16" w:rsidRPr="00080C86" w:rsidTr="008F0BE1">
        <w:tc>
          <w:tcPr>
            <w:tcW w:w="1278" w:type="dxa"/>
            <w:gridSpan w:val="2"/>
            <w:vMerge w:val="restart"/>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Grade and Measure</w:t>
            </w:r>
          </w:p>
        </w:tc>
        <w:tc>
          <w:tcPr>
            <w:tcW w:w="1396" w:type="dxa"/>
            <w:vMerge w:val="restart"/>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Number Included (2016)</w:t>
            </w:r>
          </w:p>
        </w:tc>
        <w:tc>
          <w:tcPr>
            <w:tcW w:w="4414" w:type="dxa"/>
            <w:gridSpan w:val="5"/>
            <w:vMerge w:val="restart"/>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Spring MCAS Year</w:t>
            </w:r>
          </w:p>
        </w:tc>
        <w:tc>
          <w:tcPr>
            <w:tcW w:w="1840" w:type="dxa"/>
            <w:gridSpan w:val="2"/>
          </w:tcPr>
          <w:p w:rsidR="00654E16" w:rsidRPr="00080C86" w:rsidRDefault="00654E16" w:rsidP="008F0BE1">
            <w:pPr>
              <w:spacing w:after="0" w:line="240" w:lineRule="auto"/>
              <w:rPr>
                <w:rFonts w:ascii="Calibri" w:eastAsia="Times New Roman" w:hAnsi="Calibri" w:cs="Times New Roman"/>
                <w:b/>
                <w:sz w:val="20"/>
                <w:szCs w:val="20"/>
              </w:rPr>
            </w:pPr>
            <w:r w:rsidRPr="00080C86">
              <w:rPr>
                <w:rFonts w:ascii="Calibri" w:eastAsia="Times New Roman" w:hAnsi="Calibri" w:cs="Times New Roman"/>
                <w:b/>
                <w:sz w:val="20"/>
                <w:szCs w:val="20"/>
              </w:rPr>
              <w:t>Gains and Declines</w:t>
            </w:r>
          </w:p>
        </w:tc>
      </w:tr>
      <w:tr w:rsidR="00654E16" w:rsidRPr="00080C86" w:rsidTr="008F0BE1">
        <w:trPr>
          <w:trHeight w:val="244"/>
        </w:trPr>
        <w:tc>
          <w:tcPr>
            <w:tcW w:w="1278" w:type="dxa"/>
            <w:gridSpan w:val="2"/>
            <w:vMerge/>
          </w:tcPr>
          <w:p w:rsidR="00654E16" w:rsidRPr="00080C86" w:rsidRDefault="00654E16" w:rsidP="008F0BE1">
            <w:pPr>
              <w:spacing w:after="0" w:line="240" w:lineRule="auto"/>
              <w:rPr>
                <w:rFonts w:ascii="Calibri" w:eastAsia="Times New Roman" w:hAnsi="Calibri" w:cs="Times New Roman"/>
                <w:b/>
                <w:sz w:val="20"/>
                <w:szCs w:val="20"/>
              </w:rPr>
            </w:pPr>
          </w:p>
        </w:tc>
        <w:tc>
          <w:tcPr>
            <w:tcW w:w="1396" w:type="dxa"/>
            <w:vMerge/>
          </w:tcPr>
          <w:p w:rsidR="00654E16" w:rsidRPr="00080C86" w:rsidRDefault="00654E16" w:rsidP="008F0BE1">
            <w:pPr>
              <w:spacing w:after="0" w:line="240" w:lineRule="auto"/>
              <w:rPr>
                <w:rFonts w:ascii="Calibri" w:eastAsia="Times New Roman" w:hAnsi="Calibri" w:cs="Times New Roman"/>
                <w:b/>
                <w:sz w:val="20"/>
                <w:szCs w:val="20"/>
              </w:rPr>
            </w:pPr>
          </w:p>
        </w:tc>
        <w:tc>
          <w:tcPr>
            <w:tcW w:w="4414" w:type="dxa"/>
            <w:gridSpan w:val="5"/>
            <w:vMerge/>
          </w:tcPr>
          <w:p w:rsidR="00654E16" w:rsidRPr="00080C86" w:rsidRDefault="00654E16" w:rsidP="008F0BE1">
            <w:pPr>
              <w:spacing w:after="0" w:line="240" w:lineRule="auto"/>
              <w:rPr>
                <w:rFonts w:ascii="Calibri" w:eastAsia="Times New Roman" w:hAnsi="Calibri" w:cs="Times New Roman"/>
                <w:b/>
                <w:sz w:val="20"/>
                <w:szCs w:val="20"/>
              </w:rPr>
            </w:pPr>
          </w:p>
        </w:tc>
        <w:tc>
          <w:tcPr>
            <w:tcW w:w="884" w:type="dxa"/>
            <w:vMerge w:val="restart"/>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4-Year Trend</w:t>
            </w:r>
          </w:p>
        </w:tc>
        <w:tc>
          <w:tcPr>
            <w:tcW w:w="956" w:type="dxa"/>
            <w:vMerge w:val="restart"/>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2-Year Trend</w:t>
            </w:r>
          </w:p>
        </w:tc>
      </w:tr>
      <w:tr w:rsidR="00654E16" w:rsidRPr="00080C86" w:rsidTr="008F0BE1">
        <w:tc>
          <w:tcPr>
            <w:tcW w:w="1278" w:type="dxa"/>
            <w:gridSpan w:val="2"/>
            <w:vMerge/>
          </w:tcPr>
          <w:p w:rsidR="00654E16" w:rsidRPr="00080C86" w:rsidRDefault="00654E16" w:rsidP="008F0BE1">
            <w:pPr>
              <w:spacing w:after="0" w:line="240" w:lineRule="auto"/>
              <w:rPr>
                <w:rFonts w:ascii="Calibri" w:eastAsia="Times New Roman" w:hAnsi="Calibri" w:cs="Times New Roman"/>
                <w:sz w:val="20"/>
                <w:szCs w:val="20"/>
              </w:rPr>
            </w:pPr>
          </w:p>
        </w:tc>
        <w:tc>
          <w:tcPr>
            <w:tcW w:w="1396" w:type="dxa"/>
            <w:vMerge/>
          </w:tcPr>
          <w:p w:rsidR="00654E16" w:rsidRPr="00080C86" w:rsidRDefault="00654E16" w:rsidP="008F0BE1">
            <w:pPr>
              <w:spacing w:after="0" w:line="240" w:lineRule="auto"/>
              <w:rPr>
                <w:rFonts w:ascii="Calibri" w:eastAsia="Times New Roman" w:hAnsi="Calibri" w:cs="Times New Roman"/>
                <w:sz w:val="20"/>
                <w:szCs w:val="20"/>
              </w:rPr>
            </w:pPr>
          </w:p>
        </w:tc>
        <w:tc>
          <w:tcPr>
            <w:tcW w:w="882" w:type="dxa"/>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2013</w:t>
            </w:r>
          </w:p>
        </w:tc>
        <w:tc>
          <w:tcPr>
            <w:tcW w:w="883" w:type="dxa"/>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2014</w:t>
            </w:r>
          </w:p>
        </w:tc>
        <w:tc>
          <w:tcPr>
            <w:tcW w:w="883" w:type="dxa"/>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2015</w:t>
            </w:r>
          </w:p>
        </w:tc>
        <w:tc>
          <w:tcPr>
            <w:tcW w:w="883" w:type="dxa"/>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654E16" w:rsidRPr="00080C86" w:rsidRDefault="00654E16"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State (2016)</w:t>
            </w:r>
          </w:p>
        </w:tc>
        <w:tc>
          <w:tcPr>
            <w:tcW w:w="884" w:type="dxa"/>
            <w:vMerge/>
          </w:tcPr>
          <w:p w:rsidR="00654E16" w:rsidRPr="00080C86" w:rsidRDefault="00654E16" w:rsidP="008F0BE1">
            <w:pPr>
              <w:spacing w:after="0" w:line="240" w:lineRule="auto"/>
              <w:rPr>
                <w:rFonts w:ascii="Calibri" w:eastAsia="Times New Roman" w:hAnsi="Calibri" w:cs="Times New Roman"/>
                <w:sz w:val="20"/>
                <w:szCs w:val="20"/>
              </w:rPr>
            </w:pPr>
          </w:p>
        </w:tc>
        <w:tc>
          <w:tcPr>
            <w:tcW w:w="956" w:type="dxa"/>
            <w:vMerge/>
          </w:tcPr>
          <w:p w:rsidR="00654E16" w:rsidRPr="00080C86" w:rsidRDefault="00654E16" w:rsidP="008F0BE1">
            <w:pPr>
              <w:spacing w:after="0" w:line="240" w:lineRule="auto"/>
              <w:rPr>
                <w:rFonts w:ascii="Calibri" w:eastAsia="Times New Roman" w:hAnsi="Calibri" w:cs="Times New Roman"/>
                <w:sz w:val="20"/>
                <w:szCs w:val="20"/>
              </w:rPr>
            </w:pPr>
          </w:p>
        </w:tc>
      </w:tr>
      <w:tr w:rsidR="00654E16" w:rsidRPr="00080C86" w:rsidTr="008F0BE1">
        <w:tc>
          <w:tcPr>
            <w:tcW w:w="554" w:type="dxa"/>
            <w:vMerge w:val="restart"/>
            <w:vAlign w:val="center"/>
          </w:tcPr>
          <w:p w:rsidR="00654E16" w:rsidRPr="00080C86" w:rsidRDefault="00654E16"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5</w:t>
            </w: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231</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81.7</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80.9</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74.6</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75.3</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76.4</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-6.4</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0.7</w:t>
            </w:r>
          </w:p>
        </w:tc>
      </w:tr>
      <w:tr w:rsidR="00654E16" w:rsidRPr="00080C86" w:rsidTr="008F0BE1">
        <w:tc>
          <w:tcPr>
            <w:tcW w:w="554" w:type="dxa"/>
            <w:vMerge/>
            <w:vAlign w:val="center"/>
          </w:tcPr>
          <w:p w:rsidR="00654E16" w:rsidRPr="00080C86" w:rsidRDefault="00654E16" w:rsidP="008F0BE1">
            <w:pPr>
              <w:spacing w:after="0" w:line="240" w:lineRule="auto"/>
              <w:jc w:val="center"/>
              <w:rPr>
                <w:rFonts w:ascii="Calibri" w:eastAsia="Times New Roman" w:hAnsi="Calibri" w:cs="Times New Roman"/>
                <w:sz w:val="20"/>
                <w:szCs w:val="20"/>
              </w:rPr>
            </w:pP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231</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51%</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51%</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41%</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40%</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47%</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-11%</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w:t>
            </w:r>
          </w:p>
        </w:tc>
      </w:tr>
      <w:tr w:rsidR="00654E16" w:rsidRPr="00080C86" w:rsidTr="008F0BE1">
        <w:tc>
          <w:tcPr>
            <w:tcW w:w="554" w:type="dxa"/>
            <w:vMerge w:val="restart"/>
            <w:vAlign w:val="center"/>
          </w:tcPr>
          <w:p w:rsidR="00654E16" w:rsidRPr="00080C86" w:rsidRDefault="00654E16"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8</w:t>
            </w: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242</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72.7</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78</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73.6</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74.9</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71.3</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2.2</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1.3</w:t>
            </w:r>
          </w:p>
        </w:tc>
      </w:tr>
      <w:tr w:rsidR="00654E16" w:rsidRPr="00080C86" w:rsidTr="008F0BE1">
        <w:tc>
          <w:tcPr>
            <w:tcW w:w="554" w:type="dxa"/>
            <w:vMerge/>
            <w:vAlign w:val="center"/>
          </w:tcPr>
          <w:p w:rsidR="00654E16" w:rsidRPr="00080C86" w:rsidRDefault="00654E16" w:rsidP="008F0BE1">
            <w:pPr>
              <w:spacing w:after="0" w:line="240" w:lineRule="auto"/>
              <w:jc w:val="center"/>
              <w:rPr>
                <w:rFonts w:ascii="Calibri" w:eastAsia="Times New Roman" w:hAnsi="Calibri" w:cs="Times New Roman"/>
                <w:sz w:val="20"/>
                <w:szCs w:val="20"/>
              </w:rPr>
            </w:pP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242</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37%</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47%</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40%</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39%</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41%</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w:t>
            </w:r>
          </w:p>
        </w:tc>
      </w:tr>
      <w:tr w:rsidR="00654E16" w:rsidRPr="00080C86" w:rsidTr="008F0BE1">
        <w:tc>
          <w:tcPr>
            <w:tcW w:w="554" w:type="dxa"/>
            <w:vMerge w:val="restart"/>
            <w:vAlign w:val="center"/>
          </w:tcPr>
          <w:p w:rsidR="00654E16" w:rsidRPr="00080C86" w:rsidRDefault="00654E16"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10</w:t>
            </w: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199</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87.0</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90.3</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95.3</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95.7</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88.9</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8.7</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0.4</w:t>
            </w:r>
          </w:p>
        </w:tc>
      </w:tr>
      <w:tr w:rsidR="00654E16" w:rsidRPr="00080C86" w:rsidTr="008F0BE1">
        <w:tc>
          <w:tcPr>
            <w:tcW w:w="554" w:type="dxa"/>
            <w:vMerge/>
            <w:vAlign w:val="center"/>
          </w:tcPr>
          <w:p w:rsidR="00654E16" w:rsidRPr="00080C86" w:rsidRDefault="00654E16" w:rsidP="008F0BE1">
            <w:pPr>
              <w:spacing w:after="0" w:line="240" w:lineRule="auto"/>
              <w:jc w:val="center"/>
              <w:rPr>
                <w:rFonts w:ascii="Calibri" w:eastAsia="Times New Roman" w:hAnsi="Calibri" w:cs="Times New Roman"/>
                <w:sz w:val="20"/>
                <w:szCs w:val="20"/>
              </w:rPr>
            </w:pP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199</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66%</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75%</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87%</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88%</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73%</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22%</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w:t>
            </w:r>
          </w:p>
        </w:tc>
      </w:tr>
      <w:tr w:rsidR="00654E16" w:rsidRPr="00080C86" w:rsidTr="008F0BE1">
        <w:tc>
          <w:tcPr>
            <w:tcW w:w="554" w:type="dxa"/>
            <w:vMerge w:val="restart"/>
            <w:vAlign w:val="center"/>
          </w:tcPr>
          <w:p w:rsidR="00654E16" w:rsidRPr="00080C86" w:rsidRDefault="00654E16"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All</w:t>
            </w: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672</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79.8</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82.5</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80.4</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81.2</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78.7</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1.4</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0.8</w:t>
            </w:r>
          </w:p>
        </w:tc>
      </w:tr>
      <w:tr w:rsidR="00654E16" w:rsidRPr="00080C86" w:rsidTr="008F0BE1">
        <w:tc>
          <w:tcPr>
            <w:tcW w:w="554" w:type="dxa"/>
            <w:vMerge/>
          </w:tcPr>
          <w:p w:rsidR="00654E16" w:rsidRPr="00080C86" w:rsidRDefault="00654E16" w:rsidP="008F0BE1">
            <w:pPr>
              <w:spacing w:after="0" w:line="240" w:lineRule="auto"/>
              <w:rPr>
                <w:rFonts w:ascii="Calibri" w:eastAsia="Times New Roman" w:hAnsi="Calibri" w:cs="Times New Roman"/>
                <w:sz w:val="20"/>
                <w:szCs w:val="20"/>
              </w:rPr>
            </w:pPr>
          </w:p>
        </w:tc>
        <w:tc>
          <w:tcPr>
            <w:tcW w:w="724" w:type="dxa"/>
          </w:tcPr>
          <w:p w:rsidR="00654E16" w:rsidRPr="00080C86" w:rsidRDefault="00654E16"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139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672</w:t>
            </w:r>
          </w:p>
        </w:tc>
        <w:tc>
          <w:tcPr>
            <w:tcW w:w="882"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50%</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56%</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54%</w:t>
            </w:r>
          </w:p>
        </w:tc>
        <w:tc>
          <w:tcPr>
            <w:tcW w:w="883"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54%</w:t>
            </w:r>
          </w:p>
        </w:tc>
        <w:tc>
          <w:tcPr>
            <w:tcW w:w="883" w:type="dxa"/>
            <w:shd w:val="clear" w:color="auto" w:fill="D9D9D9" w:themeFill="background1" w:themeFillShade="D9"/>
            <w:vAlign w:val="bottom"/>
          </w:tcPr>
          <w:p w:rsidR="00654E16" w:rsidRPr="00080C86" w:rsidRDefault="00654E16" w:rsidP="008F0BE1">
            <w:pPr>
              <w:spacing w:after="0" w:line="240" w:lineRule="auto"/>
              <w:jc w:val="center"/>
              <w:rPr>
                <w:rFonts w:ascii="Calibri" w:hAnsi="Calibri"/>
              </w:rPr>
            </w:pPr>
            <w:r w:rsidRPr="00080C86">
              <w:rPr>
                <w:rFonts w:ascii="Calibri" w:hAnsi="Calibri"/>
              </w:rPr>
              <w:t>54%</w:t>
            </w:r>
          </w:p>
        </w:tc>
        <w:tc>
          <w:tcPr>
            <w:tcW w:w="884"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4%</w:t>
            </w:r>
          </w:p>
        </w:tc>
        <w:tc>
          <w:tcPr>
            <w:tcW w:w="956" w:type="dxa"/>
            <w:vAlign w:val="bottom"/>
          </w:tcPr>
          <w:p w:rsidR="00654E16" w:rsidRPr="00080C86" w:rsidRDefault="00654E16" w:rsidP="008F0BE1">
            <w:pPr>
              <w:spacing w:after="0" w:line="240" w:lineRule="auto"/>
              <w:jc w:val="center"/>
              <w:rPr>
                <w:rFonts w:ascii="Calibri" w:hAnsi="Calibri"/>
              </w:rPr>
            </w:pPr>
            <w:r w:rsidRPr="00080C86">
              <w:rPr>
                <w:rFonts w:ascii="Calibri" w:hAnsi="Calibri"/>
              </w:rPr>
              <w:t>0%</w:t>
            </w:r>
          </w:p>
        </w:tc>
      </w:tr>
      <w:tr w:rsidR="00654E16" w:rsidRPr="00080C86" w:rsidTr="008F0BE1">
        <w:tc>
          <w:tcPr>
            <w:tcW w:w="8928" w:type="dxa"/>
            <w:gridSpan w:val="10"/>
            <w:tcBorders>
              <w:left w:val="nil"/>
              <w:bottom w:val="nil"/>
              <w:right w:val="nil"/>
            </w:tcBorders>
          </w:tcPr>
          <w:p w:rsidR="00654E16" w:rsidRPr="00080C86" w:rsidRDefault="00654E16" w:rsidP="008F0BE1">
            <w:pPr>
              <w:widowControl w:val="0"/>
              <w:overflowPunct w:val="0"/>
              <w:adjustRightInd w:val="0"/>
              <w:spacing w:before="80" w:after="0" w:line="240" w:lineRule="auto"/>
              <w:rPr>
                <w:rFonts w:ascii="Calibri" w:eastAsia="Times New Roman" w:hAnsi="Calibri" w:cs="Times New Roman"/>
                <w:bCs/>
                <w:kern w:val="28"/>
                <w:sz w:val="20"/>
                <w:szCs w:val="20"/>
              </w:rPr>
            </w:pPr>
            <w:r w:rsidRPr="00080C86">
              <w:rPr>
                <w:rFonts w:ascii="Calibri" w:eastAsia="Times New Roman" w:hAnsi="Calibri" w:cs="Times New Roman"/>
                <w:bCs/>
                <w:kern w:val="28"/>
                <w:sz w:val="20"/>
                <w:szCs w:val="20"/>
              </w:rPr>
              <w:t xml:space="preserve">Notes: P+ = percent </w:t>
            </w:r>
            <w:r w:rsidRPr="00080C86">
              <w:rPr>
                <w:rFonts w:ascii="Calibri" w:eastAsia="Times New Roman" w:hAnsi="Calibri" w:cs="Times New Roman"/>
                <w:bCs/>
                <w:i/>
                <w:kern w:val="28"/>
                <w:sz w:val="20"/>
                <w:szCs w:val="20"/>
              </w:rPr>
              <w:t>Proficient</w:t>
            </w:r>
            <w:r w:rsidRPr="00080C86">
              <w:rPr>
                <w:rFonts w:ascii="Calibri" w:eastAsia="Times New Roman" w:hAnsi="Calibri" w:cs="Times New Roman"/>
                <w:bCs/>
                <w:kern w:val="28"/>
                <w:sz w:val="20"/>
                <w:szCs w:val="20"/>
              </w:rPr>
              <w:t xml:space="preserve"> or </w:t>
            </w:r>
            <w:r w:rsidRPr="00080C86">
              <w:rPr>
                <w:rFonts w:ascii="Calibri" w:eastAsia="Times New Roman" w:hAnsi="Calibri" w:cs="Times New Roman"/>
                <w:bCs/>
                <w:i/>
                <w:kern w:val="28"/>
                <w:sz w:val="20"/>
                <w:szCs w:val="20"/>
              </w:rPr>
              <w:t>Advanced</w:t>
            </w:r>
            <w:r w:rsidRPr="00080C8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654E16" w:rsidRPr="00080C86" w:rsidRDefault="00654E16" w:rsidP="00654E16">
      <w:pPr>
        <w:spacing w:after="0" w:line="240" w:lineRule="auto"/>
        <w:rPr>
          <w:rFonts w:ascii="Calibri" w:eastAsia="Times New Roman" w:hAnsi="Calibri" w:cs="Times New Roman"/>
          <w:sz w:val="20"/>
          <w:szCs w:val="20"/>
        </w:rPr>
      </w:pPr>
    </w:p>
    <w:p w:rsidR="00654E16" w:rsidRPr="00080C86" w:rsidRDefault="00654E16" w:rsidP="00654E16">
      <w:pPr>
        <w:spacing w:after="0" w:line="240" w:lineRule="auto"/>
        <w:rPr>
          <w:rFonts w:ascii="Calibri" w:eastAsia="Times New Roman" w:hAnsi="Calibri" w:cs="Times New Roman"/>
          <w:sz w:val="20"/>
          <w:szCs w:val="20"/>
        </w:rPr>
      </w:pPr>
    </w:p>
    <w:p w:rsidR="00654E16" w:rsidRPr="00080C86" w:rsidRDefault="00654E16" w:rsidP="00654E16">
      <w:pPr>
        <w:spacing w:after="0" w:line="240" w:lineRule="auto"/>
        <w:rPr>
          <w:rFonts w:ascii="Calibri" w:eastAsia="Times New Roman" w:hAnsi="Calibri" w:cs="Times New Roman"/>
          <w:sz w:val="20"/>
          <w:szCs w:val="20"/>
        </w:rPr>
      </w:pPr>
    </w:p>
    <w:p w:rsidR="00654E16" w:rsidRPr="00080C86" w:rsidRDefault="00654E16" w:rsidP="00654E16">
      <w:pPr>
        <w:spacing w:after="0" w:line="240" w:lineRule="auto"/>
        <w:rPr>
          <w:rFonts w:ascii="Calibri" w:eastAsia="Times New Roman" w:hAnsi="Calibri" w:cs="Times New Roman"/>
          <w:sz w:val="20"/>
          <w:szCs w:val="20"/>
        </w:rPr>
      </w:pPr>
    </w:p>
    <w:p w:rsidR="00654E16" w:rsidRPr="00080C86" w:rsidRDefault="00654E16" w:rsidP="00654E16">
      <w:pPr>
        <w:spacing w:after="0" w:line="240" w:lineRule="auto"/>
        <w:rPr>
          <w:rFonts w:ascii="Calibri" w:eastAsia="Times New Roman" w:hAnsi="Calibri" w:cs="Times New Roman"/>
          <w:sz w:val="20"/>
          <w:szCs w:val="20"/>
        </w:rPr>
      </w:pPr>
    </w:p>
    <w:p w:rsidR="00654E16" w:rsidRPr="00080C86" w:rsidRDefault="00654E16" w:rsidP="00654E1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04873" w:rsidRPr="00080C86" w:rsidRDefault="00304873" w:rsidP="00304873">
      <w:pPr>
        <w:spacing w:after="0"/>
        <w:jc w:val="center"/>
        <w:rPr>
          <w:rFonts w:ascii="Calibri" w:eastAsia="Calibri" w:hAnsi="Calibri" w:cs="Times New Roman"/>
          <w:b/>
          <w:sz w:val="20"/>
        </w:rPr>
      </w:pPr>
      <w:r w:rsidRPr="00080C86">
        <w:rPr>
          <w:rFonts w:ascii="Calibri" w:eastAsia="Calibri" w:hAnsi="Calibri" w:cs="Times New Roman"/>
          <w:b/>
          <w:sz w:val="20"/>
        </w:rPr>
        <w:lastRenderedPageBreak/>
        <w:t>Table B3a: Dighton-Rehoboth Regional School District</w:t>
      </w:r>
    </w:p>
    <w:p w:rsidR="00304873" w:rsidRPr="00080C86" w:rsidRDefault="00304873" w:rsidP="00304873">
      <w:pPr>
        <w:spacing w:after="0"/>
        <w:jc w:val="center"/>
        <w:rPr>
          <w:rFonts w:ascii="Calibri" w:eastAsia="Calibri" w:hAnsi="Calibri" w:cs="Times New Roman"/>
          <w:b/>
          <w:sz w:val="20"/>
        </w:rPr>
      </w:pPr>
      <w:r w:rsidRPr="00080C86">
        <w:rPr>
          <w:rFonts w:ascii="Calibri" w:eastAsia="Calibri" w:hAnsi="Calibri" w:cs="Times New Roman"/>
          <w:b/>
          <w:sz w:val="20"/>
        </w:rPr>
        <w:t>English Language Arts (All Grades)</w:t>
      </w:r>
    </w:p>
    <w:p w:rsidR="00304873" w:rsidRPr="00080C86" w:rsidRDefault="00304873" w:rsidP="00304873">
      <w:pPr>
        <w:spacing w:after="0" w:line="240" w:lineRule="auto"/>
        <w:jc w:val="center"/>
        <w:rPr>
          <w:rFonts w:ascii="Calibri" w:eastAsia="Calibri" w:hAnsi="Calibri" w:cs="Times New Roman"/>
          <w:b/>
          <w:sz w:val="20"/>
          <w:szCs w:val="24"/>
        </w:rPr>
      </w:pPr>
      <w:r w:rsidRPr="00080C86">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304873" w:rsidRPr="00080C86" w:rsidTr="008F0BE1">
        <w:tc>
          <w:tcPr>
            <w:tcW w:w="2808" w:type="dxa"/>
            <w:gridSpan w:val="3"/>
            <w:vMerge w:val="restart"/>
            <w:vAlign w:val="center"/>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Group and Measure</w:t>
            </w:r>
          </w:p>
        </w:tc>
        <w:tc>
          <w:tcPr>
            <w:tcW w:w="990" w:type="dxa"/>
            <w:vMerge w:val="restart"/>
            <w:vAlign w:val="center"/>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Number Included (2016)</w:t>
            </w:r>
          </w:p>
        </w:tc>
        <w:tc>
          <w:tcPr>
            <w:tcW w:w="3240" w:type="dxa"/>
            <w:gridSpan w:val="4"/>
            <w:vMerge w:val="restart"/>
            <w:vAlign w:val="center"/>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Spring MCAS Year</w:t>
            </w:r>
          </w:p>
        </w:tc>
        <w:tc>
          <w:tcPr>
            <w:tcW w:w="1818" w:type="dxa"/>
            <w:gridSpan w:val="2"/>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Gains and Declines</w:t>
            </w:r>
          </w:p>
        </w:tc>
      </w:tr>
      <w:tr w:rsidR="00304873" w:rsidRPr="00080C86" w:rsidTr="008F0BE1">
        <w:trPr>
          <w:trHeight w:val="244"/>
        </w:trPr>
        <w:tc>
          <w:tcPr>
            <w:tcW w:w="2808" w:type="dxa"/>
            <w:gridSpan w:val="3"/>
            <w:vMerge/>
          </w:tcPr>
          <w:p w:rsidR="00304873" w:rsidRPr="00080C86" w:rsidRDefault="00304873" w:rsidP="008F0BE1">
            <w:pPr>
              <w:spacing w:after="0" w:line="240" w:lineRule="auto"/>
              <w:jc w:val="center"/>
              <w:rPr>
                <w:rFonts w:ascii="Calibri" w:eastAsia="Times New Roman" w:hAnsi="Calibri" w:cs="Times New Roman"/>
                <w:b/>
                <w:sz w:val="20"/>
                <w:szCs w:val="20"/>
              </w:rPr>
            </w:pPr>
          </w:p>
        </w:tc>
        <w:tc>
          <w:tcPr>
            <w:tcW w:w="990" w:type="dxa"/>
            <w:vMerge/>
          </w:tcPr>
          <w:p w:rsidR="00304873" w:rsidRPr="00080C86" w:rsidRDefault="00304873" w:rsidP="008F0BE1">
            <w:pPr>
              <w:spacing w:after="0" w:line="240" w:lineRule="auto"/>
              <w:jc w:val="center"/>
              <w:rPr>
                <w:rFonts w:ascii="Calibri" w:eastAsia="Times New Roman" w:hAnsi="Calibri" w:cs="Times New Roman"/>
                <w:b/>
                <w:sz w:val="20"/>
                <w:szCs w:val="20"/>
              </w:rPr>
            </w:pPr>
          </w:p>
        </w:tc>
        <w:tc>
          <w:tcPr>
            <w:tcW w:w="3240" w:type="dxa"/>
            <w:gridSpan w:val="4"/>
            <w:vMerge/>
          </w:tcPr>
          <w:p w:rsidR="00304873" w:rsidRPr="00080C86" w:rsidRDefault="00304873" w:rsidP="008F0BE1">
            <w:pPr>
              <w:spacing w:after="0" w:line="240" w:lineRule="auto"/>
              <w:jc w:val="center"/>
              <w:rPr>
                <w:rFonts w:ascii="Calibri" w:eastAsia="Times New Roman" w:hAnsi="Calibri" w:cs="Times New Roman"/>
                <w:b/>
                <w:sz w:val="20"/>
                <w:szCs w:val="20"/>
              </w:rPr>
            </w:pPr>
          </w:p>
        </w:tc>
        <w:tc>
          <w:tcPr>
            <w:tcW w:w="936" w:type="dxa"/>
            <w:vMerge w:val="restart"/>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4-Year Trend</w:t>
            </w:r>
          </w:p>
        </w:tc>
        <w:tc>
          <w:tcPr>
            <w:tcW w:w="882" w:type="dxa"/>
            <w:vMerge w:val="restart"/>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2-Year Trend</w:t>
            </w:r>
          </w:p>
        </w:tc>
      </w:tr>
      <w:tr w:rsidR="00304873" w:rsidRPr="00080C86" w:rsidTr="008F0BE1">
        <w:tc>
          <w:tcPr>
            <w:tcW w:w="2808" w:type="dxa"/>
            <w:gridSpan w:val="3"/>
            <w:vMerge/>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990" w:type="dxa"/>
            <w:vMerge/>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2013</w:t>
            </w:r>
          </w:p>
        </w:tc>
        <w:tc>
          <w:tcPr>
            <w:tcW w:w="810" w:type="dxa"/>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2014</w:t>
            </w:r>
          </w:p>
        </w:tc>
        <w:tc>
          <w:tcPr>
            <w:tcW w:w="810" w:type="dxa"/>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2015</w:t>
            </w:r>
          </w:p>
        </w:tc>
        <w:tc>
          <w:tcPr>
            <w:tcW w:w="810" w:type="dxa"/>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2016</w:t>
            </w:r>
          </w:p>
        </w:tc>
        <w:tc>
          <w:tcPr>
            <w:tcW w:w="936" w:type="dxa"/>
            <w:vMerge/>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82" w:type="dxa"/>
            <w:vMerge/>
          </w:tcPr>
          <w:p w:rsidR="00304873" w:rsidRPr="00080C86" w:rsidRDefault="00304873" w:rsidP="008F0BE1">
            <w:pPr>
              <w:spacing w:after="0" w:line="240" w:lineRule="auto"/>
              <w:jc w:val="center"/>
              <w:rPr>
                <w:rFonts w:ascii="Calibri" w:eastAsia="Times New Roman" w:hAnsi="Calibri" w:cs="Times New Roman"/>
                <w:sz w:val="20"/>
                <w:szCs w:val="20"/>
              </w:rPr>
            </w:pPr>
          </w:p>
        </w:tc>
      </w:tr>
      <w:tr w:rsidR="00304873" w:rsidRPr="00080C86" w:rsidTr="008F0BE1">
        <w:tc>
          <w:tcPr>
            <w:tcW w:w="1278"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District</w:t>
            </w: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434</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75.8</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76.8</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76.7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76.8</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0.1</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434</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44%</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48%</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48%</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327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50.5</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46.0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44.0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48.0</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-2.5</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4.0</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State</w:t>
            </w: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76.8</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77.1</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79.5</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48%</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50%</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55%</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47.0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47.0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47.0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Econ.</w:t>
            </w:r>
          </w:p>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District</w:t>
            </w: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257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84.0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83.9</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-0.1</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257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62%</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62%</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192</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46.0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49.0</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3.0</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State</w:t>
            </w: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80.9</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59%</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47.0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District</w:t>
            </w: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227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64.1</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64.5</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64.4</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64.1</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0.0</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-0.3</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227</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23%</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24%</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25%</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165</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57.0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42.0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43.0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46.0</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-11.0</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3.0</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State</w:t>
            </w: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66.8</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66.6</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71.6</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30%</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31%</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39%</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43.0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43.0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44.0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District</w:t>
            </w: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State</w:t>
            </w: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67.4</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67.8</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70.1</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35%</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36%</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41%</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53.0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54.0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54.0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val="restart"/>
            <w:vAlign w:val="center"/>
          </w:tcPr>
          <w:p w:rsidR="00304873" w:rsidRPr="00080C86" w:rsidRDefault="00304873" w:rsidP="008F0BE1">
            <w:pPr>
              <w:spacing w:after="0" w:line="240" w:lineRule="auto"/>
              <w:jc w:val="center"/>
              <w:rPr>
                <w:rFonts w:ascii="Calibri" w:eastAsia="Times New Roman" w:hAnsi="Calibri" w:cs="Times New Roman"/>
                <w:b/>
                <w:sz w:val="20"/>
                <w:szCs w:val="20"/>
              </w:rPr>
            </w:pPr>
            <w:r w:rsidRPr="00080C8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District</w:t>
            </w: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1,616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89.3</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89.3</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89.0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89.4</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0.1</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0.4</w:t>
            </w:r>
          </w:p>
        </w:tc>
      </w:tr>
      <w:tr w:rsidR="00304873" w:rsidRPr="00080C86" w:rsidTr="008F0BE1">
        <w:tc>
          <w:tcPr>
            <w:tcW w:w="1278"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1,616</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72%</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73%</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72%</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74%</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2%</w:t>
            </w:r>
          </w:p>
        </w:tc>
      </w:tr>
      <w:tr w:rsidR="00304873" w:rsidRPr="00080C86" w:rsidTr="008F0BE1">
        <w:tc>
          <w:tcPr>
            <w:tcW w:w="1278"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04873" w:rsidRPr="00080C86" w:rsidRDefault="00304873"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1,325</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52.5</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54.0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48.0</w:t>
            </w:r>
          </w:p>
        </w:tc>
        <w:tc>
          <w:tcPr>
            <w:tcW w:w="810"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52.0</w:t>
            </w:r>
          </w:p>
        </w:tc>
        <w:tc>
          <w:tcPr>
            <w:tcW w:w="936"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-0.5</w:t>
            </w:r>
          </w:p>
        </w:tc>
        <w:tc>
          <w:tcPr>
            <w:tcW w:w="882" w:type="dxa"/>
            <w:shd w:val="clear" w:color="auto" w:fill="D9D9D9" w:themeFill="background1" w:themeFillShade="D9"/>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4.0</w:t>
            </w:r>
          </w:p>
        </w:tc>
      </w:tr>
      <w:tr w:rsidR="00304873" w:rsidRPr="00080C86" w:rsidTr="008F0BE1">
        <w:tc>
          <w:tcPr>
            <w:tcW w:w="1278"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810" w:type="dxa"/>
            <w:vMerge w:val="restart"/>
            <w:vAlign w:val="center"/>
          </w:tcPr>
          <w:p w:rsidR="00304873" w:rsidRPr="00080C86" w:rsidRDefault="00304873" w:rsidP="008F0BE1">
            <w:pPr>
              <w:spacing w:after="0" w:line="240" w:lineRule="auto"/>
              <w:jc w:val="center"/>
              <w:rPr>
                <w:rFonts w:ascii="Calibri" w:eastAsia="Times New Roman" w:hAnsi="Calibri" w:cs="Times New Roman"/>
                <w:sz w:val="20"/>
                <w:szCs w:val="20"/>
              </w:rPr>
            </w:pPr>
            <w:r w:rsidRPr="00080C86">
              <w:rPr>
                <w:rFonts w:ascii="Calibri" w:eastAsia="Times New Roman" w:hAnsi="Calibri" w:cs="Times New Roman"/>
                <w:sz w:val="20"/>
                <w:szCs w:val="20"/>
              </w:rPr>
              <w:t>State</w:t>
            </w: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CPI</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86.8</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86.7</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89.3</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810" w:type="dxa"/>
            <w:vMerge/>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P+</w:t>
            </w:r>
          </w:p>
        </w:tc>
        <w:tc>
          <w:tcPr>
            <w:tcW w:w="99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69%</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69%</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75%</w:t>
            </w:r>
          </w:p>
        </w:tc>
        <w:tc>
          <w:tcPr>
            <w:tcW w:w="810"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r w:rsidR="00304873" w:rsidRPr="00080C86" w:rsidTr="008F0BE1">
        <w:tc>
          <w:tcPr>
            <w:tcW w:w="1278" w:type="dxa"/>
            <w:vMerge/>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04873" w:rsidRPr="00080C86" w:rsidRDefault="00304873" w:rsidP="008F0BE1">
            <w:pPr>
              <w:spacing w:after="0" w:line="240" w:lineRule="auto"/>
              <w:rPr>
                <w:rFonts w:ascii="Calibri" w:eastAsia="Times New Roman" w:hAnsi="Calibri" w:cs="Times New Roman"/>
                <w:sz w:val="20"/>
                <w:szCs w:val="20"/>
              </w:rPr>
            </w:pPr>
            <w:r w:rsidRPr="00080C86">
              <w:rPr>
                <w:rFonts w:ascii="Calibri" w:eastAsia="Times New Roman" w:hAnsi="Calibri" w:cs="Times New Roman"/>
                <w:sz w:val="20"/>
                <w:szCs w:val="20"/>
              </w:rPr>
              <w:t>SGP</w:t>
            </w:r>
          </w:p>
        </w:tc>
        <w:tc>
          <w:tcPr>
            <w:tcW w:w="99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51.0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50.0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50.0</w:t>
            </w:r>
          </w:p>
        </w:tc>
        <w:tc>
          <w:tcPr>
            <w:tcW w:w="810"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936"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c>
          <w:tcPr>
            <w:tcW w:w="882" w:type="dxa"/>
            <w:tcBorders>
              <w:bottom w:val="single" w:sz="4" w:space="0" w:color="auto"/>
            </w:tcBorders>
            <w:vAlign w:val="bottom"/>
          </w:tcPr>
          <w:p w:rsidR="00304873" w:rsidRPr="00080C86" w:rsidRDefault="00304873" w:rsidP="008F0BE1">
            <w:pPr>
              <w:spacing w:after="0" w:line="240" w:lineRule="auto"/>
              <w:jc w:val="center"/>
              <w:rPr>
                <w:rFonts w:ascii="Calibri" w:hAnsi="Calibri"/>
                <w:sz w:val="20"/>
                <w:szCs w:val="20"/>
              </w:rPr>
            </w:pPr>
            <w:r w:rsidRPr="00080C86">
              <w:rPr>
                <w:rFonts w:ascii="Calibri" w:hAnsi="Calibri"/>
                <w:sz w:val="20"/>
                <w:szCs w:val="20"/>
              </w:rPr>
              <w: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A260E9" w:rsidRDefault="00A260E9" w:rsidP="002F1EBE">
      <w:pPr>
        <w:spacing w:after="0" w:line="240" w:lineRule="auto"/>
        <w:rPr>
          <w:rFonts w:ascii="Calibri" w:eastAsia="Times New Roman" w:hAnsi="Calibri" w:cs="Times New Roman"/>
          <w:sz w:val="20"/>
          <w:szCs w:val="20"/>
        </w:rPr>
      </w:pPr>
    </w:p>
    <w:p w:rsidR="00A260E9" w:rsidRDefault="00A260E9" w:rsidP="002F1EBE">
      <w:pPr>
        <w:spacing w:after="0" w:line="240" w:lineRule="auto"/>
        <w:rPr>
          <w:rFonts w:ascii="Calibri" w:eastAsia="Times New Roman" w:hAnsi="Calibri" w:cs="Times New Roman"/>
          <w:sz w:val="20"/>
          <w:szCs w:val="20"/>
        </w:rPr>
      </w:pPr>
    </w:p>
    <w:p w:rsidR="00A260E9" w:rsidRDefault="00A260E9" w:rsidP="002F1EBE">
      <w:pPr>
        <w:spacing w:after="0" w:line="240" w:lineRule="auto"/>
        <w:rPr>
          <w:rFonts w:ascii="Calibri" w:eastAsia="Times New Roman" w:hAnsi="Calibri" w:cs="Times New Roman"/>
          <w:sz w:val="20"/>
          <w:szCs w:val="20"/>
        </w:rPr>
      </w:pPr>
    </w:p>
    <w:p w:rsidR="00A260E9" w:rsidRDefault="00A260E9" w:rsidP="002F1EBE">
      <w:pPr>
        <w:spacing w:after="0" w:line="240" w:lineRule="auto"/>
        <w:rPr>
          <w:rFonts w:ascii="Calibri" w:eastAsia="Times New Roman" w:hAnsi="Calibri" w:cs="Times New Roman"/>
          <w:sz w:val="20"/>
          <w:szCs w:val="20"/>
        </w:rPr>
      </w:pPr>
    </w:p>
    <w:p w:rsidR="00A260E9" w:rsidRPr="002F1EBE" w:rsidRDefault="00A260E9"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260E9" w:rsidRPr="009D1807" w:rsidRDefault="00A260E9" w:rsidP="00A260E9">
      <w:pPr>
        <w:spacing w:after="0"/>
        <w:jc w:val="center"/>
        <w:rPr>
          <w:rFonts w:ascii="Calibri" w:eastAsia="Calibri" w:hAnsi="Calibri" w:cs="Times New Roman"/>
          <w:b/>
          <w:sz w:val="20"/>
        </w:rPr>
      </w:pPr>
      <w:r w:rsidRPr="009D1807">
        <w:rPr>
          <w:rFonts w:ascii="Calibri" w:eastAsia="Calibri" w:hAnsi="Calibri" w:cs="Times New Roman"/>
          <w:b/>
          <w:sz w:val="20"/>
        </w:rPr>
        <w:lastRenderedPageBreak/>
        <w:t>Table B3b: Dighton-Rehoboth Regional School District</w:t>
      </w:r>
    </w:p>
    <w:p w:rsidR="00A260E9" w:rsidRPr="009D1807" w:rsidRDefault="00A260E9" w:rsidP="00A260E9">
      <w:pPr>
        <w:spacing w:after="0"/>
        <w:jc w:val="center"/>
        <w:rPr>
          <w:rFonts w:ascii="Calibri" w:eastAsia="Calibri" w:hAnsi="Calibri" w:cs="Times New Roman"/>
          <w:b/>
          <w:sz w:val="20"/>
        </w:rPr>
      </w:pPr>
      <w:r w:rsidRPr="009D1807">
        <w:rPr>
          <w:rFonts w:ascii="Calibri" w:eastAsia="Calibri" w:hAnsi="Calibri" w:cs="Times New Roman"/>
          <w:b/>
          <w:sz w:val="20"/>
        </w:rPr>
        <w:t>Mathematics (All Grades)</w:t>
      </w:r>
    </w:p>
    <w:p w:rsidR="00A260E9" w:rsidRPr="009D1807" w:rsidRDefault="00A260E9" w:rsidP="00A260E9">
      <w:pPr>
        <w:spacing w:after="0" w:line="240" w:lineRule="auto"/>
        <w:jc w:val="center"/>
        <w:rPr>
          <w:rFonts w:ascii="Calibri" w:eastAsia="Calibri" w:hAnsi="Calibri" w:cs="Times New Roman"/>
          <w:b/>
          <w:sz w:val="20"/>
          <w:szCs w:val="24"/>
        </w:rPr>
      </w:pPr>
      <w:r w:rsidRPr="009D1807">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458"/>
        <w:gridCol w:w="897"/>
        <w:gridCol w:w="720"/>
        <w:gridCol w:w="990"/>
        <w:gridCol w:w="810"/>
        <w:gridCol w:w="810"/>
        <w:gridCol w:w="810"/>
        <w:gridCol w:w="810"/>
        <w:gridCol w:w="936"/>
        <w:gridCol w:w="882"/>
      </w:tblGrid>
      <w:tr w:rsidR="00A260E9" w:rsidRPr="009D1807" w:rsidTr="008F0BE1">
        <w:tc>
          <w:tcPr>
            <w:tcW w:w="3075" w:type="dxa"/>
            <w:gridSpan w:val="3"/>
            <w:vMerge w:val="restart"/>
            <w:vAlign w:val="center"/>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Group and Measure</w:t>
            </w:r>
          </w:p>
        </w:tc>
        <w:tc>
          <w:tcPr>
            <w:tcW w:w="990" w:type="dxa"/>
            <w:vMerge w:val="restart"/>
            <w:vAlign w:val="center"/>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Number Included (2016)</w:t>
            </w:r>
          </w:p>
        </w:tc>
        <w:tc>
          <w:tcPr>
            <w:tcW w:w="3240" w:type="dxa"/>
            <w:gridSpan w:val="4"/>
            <w:vMerge w:val="restart"/>
            <w:vAlign w:val="center"/>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Spring MCAS Year</w:t>
            </w:r>
          </w:p>
        </w:tc>
        <w:tc>
          <w:tcPr>
            <w:tcW w:w="1818" w:type="dxa"/>
            <w:gridSpan w:val="2"/>
          </w:tcPr>
          <w:p w:rsidR="00A260E9" w:rsidRPr="009D1807" w:rsidRDefault="00A260E9"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Gains and Declines</w:t>
            </w:r>
          </w:p>
        </w:tc>
      </w:tr>
      <w:tr w:rsidR="00A260E9" w:rsidRPr="009D1807" w:rsidTr="008F0BE1">
        <w:trPr>
          <w:trHeight w:val="244"/>
        </w:trPr>
        <w:tc>
          <w:tcPr>
            <w:tcW w:w="3075" w:type="dxa"/>
            <w:gridSpan w:val="3"/>
            <w:vMerge/>
          </w:tcPr>
          <w:p w:rsidR="00A260E9" w:rsidRPr="009D1807" w:rsidRDefault="00A260E9" w:rsidP="008F0BE1">
            <w:pPr>
              <w:spacing w:after="0" w:line="240" w:lineRule="auto"/>
              <w:rPr>
                <w:rFonts w:ascii="Calibri" w:eastAsia="Times New Roman" w:hAnsi="Calibri" w:cs="Times New Roman"/>
                <w:b/>
                <w:sz w:val="20"/>
                <w:szCs w:val="20"/>
              </w:rPr>
            </w:pPr>
          </w:p>
        </w:tc>
        <w:tc>
          <w:tcPr>
            <w:tcW w:w="990" w:type="dxa"/>
            <w:vMerge/>
          </w:tcPr>
          <w:p w:rsidR="00A260E9" w:rsidRPr="009D1807" w:rsidRDefault="00A260E9" w:rsidP="008F0BE1">
            <w:pPr>
              <w:spacing w:after="0" w:line="240" w:lineRule="auto"/>
              <w:rPr>
                <w:rFonts w:ascii="Calibri" w:eastAsia="Times New Roman" w:hAnsi="Calibri" w:cs="Times New Roman"/>
                <w:b/>
                <w:sz w:val="20"/>
                <w:szCs w:val="20"/>
              </w:rPr>
            </w:pPr>
          </w:p>
        </w:tc>
        <w:tc>
          <w:tcPr>
            <w:tcW w:w="3240" w:type="dxa"/>
            <w:gridSpan w:val="4"/>
            <w:vMerge/>
          </w:tcPr>
          <w:p w:rsidR="00A260E9" w:rsidRPr="009D1807" w:rsidRDefault="00A260E9" w:rsidP="008F0BE1">
            <w:pPr>
              <w:spacing w:after="0" w:line="240" w:lineRule="auto"/>
              <w:rPr>
                <w:rFonts w:ascii="Calibri" w:eastAsia="Times New Roman" w:hAnsi="Calibri" w:cs="Times New Roman"/>
                <w:b/>
                <w:sz w:val="20"/>
                <w:szCs w:val="20"/>
              </w:rPr>
            </w:pPr>
          </w:p>
        </w:tc>
        <w:tc>
          <w:tcPr>
            <w:tcW w:w="936" w:type="dxa"/>
            <w:vMerge w:val="restart"/>
          </w:tcPr>
          <w:p w:rsidR="00A260E9" w:rsidRPr="009D1807" w:rsidRDefault="00A260E9"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4-Year Trend</w:t>
            </w:r>
          </w:p>
        </w:tc>
        <w:tc>
          <w:tcPr>
            <w:tcW w:w="882" w:type="dxa"/>
            <w:vMerge w:val="restart"/>
          </w:tcPr>
          <w:p w:rsidR="00A260E9" w:rsidRPr="009D1807" w:rsidRDefault="00A260E9"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2-Year Trend</w:t>
            </w:r>
          </w:p>
        </w:tc>
      </w:tr>
      <w:tr w:rsidR="00A260E9" w:rsidRPr="009D1807" w:rsidTr="008F0BE1">
        <w:tc>
          <w:tcPr>
            <w:tcW w:w="3075" w:type="dxa"/>
            <w:gridSpan w:val="3"/>
            <w:vMerge/>
          </w:tcPr>
          <w:p w:rsidR="00A260E9" w:rsidRPr="009D1807" w:rsidRDefault="00A260E9" w:rsidP="008F0BE1">
            <w:pPr>
              <w:spacing w:after="0" w:line="240" w:lineRule="auto"/>
              <w:rPr>
                <w:rFonts w:ascii="Calibri" w:eastAsia="Times New Roman" w:hAnsi="Calibri" w:cs="Times New Roman"/>
                <w:sz w:val="20"/>
                <w:szCs w:val="20"/>
              </w:rPr>
            </w:pPr>
          </w:p>
        </w:tc>
        <w:tc>
          <w:tcPr>
            <w:tcW w:w="990"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10" w:type="dxa"/>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2013</w:t>
            </w:r>
          </w:p>
        </w:tc>
        <w:tc>
          <w:tcPr>
            <w:tcW w:w="810" w:type="dxa"/>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2014</w:t>
            </w:r>
          </w:p>
        </w:tc>
        <w:tc>
          <w:tcPr>
            <w:tcW w:w="810" w:type="dxa"/>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2015</w:t>
            </w:r>
          </w:p>
        </w:tc>
        <w:tc>
          <w:tcPr>
            <w:tcW w:w="810" w:type="dxa"/>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2016</w:t>
            </w:r>
          </w:p>
        </w:tc>
        <w:tc>
          <w:tcPr>
            <w:tcW w:w="936"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82" w:type="dxa"/>
            <w:vMerge/>
          </w:tcPr>
          <w:p w:rsidR="00A260E9" w:rsidRPr="009D1807" w:rsidRDefault="00A260E9" w:rsidP="008F0BE1">
            <w:pPr>
              <w:spacing w:after="0" w:line="240" w:lineRule="auto"/>
              <w:rPr>
                <w:rFonts w:ascii="Calibri" w:eastAsia="Times New Roman" w:hAnsi="Calibri" w:cs="Times New Roman"/>
                <w:sz w:val="20"/>
                <w:szCs w:val="20"/>
              </w:rPr>
            </w:pPr>
          </w:p>
        </w:tc>
      </w:tr>
      <w:tr w:rsidR="00A260E9" w:rsidRPr="009D1807" w:rsidTr="008F0BE1">
        <w:tc>
          <w:tcPr>
            <w:tcW w:w="1458"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431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65.3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63.4</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64.2</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67.5</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3.3</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431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32%</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34%</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321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46.0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38.0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44.0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58.0</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12.0</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14.0</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68.6</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68.4</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70.2</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43%</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46</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47</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47</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253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70.9</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73.2</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2.3</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253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44%</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187</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46.0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52.0</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6.0</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71.9</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47.0%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46</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54.5</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52.6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53.9</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57.7</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3.2</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3.8</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17%</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14%</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20%</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161</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42.0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36.0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41.0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62.0</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20.0</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21.0</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57.4</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57.1</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27.0%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42</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43</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44</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63.9</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63.8</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64.4</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35.0%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36.0%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37.0%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53</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52</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50</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val="restart"/>
            <w:vAlign w:val="center"/>
          </w:tcPr>
          <w:p w:rsidR="00A260E9" w:rsidRPr="009D1807" w:rsidRDefault="00A260E9"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1,613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82.8</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80.2</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80.4</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82.6</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-0.2</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2.2</w:t>
            </w:r>
          </w:p>
        </w:tc>
      </w:tr>
      <w:tr w:rsidR="00A260E9" w:rsidRPr="009D1807" w:rsidTr="008F0BE1">
        <w:tc>
          <w:tcPr>
            <w:tcW w:w="1458"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1,613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63%</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58%</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58%</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62%</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w:t>
            </w:r>
          </w:p>
        </w:tc>
      </w:tr>
      <w:tr w:rsidR="00A260E9" w:rsidRPr="009D1807" w:rsidTr="008F0BE1">
        <w:tc>
          <w:tcPr>
            <w:tcW w:w="1458"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260E9" w:rsidRPr="009D1807" w:rsidRDefault="00A260E9"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1,320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51.0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43.0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46.0</w:t>
            </w:r>
          </w:p>
        </w:tc>
        <w:tc>
          <w:tcPr>
            <w:tcW w:w="810"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56.0</w:t>
            </w:r>
          </w:p>
        </w:tc>
        <w:tc>
          <w:tcPr>
            <w:tcW w:w="936"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5.0</w:t>
            </w:r>
          </w:p>
        </w:tc>
        <w:tc>
          <w:tcPr>
            <w:tcW w:w="882" w:type="dxa"/>
            <w:shd w:val="clear" w:color="auto" w:fill="D9D9D9" w:themeFill="background1" w:themeFillShade="D9"/>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10.0</w:t>
            </w:r>
          </w:p>
        </w:tc>
      </w:tr>
      <w:tr w:rsidR="00A260E9" w:rsidRPr="009D1807" w:rsidTr="008F0BE1">
        <w:tc>
          <w:tcPr>
            <w:tcW w:w="1458"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97" w:type="dxa"/>
            <w:vMerge w:val="restart"/>
            <w:vAlign w:val="center"/>
          </w:tcPr>
          <w:p w:rsidR="00A260E9" w:rsidRPr="009D1807" w:rsidRDefault="00A260E9"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80.8</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80.3</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83.1</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897" w:type="dxa"/>
            <w:vMerge/>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61.0%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60.0%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66.0%</w:t>
            </w:r>
          </w:p>
        </w:tc>
        <w:tc>
          <w:tcPr>
            <w:tcW w:w="810"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1458" w:type="dxa"/>
            <w:vMerge/>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SGP</w:t>
            </w:r>
          </w:p>
        </w:tc>
        <w:tc>
          <w:tcPr>
            <w:tcW w:w="99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51</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50</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50</w:t>
            </w:r>
          </w:p>
        </w:tc>
        <w:tc>
          <w:tcPr>
            <w:tcW w:w="810"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tcBorders>
              <w:bottom w:val="single" w:sz="4" w:space="0" w:color="auto"/>
            </w:tcBorders>
            <w:vAlign w:val="bottom"/>
          </w:tcPr>
          <w:p w:rsidR="00A260E9" w:rsidRPr="009D1807" w:rsidRDefault="00A260E9" w:rsidP="008F0BE1">
            <w:pPr>
              <w:spacing w:after="0" w:line="240" w:lineRule="auto"/>
              <w:jc w:val="center"/>
              <w:rPr>
                <w:rFonts w:ascii="Calibri" w:hAnsi="Calibri"/>
                <w:sz w:val="20"/>
                <w:szCs w:val="20"/>
              </w:rPr>
            </w:pPr>
            <w:r w:rsidRPr="009D1807">
              <w:rPr>
                <w:rFonts w:ascii="Calibri" w:hAnsi="Calibri"/>
                <w:sz w:val="20"/>
                <w:szCs w:val="20"/>
              </w:rPr>
              <w:t>--</w:t>
            </w:r>
          </w:p>
        </w:tc>
      </w:tr>
      <w:tr w:rsidR="00A260E9" w:rsidRPr="009D1807" w:rsidTr="008F0BE1">
        <w:tc>
          <w:tcPr>
            <w:tcW w:w="9123" w:type="dxa"/>
            <w:gridSpan w:val="10"/>
            <w:tcBorders>
              <w:left w:val="nil"/>
              <w:bottom w:val="nil"/>
              <w:right w:val="nil"/>
            </w:tcBorders>
          </w:tcPr>
          <w:p w:rsidR="00A260E9" w:rsidRPr="009D1807" w:rsidRDefault="00A260E9"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bCs/>
                <w:kern w:val="28"/>
                <w:sz w:val="20"/>
                <w:szCs w:val="20"/>
              </w:rPr>
              <w:t xml:space="preserve">Notes: The number of students included in CPI and percent </w:t>
            </w:r>
            <w:r w:rsidRPr="009D1807">
              <w:rPr>
                <w:rFonts w:ascii="Calibri" w:eastAsia="Times New Roman" w:hAnsi="Calibri" w:cs="Times New Roman"/>
                <w:bCs/>
                <w:i/>
                <w:kern w:val="28"/>
                <w:sz w:val="20"/>
                <w:szCs w:val="20"/>
              </w:rPr>
              <w:t>Proficient</w:t>
            </w:r>
            <w:r w:rsidRPr="009D1807">
              <w:rPr>
                <w:rFonts w:ascii="Calibri" w:eastAsia="Times New Roman" w:hAnsi="Calibri" w:cs="Times New Roman"/>
                <w:bCs/>
                <w:kern w:val="28"/>
                <w:sz w:val="20"/>
                <w:szCs w:val="20"/>
              </w:rPr>
              <w:t xml:space="preserve"> or </w:t>
            </w:r>
            <w:r w:rsidRPr="009D1807">
              <w:rPr>
                <w:rFonts w:ascii="Calibri" w:eastAsia="Times New Roman" w:hAnsi="Calibri" w:cs="Times New Roman"/>
                <w:bCs/>
                <w:i/>
                <w:kern w:val="28"/>
                <w:sz w:val="20"/>
                <w:szCs w:val="20"/>
              </w:rPr>
              <w:t>Advanced</w:t>
            </w:r>
            <w:r w:rsidRPr="009D1807">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A260E9" w:rsidRPr="009D1807" w:rsidRDefault="00A260E9" w:rsidP="00A260E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6346B" w:rsidRPr="009D1807" w:rsidRDefault="0016346B" w:rsidP="0016346B">
      <w:pPr>
        <w:spacing w:after="0" w:line="240" w:lineRule="auto"/>
        <w:jc w:val="center"/>
        <w:rPr>
          <w:rFonts w:ascii="Calibri" w:eastAsia="Calibri" w:hAnsi="Calibri" w:cs="Times New Roman"/>
          <w:b/>
          <w:sz w:val="20"/>
        </w:rPr>
      </w:pPr>
      <w:r w:rsidRPr="009D1807">
        <w:rPr>
          <w:rFonts w:ascii="Calibri" w:eastAsia="Calibri" w:hAnsi="Calibri" w:cs="Times New Roman"/>
          <w:b/>
          <w:sz w:val="20"/>
        </w:rPr>
        <w:lastRenderedPageBreak/>
        <w:t>Table B3c: Dighton-Rehoboth Regional School District</w:t>
      </w:r>
    </w:p>
    <w:p w:rsidR="0016346B" w:rsidRPr="009D1807" w:rsidRDefault="0016346B" w:rsidP="0016346B">
      <w:pPr>
        <w:spacing w:after="0"/>
        <w:jc w:val="center"/>
        <w:rPr>
          <w:rFonts w:ascii="Calibri" w:eastAsia="Calibri" w:hAnsi="Calibri" w:cs="Times New Roman"/>
          <w:b/>
          <w:sz w:val="20"/>
        </w:rPr>
      </w:pPr>
      <w:r w:rsidRPr="009D1807">
        <w:rPr>
          <w:rFonts w:ascii="Calibri" w:eastAsia="Calibri" w:hAnsi="Calibri" w:cs="Times New Roman"/>
          <w:b/>
          <w:sz w:val="20"/>
        </w:rPr>
        <w:t>Science and Technology/Engineering (All Grades)</w:t>
      </w:r>
    </w:p>
    <w:p w:rsidR="0016346B" w:rsidRPr="009D1807" w:rsidRDefault="0016346B" w:rsidP="0016346B">
      <w:pPr>
        <w:spacing w:after="0" w:line="240" w:lineRule="auto"/>
        <w:jc w:val="center"/>
        <w:rPr>
          <w:rFonts w:ascii="Calibri" w:eastAsia="Calibri" w:hAnsi="Calibri" w:cs="Times New Roman"/>
          <w:b/>
          <w:sz w:val="20"/>
          <w:szCs w:val="24"/>
        </w:rPr>
      </w:pPr>
      <w:r w:rsidRPr="009D1807">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16346B" w:rsidRPr="009D1807" w:rsidTr="008F0BE1">
        <w:tc>
          <w:tcPr>
            <w:tcW w:w="2808" w:type="dxa"/>
            <w:gridSpan w:val="3"/>
            <w:vMerge w:val="restart"/>
            <w:vAlign w:val="center"/>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Group and Measure</w:t>
            </w:r>
          </w:p>
        </w:tc>
        <w:tc>
          <w:tcPr>
            <w:tcW w:w="990" w:type="dxa"/>
            <w:vMerge w:val="restart"/>
            <w:vAlign w:val="center"/>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Number Included (2016)</w:t>
            </w:r>
          </w:p>
        </w:tc>
        <w:tc>
          <w:tcPr>
            <w:tcW w:w="3240" w:type="dxa"/>
            <w:gridSpan w:val="4"/>
            <w:vMerge w:val="restart"/>
            <w:vAlign w:val="center"/>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Spring MCAS Year</w:t>
            </w:r>
          </w:p>
        </w:tc>
        <w:tc>
          <w:tcPr>
            <w:tcW w:w="1818" w:type="dxa"/>
            <w:gridSpan w:val="2"/>
          </w:tcPr>
          <w:p w:rsidR="0016346B" w:rsidRPr="009D1807" w:rsidRDefault="0016346B"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Gains and Declines</w:t>
            </w:r>
          </w:p>
        </w:tc>
      </w:tr>
      <w:tr w:rsidR="0016346B" w:rsidRPr="009D1807" w:rsidTr="008F0BE1">
        <w:trPr>
          <w:trHeight w:val="244"/>
        </w:trPr>
        <w:tc>
          <w:tcPr>
            <w:tcW w:w="2808" w:type="dxa"/>
            <w:gridSpan w:val="3"/>
            <w:vMerge/>
          </w:tcPr>
          <w:p w:rsidR="0016346B" w:rsidRPr="009D1807" w:rsidRDefault="0016346B" w:rsidP="008F0BE1">
            <w:pPr>
              <w:spacing w:after="0" w:line="240" w:lineRule="auto"/>
              <w:rPr>
                <w:rFonts w:ascii="Calibri" w:eastAsia="Times New Roman" w:hAnsi="Calibri" w:cs="Times New Roman"/>
                <w:b/>
                <w:sz w:val="20"/>
                <w:szCs w:val="20"/>
              </w:rPr>
            </w:pPr>
          </w:p>
        </w:tc>
        <w:tc>
          <w:tcPr>
            <w:tcW w:w="990" w:type="dxa"/>
            <w:vMerge/>
          </w:tcPr>
          <w:p w:rsidR="0016346B" w:rsidRPr="009D1807" w:rsidRDefault="0016346B" w:rsidP="008F0BE1">
            <w:pPr>
              <w:spacing w:after="0" w:line="240" w:lineRule="auto"/>
              <w:rPr>
                <w:rFonts w:ascii="Calibri" w:eastAsia="Times New Roman" w:hAnsi="Calibri" w:cs="Times New Roman"/>
                <w:b/>
                <w:sz w:val="20"/>
                <w:szCs w:val="20"/>
              </w:rPr>
            </w:pPr>
          </w:p>
        </w:tc>
        <w:tc>
          <w:tcPr>
            <w:tcW w:w="3240" w:type="dxa"/>
            <w:gridSpan w:val="4"/>
            <w:vMerge/>
          </w:tcPr>
          <w:p w:rsidR="0016346B" w:rsidRPr="009D1807" w:rsidRDefault="0016346B" w:rsidP="008F0BE1">
            <w:pPr>
              <w:spacing w:after="0" w:line="240" w:lineRule="auto"/>
              <w:rPr>
                <w:rFonts w:ascii="Calibri" w:eastAsia="Times New Roman" w:hAnsi="Calibri" w:cs="Times New Roman"/>
                <w:b/>
                <w:sz w:val="20"/>
                <w:szCs w:val="20"/>
              </w:rPr>
            </w:pPr>
          </w:p>
        </w:tc>
        <w:tc>
          <w:tcPr>
            <w:tcW w:w="936" w:type="dxa"/>
            <w:vMerge w:val="restart"/>
          </w:tcPr>
          <w:p w:rsidR="0016346B" w:rsidRPr="009D1807" w:rsidRDefault="0016346B"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4-Year Trend</w:t>
            </w:r>
          </w:p>
        </w:tc>
        <w:tc>
          <w:tcPr>
            <w:tcW w:w="882" w:type="dxa"/>
            <w:vMerge w:val="restart"/>
          </w:tcPr>
          <w:p w:rsidR="0016346B" w:rsidRPr="009D1807" w:rsidRDefault="0016346B"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2-Year Trend</w:t>
            </w:r>
          </w:p>
        </w:tc>
      </w:tr>
      <w:tr w:rsidR="0016346B" w:rsidRPr="009D1807" w:rsidTr="008F0BE1">
        <w:tc>
          <w:tcPr>
            <w:tcW w:w="2808" w:type="dxa"/>
            <w:gridSpan w:val="3"/>
            <w:vMerge/>
          </w:tcPr>
          <w:p w:rsidR="0016346B" w:rsidRPr="009D1807" w:rsidRDefault="0016346B" w:rsidP="008F0BE1">
            <w:pPr>
              <w:spacing w:after="0" w:line="240" w:lineRule="auto"/>
              <w:rPr>
                <w:rFonts w:ascii="Calibri" w:eastAsia="Times New Roman" w:hAnsi="Calibri" w:cs="Times New Roman"/>
                <w:sz w:val="20"/>
                <w:szCs w:val="20"/>
              </w:rPr>
            </w:pPr>
          </w:p>
        </w:tc>
        <w:tc>
          <w:tcPr>
            <w:tcW w:w="990" w:type="dxa"/>
            <w:vMerge/>
          </w:tcPr>
          <w:p w:rsidR="0016346B" w:rsidRPr="009D1807" w:rsidRDefault="0016346B" w:rsidP="008F0BE1">
            <w:pPr>
              <w:spacing w:after="0" w:line="240" w:lineRule="auto"/>
              <w:rPr>
                <w:rFonts w:ascii="Calibri" w:eastAsia="Times New Roman" w:hAnsi="Calibri" w:cs="Times New Roman"/>
                <w:sz w:val="20"/>
                <w:szCs w:val="20"/>
              </w:rPr>
            </w:pPr>
          </w:p>
        </w:tc>
        <w:tc>
          <w:tcPr>
            <w:tcW w:w="810" w:type="dxa"/>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2013</w:t>
            </w:r>
          </w:p>
        </w:tc>
        <w:tc>
          <w:tcPr>
            <w:tcW w:w="810" w:type="dxa"/>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2014</w:t>
            </w:r>
          </w:p>
        </w:tc>
        <w:tc>
          <w:tcPr>
            <w:tcW w:w="810" w:type="dxa"/>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2015</w:t>
            </w:r>
          </w:p>
        </w:tc>
        <w:tc>
          <w:tcPr>
            <w:tcW w:w="810" w:type="dxa"/>
          </w:tcPr>
          <w:p w:rsidR="0016346B" w:rsidRPr="009D1807" w:rsidRDefault="0016346B"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2016</w:t>
            </w:r>
          </w:p>
        </w:tc>
        <w:tc>
          <w:tcPr>
            <w:tcW w:w="936" w:type="dxa"/>
            <w:vMerge/>
          </w:tcPr>
          <w:p w:rsidR="0016346B" w:rsidRPr="009D1807" w:rsidRDefault="0016346B" w:rsidP="008F0BE1">
            <w:pPr>
              <w:spacing w:after="0" w:line="240" w:lineRule="auto"/>
              <w:rPr>
                <w:rFonts w:ascii="Calibri" w:eastAsia="Times New Roman" w:hAnsi="Calibri" w:cs="Times New Roman"/>
                <w:sz w:val="20"/>
                <w:szCs w:val="20"/>
              </w:rPr>
            </w:pPr>
          </w:p>
        </w:tc>
        <w:tc>
          <w:tcPr>
            <w:tcW w:w="882" w:type="dxa"/>
            <w:vMerge/>
          </w:tcPr>
          <w:p w:rsidR="0016346B" w:rsidRPr="009D1807" w:rsidRDefault="0016346B" w:rsidP="008F0BE1">
            <w:pPr>
              <w:spacing w:after="0" w:line="240" w:lineRule="auto"/>
              <w:rPr>
                <w:rFonts w:ascii="Calibri" w:eastAsia="Times New Roman" w:hAnsi="Calibri" w:cs="Times New Roman"/>
                <w:sz w:val="20"/>
                <w:szCs w:val="20"/>
              </w:rPr>
            </w:pPr>
          </w:p>
        </w:tc>
      </w:tr>
      <w:tr w:rsidR="0016346B" w:rsidRPr="009D1807" w:rsidTr="008F0BE1">
        <w:tc>
          <w:tcPr>
            <w:tcW w:w="1278"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184</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67.3</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69.1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66.1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67.7</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0.4</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1.6</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184</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28%</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29%</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30%</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89,857</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66.4</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67.3</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66.3</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65.4</w:t>
            </w:r>
          </w:p>
        </w:tc>
        <w:tc>
          <w:tcPr>
            <w:tcW w:w="936"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c>
          <w:tcPr>
            <w:tcW w:w="882"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-0.9</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89,857</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31%</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33%</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32%</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31%</w:t>
            </w:r>
          </w:p>
        </w:tc>
        <w:tc>
          <w:tcPr>
            <w:tcW w:w="936"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0%</w:t>
            </w:r>
          </w:p>
        </w:tc>
        <w:tc>
          <w:tcPr>
            <w:tcW w:w="882"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r>
      <w:tr w:rsidR="0016346B" w:rsidRPr="009D1807" w:rsidTr="008F0BE1">
        <w:tc>
          <w:tcPr>
            <w:tcW w:w="1278" w:type="dxa"/>
            <w:vMerge w:val="restart"/>
            <w:vAlign w:val="center"/>
          </w:tcPr>
          <w:p w:rsidR="0016346B" w:rsidRPr="009D1807" w:rsidRDefault="0016346B" w:rsidP="00AE2DFB">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117</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72.6</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74.6</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117</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38%</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38%</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61,476</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67.1</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65.8</w:t>
            </w:r>
          </w:p>
        </w:tc>
        <w:tc>
          <w:tcPr>
            <w:tcW w:w="936"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w:t>
            </w:r>
          </w:p>
        </w:tc>
        <w:tc>
          <w:tcPr>
            <w:tcW w:w="882"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-1.3</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61,476</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33.0%</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29%</w:t>
            </w:r>
          </w:p>
        </w:tc>
        <w:tc>
          <w:tcPr>
            <w:tcW w:w="936"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w:t>
            </w:r>
          </w:p>
        </w:tc>
        <w:tc>
          <w:tcPr>
            <w:tcW w:w="882"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-4%</w:t>
            </w:r>
          </w:p>
        </w:tc>
      </w:tr>
      <w:tr w:rsidR="0016346B" w:rsidRPr="009D1807" w:rsidTr="008F0BE1">
        <w:tc>
          <w:tcPr>
            <w:tcW w:w="1278"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87</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58.4</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62.1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56.9</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58</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-0.4</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1.1</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87</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16%</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20%</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16%</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16%</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38,109</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59.8</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60.1</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60.2</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59.7</w:t>
            </w:r>
          </w:p>
        </w:tc>
        <w:tc>
          <w:tcPr>
            <w:tcW w:w="936"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-0.1</w:t>
            </w:r>
          </w:p>
        </w:tc>
        <w:tc>
          <w:tcPr>
            <w:tcW w:w="882"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-0.5</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38,109</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20%</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22%</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22%</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21%</w:t>
            </w:r>
          </w:p>
        </w:tc>
        <w:tc>
          <w:tcPr>
            <w:tcW w:w="936"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c>
          <w:tcPr>
            <w:tcW w:w="882"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r>
      <w:tr w:rsidR="0016346B" w:rsidRPr="009D1807" w:rsidTr="008F0BE1">
        <w:tc>
          <w:tcPr>
            <w:tcW w:w="1278"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18,594</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53.9</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54.1</w:t>
            </w:r>
          </w:p>
        </w:tc>
        <w:tc>
          <w:tcPr>
            <w:tcW w:w="936"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0.1</w:t>
            </w:r>
          </w:p>
        </w:tc>
        <w:tc>
          <w:tcPr>
            <w:tcW w:w="882"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0.2</w:t>
            </w:r>
          </w:p>
        </w:tc>
      </w:tr>
      <w:tr w:rsidR="0016346B" w:rsidRPr="009D1807" w:rsidTr="008F0BE1">
        <w:tc>
          <w:tcPr>
            <w:tcW w:w="1278" w:type="dxa"/>
            <w:vMerge/>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18,594</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19%</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18%</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19%</w:t>
            </w:r>
          </w:p>
        </w:tc>
        <w:tc>
          <w:tcPr>
            <w:tcW w:w="936"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0%</w:t>
            </w:r>
          </w:p>
        </w:tc>
        <w:tc>
          <w:tcPr>
            <w:tcW w:w="882"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r>
      <w:tr w:rsidR="0016346B" w:rsidRPr="009D1807" w:rsidTr="008F0BE1">
        <w:tc>
          <w:tcPr>
            <w:tcW w:w="1278"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District</w:t>
            </w: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672</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79.8</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82.5</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80.4</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81.2</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1.4</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0.8</w:t>
            </w:r>
          </w:p>
        </w:tc>
      </w:tr>
      <w:tr w:rsidR="0016346B" w:rsidRPr="009D1807" w:rsidTr="008F0BE1">
        <w:tc>
          <w:tcPr>
            <w:tcW w:w="1278" w:type="dxa"/>
            <w:vMerge/>
          </w:tcPr>
          <w:p w:rsidR="0016346B" w:rsidRPr="009D1807" w:rsidRDefault="0016346B" w:rsidP="008F0BE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6346B" w:rsidRPr="009D1807" w:rsidRDefault="0016346B" w:rsidP="008F0B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672</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50%</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56%</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810"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936"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4%</w:t>
            </w:r>
          </w:p>
        </w:tc>
        <w:tc>
          <w:tcPr>
            <w:tcW w:w="882" w:type="dxa"/>
            <w:shd w:val="clear" w:color="auto" w:fill="D9D9D9" w:themeFill="background1" w:themeFillShade="D9"/>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0%</w:t>
            </w:r>
          </w:p>
        </w:tc>
      </w:tr>
      <w:tr w:rsidR="0016346B" w:rsidRPr="009D1807" w:rsidTr="008F0BE1">
        <w:tc>
          <w:tcPr>
            <w:tcW w:w="1278" w:type="dxa"/>
            <w:vMerge/>
          </w:tcPr>
          <w:p w:rsidR="0016346B" w:rsidRPr="009D1807" w:rsidRDefault="0016346B" w:rsidP="008F0BE1">
            <w:pPr>
              <w:spacing w:after="0" w:line="240" w:lineRule="auto"/>
              <w:rPr>
                <w:rFonts w:ascii="Calibri" w:eastAsia="Times New Roman" w:hAnsi="Calibri" w:cs="Times New Roman"/>
                <w:sz w:val="20"/>
                <w:szCs w:val="20"/>
              </w:rPr>
            </w:pPr>
          </w:p>
        </w:tc>
        <w:tc>
          <w:tcPr>
            <w:tcW w:w="810" w:type="dxa"/>
            <w:vMerge w:val="restart"/>
            <w:vAlign w:val="center"/>
          </w:tcPr>
          <w:p w:rsidR="0016346B" w:rsidRPr="009D1807" w:rsidRDefault="0016346B" w:rsidP="008F0BE1">
            <w:pPr>
              <w:spacing w:after="0" w:line="240" w:lineRule="auto"/>
              <w:jc w:val="center"/>
              <w:rPr>
                <w:rFonts w:ascii="Calibri" w:eastAsia="Times New Roman" w:hAnsi="Calibri" w:cs="Times New Roman"/>
                <w:sz w:val="20"/>
                <w:szCs w:val="20"/>
              </w:rPr>
            </w:pPr>
            <w:r w:rsidRPr="009D1807">
              <w:rPr>
                <w:rFonts w:ascii="Calibri" w:eastAsia="Times New Roman" w:hAnsi="Calibri" w:cs="Times New Roman"/>
                <w:sz w:val="20"/>
                <w:szCs w:val="20"/>
              </w:rPr>
              <w:t>State</w:t>
            </w:r>
          </w:p>
        </w:tc>
        <w:tc>
          <w:tcPr>
            <w:tcW w:w="720" w:type="dxa"/>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CPI</w:t>
            </w:r>
          </w:p>
        </w:tc>
        <w:tc>
          <w:tcPr>
            <w:tcW w:w="99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208,262</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79</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79.6</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79.4</w:t>
            </w:r>
          </w:p>
        </w:tc>
        <w:tc>
          <w:tcPr>
            <w:tcW w:w="810" w:type="dxa"/>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78.7</w:t>
            </w:r>
          </w:p>
        </w:tc>
        <w:tc>
          <w:tcPr>
            <w:tcW w:w="936"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-0.3</w:t>
            </w:r>
          </w:p>
        </w:tc>
        <w:tc>
          <w:tcPr>
            <w:tcW w:w="882" w:type="dxa"/>
            <w:vAlign w:val="bottom"/>
          </w:tcPr>
          <w:p w:rsidR="0016346B" w:rsidRPr="009D1807" w:rsidRDefault="0016346B" w:rsidP="008F0BE1">
            <w:pPr>
              <w:spacing w:after="0" w:line="240" w:lineRule="auto"/>
              <w:jc w:val="center"/>
              <w:rPr>
                <w:rFonts w:ascii="Calibri" w:hAnsi="Calibri"/>
              </w:rPr>
            </w:pPr>
            <w:r w:rsidRPr="009D1807">
              <w:rPr>
                <w:rFonts w:ascii="Calibri" w:hAnsi="Calibri"/>
              </w:rPr>
              <w:t>-0.7</w:t>
            </w:r>
          </w:p>
        </w:tc>
      </w:tr>
      <w:tr w:rsidR="0016346B" w:rsidRPr="009D1807" w:rsidTr="008F0BE1">
        <w:tc>
          <w:tcPr>
            <w:tcW w:w="1278" w:type="dxa"/>
            <w:vMerge/>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P+</w:t>
            </w:r>
          </w:p>
        </w:tc>
        <w:tc>
          <w:tcPr>
            <w:tcW w:w="99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208,262</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53%</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55%</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810" w:type="dxa"/>
            <w:tcBorders>
              <w:bottom w:val="single" w:sz="4" w:space="0" w:color="auto"/>
            </w:tcBorders>
            <w:vAlign w:val="bottom"/>
          </w:tcPr>
          <w:p w:rsidR="0016346B" w:rsidRPr="009D1807" w:rsidRDefault="0016346B" w:rsidP="008F0BE1">
            <w:pPr>
              <w:spacing w:after="0" w:line="240" w:lineRule="auto"/>
              <w:jc w:val="center"/>
              <w:rPr>
                <w:rFonts w:ascii="Calibri" w:hAnsi="Calibri"/>
                <w:sz w:val="20"/>
                <w:szCs w:val="20"/>
              </w:rPr>
            </w:pPr>
            <w:r w:rsidRPr="009D1807">
              <w:rPr>
                <w:rFonts w:ascii="Calibri" w:hAnsi="Calibri"/>
                <w:sz w:val="20"/>
                <w:szCs w:val="20"/>
              </w:rPr>
              <w:t>54%</w:t>
            </w:r>
          </w:p>
        </w:tc>
        <w:tc>
          <w:tcPr>
            <w:tcW w:w="936"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1%</w:t>
            </w:r>
          </w:p>
        </w:tc>
        <w:tc>
          <w:tcPr>
            <w:tcW w:w="882" w:type="dxa"/>
            <w:tcBorders>
              <w:bottom w:val="single" w:sz="4" w:space="0" w:color="auto"/>
            </w:tcBorders>
            <w:vAlign w:val="bottom"/>
          </w:tcPr>
          <w:p w:rsidR="0016346B" w:rsidRPr="009D1807" w:rsidRDefault="0016346B" w:rsidP="008F0BE1">
            <w:pPr>
              <w:spacing w:after="0" w:line="240" w:lineRule="auto"/>
              <w:jc w:val="center"/>
              <w:rPr>
                <w:rFonts w:ascii="Calibri" w:hAnsi="Calibri"/>
              </w:rPr>
            </w:pPr>
            <w:r w:rsidRPr="009D1807">
              <w:rPr>
                <w:rFonts w:ascii="Calibri" w:hAnsi="Calibri"/>
              </w:rPr>
              <w:t>0%</w:t>
            </w:r>
          </w:p>
        </w:tc>
      </w:tr>
      <w:tr w:rsidR="0016346B" w:rsidRPr="009D1807" w:rsidTr="008F0BE1">
        <w:tc>
          <w:tcPr>
            <w:tcW w:w="8856" w:type="dxa"/>
            <w:gridSpan w:val="10"/>
            <w:tcBorders>
              <w:left w:val="nil"/>
              <w:bottom w:val="nil"/>
              <w:right w:val="nil"/>
            </w:tcBorders>
          </w:tcPr>
          <w:p w:rsidR="0016346B" w:rsidRPr="009D1807" w:rsidRDefault="0016346B"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762515" w:rsidRPr="009D1807" w:rsidRDefault="00762515" w:rsidP="00762515">
      <w:pPr>
        <w:spacing w:after="0"/>
        <w:jc w:val="center"/>
        <w:rPr>
          <w:rFonts w:ascii="Calibri" w:eastAsia="Calibri" w:hAnsi="Calibri" w:cs="Times New Roman"/>
          <w:b/>
          <w:sz w:val="20"/>
        </w:rPr>
      </w:pPr>
      <w:r w:rsidRPr="009D1807">
        <w:rPr>
          <w:rFonts w:ascii="Calibri" w:eastAsia="Calibri" w:hAnsi="Calibri" w:cs="Times New Roman"/>
          <w:b/>
          <w:sz w:val="20"/>
        </w:rPr>
        <w:lastRenderedPageBreak/>
        <w:t>Table B4: Dighton-Rehoboth Regional School District</w:t>
      </w:r>
    </w:p>
    <w:p w:rsidR="00762515" w:rsidRPr="009D1807" w:rsidRDefault="00762515" w:rsidP="00762515">
      <w:pPr>
        <w:spacing w:after="0" w:line="240" w:lineRule="auto"/>
        <w:jc w:val="center"/>
        <w:rPr>
          <w:rFonts w:ascii="Times New Roman" w:eastAsia="Times New Roman" w:hAnsi="Times New Roman" w:cs="Times New Roman"/>
          <w:kern w:val="28"/>
          <w:sz w:val="24"/>
          <w:szCs w:val="24"/>
        </w:rPr>
      </w:pPr>
      <w:r w:rsidRPr="009D1807">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762515" w:rsidRPr="009D1807" w:rsidTr="008F0BE1">
        <w:tc>
          <w:tcPr>
            <w:tcW w:w="1260" w:type="dxa"/>
            <w:vMerge w:val="restart"/>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Group</w:t>
            </w:r>
          </w:p>
        </w:tc>
        <w:tc>
          <w:tcPr>
            <w:tcW w:w="2880" w:type="dxa"/>
            <w:gridSpan w:val="4"/>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School Year Ending</w:t>
            </w:r>
          </w:p>
        </w:tc>
        <w:tc>
          <w:tcPr>
            <w:tcW w:w="2160" w:type="dxa"/>
            <w:gridSpan w:val="2"/>
          </w:tcPr>
          <w:p w:rsidR="00762515" w:rsidRPr="009D1807" w:rsidRDefault="00762515"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Change 2012–2015</w:t>
            </w:r>
          </w:p>
        </w:tc>
        <w:tc>
          <w:tcPr>
            <w:tcW w:w="2070" w:type="dxa"/>
            <w:gridSpan w:val="2"/>
          </w:tcPr>
          <w:p w:rsidR="00762515" w:rsidRPr="009D1807" w:rsidRDefault="00762515" w:rsidP="008F0BE1">
            <w:pPr>
              <w:spacing w:after="0" w:line="240" w:lineRule="auto"/>
              <w:rPr>
                <w:rFonts w:ascii="Calibri" w:eastAsia="Times New Roman" w:hAnsi="Calibri" w:cs="Times New Roman"/>
                <w:b/>
                <w:sz w:val="20"/>
                <w:szCs w:val="20"/>
              </w:rPr>
            </w:pPr>
            <w:r w:rsidRPr="009D1807">
              <w:rPr>
                <w:rFonts w:ascii="Calibri" w:eastAsia="Times New Roman" w:hAnsi="Calibri" w:cs="Times New Roman"/>
                <w:b/>
                <w:sz w:val="20"/>
                <w:szCs w:val="20"/>
              </w:rPr>
              <w:t>Change 2014–2015</w:t>
            </w:r>
          </w:p>
        </w:tc>
        <w:tc>
          <w:tcPr>
            <w:tcW w:w="810" w:type="dxa"/>
            <w:vMerge w:val="restart"/>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State (2015)</w:t>
            </w:r>
          </w:p>
        </w:tc>
      </w:tr>
      <w:tr w:rsidR="00762515" w:rsidRPr="009D1807" w:rsidTr="008F0BE1">
        <w:tc>
          <w:tcPr>
            <w:tcW w:w="1260" w:type="dxa"/>
            <w:vMerge/>
          </w:tcPr>
          <w:p w:rsidR="00762515" w:rsidRPr="009D1807" w:rsidRDefault="00762515" w:rsidP="008F0BE1">
            <w:pPr>
              <w:spacing w:after="0" w:line="240" w:lineRule="auto"/>
              <w:rPr>
                <w:rFonts w:ascii="Calibri" w:eastAsia="Times New Roman" w:hAnsi="Calibri" w:cs="Times New Roman"/>
                <w:sz w:val="20"/>
                <w:szCs w:val="20"/>
              </w:rPr>
            </w:pPr>
          </w:p>
        </w:tc>
        <w:tc>
          <w:tcPr>
            <w:tcW w:w="720" w:type="dxa"/>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2012</w:t>
            </w:r>
          </w:p>
        </w:tc>
        <w:tc>
          <w:tcPr>
            <w:tcW w:w="720" w:type="dxa"/>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2013</w:t>
            </w:r>
          </w:p>
        </w:tc>
        <w:tc>
          <w:tcPr>
            <w:tcW w:w="720" w:type="dxa"/>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2014</w:t>
            </w:r>
          </w:p>
        </w:tc>
        <w:tc>
          <w:tcPr>
            <w:tcW w:w="720" w:type="dxa"/>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2015</w:t>
            </w:r>
          </w:p>
        </w:tc>
        <w:tc>
          <w:tcPr>
            <w:tcW w:w="1170" w:type="dxa"/>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62515" w:rsidRPr="009D1807" w:rsidRDefault="00762515" w:rsidP="008F0BE1">
            <w:pPr>
              <w:spacing w:after="0" w:line="240" w:lineRule="auto"/>
              <w:jc w:val="center"/>
              <w:rPr>
                <w:rFonts w:ascii="Calibri" w:eastAsia="Times New Roman" w:hAnsi="Calibri" w:cs="Times New Roman"/>
                <w:b/>
                <w:sz w:val="20"/>
                <w:szCs w:val="20"/>
              </w:rPr>
            </w:pPr>
            <w:r w:rsidRPr="009D1807">
              <w:rPr>
                <w:rFonts w:ascii="Calibri" w:eastAsia="Times New Roman" w:hAnsi="Calibri" w:cs="Times New Roman"/>
                <w:b/>
                <w:sz w:val="20"/>
                <w:szCs w:val="20"/>
              </w:rPr>
              <w:t>Percent Change</w:t>
            </w:r>
          </w:p>
        </w:tc>
        <w:tc>
          <w:tcPr>
            <w:tcW w:w="810" w:type="dxa"/>
            <w:vMerge/>
          </w:tcPr>
          <w:p w:rsidR="00762515" w:rsidRPr="009D1807" w:rsidRDefault="00762515" w:rsidP="008F0BE1">
            <w:pPr>
              <w:spacing w:after="0" w:line="240" w:lineRule="auto"/>
              <w:rPr>
                <w:rFonts w:ascii="Calibri" w:eastAsia="Times New Roman" w:hAnsi="Calibri" w:cs="Times New Roman"/>
                <w:sz w:val="20"/>
                <w:szCs w:val="20"/>
              </w:rPr>
            </w:pPr>
          </w:p>
        </w:tc>
      </w:tr>
      <w:tr w:rsidR="00762515" w:rsidRPr="009D1807" w:rsidTr="008F0BE1">
        <w:tc>
          <w:tcPr>
            <w:tcW w:w="1260" w:type="dxa"/>
            <w:tcBorders>
              <w:bottom w:val="single" w:sz="4" w:space="0" w:color="auto"/>
            </w:tcBorders>
            <w:shd w:val="clear" w:color="auto" w:fill="D9D9D9" w:themeFill="background1" w:themeFillShade="D9"/>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1.8%</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0.9%</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2.1%</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1.2%</w:t>
            </w:r>
          </w:p>
        </w:tc>
        <w:tc>
          <w:tcPr>
            <w:tcW w:w="117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-0.6</w:t>
            </w:r>
          </w:p>
        </w:tc>
        <w:tc>
          <w:tcPr>
            <w:tcW w:w="99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-33%</w:t>
            </w:r>
          </w:p>
        </w:tc>
        <w:tc>
          <w:tcPr>
            <w:tcW w:w="117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-0.9</w:t>
            </w:r>
          </w:p>
        </w:tc>
        <w:tc>
          <w:tcPr>
            <w:tcW w:w="90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-43%</w:t>
            </w:r>
          </w:p>
        </w:tc>
        <w:tc>
          <w:tcPr>
            <w:tcW w:w="81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3.4%</w:t>
            </w:r>
          </w:p>
        </w:tc>
      </w:tr>
      <w:tr w:rsidR="00762515" w:rsidRPr="009D1807" w:rsidTr="008F0BE1">
        <w:tc>
          <w:tcPr>
            <w:tcW w:w="1260" w:type="dxa"/>
            <w:tcBorders>
              <w:bottom w:val="single" w:sz="4" w:space="0" w:color="auto"/>
            </w:tcBorders>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Econ</w:t>
            </w:r>
            <w:r>
              <w:rPr>
                <w:rFonts w:ascii="Calibri" w:eastAsia="Times New Roman" w:hAnsi="Calibri" w:cs="Times New Roman"/>
                <w:sz w:val="20"/>
                <w:szCs w:val="20"/>
              </w:rPr>
              <w:t>.</w:t>
            </w:r>
            <w:r w:rsidRPr="009D1807">
              <w:rPr>
                <w:rFonts w:ascii="Calibri" w:eastAsia="Times New Roman" w:hAnsi="Calibri" w:cs="Times New Roman"/>
                <w:sz w:val="20"/>
                <w:szCs w:val="20"/>
              </w:rPr>
              <w:t xml:space="preserve"> Disad</w:t>
            </w:r>
            <w:r>
              <w:rPr>
                <w:rFonts w:ascii="Calibri" w:eastAsia="Times New Roman" w:hAnsi="Calibri" w:cs="Times New Roman"/>
                <w:sz w:val="20"/>
                <w:szCs w:val="20"/>
              </w:rPr>
              <w:t>.</w:t>
            </w:r>
            <w:r w:rsidRPr="009D1807">
              <w:rPr>
                <w:rStyle w:val="FootnoteReference"/>
                <w:rFonts w:ascii="Calibri" w:eastAsia="Times New Roman" w:hAnsi="Calibri" w:cs="Times New Roman"/>
                <w:sz w:val="20"/>
                <w:szCs w:val="20"/>
              </w:rPr>
              <w:footnoteReference w:id="10"/>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1.4%</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0.0%</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1.8%</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2.2%</w:t>
            </w:r>
          </w:p>
        </w:tc>
        <w:tc>
          <w:tcPr>
            <w:tcW w:w="117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0.8</w:t>
            </w:r>
          </w:p>
        </w:tc>
        <w:tc>
          <w:tcPr>
            <w:tcW w:w="990" w:type="dxa"/>
            <w:tcBorders>
              <w:bottom w:val="single" w:sz="4" w:space="0" w:color="auto"/>
            </w:tcBorders>
            <w:shd w:val="clear" w:color="auto" w:fill="auto"/>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57%</w:t>
            </w:r>
          </w:p>
        </w:tc>
        <w:tc>
          <w:tcPr>
            <w:tcW w:w="1170" w:type="dxa"/>
            <w:tcBorders>
              <w:bottom w:val="single" w:sz="4" w:space="0" w:color="auto"/>
            </w:tcBorders>
            <w:shd w:val="clear" w:color="auto" w:fill="FFFFFF" w:themeFill="background1"/>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0.4</w:t>
            </w:r>
          </w:p>
        </w:tc>
        <w:tc>
          <w:tcPr>
            <w:tcW w:w="900" w:type="dxa"/>
            <w:tcBorders>
              <w:bottom w:val="single" w:sz="4" w:space="0" w:color="auto"/>
            </w:tcBorders>
            <w:shd w:val="clear" w:color="auto" w:fill="auto"/>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22%</w:t>
            </w:r>
          </w:p>
        </w:tc>
        <w:tc>
          <w:tcPr>
            <w:tcW w:w="810" w:type="dxa"/>
            <w:tcBorders>
              <w:bottom w:val="single" w:sz="4" w:space="0" w:color="auto"/>
            </w:tcBorders>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3.3%</w:t>
            </w:r>
          </w:p>
        </w:tc>
      </w:tr>
      <w:tr w:rsidR="00762515" w:rsidRPr="009D1807" w:rsidTr="008F0BE1">
        <w:tc>
          <w:tcPr>
            <w:tcW w:w="1260" w:type="dxa"/>
            <w:tcBorders>
              <w:bottom w:val="single" w:sz="4" w:space="0" w:color="auto"/>
            </w:tcBorders>
            <w:shd w:val="clear" w:color="auto" w:fill="D9D9D9" w:themeFill="background1" w:themeFillShade="D9"/>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2.4%</w:t>
            </w:r>
          </w:p>
        </w:tc>
        <w:tc>
          <w:tcPr>
            <w:tcW w:w="72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1.7%</w:t>
            </w:r>
          </w:p>
        </w:tc>
        <w:tc>
          <w:tcPr>
            <w:tcW w:w="72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3.5%</w:t>
            </w:r>
          </w:p>
        </w:tc>
        <w:tc>
          <w:tcPr>
            <w:tcW w:w="72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1.1%</w:t>
            </w:r>
          </w:p>
        </w:tc>
        <w:tc>
          <w:tcPr>
            <w:tcW w:w="117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-1.3</w:t>
            </w:r>
          </w:p>
        </w:tc>
        <w:tc>
          <w:tcPr>
            <w:tcW w:w="99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-54%</w:t>
            </w:r>
          </w:p>
        </w:tc>
        <w:tc>
          <w:tcPr>
            <w:tcW w:w="117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-2.4</w:t>
            </w:r>
          </w:p>
        </w:tc>
        <w:tc>
          <w:tcPr>
            <w:tcW w:w="90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-69%</w:t>
            </w:r>
          </w:p>
        </w:tc>
        <w:tc>
          <w:tcPr>
            <w:tcW w:w="81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3.5%</w:t>
            </w:r>
          </w:p>
        </w:tc>
      </w:tr>
      <w:tr w:rsidR="00762515" w:rsidRPr="009D1807" w:rsidTr="008F0BE1">
        <w:tc>
          <w:tcPr>
            <w:tcW w:w="1260" w:type="dxa"/>
            <w:tcBorders>
              <w:bottom w:val="single" w:sz="4" w:space="0" w:color="auto"/>
            </w:tcBorders>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ELL</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72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1170" w:type="dxa"/>
            <w:tcBorders>
              <w:bottom w:val="single" w:sz="4" w:space="0" w:color="auto"/>
            </w:tcBorders>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990" w:type="dxa"/>
            <w:tcBorders>
              <w:bottom w:val="single" w:sz="4" w:space="0" w:color="auto"/>
            </w:tcBorders>
            <w:shd w:val="clear" w:color="auto" w:fill="auto"/>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1170" w:type="dxa"/>
            <w:tcBorders>
              <w:bottom w:val="single" w:sz="4" w:space="0" w:color="auto"/>
            </w:tcBorders>
            <w:shd w:val="clear" w:color="auto" w:fill="FFFFFF" w:themeFill="background1"/>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900" w:type="dxa"/>
            <w:tcBorders>
              <w:bottom w:val="single" w:sz="4" w:space="0" w:color="auto"/>
            </w:tcBorders>
            <w:shd w:val="clear" w:color="auto" w:fill="auto"/>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w:t>
            </w:r>
          </w:p>
        </w:tc>
        <w:tc>
          <w:tcPr>
            <w:tcW w:w="810" w:type="dxa"/>
            <w:tcBorders>
              <w:bottom w:val="single" w:sz="4" w:space="0" w:color="auto"/>
            </w:tcBorders>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5.7%</w:t>
            </w:r>
          </w:p>
        </w:tc>
      </w:tr>
      <w:tr w:rsidR="00762515" w:rsidRPr="009D1807" w:rsidTr="008F0BE1">
        <w:tc>
          <w:tcPr>
            <w:tcW w:w="1260" w:type="dxa"/>
            <w:tcBorders>
              <w:bottom w:val="single" w:sz="4" w:space="0" w:color="auto"/>
            </w:tcBorders>
            <w:shd w:val="clear" w:color="auto" w:fill="D9D9D9" w:themeFill="background1" w:themeFillShade="D9"/>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1.4%</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0.5%</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1.0%</w:t>
            </w:r>
          </w:p>
        </w:tc>
        <w:tc>
          <w:tcPr>
            <w:tcW w:w="72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0.6%</w:t>
            </w:r>
          </w:p>
        </w:tc>
        <w:tc>
          <w:tcPr>
            <w:tcW w:w="117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-0.8</w:t>
            </w:r>
          </w:p>
        </w:tc>
        <w:tc>
          <w:tcPr>
            <w:tcW w:w="99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-57%</w:t>
            </w:r>
          </w:p>
        </w:tc>
        <w:tc>
          <w:tcPr>
            <w:tcW w:w="117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-0.4</w:t>
            </w:r>
          </w:p>
        </w:tc>
        <w:tc>
          <w:tcPr>
            <w:tcW w:w="900" w:type="dxa"/>
            <w:tcBorders>
              <w:bottom w:val="single" w:sz="4" w:space="0" w:color="auto"/>
            </w:tcBorders>
            <w:shd w:val="clear" w:color="auto" w:fill="D9D9D9" w:themeFill="background1" w:themeFillShade="D9"/>
            <w:vAlign w:val="bottom"/>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-40%</w:t>
            </w:r>
          </w:p>
        </w:tc>
        <w:tc>
          <w:tcPr>
            <w:tcW w:w="810" w:type="dxa"/>
            <w:tcBorders>
              <w:bottom w:val="single" w:sz="4" w:space="0" w:color="auto"/>
            </w:tcBorders>
            <w:shd w:val="clear" w:color="auto" w:fill="D9D9D9" w:themeFill="background1" w:themeFillShade="D9"/>
            <w:vAlign w:val="center"/>
          </w:tcPr>
          <w:p w:rsidR="00762515" w:rsidRPr="009D1807" w:rsidRDefault="00762515" w:rsidP="008F0BE1">
            <w:pPr>
              <w:spacing w:after="0" w:line="240" w:lineRule="auto"/>
              <w:jc w:val="center"/>
              <w:rPr>
                <w:rFonts w:ascii="Calibri" w:hAnsi="Calibri"/>
                <w:sz w:val="20"/>
                <w:szCs w:val="20"/>
              </w:rPr>
            </w:pPr>
            <w:r w:rsidRPr="009D1807">
              <w:rPr>
                <w:rFonts w:ascii="Calibri" w:hAnsi="Calibri"/>
                <w:sz w:val="20"/>
                <w:szCs w:val="20"/>
              </w:rPr>
              <w:t>1.9%</w:t>
            </w:r>
          </w:p>
        </w:tc>
      </w:tr>
      <w:tr w:rsidR="00762515" w:rsidRPr="009D1807" w:rsidTr="008F0BE1">
        <w:tc>
          <w:tcPr>
            <w:tcW w:w="9180" w:type="dxa"/>
            <w:gridSpan w:val="10"/>
            <w:tcBorders>
              <w:left w:val="nil"/>
              <w:bottom w:val="nil"/>
              <w:right w:val="nil"/>
            </w:tcBorders>
          </w:tcPr>
          <w:p w:rsidR="00762515" w:rsidRPr="009D1807" w:rsidRDefault="00762515" w:rsidP="008F0BE1">
            <w:pPr>
              <w:spacing w:after="0" w:line="240" w:lineRule="auto"/>
              <w:rPr>
                <w:rFonts w:ascii="Calibri" w:eastAsia="Times New Roman" w:hAnsi="Calibri" w:cs="Times New Roman"/>
                <w:sz w:val="20"/>
                <w:szCs w:val="20"/>
              </w:rPr>
            </w:pPr>
            <w:r w:rsidRPr="009D1807">
              <w:rPr>
                <w:rFonts w:ascii="Calibri" w:eastAsia="Times New Roman" w:hAnsi="Calibri" w:cs="Times New Roman"/>
                <w:kern w:val="28"/>
                <w:sz w:val="20"/>
                <w:szCs w:val="20"/>
              </w:rPr>
              <w:t xml:space="preserve">Notes: </w:t>
            </w:r>
            <w:r w:rsidRPr="009D1807">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9D1807">
              <w:rPr>
                <w:rFonts w:ascii="Calibri" w:eastAsia="Times New Roman" w:hAnsi="Calibri" w:cs="Times New Roman"/>
                <w:bCs/>
                <w:sz w:val="20"/>
                <w:szCs w:val="20"/>
              </w:rPr>
              <w: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A224D" w:rsidRPr="00F1120A" w:rsidRDefault="004A224D" w:rsidP="004A224D">
      <w:pPr>
        <w:spacing w:after="0"/>
        <w:jc w:val="center"/>
        <w:rPr>
          <w:rFonts w:ascii="Calibri" w:eastAsia="Calibri" w:hAnsi="Calibri" w:cs="Times New Roman"/>
          <w:b/>
          <w:sz w:val="20"/>
        </w:rPr>
      </w:pPr>
      <w:r w:rsidRPr="00F1120A">
        <w:rPr>
          <w:rFonts w:ascii="Calibri" w:eastAsia="Calibri" w:hAnsi="Calibri" w:cs="Times New Roman"/>
          <w:b/>
          <w:sz w:val="20"/>
        </w:rPr>
        <w:lastRenderedPageBreak/>
        <w:t>Table B5: Dighton-Rehoboth Regional School District</w:t>
      </w:r>
    </w:p>
    <w:p w:rsidR="004A224D" w:rsidRPr="00F1120A" w:rsidRDefault="004A224D" w:rsidP="004A224D">
      <w:pPr>
        <w:spacing w:after="0" w:line="240" w:lineRule="auto"/>
        <w:jc w:val="center"/>
        <w:rPr>
          <w:rFonts w:ascii="Times New Roman" w:eastAsia="Times New Roman" w:hAnsi="Times New Roman" w:cs="Times New Roman"/>
          <w:kern w:val="28"/>
          <w:sz w:val="24"/>
          <w:szCs w:val="24"/>
        </w:rPr>
      </w:pPr>
      <w:r w:rsidRPr="00F1120A">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A224D" w:rsidRPr="00F1120A" w:rsidTr="008F0BE1">
        <w:tc>
          <w:tcPr>
            <w:tcW w:w="1260" w:type="dxa"/>
            <w:vMerge w:val="restart"/>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Group</w:t>
            </w:r>
          </w:p>
        </w:tc>
        <w:tc>
          <w:tcPr>
            <w:tcW w:w="2880" w:type="dxa"/>
            <w:gridSpan w:val="4"/>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School Year Ending</w:t>
            </w:r>
          </w:p>
        </w:tc>
        <w:tc>
          <w:tcPr>
            <w:tcW w:w="2160" w:type="dxa"/>
            <w:gridSpan w:val="2"/>
          </w:tcPr>
          <w:p w:rsidR="004A224D" w:rsidRPr="00F1120A" w:rsidRDefault="004A224D" w:rsidP="008F0BE1">
            <w:pPr>
              <w:spacing w:after="0" w:line="240" w:lineRule="auto"/>
              <w:rPr>
                <w:rFonts w:ascii="Calibri" w:eastAsia="Times New Roman" w:hAnsi="Calibri" w:cs="Times New Roman"/>
                <w:b/>
                <w:sz w:val="20"/>
                <w:szCs w:val="20"/>
              </w:rPr>
            </w:pPr>
            <w:r w:rsidRPr="00F1120A">
              <w:rPr>
                <w:rFonts w:ascii="Calibri" w:eastAsia="Times New Roman" w:hAnsi="Calibri" w:cs="Times New Roman"/>
                <w:b/>
                <w:sz w:val="20"/>
                <w:szCs w:val="20"/>
              </w:rPr>
              <w:t>Change 2013–2016</w:t>
            </w:r>
          </w:p>
        </w:tc>
        <w:tc>
          <w:tcPr>
            <w:tcW w:w="2070" w:type="dxa"/>
            <w:gridSpan w:val="2"/>
          </w:tcPr>
          <w:p w:rsidR="004A224D" w:rsidRPr="00F1120A" w:rsidRDefault="004A224D" w:rsidP="008F0BE1">
            <w:pPr>
              <w:spacing w:after="0" w:line="240" w:lineRule="auto"/>
              <w:rPr>
                <w:rFonts w:ascii="Calibri" w:eastAsia="Times New Roman" w:hAnsi="Calibri" w:cs="Times New Roman"/>
                <w:b/>
                <w:sz w:val="20"/>
                <w:szCs w:val="20"/>
              </w:rPr>
            </w:pPr>
            <w:r w:rsidRPr="00F1120A">
              <w:rPr>
                <w:rFonts w:ascii="Calibri" w:eastAsia="Times New Roman" w:hAnsi="Calibri" w:cs="Times New Roman"/>
                <w:b/>
                <w:sz w:val="20"/>
                <w:szCs w:val="20"/>
              </w:rPr>
              <w:t>Change 2015–2016</w:t>
            </w:r>
          </w:p>
        </w:tc>
        <w:tc>
          <w:tcPr>
            <w:tcW w:w="810" w:type="dxa"/>
            <w:vMerge w:val="restart"/>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State (2016)</w:t>
            </w:r>
          </w:p>
        </w:tc>
      </w:tr>
      <w:tr w:rsidR="004A224D" w:rsidRPr="00F1120A" w:rsidTr="008F0BE1">
        <w:tc>
          <w:tcPr>
            <w:tcW w:w="1260" w:type="dxa"/>
            <w:vMerge/>
          </w:tcPr>
          <w:p w:rsidR="004A224D" w:rsidRPr="00F1120A" w:rsidRDefault="004A224D" w:rsidP="008F0BE1">
            <w:pPr>
              <w:spacing w:after="0" w:line="240" w:lineRule="auto"/>
              <w:rPr>
                <w:rFonts w:ascii="Calibri" w:eastAsia="Times New Roman" w:hAnsi="Calibri" w:cs="Times New Roman"/>
                <w:sz w:val="20"/>
                <w:szCs w:val="20"/>
              </w:rPr>
            </w:pPr>
          </w:p>
        </w:tc>
        <w:tc>
          <w:tcPr>
            <w:tcW w:w="720" w:type="dxa"/>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2013</w:t>
            </w:r>
          </w:p>
        </w:tc>
        <w:tc>
          <w:tcPr>
            <w:tcW w:w="720" w:type="dxa"/>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2014</w:t>
            </w:r>
          </w:p>
        </w:tc>
        <w:tc>
          <w:tcPr>
            <w:tcW w:w="720" w:type="dxa"/>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2015</w:t>
            </w:r>
          </w:p>
        </w:tc>
        <w:tc>
          <w:tcPr>
            <w:tcW w:w="720" w:type="dxa"/>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2016</w:t>
            </w:r>
          </w:p>
        </w:tc>
        <w:tc>
          <w:tcPr>
            <w:tcW w:w="1170" w:type="dxa"/>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A224D" w:rsidRPr="00F1120A" w:rsidRDefault="004A224D" w:rsidP="008F0BE1">
            <w:pPr>
              <w:spacing w:after="0" w:line="240" w:lineRule="auto"/>
              <w:jc w:val="center"/>
              <w:rPr>
                <w:rFonts w:ascii="Calibri" w:eastAsia="Times New Roman" w:hAnsi="Calibri" w:cs="Times New Roman"/>
                <w:b/>
                <w:sz w:val="20"/>
                <w:szCs w:val="20"/>
              </w:rPr>
            </w:pPr>
            <w:r w:rsidRPr="00F1120A">
              <w:rPr>
                <w:rFonts w:ascii="Calibri" w:eastAsia="Times New Roman" w:hAnsi="Calibri" w:cs="Times New Roman"/>
                <w:b/>
                <w:sz w:val="20"/>
                <w:szCs w:val="20"/>
              </w:rPr>
              <w:t>Percent Change</w:t>
            </w:r>
          </w:p>
        </w:tc>
        <w:tc>
          <w:tcPr>
            <w:tcW w:w="810" w:type="dxa"/>
            <w:vMerge/>
          </w:tcPr>
          <w:p w:rsidR="004A224D" w:rsidRPr="00F1120A" w:rsidRDefault="004A224D" w:rsidP="008F0BE1">
            <w:pPr>
              <w:spacing w:after="0" w:line="240" w:lineRule="auto"/>
              <w:rPr>
                <w:rFonts w:ascii="Calibri" w:eastAsia="Times New Roman" w:hAnsi="Calibri" w:cs="Times New Roman"/>
                <w:sz w:val="20"/>
                <w:szCs w:val="20"/>
              </w:rPr>
            </w:pPr>
          </w:p>
        </w:tc>
      </w:tr>
      <w:tr w:rsidR="004A224D" w:rsidRPr="00F1120A" w:rsidTr="008F0BE1">
        <w:tc>
          <w:tcPr>
            <w:tcW w:w="1260" w:type="dxa"/>
            <w:tcBorders>
              <w:bottom w:val="single" w:sz="4" w:space="0" w:color="auto"/>
            </w:tcBorders>
            <w:shd w:val="clear" w:color="auto" w:fill="D9D9D9" w:themeFill="background1" w:themeFillShade="D9"/>
          </w:tcPr>
          <w:p w:rsidR="004A224D" w:rsidRPr="00F1120A" w:rsidRDefault="004A224D" w:rsidP="008F0BE1">
            <w:pPr>
              <w:spacing w:after="0" w:line="240" w:lineRule="auto"/>
              <w:rPr>
                <w:rFonts w:ascii="Calibri" w:eastAsia="Times New Roman" w:hAnsi="Calibri" w:cs="Times New Roman"/>
                <w:sz w:val="20"/>
                <w:szCs w:val="20"/>
              </w:rPr>
            </w:pPr>
            <w:r w:rsidRPr="00F1120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sidRPr="00F1120A">
              <w:rPr>
                <w:rFonts w:ascii="Calibri" w:eastAsia="Times New Roman" w:hAnsi="Calibri" w:cs="Times New Roman"/>
                <w:sz w:val="20"/>
                <w:szCs w:val="20"/>
              </w:rPr>
              <w:t>94.9%</w:t>
            </w:r>
          </w:p>
        </w:tc>
        <w:tc>
          <w:tcPr>
            <w:tcW w:w="72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sidRPr="00F1120A">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sidRPr="00F1120A">
              <w:rPr>
                <w:rFonts w:ascii="Calibri" w:eastAsia="Times New Roman" w:hAnsi="Calibri" w:cs="Times New Roman"/>
                <w:sz w:val="20"/>
                <w:szCs w:val="20"/>
              </w:rPr>
              <w:t>95.4%</w:t>
            </w:r>
          </w:p>
        </w:tc>
        <w:tc>
          <w:tcPr>
            <w:tcW w:w="72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sidRPr="00F1120A">
              <w:rPr>
                <w:rFonts w:ascii="Calibri" w:eastAsia="Times New Roman" w:hAnsi="Calibri" w:cs="Times New Roman"/>
                <w:sz w:val="20"/>
                <w:szCs w:val="20"/>
              </w:rPr>
              <w:t>95.2%</w:t>
            </w:r>
          </w:p>
        </w:tc>
        <w:tc>
          <w:tcPr>
            <w:tcW w:w="117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4A224D" w:rsidRPr="00F1120A" w:rsidRDefault="004A224D" w:rsidP="008F0BE1">
            <w:pPr>
              <w:spacing w:after="0" w:line="240" w:lineRule="auto"/>
              <w:jc w:val="center"/>
              <w:rPr>
                <w:rFonts w:ascii="Calibri" w:eastAsia="Times New Roman" w:hAnsi="Calibri" w:cs="Times New Roman"/>
                <w:sz w:val="20"/>
                <w:szCs w:val="20"/>
              </w:rPr>
            </w:pPr>
            <w:r w:rsidRPr="00F1120A">
              <w:rPr>
                <w:rFonts w:ascii="Calibri" w:eastAsia="Times New Roman" w:hAnsi="Calibri" w:cs="Times New Roman"/>
                <w:sz w:val="20"/>
                <w:szCs w:val="20"/>
              </w:rPr>
              <w:t>94.9%</w:t>
            </w:r>
          </w:p>
        </w:tc>
      </w:tr>
      <w:tr w:rsidR="004A224D" w:rsidRPr="00F1120A" w:rsidTr="008F0BE1">
        <w:tc>
          <w:tcPr>
            <w:tcW w:w="9180" w:type="dxa"/>
            <w:gridSpan w:val="10"/>
            <w:tcBorders>
              <w:left w:val="nil"/>
              <w:bottom w:val="nil"/>
              <w:right w:val="nil"/>
            </w:tcBorders>
          </w:tcPr>
          <w:p w:rsidR="004A224D" w:rsidRPr="00F1120A" w:rsidRDefault="004A224D" w:rsidP="008F0BE1">
            <w:pPr>
              <w:spacing w:after="0" w:line="240" w:lineRule="auto"/>
              <w:rPr>
                <w:rFonts w:ascii="Calibri" w:eastAsia="Times New Roman" w:hAnsi="Calibri" w:cs="Times New Roman"/>
                <w:sz w:val="20"/>
                <w:szCs w:val="20"/>
              </w:rPr>
            </w:pPr>
            <w:r w:rsidRPr="00F1120A">
              <w:rPr>
                <w:rFonts w:ascii="Calibri" w:eastAsia="Times New Roman" w:hAnsi="Calibri" w:cs="Times New Roman"/>
                <w:sz w:val="20"/>
                <w:szCs w:val="20"/>
              </w:rPr>
              <w:t xml:space="preserve">Notes: </w:t>
            </w:r>
            <w:r w:rsidRPr="00F1120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4A224D" w:rsidRPr="00F1120A" w:rsidRDefault="004A224D" w:rsidP="004A224D">
      <w:pPr>
        <w:spacing w:after="0" w:line="240" w:lineRule="auto"/>
        <w:rPr>
          <w:rFonts w:ascii="Calibri" w:eastAsia="Times New Roman" w:hAnsi="Calibri" w:cs="Times New Roman"/>
          <w:sz w:val="20"/>
          <w:szCs w:val="20"/>
        </w:rPr>
      </w:pPr>
    </w:p>
    <w:p w:rsidR="004A224D" w:rsidRPr="00F1120A" w:rsidRDefault="004A224D" w:rsidP="004A224D">
      <w:pPr>
        <w:spacing w:after="0" w:line="240" w:lineRule="auto"/>
        <w:rPr>
          <w:rFonts w:ascii="Calibri" w:eastAsia="Times New Roman" w:hAnsi="Calibri" w:cs="Times New Roman"/>
          <w:sz w:val="20"/>
          <w:szCs w:val="20"/>
        </w:rPr>
      </w:pPr>
    </w:p>
    <w:p w:rsidR="004A224D" w:rsidRPr="00F1120A" w:rsidRDefault="004A224D" w:rsidP="004A224D">
      <w:pPr>
        <w:spacing w:after="0" w:line="240" w:lineRule="auto"/>
        <w:rPr>
          <w:rFonts w:ascii="Calibri" w:eastAsia="Times New Roman" w:hAnsi="Calibri" w:cs="Times New Roman"/>
          <w:sz w:val="20"/>
          <w:szCs w:val="20"/>
        </w:rPr>
      </w:pPr>
    </w:p>
    <w:p w:rsidR="004A224D" w:rsidRDefault="004A224D" w:rsidP="004A224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27"/>
          <w:pgSz w:w="12240" w:h="15840"/>
          <w:pgMar w:top="1440" w:right="1440" w:bottom="1440" w:left="1440" w:header="720" w:footer="720" w:gutter="0"/>
          <w:pgNumType w:start="1"/>
          <w:cols w:space="720"/>
          <w:docGrid w:linePitch="360"/>
        </w:sectPr>
      </w:pPr>
    </w:p>
    <w:p w:rsidR="002F0343" w:rsidRPr="00F1120A" w:rsidRDefault="002F0343" w:rsidP="002F0343">
      <w:pPr>
        <w:spacing w:after="0"/>
        <w:jc w:val="center"/>
        <w:rPr>
          <w:rFonts w:ascii="Calibri" w:eastAsia="Calibri" w:hAnsi="Calibri" w:cs="Times New Roman"/>
          <w:b/>
          <w:sz w:val="20"/>
        </w:rPr>
      </w:pPr>
      <w:r>
        <w:rPr>
          <w:rFonts w:ascii="Calibri" w:eastAsia="Calibri" w:hAnsi="Calibri" w:cs="Times New Roman"/>
          <w:b/>
          <w:sz w:val="20"/>
        </w:rPr>
        <w:lastRenderedPageBreak/>
        <w:t>Table B6</w:t>
      </w:r>
      <w:r w:rsidR="000A7532">
        <w:rPr>
          <w:rFonts w:ascii="Calibri" w:eastAsia="Calibri" w:hAnsi="Calibri" w:cs="Times New Roman"/>
          <w:b/>
          <w:sz w:val="20"/>
        </w:rPr>
        <w:t>:</w:t>
      </w:r>
      <w:r w:rsidRPr="00CC097E">
        <w:rPr>
          <w:rFonts w:ascii="Calibri" w:eastAsia="Calibri" w:hAnsi="Calibri" w:cs="Times New Roman"/>
          <w:b/>
          <w:sz w:val="20"/>
        </w:rPr>
        <w:t xml:space="preserve"> </w:t>
      </w:r>
      <w:r w:rsidRPr="00F1120A">
        <w:rPr>
          <w:rFonts w:ascii="Calibri" w:eastAsia="Calibri" w:hAnsi="Calibri" w:cs="Times New Roman"/>
          <w:b/>
          <w:sz w:val="20"/>
        </w:rPr>
        <w:t>Dighton-Rehoboth Regional School District</w:t>
      </w:r>
    </w:p>
    <w:p w:rsidR="002F0343" w:rsidRPr="00F1120A" w:rsidRDefault="002F0343" w:rsidP="002F0343">
      <w:pPr>
        <w:spacing w:after="0"/>
        <w:jc w:val="center"/>
        <w:rPr>
          <w:rFonts w:ascii="Calibri" w:eastAsia="Calibri" w:hAnsi="Calibri" w:cs="Times New Roman"/>
          <w:b/>
          <w:sz w:val="20"/>
        </w:rPr>
      </w:pPr>
      <w:r w:rsidRPr="00F1120A">
        <w:rPr>
          <w:rFonts w:ascii="Calibri" w:eastAsia="Calibri" w:hAnsi="Calibri" w:cs="Times New Roman"/>
          <w:b/>
          <w:sz w:val="20"/>
        </w:rPr>
        <w:t>Expenditures, Chapter 70 State Aid, and Net School Spending Fiscal Years 2014–2016</w:t>
      </w:r>
    </w:p>
    <w:p w:rsidR="002F0343" w:rsidRDefault="002F0343" w:rsidP="002F0343">
      <w:pPr>
        <w:spacing w:after="0"/>
        <w:jc w:val="center"/>
        <w:rPr>
          <w:rFonts w:ascii="Calibri" w:eastAsia="Calibri" w:hAnsi="Calibri" w:cs="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517"/>
        <w:gridCol w:w="1613"/>
        <w:gridCol w:w="1612"/>
        <w:gridCol w:w="1612"/>
        <w:gridCol w:w="1612"/>
        <w:gridCol w:w="1612"/>
        <w:gridCol w:w="1612"/>
      </w:tblGrid>
      <w:tr w:rsidR="002F0343" w:rsidTr="00163D4E">
        <w:trPr>
          <w:trHeight w:val="300"/>
        </w:trPr>
        <w:tc>
          <w:tcPr>
            <w:tcW w:w="0" w:type="auto"/>
            <w:tcBorders>
              <w:top w:val="single" w:sz="4" w:space="0" w:color="auto"/>
              <w:left w:val="single" w:sz="4" w:space="0" w:color="auto"/>
              <w:bottom w:val="single" w:sz="12"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b/>
                <w:color w:val="000000"/>
                <w:kern w:val="28"/>
                <w:sz w:val="20"/>
                <w:szCs w:val="20"/>
              </w:rPr>
            </w:pPr>
            <w:r>
              <w:rPr>
                <w:rFonts w:ascii="Calibri" w:eastAsia="Times New Roman" w:hAnsi="Calibri" w:cs="Times New Roman"/>
                <w:b/>
                <w:color w:val="000000"/>
                <w:kern w:val="28"/>
                <w:sz w:val="20"/>
                <w:szCs w:val="20"/>
              </w:rPr>
              <w:t> </w:t>
            </w:r>
          </w:p>
        </w:tc>
        <w:tc>
          <w:tcPr>
            <w:tcW w:w="0" w:type="auto"/>
            <w:gridSpan w:val="2"/>
            <w:tcBorders>
              <w:top w:val="single" w:sz="4" w:space="0" w:color="auto"/>
              <w:left w:val="single" w:sz="12" w:space="0" w:color="auto"/>
              <w:bottom w:val="single" w:sz="12" w:space="0" w:color="auto"/>
              <w:right w:val="single" w:sz="12" w:space="0" w:color="auto"/>
            </w:tcBorders>
            <w:noWrap/>
            <w:vAlign w:val="center"/>
            <w:hideMark/>
          </w:tcPr>
          <w:p w:rsidR="002F0343" w:rsidRPr="00F1120A" w:rsidRDefault="002F0343" w:rsidP="008F0BE1">
            <w:pPr>
              <w:widowControl w:val="0"/>
              <w:overflowPunct w:val="0"/>
              <w:adjustRightInd w:val="0"/>
              <w:spacing w:after="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FY14</w:t>
            </w:r>
          </w:p>
        </w:tc>
        <w:tc>
          <w:tcPr>
            <w:tcW w:w="0" w:type="auto"/>
            <w:gridSpan w:val="2"/>
            <w:tcBorders>
              <w:top w:val="single" w:sz="4" w:space="0" w:color="auto"/>
              <w:left w:val="single" w:sz="12" w:space="0" w:color="auto"/>
              <w:bottom w:val="single" w:sz="12" w:space="0" w:color="auto"/>
              <w:right w:val="single" w:sz="12" w:space="0" w:color="auto"/>
            </w:tcBorders>
            <w:noWrap/>
            <w:vAlign w:val="center"/>
            <w:hideMark/>
          </w:tcPr>
          <w:p w:rsidR="002F0343" w:rsidRPr="00F1120A" w:rsidRDefault="002F0343" w:rsidP="008F0BE1">
            <w:pPr>
              <w:widowControl w:val="0"/>
              <w:overflowPunct w:val="0"/>
              <w:adjustRightInd w:val="0"/>
              <w:spacing w:after="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FY15</w:t>
            </w:r>
          </w:p>
        </w:tc>
        <w:tc>
          <w:tcPr>
            <w:tcW w:w="0" w:type="auto"/>
            <w:gridSpan w:val="2"/>
            <w:tcBorders>
              <w:top w:val="single" w:sz="4" w:space="0" w:color="auto"/>
              <w:left w:val="single" w:sz="12" w:space="0" w:color="auto"/>
              <w:bottom w:val="single" w:sz="12" w:space="0" w:color="auto"/>
              <w:right w:val="single" w:sz="4" w:space="0" w:color="auto"/>
            </w:tcBorders>
            <w:noWrap/>
            <w:vAlign w:val="center"/>
            <w:hideMark/>
          </w:tcPr>
          <w:p w:rsidR="002F0343" w:rsidRPr="00F1120A" w:rsidRDefault="002F0343" w:rsidP="008F0BE1">
            <w:pPr>
              <w:widowControl w:val="0"/>
              <w:overflowPunct w:val="0"/>
              <w:adjustRightInd w:val="0"/>
              <w:spacing w:after="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FY16</w:t>
            </w:r>
          </w:p>
        </w:tc>
      </w:tr>
      <w:tr w:rsidR="002F0343" w:rsidTr="00163D4E">
        <w:trPr>
          <w:trHeight w:val="25"/>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 </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Estimated</w:t>
            </w:r>
          </w:p>
        </w:tc>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8F0BE1">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Estimated</w:t>
            </w:r>
          </w:p>
        </w:tc>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Estimated</w:t>
            </w:r>
          </w:p>
        </w:tc>
        <w:tc>
          <w:tcPr>
            <w:tcW w:w="0" w:type="auto"/>
            <w:tcBorders>
              <w:top w:val="single" w:sz="4" w:space="0" w:color="auto"/>
              <w:left w:val="single" w:sz="12" w:space="0" w:color="auto"/>
              <w:bottom w:val="single" w:sz="4" w:space="0" w:color="auto"/>
              <w:right w:val="single" w:sz="4" w:space="0" w:color="auto"/>
            </w:tcBorders>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w:t>
            </w:r>
          </w:p>
        </w:tc>
      </w:tr>
      <w:tr w:rsidR="002F0343" w:rsidTr="00163D4E">
        <w:trPr>
          <w:trHeight w:val="25"/>
        </w:trPr>
        <w:tc>
          <w:tcPr>
            <w:tcW w:w="0" w:type="auto"/>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Expenditures</w:t>
            </w:r>
          </w:p>
        </w:tc>
      </w:tr>
      <w:tr w:rsidR="002F0343" w:rsidTr="00163D4E">
        <w:trPr>
          <w:trHeight w:val="23"/>
        </w:trPr>
        <w:tc>
          <w:tcPr>
            <w:tcW w:w="0" w:type="auto"/>
            <w:tcBorders>
              <w:top w:val="single" w:sz="4" w:space="0" w:color="auto"/>
              <w:left w:val="single" w:sz="4" w:space="0" w:color="auto"/>
              <w:bottom w:val="single" w:sz="4" w:space="0" w:color="auto"/>
              <w:right w:val="single" w:sz="12" w:space="0" w:color="auto"/>
            </w:tcBorders>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school committee budget</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F1120A">
              <w:rPr>
                <w:rFonts w:ascii="Calibri" w:hAnsi="Calibri"/>
                <w:sz w:val="20"/>
                <w:szCs w:val="20"/>
              </w:rPr>
              <w:t>$35,580,480</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$35,863,972</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sidRPr="00F1120A">
              <w:rPr>
                <w:rFonts w:ascii="Calibri" w:hAnsi="Calibri"/>
                <w:sz w:val="20"/>
                <w:szCs w:val="20"/>
              </w:rPr>
              <w:t>$37,329,615</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$41,309,062</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163D4E"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$38,299,764</w:t>
            </w:r>
          </w:p>
        </w:tc>
        <w:tc>
          <w:tcPr>
            <w:tcW w:w="0" w:type="auto"/>
            <w:tcBorders>
              <w:top w:val="single" w:sz="4" w:space="0" w:color="auto"/>
              <w:left w:val="single" w:sz="12" w:space="0" w:color="auto"/>
              <w:bottom w:val="single" w:sz="4" w:space="0" w:color="auto"/>
              <w:right w:val="single" w:sz="4" w:space="0" w:color="auto"/>
            </w:tcBorders>
          </w:tcPr>
          <w:p w:rsidR="002F0343" w:rsidRDefault="00163D4E"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$37,518,925</w:t>
            </w:r>
          </w:p>
        </w:tc>
      </w:tr>
      <w:tr w:rsidR="002F0343" w:rsidTr="00163D4E">
        <w:trPr>
          <w:trHeight w:val="300"/>
        </w:trPr>
        <w:tc>
          <w:tcPr>
            <w:tcW w:w="0" w:type="auto"/>
            <w:tcBorders>
              <w:top w:val="single" w:sz="4" w:space="0" w:color="auto"/>
              <w:left w:val="single" w:sz="4" w:space="0" w:color="auto"/>
              <w:bottom w:val="single" w:sz="4" w:space="0" w:color="auto"/>
              <w:right w:val="single" w:sz="12" w:space="0" w:color="auto"/>
            </w:tcBorders>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From revolving funds and grants</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$3,450,373</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$3,123,563</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12" w:space="0" w:color="auto"/>
              <w:bottom w:val="single" w:sz="4" w:space="0" w:color="auto"/>
              <w:right w:val="single" w:sz="4" w:space="0" w:color="auto"/>
            </w:tcBorders>
          </w:tcPr>
          <w:p w:rsidR="002F0343" w:rsidRDefault="00163D4E"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$3,265,122</w:t>
            </w:r>
          </w:p>
        </w:tc>
      </w:tr>
      <w:tr w:rsidR="002F0343" w:rsidTr="00163D4E">
        <w:trPr>
          <w:trHeight w:val="315"/>
        </w:trPr>
        <w:tc>
          <w:tcPr>
            <w:tcW w:w="0" w:type="auto"/>
            <w:tcBorders>
              <w:top w:val="single" w:sz="4" w:space="0" w:color="auto"/>
              <w:left w:val="single" w:sz="4" w:space="0" w:color="auto"/>
              <w:bottom w:val="single" w:sz="4" w:space="0" w:color="auto"/>
              <w:right w:val="single" w:sz="12" w:space="0" w:color="auto"/>
            </w:tcBorders>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Total expenditures</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$39,314,345</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$44,432,625</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12" w:space="0" w:color="auto"/>
              <w:bottom w:val="single" w:sz="4" w:space="0" w:color="auto"/>
              <w:right w:val="single" w:sz="4" w:space="0" w:color="auto"/>
            </w:tcBorders>
          </w:tcPr>
          <w:p w:rsidR="002F0343" w:rsidRDefault="00163D4E"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$40,784,047</w:t>
            </w:r>
          </w:p>
        </w:tc>
      </w:tr>
      <w:tr w:rsidR="002F0343" w:rsidTr="00163D4E">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2F0343" w:rsidRDefault="002F0343" w:rsidP="00106B21">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aid to education program</w:t>
            </w:r>
          </w:p>
        </w:tc>
      </w:tr>
      <w:tr w:rsidR="002F0343" w:rsidTr="00163D4E">
        <w:trPr>
          <w:trHeight w:val="300"/>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Chapter 70 state aid*</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$12,390,171</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$12,463,021</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$12,536,246</w:t>
            </w:r>
          </w:p>
        </w:tc>
      </w:tr>
      <w:tr w:rsidR="002F0343" w:rsidTr="00163D4E">
        <w:trPr>
          <w:trHeight w:val="55"/>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local contribution</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$17,936,311</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$18,051,150</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$18,028,977</w:t>
            </w:r>
          </w:p>
        </w:tc>
      </w:tr>
      <w:tr w:rsidR="002F0343" w:rsidTr="00163D4E">
        <w:trPr>
          <w:trHeight w:val="23"/>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Required net school spending**</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$30,326,482</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$30,514,171</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$30,565,223</w:t>
            </w:r>
          </w:p>
        </w:tc>
      </w:tr>
      <w:tr w:rsidR="002F0343" w:rsidTr="00163D4E">
        <w:trPr>
          <w:trHeight w:val="23"/>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Actual net school spending</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$32,901,697</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$33,753,795</w:t>
            </w:r>
          </w:p>
        </w:tc>
        <w:tc>
          <w:tcPr>
            <w:tcW w:w="0" w:type="auto"/>
            <w:tcBorders>
              <w:top w:val="single" w:sz="4" w:space="0" w:color="auto"/>
              <w:left w:val="single" w:sz="12" w:space="0" w:color="auto"/>
              <w:bottom w:val="single" w:sz="4" w:space="0" w:color="auto"/>
              <w:right w:val="single" w:sz="4" w:space="0" w:color="auto"/>
            </w:tcBorders>
            <w:noWrap/>
            <w:vAlign w:val="center"/>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$35,600,911</w:t>
            </w:r>
          </w:p>
        </w:tc>
      </w:tr>
      <w:tr w:rsidR="002F0343" w:rsidTr="00163D4E">
        <w:trPr>
          <w:trHeight w:val="23"/>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$2,575,215</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$3,239,624</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$5,035,688</w:t>
            </w:r>
          </w:p>
        </w:tc>
      </w:tr>
      <w:tr w:rsidR="002F0343" w:rsidTr="00163D4E">
        <w:trPr>
          <w:trHeight w:val="23"/>
        </w:trPr>
        <w:tc>
          <w:tcPr>
            <w:tcW w:w="0" w:type="auto"/>
            <w:tcBorders>
              <w:top w:val="single" w:sz="4" w:space="0" w:color="auto"/>
              <w:left w:val="single" w:sz="4" w:space="0" w:color="auto"/>
              <w:bottom w:val="single" w:sz="4" w:space="0" w:color="auto"/>
              <w:right w:val="single" w:sz="12" w:space="0" w:color="auto"/>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Over/under required (%)</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8F0BE1">
            <w:pPr>
              <w:spacing w:after="0" w:line="240" w:lineRule="auto"/>
              <w:jc w:val="center"/>
              <w:rPr>
                <w:rFonts w:ascii="Calibri" w:hAnsi="Calibri"/>
                <w:sz w:val="20"/>
                <w:szCs w:val="20"/>
              </w:rPr>
            </w:pPr>
            <w:r w:rsidRPr="00F1120A">
              <w:rPr>
                <w:rFonts w:ascii="Calibri" w:hAnsi="Calibri"/>
                <w:sz w:val="20"/>
                <w:szCs w:val="20"/>
              </w:rPr>
              <w:t>8.5%</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4" w:space="0" w:color="auto"/>
              <w:bottom w:val="single" w:sz="4" w:space="0" w:color="auto"/>
              <w:right w:val="single" w:sz="12" w:space="0" w:color="auto"/>
            </w:tcBorders>
            <w:noWrap/>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10.6%</w:t>
            </w:r>
          </w:p>
        </w:tc>
        <w:tc>
          <w:tcPr>
            <w:tcW w:w="0" w:type="auto"/>
            <w:tcBorders>
              <w:top w:val="single" w:sz="4" w:space="0" w:color="auto"/>
              <w:left w:val="single" w:sz="12" w:space="0" w:color="auto"/>
              <w:bottom w:val="single" w:sz="4" w:space="0" w:color="auto"/>
              <w:right w:val="single" w:sz="4" w:space="0" w:color="auto"/>
            </w:tcBorders>
            <w:noWrap/>
            <w:vAlign w:val="center"/>
            <w:hideMark/>
          </w:tcPr>
          <w:p w:rsidR="002F0343" w:rsidRDefault="002F0343" w:rsidP="00106B21">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w:t>
            </w:r>
          </w:p>
        </w:tc>
        <w:tc>
          <w:tcPr>
            <w:tcW w:w="0" w:type="auto"/>
            <w:tcBorders>
              <w:top w:val="single" w:sz="4" w:space="0" w:color="auto"/>
              <w:left w:val="single" w:sz="12" w:space="0" w:color="auto"/>
              <w:bottom w:val="single" w:sz="4" w:space="0" w:color="auto"/>
              <w:right w:val="single" w:sz="4" w:space="0" w:color="auto"/>
            </w:tcBorders>
            <w:vAlign w:val="bottom"/>
          </w:tcPr>
          <w:p w:rsidR="002F0343" w:rsidRPr="00F1120A" w:rsidRDefault="002F0343" w:rsidP="00106B21">
            <w:pPr>
              <w:spacing w:after="0" w:line="240" w:lineRule="auto"/>
              <w:jc w:val="center"/>
              <w:rPr>
                <w:rFonts w:ascii="Calibri" w:hAnsi="Calibri"/>
                <w:sz w:val="20"/>
                <w:szCs w:val="20"/>
              </w:rPr>
            </w:pPr>
            <w:r w:rsidRPr="00F1120A">
              <w:rPr>
                <w:rFonts w:ascii="Calibri" w:hAnsi="Calibri"/>
                <w:sz w:val="20"/>
                <w:szCs w:val="20"/>
              </w:rPr>
              <w:t>16.5%</w:t>
            </w:r>
          </w:p>
        </w:tc>
      </w:tr>
      <w:tr w:rsidR="002F0343" w:rsidTr="00163D4E">
        <w:trPr>
          <w:trHeight w:val="300"/>
        </w:trPr>
        <w:tc>
          <w:tcPr>
            <w:tcW w:w="0" w:type="auto"/>
            <w:gridSpan w:val="7"/>
            <w:tcBorders>
              <w:top w:val="single" w:sz="4" w:space="0" w:color="auto"/>
              <w:left w:val="nil"/>
              <w:bottom w:val="nil"/>
              <w:right w:val="nil"/>
            </w:tcBorders>
            <w:noWrap/>
            <w:vAlign w:val="center"/>
            <w:hideMark/>
          </w:tcPr>
          <w:p w:rsidR="002F0343" w:rsidRDefault="002F0343" w:rsidP="008F0BE1">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*Chapter 70 state aid funds are deposited in the local general fund and spent as local appropriations.</w:t>
            </w:r>
          </w:p>
          <w:p w:rsidR="002F0343" w:rsidRDefault="002F0343" w:rsidP="008F0BE1">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0343" w:rsidRDefault="002F0343" w:rsidP="008F0BE1">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Sources: </w:t>
            </w:r>
            <w:r w:rsidRPr="00F1120A">
              <w:rPr>
                <w:rFonts w:ascii="Calibri" w:eastAsia="Times New Roman" w:hAnsi="Calibri" w:cs="Times New Roman"/>
                <w:kern w:val="28"/>
                <w:sz w:val="16"/>
                <w:szCs w:val="16"/>
              </w:rPr>
              <w:t xml:space="preserve">FY13, FY14, and FY15 </w:t>
            </w:r>
            <w:r>
              <w:rPr>
                <w:rFonts w:ascii="Calibri" w:eastAsia="Times New Roman" w:hAnsi="Calibri" w:cs="Times New Roman"/>
                <w:kern w:val="28"/>
                <w:sz w:val="20"/>
                <w:szCs w:val="20"/>
              </w:rPr>
              <w:t>District End-of-Year Reports; Chapter 70 Program information on ESE website.</w:t>
            </w:r>
          </w:p>
          <w:p w:rsidR="002F0343" w:rsidRDefault="002F0343" w:rsidP="008F0BE1">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Data retrieved </w:t>
            </w:r>
            <w:r w:rsidRPr="00F1120A">
              <w:rPr>
                <w:rFonts w:ascii="Calibri" w:eastAsia="Times New Roman" w:hAnsi="Calibri" w:cs="Times New Roman"/>
                <w:kern w:val="28"/>
                <w:sz w:val="16"/>
                <w:szCs w:val="16"/>
              </w:rPr>
              <w:t>11/4/16</w:t>
            </w:r>
            <w:r w:rsidR="002D39D0">
              <w:rPr>
                <w:rFonts w:ascii="Calibri" w:eastAsia="Times New Roman" w:hAnsi="Calibri" w:cs="Times New Roman"/>
                <w:kern w:val="28"/>
                <w:sz w:val="16"/>
                <w:szCs w:val="16"/>
              </w:rPr>
              <w:t xml:space="preserve"> and 4-24-17</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091C54" w:rsidRPr="00F1120A" w:rsidRDefault="00091C54" w:rsidP="00091C54">
      <w:pPr>
        <w:spacing w:after="0"/>
        <w:jc w:val="center"/>
        <w:rPr>
          <w:b/>
          <w:sz w:val="20"/>
        </w:rPr>
      </w:pPr>
      <w:r w:rsidRPr="00F1120A">
        <w:rPr>
          <w:b/>
          <w:sz w:val="20"/>
        </w:rPr>
        <w:t xml:space="preserve">Table B7: </w:t>
      </w:r>
      <w:r w:rsidRPr="00F1120A">
        <w:rPr>
          <w:rFonts w:ascii="Calibri" w:eastAsia="Calibri" w:hAnsi="Calibri" w:cs="Times New Roman"/>
          <w:b/>
          <w:sz w:val="20"/>
        </w:rPr>
        <w:t>Dighton-Rehoboth Regional School District</w:t>
      </w:r>
    </w:p>
    <w:p w:rsidR="00091C54" w:rsidRPr="00F1120A" w:rsidRDefault="00091C54" w:rsidP="00091C54">
      <w:pPr>
        <w:spacing w:after="0"/>
        <w:jc w:val="center"/>
        <w:rPr>
          <w:b/>
          <w:sz w:val="20"/>
        </w:rPr>
      </w:pPr>
      <w:r w:rsidRPr="00F1120A">
        <w:rPr>
          <w:b/>
          <w:sz w:val="20"/>
        </w:rPr>
        <w:t>Expenditures Per In-District Pupil</w:t>
      </w:r>
    </w:p>
    <w:p w:rsidR="00091C54" w:rsidRPr="00F1120A" w:rsidRDefault="00091C54" w:rsidP="00091C54">
      <w:pPr>
        <w:spacing w:after="0"/>
        <w:jc w:val="center"/>
        <w:rPr>
          <w:b/>
          <w:sz w:val="20"/>
        </w:rPr>
      </w:pPr>
      <w:r w:rsidRPr="00F1120A">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091C54" w:rsidRPr="00F1120A" w:rsidTr="008F0BE1">
        <w:trPr>
          <w:trHeight w:val="432"/>
          <w:jc w:val="center"/>
        </w:trPr>
        <w:tc>
          <w:tcPr>
            <w:tcW w:w="2484" w:type="pct"/>
            <w:tcBorders>
              <w:bottom w:val="single" w:sz="12" w:space="0" w:color="auto"/>
            </w:tcBorders>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91C54" w:rsidRPr="00F1120A" w:rsidRDefault="00091C54" w:rsidP="008F0B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091C54" w:rsidRPr="00F1120A" w:rsidRDefault="00091C54" w:rsidP="008F0B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091C54" w:rsidRPr="00F1120A" w:rsidRDefault="00091C54" w:rsidP="008F0BE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F1120A">
              <w:rPr>
                <w:rFonts w:ascii="Calibri" w:eastAsia="Times New Roman" w:hAnsi="Calibri" w:cs="Times New Roman"/>
                <w:b/>
                <w:kern w:val="28"/>
                <w:sz w:val="20"/>
                <w:szCs w:val="20"/>
              </w:rPr>
              <w:t>2015</w:t>
            </w:r>
          </w:p>
        </w:tc>
      </w:tr>
      <w:tr w:rsidR="00091C54" w:rsidRPr="00F1120A" w:rsidTr="008F0BE1">
        <w:trPr>
          <w:trHeight w:val="170"/>
          <w:jc w:val="center"/>
        </w:trPr>
        <w:tc>
          <w:tcPr>
            <w:tcW w:w="2484" w:type="pct"/>
            <w:tcBorders>
              <w:top w:val="single" w:sz="12" w:space="0" w:color="auto"/>
            </w:tcBorders>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$445</w:t>
            </w:r>
          </w:p>
        </w:tc>
        <w:tc>
          <w:tcPr>
            <w:tcW w:w="839" w:type="pct"/>
            <w:tcBorders>
              <w:top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$413</w:t>
            </w:r>
          </w:p>
        </w:tc>
        <w:tc>
          <w:tcPr>
            <w:tcW w:w="838" w:type="pct"/>
            <w:tcBorders>
              <w:top w:val="single" w:sz="12" w:space="0" w:color="auto"/>
            </w:tcBorders>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$357</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Instructional leadership (district and school)</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$614</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$678</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$784</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Teachers</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$4,884</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$4,969</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$5,143</w:t>
            </w:r>
          </w:p>
        </w:tc>
      </w:tr>
      <w:tr w:rsidR="00091C54" w:rsidRPr="00F1120A" w:rsidTr="008F0BE1">
        <w:trPr>
          <w:trHeight w:val="77"/>
          <w:jc w:val="center"/>
        </w:trPr>
        <w:tc>
          <w:tcPr>
            <w:tcW w:w="2484" w:type="pct"/>
            <w:vAlign w:val="center"/>
          </w:tcPr>
          <w:p w:rsidR="00091C54" w:rsidRPr="00F1120A" w:rsidDel="00DB21D5"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Other teaching services</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$977</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$1,059</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$971</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Professional development</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$91</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$85</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$58</w:t>
            </w:r>
          </w:p>
        </w:tc>
      </w:tr>
      <w:tr w:rsidR="00091C54" w:rsidRPr="00F1120A" w:rsidTr="008F0BE1">
        <w:trPr>
          <w:trHeight w:val="562"/>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Instructional materials, equipment and technology</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$300</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$289</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$441</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Guidance, counseling and testing services</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$354</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$379</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$403</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Pupil services</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$944</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$1,159</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$1,227</w:t>
            </w:r>
          </w:p>
        </w:tc>
      </w:tr>
      <w:tr w:rsidR="00091C54" w:rsidRPr="00F1120A" w:rsidTr="008F0BE1">
        <w:trPr>
          <w:trHeight w:val="77"/>
          <w:jc w:val="center"/>
        </w:trPr>
        <w:tc>
          <w:tcPr>
            <w:tcW w:w="2484" w:type="pct"/>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Operations and maintenance</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$1,156</w:t>
            </w:r>
          </w:p>
        </w:tc>
        <w:tc>
          <w:tcPr>
            <w:tcW w:w="839" w:type="pct"/>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$957</w:t>
            </w:r>
          </w:p>
        </w:tc>
        <w:tc>
          <w:tcPr>
            <w:tcW w:w="838" w:type="pct"/>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$1,110</w:t>
            </w:r>
          </w:p>
        </w:tc>
      </w:tr>
      <w:tr w:rsidR="00091C54" w:rsidRPr="00F1120A" w:rsidTr="008F0BE1">
        <w:trPr>
          <w:trHeight w:val="77"/>
          <w:jc w:val="center"/>
        </w:trPr>
        <w:tc>
          <w:tcPr>
            <w:tcW w:w="2484" w:type="pct"/>
            <w:tcBorders>
              <w:bottom w:val="single" w:sz="12" w:space="0" w:color="auto"/>
            </w:tcBorders>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$1,940</w:t>
            </w:r>
          </w:p>
        </w:tc>
        <w:tc>
          <w:tcPr>
            <w:tcW w:w="839" w:type="pct"/>
            <w:tcBorders>
              <w:bottom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$1,864</w:t>
            </w:r>
          </w:p>
        </w:tc>
        <w:tc>
          <w:tcPr>
            <w:tcW w:w="838" w:type="pct"/>
            <w:tcBorders>
              <w:bottom w:val="single" w:sz="12" w:space="0" w:color="auto"/>
            </w:tcBorders>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$1,948</w:t>
            </w:r>
          </w:p>
        </w:tc>
      </w:tr>
      <w:tr w:rsidR="00091C54" w:rsidRPr="00F1120A" w:rsidTr="008F0BE1">
        <w:trPr>
          <w:trHeight w:val="107"/>
          <w:jc w:val="center"/>
        </w:trPr>
        <w:tc>
          <w:tcPr>
            <w:tcW w:w="2484" w:type="pct"/>
            <w:tcBorders>
              <w:top w:val="single" w:sz="12" w:space="0" w:color="auto"/>
              <w:bottom w:val="single" w:sz="12" w:space="0" w:color="auto"/>
            </w:tcBorders>
            <w:vAlign w:val="center"/>
          </w:tcPr>
          <w:p w:rsidR="00091C54" w:rsidRPr="00F1120A" w:rsidRDefault="00091C54" w:rsidP="008F0BE1">
            <w:pPr>
              <w:widowControl w:val="0"/>
              <w:overflowPunct w:val="0"/>
              <w:adjustRightInd w:val="0"/>
              <w:spacing w:before="40" w:after="4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$11,704</w:t>
            </w:r>
          </w:p>
        </w:tc>
        <w:tc>
          <w:tcPr>
            <w:tcW w:w="839" w:type="pct"/>
            <w:tcBorders>
              <w:top w:val="single" w:sz="12" w:space="0" w:color="auto"/>
              <w:bottom w:val="single" w:sz="12" w:space="0" w:color="auto"/>
            </w:tcBorders>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$11,853</w:t>
            </w:r>
          </w:p>
        </w:tc>
        <w:tc>
          <w:tcPr>
            <w:tcW w:w="838" w:type="pct"/>
            <w:tcBorders>
              <w:top w:val="single" w:sz="12" w:space="0" w:color="auto"/>
              <w:bottom w:val="single" w:sz="12" w:space="0" w:color="auto"/>
            </w:tcBorders>
            <w:shd w:val="clear" w:color="auto" w:fill="auto"/>
            <w:vAlign w:val="center"/>
          </w:tcPr>
          <w:p w:rsidR="00091C54" w:rsidRPr="00F1120A" w:rsidRDefault="00091C54" w:rsidP="008F0BE1">
            <w:pPr>
              <w:spacing w:after="0" w:line="240" w:lineRule="auto"/>
              <w:jc w:val="center"/>
              <w:rPr>
                <w:rFonts w:ascii="Calibri" w:hAnsi="Calibri"/>
                <w:sz w:val="20"/>
                <w:szCs w:val="20"/>
              </w:rPr>
            </w:pPr>
            <w:r w:rsidRPr="00F1120A">
              <w:rPr>
                <w:rFonts w:ascii="Calibri" w:hAnsi="Calibri"/>
                <w:sz w:val="20"/>
                <w:szCs w:val="20"/>
              </w:rPr>
              <w:t>$12,442</w:t>
            </w:r>
          </w:p>
        </w:tc>
      </w:tr>
      <w:tr w:rsidR="00091C54" w:rsidRPr="00F1120A" w:rsidTr="008F0BE1">
        <w:trPr>
          <w:trHeight w:val="107"/>
          <w:jc w:val="center"/>
        </w:trPr>
        <w:tc>
          <w:tcPr>
            <w:tcW w:w="5000" w:type="pct"/>
            <w:gridSpan w:val="4"/>
            <w:tcBorders>
              <w:top w:val="single" w:sz="12" w:space="0" w:color="auto"/>
              <w:left w:val="nil"/>
              <w:bottom w:val="nil"/>
              <w:right w:val="nil"/>
            </w:tcBorders>
            <w:vAlign w:val="center"/>
          </w:tcPr>
          <w:p w:rsidR="00091C54" w:rsidRPr="00F1120A" w:rsidRDefault="00091C54" w:rsidP="008F0BE1">
            <w:pPr>
              <w:widowControl w:val="0"/>
              <w:overflowPunct w:val="0"/>
              <w:adjustRightInd w:val="0"/>
              <w:spacing w:after="0" w:line="240" w:lineRule="auto"/>
              <w:rPr>
                <w:rFonts w:ascii="Calibri" w:eastAsia="Times New Roman" w:hAnsi="Calibri" w:cs="Times New Roman"/>
                <w:kern w:val="28"/>
                <w:sz w:val="20"/>
                <w:szCs w:val="20"/>
              </w:rPr>
            </w:pPr>
            <w:r w:rsidRPr="00F1120A">
              <w:rPr>
                <w:rFonts w:ascii="Calibri" w:eastAsia="Times New Roman" w:hAnsi="Calibri" w:cs="Times New Roman"/>
                <w:bCs/>
                <w:kern w:val="28"/>
                <w:sz w:val="20"/>
                <w:szCs w:val="20"/>
              </w:rPr>
              <w:t xml:space="preserve">Sources: </w:t>
            </w:r>
            <w:hyperlink r:id="rId28" w:history="1">
              <w:r w:rsidRPr="00F1120A">
                <w:rPr>
                  <w:rFonts w:ascii="Calibri" w:eastAsia="Times New Roman" w:hAnsi="Calibri" w:cs="Times New Roman"/>
                  <w:bCs/>
                  <w:kern w:val="28"/>
                  <w:sz w:val="20"/>
                  <w:szCs w:val="24"/>
                  <w:u w:val="single"/>
                </w:rPr>
                <w:t>Per-pupil expenditure reports on ESE website</w:t>
              </w:r>
            </w:hyperlink>
            <w:bookmarkStart w:id="20" w:name="_GoBack"/>
            <w:bookmarkEnd w:id="20"/>
          </w:p>
          <w:p w:rsidR="00091C54" w:rsidRPr="00F1120A" w:rsidRDefault="00091C54" w:rsidP="008F0BE1">
            <w:pPr>
              <w:widowControl w:val="0"/>
              <w:overflowPunct w:val="0"/>
              <w:adjustRightInd w:val="0"/>
              <w:spacing w:after="0" w:line="240" w:lineRule="auto"/>
              <w:rPr>
                <w:rFonts w:ascii="Calibri" w:eastAsia="Times New Roman" w:hAnsi="Calibri" w:cs="Times New Roman"/>
                <w:kern w:val="28"/>
                <w:sz w:val="20"/>
                <w:szCs w:val="20"/>
              </w:rPr>
            </w:pPr>
            <w:r w:rsidRPr="00F1120A">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BB7644" w:rsidRDefault="00BB7644" w:rsidP="00BB7644">
      <w:pPr>
        <w:pStyle w:val="Section"/>
      </w:pPr>
      <w:bookmarkStart w:id="21" w:name="_Toc484613528"/>
      <w:r w:rsidRPr="00476E71">
        <w:lastRenderedPageBreak/>
        <w:t xml:space="preserve">Appendix </w:t>
      </w:r>
      <w:r>
        <w:t>C: Instructional Inventory</w:t>
      </w:r>
      <w:bookmarkEnd w:id="21"/>
    </w:p>
    <w:bookmarkEnd w:id="18"/>
    <w:tbl>
      <w:tblPr>
        <w:tblStyle w:val="TableGrid5"/>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B64B0" w:rsidRPr="00DB64B0" w:rsidTr="00A91AA7">
        <w:tc>
          <w:tcPr>
            <w:tcW w:w="2970" w:type="dxa"/>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p>
        </w:tc>
        <w:tc>
          <w:tcPr>
            <w:tcW w:w="1080" w:type="dxa"/>
          </w:tcPr>
          <w:p w:rsidR="00DB64B0" w:rsidRPr="00DB64B0" w:rsidRDefault="00DB64B0" w:rsidP="00DB64B0">
            <w:pPr>
              <w:spacing w:after="0" w:line="240" w:lineRule="auto"/>
            </w:pPr>
          </w:p>
        </w:tc>
        <w:tc>
          <w:tcPr>
            <w:tcW w:w="1170" w:type="dxa"/>
          </w:tcPr>
          <w:p w:rsidR="00DB64B0" w:rsidRPr="00DB64B0" w:rsidRDefault="00DB64B0" w:rsidP="00DB64B0">
            <w:pPr>
              <w:spacing w:after="0" w:line="240" w:lineRule="auto"/>
            </w:pPr>
          </w:p>
        </w:tc>
        <w:tc>
          <w:tcPr>
            <w:tcW w:w="990" w:type="dxa"/>
          </w:tcPr>
          <w:p w:rsidR="00DB64B0" w:rsidRPr="00DB64B0" w:rsidRDefault="00DB64B0" w:rsidP="00DB64B0">
            <w:pPr>
              <w:spacing w:after="0" w:line="240" w:lineRule="auto"/>
            </w:pP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b/>
              </w:rPr>
            </w:pPr>
            <w:r w:rsidRPr="00DB64B0">
              <w:rPr>
                <w:b/>
              </w:rPr>
              <w:t>Focus Area #1: Learning Objectives &amp; Instruction</w:t>
            </w: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Insufficient</w:t>
            </w:r>
          </w:p>
        </w:tc>
        <w:tc>
          <w:tcPr>
            <w:tcW w:w="1080" w:type="dxa"/>
          </w:tcPr>
          <w:p w:rsidR="00DB64B0" w:rsidRPr="00DB64B0" w:rsidRDefault="00DB64B0" w:rsidP="00DB64B0">
            <w:pPr>
              <w:spacing w:after="0" w:line="240" w:lineRule="auto"/>
            </w:pPr>
            <w:r w:rsidRPr="00DB64B0">
              <w:t>Minimal</w:t>
            </w:r>
          </w:p>
        </w:tc>
        <w:tc>
          <w:tcPr>
            <w:tcW w:w="1170" w:type="dxa"/>
          </w:tcPr>
          <w:p w:rsidR="00DB64B0" w:rsidRPr="00DB64B0" w:rsidRDefault="00DB64B0" w:rsidP="00DB64B0">
            <w:pPr>
              <w:spacing w:after="0" w:line="240" w:lineRule="auto"/>
            </w:pPr>
            <w:r w:rsidRPr="00DB64B0">
              <w:t>Moderate</w:t>
            </w:r>
          </w:p>
        </w:tc>
        <w:tc>
          <w:tcPr>
            <w:tcW w:w="990" w:type="dxa"/>
          </w:tcPr>
          <w:p w:rsidR="00DB64B0" w:rsidRPr="00DB64B0" w:rsidRDefault="00DB64B0" w:rsidP="00DB64B0">
            <w:pPr>
              <w:spacing w:after="0" w:line="240" w:lineRule="auto"/>
            </w:pPr>
            <w:r w:rsidRPr="00DB64B0">
              <w:t>Strong</w:t>
            </w:r>
          </w:p>
        </w:tc>
        <w:tc>
          <w:tcPr>
            <w:tcW w:w="1368" w:type="dxa"/>
          </w:tcPr>
          <w:p w:rsidR="00DB64B0" w:rsidRPr="00DB64B0" w:rsidRDefault="00DB64B0" w:rsidP="00DB64B0">
            <w:pPr>
              <w:spacing w:after="0" w:line="240" w:lineRule="auto"/>
            </w:pPr>
            <w:r w:rsidRPr="00DB64B0">
              <w:t>Avg Number of points</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w:t>
            </w:r>
          </w:p>
        </w:tc>
        <w:tc>
          <w:tcPr>
            <w:tcW w:w="1170" w:type="dxa"/>
          </w:tcPr>
          <w:p w:rsidR="00DB64B0" w:rsidRPr="00DB64B0" w:rsidRDefault="00DB64B0" w:rsidP="00DB64B0">
            <w:pPr>
              <w:spacing w:after="0" w:line="240" w:lineRule="auto"/>
            </w:pPr>
            <w:r w:rsidRPr="00DB64B0">
              <w:t>(2)</w:t>
            </w:r>
          </w:p>
        </w:tc>
        <w:tc>
          <w:tcPr>
            <w:tcW w:w="990" w:type="dxa"/>
          </w:tcPr>
          <w:p w:rsidR="00DB64B0" w:rsidRPr="00DB64B0" w:rsidRDefault="00DB64B0" w:rsidP="00DB64B0">
            <w:pPr>
              <w:spacing w:after="0" w:line="240" w:lineRule="auto"/>
            </w:pPr>
            <w:r w:rsidRPr="00DB64B0">
              <w:t>(3)</w:t>
            </w:r>
          </w:p>
        </w:tc>
        <w:tc>
          <w:tcPr>
            <w:tcW w:w="1368" w:type="dxa"/>
          </w:tcPr>
          <w:p w:rsidR="00DB64B0" w:rsidRPr="00DB64B0" w:rsidRDefault="00DB64B0" w:rsidP="00DB64B0">
            <w:pPr>
              <w:spacing w:after="0" w:line="240" w:lineRule="auto"/>
            </w:pPr>
            <w:r w:rsidRPr="00DB64B0">
              <w:t>(0 to 3)</w:t>
            </w: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1. The teacher demonstrates knowledge of subject matter and content.</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0%</w:t>
            </w:r>
          </w:p>
        </w:tc>
        <w:tc>
          <w:tcPr>
            <w:tcW w:w="1170" w:type="dxa"/>
            <w:shd w:val="clear" w:color="auto" w:fill="BFBFBF" w:themeFill="background1" w:themeFillShade="BF"/>
          </w:tcPr>
          <w:p w:rsidR="00DB64B0" w:rsidRPr="00DB64B0" w:rsidRDefault="00DB64B0" w:rsidP="00DB64B0">
            <w:pPr>
              <w:spacing w:after="0" w:line="240" w:lineRule="auto"/>
            </w:pPr>
            <w:r w:rsidRPr="00DB64B0">
              <w:t>0%</w:t>
            </w:r>
          </w:p>
        </w:tc>
        <w:tc>
          <w:tcPr>
            <w:tcW w:w="990" w:type="dxa"/>
            <w:shd w:val="clear" w:color="auto" w:fill="BFBFBF" w:themeFill="background1" w:themeFillShade="BF"/>
          </w:tcPr>
          <w:p w:rsidR="00DB64B0" w:rsidRPr="00DB64B0" w:rsidRDefault="00DB64B0" w:rsidP="00DB64B0">
            <w:pPr>
              <w:spacing w:after="0" w:line="240" w:lineRule="auto"/>
            </w:pPr>
            <w:r w:rsidRPr="00DB64B0">
              <w:t>100%</w:t>
            </w:r>
          </w:p>
        </w:tc>
        <w:tc>
          <w:tcPr>
            <w:tcW w:w="1368" w:type="dxa"/>
            <w:shd w:val="clear" w:color="auto" w:fill="BFBFBF" w:themeFill="background1" w:themeFillShade="BF"/>
          </w:tcPr>
          <w:p w:rsidR="00DB64B0" w:rsidRPr="00DB64B0" w:rsidRDefault="00DB64B0" w:rsidP="00DB64B0">
            <w:pPr>
              <w:spacing w:after="0" w:line="240" w:lineRule="auto"/>
            </w:pPr>
            <w:r w:rsidRPr="00DB64B0">
              <w:t>3.0</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12%</w:t>
            </w:r>
          </w:p>
        </w:tc>
        <w:tc>
          <w:tcPr>
            <w:tcW w:w="1170" w:type="dxa"/>
            <w:shd w:val="clear" w:color="auto" w:fill="BFBFBF" w:themeFill="background1" w:themeFillShade="BF"/>
          </w:tcPr>
          <w:p w:rsidR="00DB64B0" w:rsidRPr="00DB64B0" w:rsidRDefault="00DB64B0" w:rsidP="00DB64B0">
            <w:pPr>
              <w:spacing w:after="0" w:line="240" w:lineRule="auto"/>
            </w:pPr>
            <w:r w:rsidRPr="00DB64B0">
              <w:t>12%</w:t>
            </w:r>
          </w:p>
        </w:tc>
        <w:tc>
          <w:tcPr>
            <w:tcW w:w="990" w:type="dxa"/>
            <w:shd w:val="clear" w:color="auto" w:fill="BFBFBF" w:themeFill="background1" w:themeFillShade="BF"/>
          </w:tcPr>
          <w:p w:rsidR="00DB64B0" w:rsidRPr="00DB64B0" w:rsidRDefault="00DB64B0" w:rsidP="00DB64B0">
            <w:pPr>
              <w:spacing w:after="0" w:line="240" w:lineRule="auto"/>
            </w:pPr>
            <w:r w:rsidRPr="00DB64B0">
              <w:t>69%</w:t>
            </w:r>
          </w:p>
        </w:tc>
        <w:tc>
          <w:tcPr>
            <w:tcW w:w="1368" w:type="dxa"/>
            <w:shd w:val="clear" w:color="auto" w:fill="BFBFBF" w:themeFill="background1" w:themeFillShade="BF"/>
          </w:tcPr>
          <w:p w:rsidR="00DB64B0" w:rsidRPr="00DB64B0" w:rsidRDefault="00DB64B0" w:rsidP="00DB64B0">
            <w:pPr>
              <w:spacing w:after="0" w:line="240" w:lineRule="auto"/>
            </w:pPr>
            <w:r w:rsidRPr="00DB64B0">
              <w:t>2.4</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6%</w:t>
            </w:r>
          </w:p>
        </w:tc>
        <w:tc>
          <w:tcPr>
            <w:tcW w:w="1170" w:type="dxa"/>
            <w:shd w:val="clear" w:color="auto" w:fill="BFBFBF" w:themeFill="background1" w:themeFillShade="BF"/>
          </w:tcPr>
          <w:p w:rsidR="00DB64B0" w:rsidRPr="00DB64B0" w:rsidRDefault="00DB64B0" w:rsidP="00DB64B0">
            <w:pPr>
              <w:spacing w:after="0" w:line="240" w:lineRule="auto"/>
            </w:pPr>
            <w:r w:rsidRPr="00DB64B0">
              <w:t>18%</w:t>
            </w:r>
          </w:p>
        </w:tc>
        <w:tc>
          <w:tcPr>
            <w:tcW w:w="990" w:type="dxa"/>
            <w:shd w:val="clear" w:color="auto" w:fill="BFBFBF" w:themeFill="background1" w:themeFillShade="BF"/>
          </w:tcPr>
          <w:p w:rsidR="00DB64B0" w:rsidRPr="00DB64B0" w:rsidRDefault="00DB64B0" w:rsidP="00DB64B0">
            <w:pPr>
              <w:spacing w:after="0" w:line="240" w:lineRule="auto"/>
            </w:pPr>
            <w:r w:rsidRPr="00DB64B0">
              <w:t>76%</w:t>
            </w:r>
          </w:p>
        </w:tc>
        <w:tc>
          <w:tcPr>
            <w:tcW w:w="1368" w:type="dxa"/>
            <w:shd w:val="clear" w:color="auto" w:fill="BFBFBF" w:themeFill="background1" w:themeFillShade="BF"/>
          </w:tcPr>
          <w:p w:rsidR="00DB64B0" w:rsidRPr="00DB64B0" w:rsidRDefault="00DB64B0" w:rsidP="00DB64B0">
            <w:pPr>
              <w:spacing w:after="0" w:line="240" w:lineRule="auto"/>
            </w:pPr>
            <w:r w:rsidRPr="00DB64B0">
              <w:t>2.7</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1</w:t>
            </w:r>
          </w:p>
        </w:tc>
        <w:tc>
          <w:tcPr>
            <w:tcW w:w="1080" w:type="dxa"/>
            <w:shd w:val="clear" w:color="auto" w:fill="BFBFBF" w:themeFill="background1" w:themeFillShade="BF"/>
          </w:tcPr>
          <w:p w:rsidR="00DB64B0" w:rsidRPr="00DB64B0" w:rsidRDefault="00DB64B0" w:rsidP="00DB64B0">
            <w:pPr>
              <w:spacing w:after="0" w:line="240" w:lineRule="auto"/>
            </w:pPr>
            <w:r w:rsidRPr="00DB64B0">
              <w:t>3</w:t>
            </w:r>
          </w:p>
        </w:tc>
        <w:tc>
          <w:tcPr>
            <w:tcW w:w="1170" w:type="dxa"/>
            <w:shd w:val="clear" w:color="auto" w:fill="BFBFBF" w:themeFill="background1" w:themeFillShade="BF"/>
          </w:tcPr>
          <w:p w:rsidR="00DB64B0" w:rsidRPr="00DB64B0" w:rsidRDefault="00DB64B0" w:rsidP="00DB64B0">
            <w:pPr>
              <w:spacing w:after="0" w:line="240" w:lineRule="auto"/>
            </w:pPr>
            <w:r w:rsidRPr="00DB64B0">
              <w:t>5</w:t>
            </w:r>
          </w:p>
        </w:tc>
        <w:tc>
          <w:tcPr>
            <w:tcW w:w="990" w:type="dxa"/>
            <w:shd w:val="clear" w:color="auto" w:fill="BFBFBF" w:themeFill="background1" w:themeFillShade="BF"/>
          </w:tcPr>
          <w:p w:rsidR="00DB64B0" w:rsidRPr="00DB64B0" w:rsidRDefault="00DB64B0" w:rsidP="00DB64B0">
            <w:pPr>
              <w:spacing w:after="0" w:line="240" w:lineRule="auto"/>
            </w:pPr>
            <w:r w:rsidRPr="00DB64B0">
              <w:t>41</w:t>
            </w:r>
          </w:p>
        </w:tc>
        <w:tc>
          <w:tcPr>
            <w:tcW w:w="1368" w:type="dxa"/>
            <w:shd w:val="clear" w:color="auto" w:fill="BFBFBF" w:themeFill="background1" w:themeFillShade="BF"/>
          </w:tcPr>
          <w:p w:rsidR="00DB64B0" w:rsidRPr="00DB64B0" w:rsidRDefault="00DB64B0" w:rsidP="00DB64B0">
            <w:pPr>
              <w:spacing w:after="0" w:line="240" w:lineRule="auto"/>
            </w:pPr>
            <w:r w:rsidRPr="00DB64B0">
              <w:t>2.7</w:t>
            </w:r>
          </w:p>
        </w:tc>
      </w:tr>
      <w:tr w:rsidR="00DB64B0" w:rsidRPr="00DB64B0" w:rsidTr="00A91AA7">
        <w:trPr>
          <w:trHeight w:val="476"/>
        </w:trPr>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2%</w:t>
            </w:r>
          </w:p>
        </w:tc>
        <w:tc>
          <w:tcPr>
            <w:tcW w:w="1080" w:type="dxa"/>
            <w:shd w:val="clear" w:color="auto" w:fill="BFBFBF" w:themeFill="background1" w:themeFillShade="BF"/>
          </w:tcPr>
          <w:p w:rsidR="00DB64B0" w:rsidRPr="00DB64B0" w:rsidRDefault="00DB64B0" w:rsidP="00DB64B0">
            <w:pPr>
              <w:spacing w:after="0" w:line="240" w:lineRule="auto"/>
            </w:pPr>
            <w:r w:rsidRPr="00DB64B0">
              <w:t>6%</w:t>
            </w:r>
          </w:p>
        </w:tc>
        <w:tc>
          <w:tcPr>
            <w:tcW w:w="1170" w:type="dxa"/>
            <w:shd w:val="clear" w:color="auto" w:fill="BFBFBF" w:themeFill="background1" w:themeFillShade="BF"/>
          </w:tcPr>
          <w:p w:rsidR="00DB64B0" w:rsidRPr="00DB64B0" w:rsidRDefault="00DB64B0" w:rsidP="00DB64B0">
            <w:pPr>
              <w:spacing w:after="0" w:line="240" w:lineRule="auto"/>
            </w:pPr>
            <w:r w:rsidRPr="00DB64B0">
              <w:t>10%</w:t>
            </w:r>
          </w:p>
        </w:tc>
        <w:tc>
          <w:tcPr>
            <w:tcW w:w="990" w:type="dxa"/>
            <w:shd w:val="clear" w:color="auto" w:fill="BFBFBF" w:themeFill="background1" w:themeFillShade="BF"/>
          </w:tcPr>
          <w:p w:rsidR="00DB64B0" w:rsidRPr="00DB64B0" w:rsidRDefault="00DB64B0" w:rsidP="00DB64B0">
            <w:pPr>
              <w:spacing w:after="0" w:line="240" w:lineRule="auto"/>
            </w:pPr>
            <w:r w:rsidRPr="00DB64B0">
              <w:t>82%</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color w:val="000000"/>
              </w:rPr>
            </w:pPr>
            <w:r w:rsidRPr="00DB64B0">
              <w:rPr>
                <w:rFonts w:ascii="Calibri" w:hAnsi="Calibri"/>
                <w:color w:val="000000"/>
              </w:rPr>
              <w:t>2. The teacher provides and refers to clear learning objective(s) in the lesson.</w:t>
            </w: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tcPr>
          <w:p w:rsidR="00DB64B0" w:rsidRPr="00DB64B0" w:rsidRDefault="00DB64B0" w:rsidP="00DB64B0">
            <w:pPr>
              <w:spacing w:after="0" w:line="240" w:lineRule="auto"/>
            </w:pPr>
            <w:r w:rsidRPr="00DB64B0">
              <w:t>18%</w:t>
            </w:r>
          </w:p>
        </w:tc>
        <w:tc>
          <w:tcPr>
            <w:tcW w:w="1080" w:type="dxa"/>
          </w:tcPr>
          <w:p w:rsidR="00DB64B0" w:rsidRPr="00DB64B0" w:rsidRDefault="00DB64B0" w:rsidP="00DB64B0">
            <w:pPr>
              <w:spacing w:after="0" w:line="240" w:lineRule="auto"/>
            </w:pPr>
            <w:r w:rsidRPr="00DB64B0">
              <w:t>12%</w:t>
            </w:r>
          </w:p>
        </w:tc>
        <w:tc>
          <w:tcPr>
            <w:tcW w:w="1170" w:type="dxa"/>
          </w:tcPr>
          <w:p w:rsidR="00DB64B0" w:rsidRPr="00DB64B0" w:rsidRDefault="00DB64B0" w:rsidP="00DB64B0">
            <w:pPr>
              <w:spacing w:after="0" w:line="240" w:lineRule="auto"/>
            </w:pPr>
            <w:r w:rsidRPr="00DB64B0">
              <w:t>35%</w:t>
            </w:r>
          </w:p>
        </w:tc>
        <w:tc>
          <w:tcPr>
            <w:tcW w:w="990" w:type="dxa"/>
          </w:tcPr>
          <w:p w:rsidR="00DB64B0" w:rsidRPr="00DB64B0" w:rsidRDefault="00DB64B0" w:rsidP="00DB64B0">
            <w:pPr>
              <w:spacing w:after="0" w:line="240" w:lineRule="auto"/>
            </w:pPr>
            <w:r w:rsidRPr="00DB64B0">
              <w:t>35%</w:t>
            </w:r>
          </w:p>
        </w:tc>
        <w:tc>
          <w:tcPr>
            <w:tcW w:w="1368" w:type="dxa"/>
          </w:tcPr>
          <w:p w:rsidR="00DB64B0" w:rsidRPr="00DB64B0" w:rsidRDefault="00DB64B0" w:rsidP="00DB64B0">
            <w:pPr>
              <w:spacing w:after="0" w:line="240" w:lineRule="auto"/>
            </w:pPr>
            <w:r w:rsidRPr="00DB64B0">
              <w:t>1.9</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12%</w:t>
            </w:r>
          </w:p>
        </w:tc>
        <w:tc>
          <w:tcPr>
            <w:tcW w:w="1170" w:type="dxa"/>
          </w:tcPr>
          <w:p w:rsidR="00DB64B0" w:rsidRPr="00DB64B0" w:rsidRDefault="00DB64B0" w:rsidP="00DB64B0">
            <w:pPr>
              <w:spacing w:after="0" w:line="240" w:lineRule="auto"/>
            </w:pPr>
            <w:r w:rsidRPr="00DB64B0">
              <w:t>44%</w:t>
            </w:r>
          </w:p>
        </w:tc>
        <w:tc>
          <w:tcPr>
            <w:tcW w:w="990" w:type="dxa"/>
          </w:tcPr>
          <w:p w:rsidR="00DB64B0" w:rsidRPr="00DB64B0" w:rsidRDefault="00DB64B0" w:rsidP="00DB64B0">
            <w:pPr>
              <w:spacing w:after="0" w:line="240" w:lineRule="auto"/>
            </w:pPr>
            <w:r w:rsidRPr="00DB64B0">
              <w:t>38%</w:t>
            </w:r>
          </w:p>
        </w:tc>
        <w:tc>
          <w:tcPr>
            <w:tcW w:w="1368" w:type="dxa"/>
          </w:tcPr>
          <w:p w:rsidR="00DB64B0" w:rsidRPr="00DB64B0" w:rsidRDefault="00DB64B0" w:rsidP="00DB64B0">
            <w:pPr>
              <w:spacing w:after="0" w:line="240" w:lineRule="auto"/>
            </w:pPr>
            <w:r w:rsidRPr="00DB64B0">
              <w:t>2.2</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0%</w:t>
            </w:r>
          </w:p>
        </w:tc>
        <w:tc>
          <w:tcPr>
            <w:tcW w:w="1170" w:type="dxa"/>
          </w:tcPr>
          <w:p w:rsidR="00DB64B0" w:rsidRPr="00DB64B0" w:rsidRDefault="00DB64B0" w:rsidP="00DB64B0">
            <w:pPr>
              <w:spacing w:after="0" w:line="240" w:lineRule="auto"/>
            </w:pPr>
            <w:r w:rsidRPr="00DB64B0">
              <w:t>47%</w:t>
            </w:r>
          </w:p>
        </w:tc>
        <w:tc>
          <w:tcPr>
            <w:tcW w:w="990" w:type="dxa"/>
          </w:tcPr>
          <w:p w:rsidR="00DB64B0" w:rsidRPr="00DB64B0" w:rsidRDefault="00DB64B0" w:rsidP="00DB64B0">
            <w:pPr>
              <w:spacing w:after="0" w:line="240" w:lineRule="auto"/>
            </w:pPr>
            <w:r w:rsidRPr="00DB64B0">
              <w:t>53%</w:t>
            </w:r>
          </w:p>
        </w:tc>
        <w:tc>
          <w:tcPr>
            <w:tcW w:w="1368" w:type="dxa"/>
          </w:tcPr>
          <w:p w:rsidR="00DB64B0" w:rsidRPr="00DB64B0" w:rsidRDefault="00DB64B0" w:rsidP="00DB64B0">
            <w:pPr>
              <w:spacing w:after="0" w:line="240" w:lineRule="auto"/>
            </w:pPr>
            <w:r w:rsidRPr="00DB64B0">
              <w:t>2.5</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4</w:t>
            </w:r>
          </w:p>
        </w:tc>
        <w:tc>
          <w:tcPr>
            <w:tcW w:w="1080" w:type="dxa"/>
          </w:tcPr>
          <w:p w:rsidR="00DB64B0" w:rsidRPr="00DB64B0" w:rsidRDefault="00DB64B0" w:rsidP="00DB64B0">
            <w:pPr>
              <w:spacing w:after="0" w:line="240" w:lineRule="auto"/>
            </w:pPr>
            <w:r w:rsidRPr="00DB64B0">
              <w:t>4</w:t>
            </w:r>
          </w:p>
        </w:tc>
        <w:tc>
          <w:tcPr>
            <w:tcW w:w="1170" w:type="dxa"/>
          </w:tcPr>
          <w:p w:rsidR="00DB64B0" w:rsidRPr="00DB64B0" w:rsidRDefault="00DB64B0" w:rsidP="00DB64B0">
            <w:pPr>
              <w:spacing w:after="0" w:line="240" w:lineRule="auto"/>
            </w:pPr>
            <w:r w:rsidRPr="00DB64B0">
              <w:t>21</w:t>
            </w:r>
          </w:p>
        </w:tc>
        <w:tc>
          <w:tcPr>
            <w:tcW w:w="990" w:type="dxa"/>
          </w:tcPr>
          <w:p w:rsidR="00DB64B0" w:rsidRPr="00DB64B0" w:rsidRDefault="00DB64B0" w:rsidP="00DB64B0">
            <w:pPr>
              <w:spacing w:after="0" w:line="240" w:lineRule="auto"/>
            </w:pPr>
            <w:r w:rsidRPr="00DB64B0">
              <w:t>21</w:t>
            </w:r>
          </w:p>
        </w:tc>
        <w:tc>
          <w:tcPr>
            <w:tcW w:w="1368" w:type="dxa"/>
          </w:tcPr>
          <w:p w:rsidR="00DB64B0" w:rsidRPr="00DB64B0" w:rsidRDefault="00DB64B0" w:rsidP="00DB64B0">
            <w:pPr>
              <w:spacing w:after="0" w:line="240" w:lineRule="auto"/>
            </w:pPr>
            <w:r w:rsidRPr="00DB64B0">
              <w:t>2.2</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8%</w:t>
            </w:r>
          </w:p>
        </w:tc>
        <w:tc>
          <w:tcPr>
            <w:tcW w:w="1080" w:type="dxa"/>
          </w:tcPr>
          <w:p w:rsidR="00DB64B0" w:rsidRPr="00DB64B0" w:rsidRDefault="00DB64B0" w:rsidP="00DB64B0">
            <w:pPr>
              <w:spacing w:after="0" w:line="240" w:lineRule="auto"/>
            </w:pPr>
            <w:r w:rsidRPr="00DB64B0">
              <w:t>8%</w:t>
            </w:r>
          </w:p>
        </w:tc>
        <w:tc>
          <w:tcPr>
            <w:tcW w:w="1170" w:type="dxa"/>
          </w:tcPr>
          <w:p w:rsidR="00DB64B0" w:rsidRPr="00DB64B0" w:rsidRDefault="00DB64B0" w:rsidP="00DB64B0">
            <w:pPr>
              <w:spacing w:after="0" w:line="240" w:lineRule="auto"/>
            </w:pPr>
            <w:r w:rsidRPr="00DB64B0">
              <w:t>42%</w:t>
            </w:r>
          </w:p>
        </w:tc>
        <w:tc>
          <w:tcPr>
            <w:tcW w:w="990" w:type="dxa"/>
          </w:tcPr>
          <w:p w:rsidR="00DB64B0" w:rsidRPr="00DB64B0" w:rsidRDefault="00DB64B0" w:rsidP="00DB64B0">
            <w:pPr>
              <w:spacing w:after="0" w:line="240" w:lineRule="auto"/>
            </w:pPr>
            <w:r w:rsidRPr="00DB64B0">
              <w:t>42%</w:t>
            </w: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18%</w:t>
            </w:r>
          </w:p>
        </w:tc>
        <w:tc>
          <w:tcPr>
            <w:tcW w:w="1170" w:type="dxa"/>
            <w:shd w:val="clear" w:color="auto" w:fill="BFBFBF" w:themeFill="background1" w:themeFillShade="BF"/>
          </w:tcPr>
          <w:p w:rsidR="00DB64B0" w:rsidRPr="00DB64B0" w:rsidRDefault="00DB64B0" w:rsidP="00DB64B0">
            <w:pPr>
              <w:spacing w:after="0" w:line="240" w:lineRule="auto"/>
            </w:pPr>
            <w:r w:rsidRPr="00DB64B0">
              <w:t>35%</w:t>
            </w:r>
          </w:p>
        </w:tc>
        <w:tc>
          <w:tcPr>
            <w:tcW w:w="990" w:type="dxa"/>
            <w:shd w:val="clear" w:color="auto" w:fill="BFBFBF" w:themeFill="background1" w:themeFillShade="BF"/>
          </w:tcPr>
          <w:p w:rsidR="00DB64B0" w:rsidRPr="00DB64B0" w:rsidRDefault="00DB64B0" w:rsidP="00DB64B0">
            <w:pPr>
              <w:spacing w:after="0" w:line="240" w:lineRule="auto"/>
            </w:pPr>
            <w:r w:rsidRPr="00DB64B0">
              <w:t>41%</w:t>
            </w:r>
          </w:p>
        </w:tc>
        <w:tc>
          <w:tcPr>
            <w:tcW w:w="1368" w:type="dxa"/>
            <w:shd w:val="clear" w:color="auto" w:fill="BFBFBF" w:themeFill="background1" w:themeFillShade="BF"/>
          </w:tcPr>
          <w:p w:rsidR="00DB64B0" w:rsidRPr="00DB64B0" w:rsidRDefault="00DB64B0" w:rsidP="00DB64B0">
            <w:pPr>
              <w:spacing w:after="0" w:line="240" w:lineRule="auto"/>
            </w:pPr>
            <w:r w:rsidRPr="00DB64B0">
              <w:t>2.1</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19%</w:t>
            </w:r>
          </w:p>
        </w:tc>
        <w:tc>
          <w:tcPr>
            <w:tcW w:w="1170" w:type="dxa"/>
            <w:shd w:val="clear" w:color="auto" w:fill="BFBFBF" w:themeFill="background1" w:themeFillShade="BF"/>
          </w:tcPr>
          <w:p w:rsidR="00DB64B0" w:rsidRPr="00DB64B0" w:rsidRDefault="00DB64B0" w:rsidP="00DB64B0">
            <w:pPr>
              <w:spacing w:after="0" w:line="240" w:lineRule="auto"/>
            </w:pPr>
            <w:r w:rsidRPr="00DB64B0">
              <w:t>56%</w:t>
            </w:r>
          </w:p>
        </w:tc>
        <w:tc>
          <w:tcPr>
            <w:tcW w:w="990" w:type="dxa"/>
            <w:shd w:val="clear" w:color="auto" w:fill="BFBFBF" w:themeFill="background1" w:themeFillShade="BF"/>
          </w:tcPr>
          <w:p w:rsidR="00DB64B0" w:rsidRPr="00DB64B0" w:rsidRDefault="00DB64B0" w:rsidP="00DB64B0">
            <w:pPr>
              <w:spacing w:after="0" w:line="240" w:lineRule="auto"/>
            </w:pPr>
            <w:r w:rsidRPr="00DB64B0">
              <w:t>19%</w:t>
            </w:r>
          </w:p>
        </w:tc>
        <w:tc>
          <w:tcPr>
            <w:tcW w:w="1368" w:type="dxa"/>
            <w:shd w:val="clear" w:color="auto" w:fill="BFBFBF" w:themeFill="background1" w:themeFillShade="BF"/>
          </w:tcPr>
          <w:p w:rsidR="00DB64B0" w:rsidRPr="00DB64B0" w:rsidRDefault="00DB64B0" w:rsidP="00DB64B0">
            <w:pPr>
              <w:spacing w:after="0" w:line="240" w:lineRule="auto"/>
            </w:pPr>
            <w:r w:rsidRPr="00DB64B0">
              <w:t>1.9</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24%</w:t>
            </w:r>
          </w:p>
        </w:tc>
        <w:tc>
          <w:tcPr>
            <w:tcW w:w="1170" w:type="dxa"/>
            <w:shd w:val="clear" w:color="auto" w:fill="BFBFBF" w:themeFill="background1" w:themeFillShade="BF"/>
          </w:tcPr>
          <w:p w:rsidR="00DB64B0" w:rsidRPr="00DB64B0" w:rsidRDefault="00DB64B0" w:rsidP="00DB64B0">
            <w:pPr>
              <w:spacing w:after="0" w:line="240" w:lineRule="auto"/>
            </w:pPr>
            <w:r w:rsidRPr="00DB64B0">
              <w:t>41%</w:t>
            </w:r>
          </w:p>
        </w:tc>
        <w:tc>
          <w:tcPr>
            <w:tcW w:w="990" w:type="dxa"/>
            <w:shd w:val="clear" w:color="auto" w:fill="BFBFBF" w:themeFill="background1" w:themeFillShade="BF"/>
          </w:tcPr>
          <w:p w:rsidR="00DB64B0" w:rsidRPr="00DB64B0" w:rsidRDefault="00DB64B0" w:rsidP="00DB64B0">
            <w:pPr>
              <w:spacing w:after="0" w:line="240" w:lineRule="auto"/>
            </w:pPr>
            <w:r w:rsidRPr="00DB64B0">
              <w:t>29%</w:t>
            </w:r>
          </w:p>
        </w:tc>
        <w:tc>
          <w:tcPr>
            <w:tcW w:w="1368" w:type="dxa"/>
            <w:shd w:val="clear" w:color="auto" w:fill="BFBFBF" w:themeFill="background1" w:themeFillShade="BF"/>
          </w:tcPr>
          <w:p w:rsidR="00DB64B0" w:rsidRPr="00DB64B0" w:rsidRDefault="00DB64B0" w:rsidP="00DB64B0">
            <w:pPr>
              <w:spacing w:after="0" w:line="240" w:lineRule="auto"/>
            </w:pPr>
            <w:r w:rsidRPr="00DB64B0">
              <w:t>1.9</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3</w:t>
            </w:r>
          </w:p>
        </w:tc>
        <w:tc>
          <w:tcPr>
            <w:tcW w:w="1080" w:type="dxa"/>
            <w:shd w:val="clear" w:color="auto" w:fill="BFBFBF" w:themeFill="background1" w:themeFillShade="BF"/>
          </w:tcPr>
          <w:p w:rsidR="00DB64B0" w:rsidRPr="00DB64B0" w:rsidRDefault="00DB64B0" w:rsidP="00DB64B0">
            <w:pPr>
              <w:spacing w:after="0" w:line="240" w:lineRule="auto"/>
            </w:pPr>
            <w:r w:rsidRPr="00DB64B0">
              <w:t>10</w:t>
            </w:r>
          </w:p>
        </w:tc>
        <w:tc>
          <w:tcPr>
            <w:tcW w:w="1170" w:type="dxa"/>
            <w:shd w:val="clear" w:color="auto" w:fill="BFBFBF" w:themeFill="background1" w:themeFillShade="BF"/>
          </w:tcPr>
          <w:p w:rsidR="00DB64B0" w:rsidRPr="00DB64B0" w:rsidRDefault="00DB64B0" w:rsidP="00DB64B0">
            <w:pPr>
              <w:spacing w:after="0" w:line="240" w:lineRule="auto"/>
            </w:pPr>
            <w:r w:rsidRPr="00DB64B0">
              <w:t>22</w:t>
            </w:r>
          </w:p>
        </w:tc>
        <w:tc>
          <w:tcPr>
            <w:tcW w:w="990" w:type="dxa"/>
            <w:shd w:val="clear" w:color="auto" w:fill="BFBFBF" w:themeFill="background1" w:themeFillShade="BF"/>
          </w:tcPr>
          <w:p w:rsidR="00DB64B0" w:rsidRPr="00DB64B0" w:rsidRDefault="00DB64B0" w:rsidP="00DB64B0">
            <w:pPr>
              <w:spacing w:after="0" w:line="240" w:lineRule="auto"/>
            </w:pPr>
            <w:r w:rsidRPr="00DB64B0">
              <w:t>15</w:t>
            </w:r>
          </w:p>
        </w:tc>
        <w:tc>
          <w:tcPr>
            <w:tcW w:w="1368" w:type="dxa"/>
            <w:shd w:val="clear" w:color="auto" w:fill="BFBFBF" w:themeFill="background1" w:themeFillShade="BF"/>
          </w:tcPr>
          <w:p w:rsidR="00DB64B0" w:rsidRPr="00DB64B0" w:rsidRDefault="00DB64B0" w:rsidP="00DB64B0">
            <w:pPr>
              <w:spacing w:after="0" w:line="240" w:lineRule="auto"/>
            </w:pPr>
            <w:r w:rsidRPr="00DB64B0">
              <w:t>2.0</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20%</w:t>
            </w:r>
          </w:p>
        </w:tc>
        <w:tc>
          <w:tcPr>
            <w:tcW w:w="1170" w:type="dxa"/>
            <w:shd w:val="clear" w:color="auto" w:fill="BFBFBF" w:themeFill="background1" w:themeFillShade="BF"/>
          </w:tcPr>
          <w:p w:rsidR="00DB64B0" w:rsidRPr="00DB64B0" w:rsidRDefault="00DB64B0" w:rsidP="00DB64B0">
            <w:pPr>
              <w:spacing w:after="0" w:line="240" w:lineRule="auto"/>
            </w:pPr>
            <w:r w:rsidRPr="00DB64B0">
              <w:t>44%</w:t>
            </w:r>
          </w:p>
        </w:tc>
        <w:tc>
          <w:tcPr>
            <w:tcW w:w="990" w:type="dxa"/>
            <w:shd w:val="clear" w:color="auto" w:fill="BFBFBF" w:themeFill="background1" w:themeFillShade="BF"/>
          </w:tcPr>
          <w:p w:rsidR="00DB64B0" w:rsidRPr="00DB64B0" w:rsidRDefault="00DB64B0" w:rsidP="00DB64B0">
            <w:pPr>
              <w:spacing w:after="0" w:line="240" w:lineRule="auto"/>
            </w:pPr>
            <w:r w:rsidRPr="00DB64B0">
              <w:t>30%</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color w:val="000000"/>
              </w:rPr>
            </w:pPr>
            <w:r w:rsidRPr="00DB64B0">
              <w:rPr>
                <w:rFonts w:ascii="Calibri" w:hAnsi="Calibri"/>
                <w:color w:val="000000"/>
              </w:rPr>
              <w:t>4. The teacher uses appropriate instructional strategies well matched to the learning objective(s).</w:t>
            </w: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0%</w:t>
            </w:r>
          </w:p>
        </w:tc>
        <w:tc>
          <w:tcPr>
            <w:tcW w:w="1170" w:type="dxa"/>
          </w:tcPr>
          <w:p w:rsidR="00DB64B0" w:rsidRPr="00DB64B0" w:rsidRDefault="00DB64B0" w:rsidP="00DB64B0">
            <w:pPr>
              <w:spacing w:after="0" w:line="240" w:lineRule="auto"/>
            </w:pPr>
            <w:r w:rsidRPr="00DB64B0">
              <w:t>35%</w:t>
            </w:r>
          </w:p>
        </w:tc>
        <w:tc>
          <w:tcPr>
            <w:tcW w:w="990" w:type="dxa"/>
          </w:tcPr>
          <w:p w:rsidR="00DB64B0" w:rsidRPr="00DB64B0" w:rsidRDefault="00DB64B0" w:rsidP="00DB64B0">
            <w:pPr>
              <w:spacing w:after="0" w:line="240" w:lineRule="auto"/>
            </w:pPr>
            <w:r w:rsidRPr="00DB64B0">
              <w:t>65%</w:t>
            </w:r>
          </w:p>
        </w:tc>
        <w:tc>
          <w:tcPr>
            <w:tcW w:w="1368" w:type="dxa"/>
          </w:tcPr>
          <w:p w:rsidR="00DB64B0" w:rsidRPr="00DB64B0" w:rsidRDefault="00DB64B0" w:rsidP="00DB64B0">
            <w:pPr>
              <w:spacing w:after="0" w:line="240" w:lineRule="auto"/>
            </w:pPr>
            <w:r w:rsidRPr="00DB64B0">
              <w:t>2.6</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12%</w:t>
            </w:r>
          </w:p>
        </w:tc>
        <w:tc>
          <w:tcPr>
            <w:tcW w:w="1170" w:type="dxa"/>
          </w:tcPr>
          <w:p w:rsidR="00DB64B0" w:rsidRPr="00DB64B0" w:rsidRDefault="00DB64B0" w:rsidP="00DB64B0">
            <w:pPr>
              <w:spacing w:after="0" w:line="240" w:lineRule="auto"/>
            </w:pPr>
            <w:r w:rsidRPr="00DB64B0">
              <w:t>44%</w:t>
            </w:r>
          </w:p>
        </w:tc>
        <w:tc>
          <w:tcPr>
            <w:tcW w:w="990" w:type="dxa"/>
          </w:tcPr>
          <w:p w:rsidR="00DB64B0" w:rsidRPr="00DB64B0" w:rsidRDefault="00DB64B0" w:rsidP="00DB64B0">
            <w:pPr>
              <w:spacing w:after="0" w:line="240" w:lineRule="auto"/>
            </w:pPr>
            <w:r w:rsidRPr="00DB64B0">
              <w:t>44%</w:t>
            </w:r>
          </w:p>
        </w:tc>
        <w:tc>
          <w:tcPr>
            <w:tcW w:w="1368" w:type="dxa"/>
          </w:tcPr>
          <w:p w:rsidR="00DB64B0" w:rsidRPr="00DB64B0" w:rsidRDefault="00DB64B0" w:rsidP="00DB64B0">
            <w:pPr>
              <w:spacing w:after="0" w:line="240" w:lineRule="auto"/>
            </w:pPr>
            <w:r w:rsidRPr="00DB64B0">
              <w:t>2.3</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18%</w:t>
            </w:r>
          </w:p>
        </w:tc>
        <w:tc>
          <w:tcPr>
            <w:tcW w:w="1170" w:type="dxa"/>
          </w:tcPr>
          <w:p w:rsidR="00DB64B0" w:rsidRPr="00DB64B0" w:rsidRDefault="00DB64B0" w:rsidP="00DB64B0">
            <w:pPr>
              <w:spacing w:after="0" w:line="240" w:lineRule="auto"/>
            </w:pPr>
            <w:r w:rsidRPr="00DB64B0">
              <w:t>59%</w:t>
            </w:r>
          </w:p>
        </w:tc>
        <w:tc>
          <w:tcPr>
            <w:tcW w:w="990" w:type="dxa"/>
          </w:tcPr>
          <w:p w:rsidR="00DB64B0" w:rsidRPr="00DB64B0" w:rsidRDefault="00DB64B0" w:rsidP="00DB64B0">
            <w:pPr>
              <w:spacing w:after="0" w:line="240" w:lineRule="auto"/>
            </w:pPr>
            <w:r w:rsidRPr="00DB64B0">
              <w:t>24%</w:t>
            </w:r>
          </w:p>
        </w:tc>
        <w:tc>
          <w:tcPr>
            <w:tcW w:w="1368" w:type="dxa"/>
          </w:tcPr>
          <w:p w:rsidR="00DB64B0" w:rsidRPr="00DB64B0" w:rsidRDefault="00DB64B0" w:rsidP="00DB64B0">
            <w:pPr>
              <w:spacing w:after="0" w:line="240" w:lineRule="auto"/>
            </w:pPr>
            <w:r w:rsidRPr="00DB64B0">
              <w:t>2.1</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5</w:t>
            </w:r>
          </w:p>
        </w:tc>
        <w:tc>
          <w:tcPr>
            <w:tcW w:w="1170" w:type="dxa"/>
          </w:tcPr>
          <w:p w:rsidR="00DB64B0" w:rsidRPr="00DB64B0" w:rsidRDefault="00DB64B0" w:rsidP="00DB64B0">
            <w:pPr>
              <w:spacing w:after="0" w:line="240" w:lineRule="auto"/>
            </w:pPr>
            <w:r w:rsidRPr="00DB64B0">
              <w:t>23</w:t>
            </w:r>
          </w:p>
        </w:tc>
        <w:tc>
          <w:tcPr>
            <w:tcW w:w="990" w:type="dxa"/>
          </w:tcPr>
          <w:p w:rsidR="00DB64B0" w:rsidRPr="00DB64B0" w:rsidRDefault="00DB64B0" w:rsidP="00DB64B0">
            <w:pPr>
              <w:spacing w:after="0" w:line="240" w:lineRule="auto"/>
            </w:pPr>
            <w:r w:rsidRPr="00DB64B0">
              <w:t>22</w:t>
            </w:r>
          </w:p>
        </w:tc>
        <w:tc>
          <w:tcPr>
            <w:tcW w:w="1368" w:type="dxa"/>
          </w:tcPr>
          <w:p w:rsidR="00DB64B0" w:rsidRPr="00DB64B0" w:rsidRDefault="00DB64B0" w:rsidP="00DB64B0">
            <w:pPr>
              <w:spacing w:after="0" w:line="240" w:lineRule="auto"/>
            </w:pPr>
            <w:r w:rsidRPr="00DB64B0">
              <w:t>2.3</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10%</w:t>
            </w:r>
          </w:p>
        </w:tc>
        <w:tc>
          <w:tcPr>
            <w:tcW w:w="1170" w:type="dxa"/>
          </w:tcPr>
          <w:p w:rsidR="00DB64B0" w:rsidRPr="00DB64B0" w:rsidRDefault="00DB64B0" w:rsidP="00DB64B0">
            <w:pPr>
              <w:spacing w:after="0" w:line="240" w:lineRule="auto"/>
            </w:pPr>
            <w:r w:rsidRPr="00DB64B0">
              <w:t>46%</w:t>
            </w:r>
          </w:p>
        </w:tc>
        <w:tc>
          <w:tcPr>
            <w:tcW w:w="990" w:type="dxa"/>
          </w:tcPr>
          <w:p w:rsidR="00DB64B0" w:rsidRPr="00DB64B0" w:rsidRDefault="00DB64B0" w:rsidP="00DB64B0">
            <w:pPr>
              <w:spacing w:after="0" w:line="240" w:lineRule="auto"/>
            </w:pPr>
            <w:r w:rsidRPr="00DB64B0">
              <w:t>44%</w:t>
            </w:r>
          </w:p>
        </w:tc>
        <w:tc>
          <w:tcPr>
            <w:tcW w:w="1368" w:type="dxa"/>
          </w:tcPr>
          <w:p w:rsidR="00DB64B0" w:rsidRPr="00DB64B0" w:rsidRDefault="00DB64B0" w:rsidP="00DB64B0">
            <w:pPr>
              <w:spacing w:after="0" w:line="240" w:lineRule="auto"/>
            </w:pPr>
          </w:p>
        </w:tc>
      </w:tr>
      <w:tr w:rsidR="00DB64B0" w:rsidRPr="00DB64B0" w:rsidTr="00A91AA7">
        <w:trPr>
          <w:trHeight w:val="274"/>
        </w:trPr>
        <w:tc>
          <w:tcPr>
            <w:tcW w:w="2970" w:type="dxa"/>
            <w:vMerge w:val="restart"/>
            <w:shd w:val="clear" w:color="auto" w:fill="BFBFBF" w:themeFill="background1" w:themeFillShade="BF"/>
            <w:vAlign w:val="center"/>
          </w:tcPr>
          <w:p w:rsidR="00DB64B0" w:rsidRPr="00DB64B0" w:rsidRDefault="00DB64B0" w:rsidP="00DB64B0">
            <w:pPr>
              <w:spacing w:after="0" w:line="240" w:lineRule="auto"/>
              <w:jc w:val="center"/>
              <w:rPr>
                <w:rFonts w:ascii="Calibri" w:hAnsi="Calibri"/>
                <w:b/>
                <w:color w:val="000000"/>
              </w:rPr>
            </w:pPr>
            <w:r w:rsidRPr="00DB64B0">
              <w:rPr>
                <w:rFonts w:ascii="Calibri" w:hAnsi="Calibri"/>
                <w:b/>
                <w:color w:val="000000"/>
              </w:rPr>
              <w:t>Total Score For Focus Area #1</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9.6</w:t>
            </w:r>
          </w:p>
        </w:tc>
      </w:tr>
      <w:tr w:rsidR="00DB64B0" w:rsidRPr="00DB64B0" w:rsidTr="00A91AA7">
        <w:trPr>
          <w:trHeight w:val="274"/>
        </w:trPr>
        <w:tc>
          <w:tcPr>
            <w:tcW w:w="2970" w:type="dxa"/>
            <w:vMerge/>
            <w:shd w:val="clear" w:color="auto" w:fill="BFBFBF" w:themeFill="background1" w:themeFillShade="BF"/>
            <w:vAlign w:val="center"/>
          </w:tcPr>
          <w:p w:rsidR="00DB64B0" w:rsidRPr="00DB64B0" w:rsidRDefault="00DB64B0" w:rsidP="00DB64B0">
            <w:pPr>
              <w:spacing w:after="0" w:line="240" w:lineRule="auto"/>
              <w:jc w:val="center"/>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8.8</w:t>
            </w:r>
          </w:p>
        </w:tc>
      </w:tr>
      <w:tr w:rsidR="00DB64B0" w:rsidRPr="00DB64B0" w:rsidTr="00A91AA7">
        <w:trPr>
          <w:trHeight w:val="274"/>
        </w:trPr>
        <w:tc>
          <w:tcPr>
            <w:tcW w:w="2970" w:type="dxa"/>
            <w:vMerge/>
            <w:shd w:val="clear" w:color="auto" w:fill="BFBFBF" w:themeFill="background1" w:themeFillShade="BF"/>
            <w:vAlign w:val="center"/>
          </w:tcPr>
          <w:p w:rsidR="00DB64B0" w:rsidRPr="00DB64B0" w:rsidRDefault="00DB64B0" w:rsidP="00DB64B0">
            <w:pPr>
              <w:spacing w:after="0" w:line="240" w:lineRule="auto"/>
              <w:jc w:val="center"/>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9.2</w:t>
            </w:r>
          </w:p>
        </w:tc>
      </w:tr>
      <w:tr w:rsidR="00DB64B0" w:rsidRPr="00DB64B0" w:rsidTr="00A91AA7">
        <w:trPr>
          <w:trHeight w:val="274"/>
        </w:trPr>
        <w:tc>
          <w:tcPr>
            <w:tcW w:w="2970" w:type="dxa"/>
            <w:vMerge/>
            <w:shd w:val="clear" w:color="auto" w:fill="BFBFBF" w:themeFill="background1" w:themeFillShade="BF"/>
            <w:vAlign w:val="center"/>
          </w:tcPr>
          <w:p w:rsidR="00DB64B0" w:rsidRPr="00DB64B0" w:rsidRDefault="00DB64B0" w:rsidP="00DB64B0">
            <w:pPr>
              <w:spacing w:after="0" w:line="240" w:lineRule="auto"/>
              <w:jc w:val="center"/>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pPr>
            <w:r w:rsidRPr="00DB64B0">
              <w:rPr>
                <w:rFonts w:ascii="Calibri" w:hAnsi="Calibri"/>
                <w:b/>
                <w:bCs/>
                <w:color w:val="000000"/>
                <w:sz w:val="20"/>
                <w:szCs w:val="20"/>
              </w:rPr>
              <w:t>Total</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9.2</w:t>
            </w:r>
          </w:p>
        </w:tc>
      </w:tr>
    </w:tbl>
    <w:p w:rsidR="00DB64B0" w:rsidRPr="00DB64B0" w:rsidRDefault="00DB64B0" w:rsidP="00DB64B0">
      <w:r w:rsidRPr="00DB64B0">
        <w:br w:type="page"/>
      </w:r>
    </w:p>
    <w:p w:rsidR="003F0BCE" w:rsidRDefault="003F0BCE">
      <w:pPr>
        <w:spacing w:after="0" w:line="240" w:lineRule="auto"/>
      </w:pPr>
    </w:p>
    <w:tbl>
      <w:tblPr>
        <w:tblStyle w:val="TableGrid6"/>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B64B0" w:rsidRPr="00DB64B0" w:rsidTr="00A91AA7">
        <w:tc>
          <w:tcPr>
            <w:tcW w:w="2970" w:type="dxa"/>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p>
        </w:tc>
        <w:tc>
          <w:tcPr>
            <w:tcW w:w="1080" w:type="dxa"/>
          </w:tcPr>
          <w:p w:rsidR="00DB64B0" w:rsidRPr="00DB64B0" w:rsidRDefault="00DB64B0" w:rsidP="00DB64B0">
            <w:pPr>
              <w:spacing w:after="0" w:line="240" w:lineRule="auto"/>
            </w:pPr>
          </w:p>
        </w:tc>
        <w:tc>
          <w:tcPr>
            <w:tcW w:w="1170" w:type="dxa"/>
          </w:tcPr>
          <w:p w:rsidR="00DB64B0" w:rsidRPr="00DB64B0" w:rsidRDefault="00DB64B0" w:rsidP="00DB64B0">
            <w:pPr>
              <w:spacing w:after="0" w:line="240" w:lineRule="auto"/>
            </w:pPr>
          </w:p>
        </w:tc>
        <w:tc>
          <w:tcPr>
            <w:tcW w:w="990" w:type="dxa"/>
          </w:tcPr>
          <w:p w:rsidR="00DB64B0" w:rsidRPr="00DB64B0" w:rsidRDefault="00DB64B0" w:rsidP="00DB64B0">
            <w:pPr>
              <w:spacing w:after="0" w:line="240" w:lineRule="auto"/>
            </w:pP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b/>
                <w:bCs/>
                <w:color w:val="000000"/>
              </w:rPr>
            </w:pPr>
            <w:r w:rsidRPr="00DB64B0">
              <w:rPr>
                <w:rFonts w:ascii="Calibri" w:hAnsi="Calibri"/>
                <w:b/>
                <w:bCs/>
                <w:color w:val="000000"/>
              </w:rPr>
              <w:t>Focus Area #2: Student Engagement &amp; Critical Thinking</w:t>
            </w: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Insufficient</w:t>
            </w:r>
          </w:p>
        </w:tc>
        <w:tc>
          <w:tcPr>
            <w:tcW w:w="1080" w:type="dxa"/>
          </w:tcPr>
          <w:p w:rsidR="00DB64B0" w:rsidRPr="00DB64B0" w:rsidRDefault="00DB64B0" w:rsidP="00DB64B0">
            <w:pPr>
              <w:spacing w:after="0" w:line="240" w:lineRule="auto"/>
            </w:pPr>
            <w:r w:rsidRPr="00DB64B0">
              <w:t>Minimal</w:t>
            </w:r>
          </w:p>
        </w:tc>
        <w:tc>
          <w:tcPr>
            <w:tcW w:w="1170" w:type="dxa"/>
          </w:tcPr>
          <w:p w:rsidR="00DB64B0" w:rsidRPr="00DB64B0" w:rsidRDefault="00DB64B0" w:rsidP="00DB64B0">
            <w:pPr>
              <w:spacing w:after="0" w:line="240" w:lineRule="auto"/>
            </w:pPr>
            <w:r w:rsidRPr="00DB64B0">
              <w:t>Moderate</w:t>
            </w:r>
          </w:p>
        </w:tc>
        <w:tc>
          <w:tcPr>
            <w:tcW w:w="990" w:type="dxa"/>
          </w:tcPr>
          <w:p w:rsidR="00DB64B0" w:rsidRPr="00DB64B0" w:rsidRDefault="00DB64B0" w:rsidP="00DB64B0">
            <w:pPr>
              <w:spacing w:after="0" w:line="240" w:lineRule="auto"/>
            </w:pPr>
            <w:r w:rsidRPr="00DB64B0">
              <w:t>Strong</w:t>
            </w:r>
          </w:p>
        </w:tc>
        <w:tc>
          <w:tcPr>
            <w:tcW w:w="1368" w:type="dxa"/>
          </w:tcPr>
          <w:p w:rsidR="00DB64B0" w:rsidRPr="00DB64B0" w:rsidRDefault="00DB64B0" w:rsidP="00DB64B0">
            <w:pPr>
              <w:spacing w:after="0" w:line="240" w:lineRule="auto"/>
            </w:pPr>
            <w:r w:rsidRPr="00DB64B0">
              <w:t>Avg Number of points</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w:t>
            </w:r>
          </w:p>
        </w:tc>
        <w:tc>
          <w:tcPr>
            <w:tcW w:w="1170" w:type="dxa"/>
          </w:tcPr>
          <w:p w:rsidR="00DB64B0" w:rsidRPr="00DB64B0" w:rsidRDefault="00DB64B0" w:rsidP="00DB64B0">
            <w:pPr>
              <w:spacing w:after="0" w:line="240" w:lineRule="auto"/>
            </w:pPr>
            <w:r w:rsidRPr="00DB64B0">
              <w:t>(2)</w:t>
            </w:r>
          </w:p>
        </w:tc>
        <w:tc>
          <w:tcPr>
            <w:tcW w:w="990" w:type="dxa"/>
          </w:tcPr>
          <w:p w:rsidR="00DB64B0" w:rsidRPr="00DB64B0" w:rsidRDefault="00DB64B0" w:rsidP="00DB64B0">
            <w:pPr>
              <w:spacing w:after="0" w:line="240" w:lineRule="auto"/>
            </w:pPr>
            <w:r w:rsidRPr="00DB64B0">
              <w:t>(3)</w:t>
            </w:r>
          </w:p>
        </w:tc>
        <w:tc>
          <w:tcPr>
            <w:tcW w:w="1368" w:type="dxa"/>
          </w:tcPr>
          <w:p w:rsidR="00DB64B0" w:rsidRPr="00DB64B0" w:rsidRDefault="00DB64B0" w:rsidP="00DB64B0">
            <w:pPr>
              <w:spacing w:after="0" w:line="240" w:lineRule="auto"/>
            </w:pPr>
            <w:r w:rsidRPr="00DB64B0">
              <w:t>(0 to 3)</w:t>
            </w: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5. Students are motivated and engaged in the lesson.</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0%</w:t>
            </w:r>
          </w:p>
        </w:tc>
        <w:tc>
          <w:tcPr>
            <w:tcW w:w="1170" w:type="dxa"/>
            <w:shd w:val="clear" w:color="auto" w:fill="BFBFBF" w:themeFill="background1" w:themeFillShade="BF"/>
          </w:tcPr>
          <w:p w:rsidR="00DB64B0" w:rsidRPr="00DB64B0" w:rsidRDefault="00DB64B0" w:rsidP="00DB64B0">
            <w:pPr>
              <w:spacing w:after="0" w:line="240" w:lineRule="auto"/>
            </w:pPr>
            <w:r w:rsidRPr="00DB64B0">
              <w:t>41%</w:t>
            </w:r>
          </w:p>
        </w:tc>
        <w:tc>
          <w:tcPr>
            <w:tcW w:w="990" w:type="dxa"/>
            <w:shd w:val="clear" w:color="auto" w:fill="BFBFBF" w:themeFill="background1" w:themeFillShade="BF"/>
          </w:tcPr>
          <w:p w:rsidR="00DB64B0" w:rsidRPr="00DB64B0" w:rsidRDefault="00DB64B0" w:rsidP="00DB64B0">
            <w:pPr>
              <w:spacing w:after="0" w:line="240" w:lineRule="auto"/>
            </w:pPr>
            <w:r w:rsidRPr="00DB64B0">
              <w:t>59%</w:t>
            </w:r>
          </w:p>
        </w:tc>
        <w:tc>
          <w:tcPr>
            <w:tcW w:w="1368" w:type="dxa"/>
            <w:shd w:val="clear" w:color="auto" w:fill="BFBFBF" w:themeFill="background1" w:themeFillShade="BF"/>
          </w:tcPr>
          <w:p w:rsidR="00DB64B0" w:rsidRPr="00DB64B0" w:rsidRDefault="00DB64B0" w:rsidP="00DB64B0">
            <w:pPr>
              <w:spacing w:after="0" w:line="240" w:lineRule="auto"/>
            </w:pPr>
            <w:r w:rsidRPr="00DB64B0">
              <w:t>2.6</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12%</w:t>
            </w:r>
          </w:p>
        </w:tc>
        <w:tc>
          <w:tcPr>
            <w:tcW w:w="1170" w:type="dxa"/>
            <w:shd w:val="clear" w:color="auto" w:fill="BFBFBF" w:themeFill="background1" w:themeFillShade="BF"/>
          </w:tcPr>
          <w:p w:rsidR="00DB64B0" w:rsidRPr="00DB64B0" w:rsidRDefault="00DB64B0" w:rsidP="00DB64B0">
            <w:pPr>
              <w:spacing w:after="0" w:line="240" w:lineRule="auto"/>
            </w:pPr>
            <w:r w:rsidRPr="00DB64B0">
              <w:t>56%</w:t>
            </w:r>
          </w:p>
        </w:tc>
        <w:tc>
          <w:tcPr>
            <w:tcW w:w="990" w:type="dxa"/>
            <w:shd w:val="clear" w:color="auto" w:fill="BFBFBF" w:themeFill="background1" w:themeFillShade="BF"/>
          </w:tcPr>
          <w:p w:rsidR="00DB64B0" w:rsidRPr="00DB64B0" w:rsidRDefault="00DB64B0" w:rsidP="00DB64B0">
            <w:pPr>
              <w:spacing w:after="0" w:line="240" w:lineRule="auto"/>
            </w:pPr>
            <w:r w:rsidRPr="00DB64B0">
              <w:t>31%</w:t>
            </w:r>
          </w:p>
        </w:tc>
        <w:tc>
          <w:tcPr>
            <w:tcW w:w="1368" w:type="dxa"/>
            <w:shd w:val="clear" w:color="auto" w:fill="BFBFBF" w:themeFill="background1" w:themeFillShade="BF"/>
          </w:tcPr>
          <w:p w:rsidR="00DB64B0" w:rsidRPr="00DB64B0" w:rsidRDefault="00DB64B0" w:rsidP="00DB64B0">
            <w:pPr>
              <w:spacing w:after="0" w:line="240" w:lineRule="auto"/>
            </w:pPr>
            <w:r w:rsidRPr="00DB64B0">
              <w:t>2.2</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18%</w:t>
            </w:r>
          </w:p>
        </w:tc>
        <w:tc>
          <w:tcPr>
            <w:tcW w:w="1170" w:type="dxa"/>
            <w:shd w:val="clear" w:color="auto" w:fill="BFBFBF" w:themeFill="background1" w:themeFillShade="BF"/>
          </w:tcPr>
          <w:p w:rsidR="00DB64B0" w:rsidRPr="00DB64B0" w:rsidRDefault="00DB64B0" w:rsidP="00DB64B0">
            <w:pPr>
              <w:spacing w:after="0" w:line="240" w:lineRule="auto"/>
            </w:pPr>
            <w:r w:rsidRPr="00DB64B0">
              <w:t>59%</w:t>
            </w:r>
          </w:p>
        </w:tc>
        <w:tc>
          <w:tcPr>
            <w:tcW w:w="990" w:type="dxa"/>
            <w:shd w:val="clear" w:color="auto" w:fill="BFBFBF" w:themeFill="background1" w:themeFillShade="BF"/>
          </w:tcPr>
          <w:p w:rsidR="00DB64B0" w:rsidRPr="00DB64B0" w:rsidRDefault="00DB64B0" w:rsidP="00DB64B0">
            <w:pPr>
              <w:spacing w:after="0" w:line="240" w:lineRule="auto"/>
            </w:pPr>
            <w:r w:rsidRPr="00DB64B0">
              <w:t>24%</w:t>
            </w:r>
          </w:p>
        </w:tc>
        <w:tc>
          <w:tcPr>
            <w:tcW w:w="1368" w:type="dxa"/>
            <w:shd w:val="clear" w:color="auto" w:fill="BFBFBF" w:themeFill="background1" w:themeFillShade="BF"/>
          </w:tcPr>
          <w:p w:rsidR="00DB64B0" w:rsidRPr="00DB64B0" w:rsidRDefault="00DB64B0" w:rsidP="00DB64B0">
            <w:pPr>
              <w:spacing w:after="0" w:line="240" w:lineRule="auto"/>
            </w:pPr>
            <w:r w:rsidRPr="00DB64B0">
              <w:t>2.1</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5</w:t>
            </w:r>
          </w:p>
        </w:tc>
        <w:tc>
          <w:tcPr>
            <w:tcW w:w="1170" w:type="dxa"/>
            <w:shd w:val="clear" w:color="auto" w:fill="BFBFBF" w:themeFill="background1" w:themeFillShade="BF"/>
          </w:tcPr>
          <w:p w:rsidR="00DB64B0" w:rsidRPr="00DB64B0" w:rsidRDefault="00DB64B0" w:rsidP="00DB64B0">
            <w:pPr>
              <w:spacing w:after="0" w:line="240" w:lineRule="auto"/>
            </w:pPr>
            <w:r w:rsidRPr="00DB64B0">
              <w:t>26</w:t>
            </w:r>
          </w:p>
        </w:tc>
        <w:tc>
          <w:tcPr>
            <w:tcW w:w="990" w:type="dxa"/>
            <w:shd w:val="clear" w:color="auto" w:fill="BFBFBF" w:themeFill="background1" w:themeFillShade="BF"/>
          </w:tcPr>
          <w:p w:rsidR="00DB64B0" w:rsidRPr="00DB64B0" w:rsidRDefault="00DB64B0" w:rsidP="00DB64B0">
            <w:pPr>
              <w:spacing w:after="0" w:line="240" w:lineRule="auto"/>
            </w:pPr>
            <w:r w:rsidRPr="00DB64B0">
              <w:t>19</w:t>
            </w:r>
          </w:p>
        </w:tc>
        <w:tc>
          <w:tcPr>
            <w:tcW w:w="1368" w:type="dxa"/>
            <w:shd w:val="clear" w:color="auto" w:fill="BFBFBF" w:themeFill="background1" w:themeFillShade="BF"/>
          </w:tcPr>
          <w:p w:rsidR="00DB64B0" w:rsidRPr="00DB64B0" w:rsidRDefault="00DB64B0" w:rsidP="00DB64B0">
            <w:pPr>
              <w:spacing w:after="0" w:line="240" w:lineRule="auto"/>
            </w:pPr>
            <w:r w:rsidRPr="00DB64B0">
              <w:t>2.4</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10%</w:t>
            </w:r>
          </w:p>
        </w:tc>
        <w:tc>
          <w:tcPr>
            <w:tcW w:w="1170" w:type="dxa"/>
            <w:shd w:val="clear" w:color="auto" w:fill="BFBFBF" w:themeFill="background1" w:themeFillShade="BF"/>
          </w:tcPr>
          <w:p w:rsidR="00DB64B0" w:rsidRPr="00DB64B0" w:rsidRDefault="00DB64B0" w:rsidP="00DB64B0">
            <w:pPr>
              <w:spacing w:after="0" w:line="240" w:lineRule="auto"/>
            </w:pPr>
            <w:r w:rsidRPr="00DB64B0">
              <w:t>52%</w:t>
            </w:r>
          </w:p>
        </w:tc>
        <w:tc>
          <w:tcPr>
            <w:tcW w:w="990" w:type="dxa"/>
            <w:shd w:val="clear" w:color="auto" w:fill="BFBFBF" w:themeFill="background1" w:themeFillShade="BF"/>
          </w:tcPr>
          <w:p w:rsidR="00DB64B0" w:rsidRPr="00DB64B0" w:rsidRDefault="00DB64B0" w:rsidP="00DB64B0">
            <w:pPr>
              <w:spacing w:after="0" w:line="240" w:lineRule="auto"/>
            </w:pPr>
            <w:r w:rsidRPr="00DB64B0">
              <w:t>38%</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color w:val="000000"/>
              </w:rPr>
            </w:pPr>
            <w:r w:rsidRPr="00DB64B0">
              <w:rPr>
                <w:rFonts w:ascii="Calibri" w:hAnsi="Calibri"/>
                <w:color w:val="000000"/>
              </w:rPr>
              <w:t>6. The teacher facilitates tasks that encourage students to develop and engage in critical thinking.</w:t>
            </w: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0%</w:t>
            </w:r>
          </w:p>
        </w:tc>
        <w:tc>
          <w:tcPr>
            <w:tcW w:w="1170" w:type="dxa"/>
          </w:tcPr>
          <w:p w:rsidR="00DB64B0" w:rsidRPr="00DB64B0" w:rsidRDefault="00DB64B0" w:rsidP="00DB64B0">
            <w:pPr>
              <w:spacing w:after="0" w:line="240" w:lineRule="auto"/>
            </w:pPr>
            <w:r w:rsidRPr="00DB64B0">
              <w:t>76%</w:t>
            </w:r>
          </w:p>
        </w:tc>
        <w:tc>
          <w:tcPr>
            <w:tcW w:w="990" w:type="dxa"/>
          </w:tcPr>
          <w:p w:rsidR="00DB64B0" w:rsidRPr="00DB64B0" w:rsidRDefault="00DB64B0" w:rsidP="00DB64B0">
            <w:pPr>
              <w:spacing w:after="0" w:line="240" w:lineRule="auto"/>
            </w:pPr>
            <w:r w:rsidRPr="00DB64B0">
              <w:t>18%</w:t>
            </w:r>
          </w:p>
        </w:tc>
        <w:tc>
          <w:tcPr>
            <w:tcW w:w="1368" w:type="dxa"/>
          </w:tcPr>
          <w:p w:rsidR="00DB64B0" w:rsidRPr="00DB64B0" w:rsidRDefault="00DB64B0" w:rsidP="00DB64B0">
            <w:pPr>
              <w:spacing w:after="0" w:line="240" w:lineRule="auto"/>
            </w:pPr>
            <w:r w:rsidRPr="00DB64B0">
              <w:t>2.1</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12%</w:t>
            </w:r>
          </w:p>
        </w:tc>
        <w:tc>
          <w:tcPr>
            <w:tcW w:w="1170" w:type="dxa"/>
          </w:tcPr>
          <w:p w:rsidR="00DB64B0" w:rsidRPr="00DB64B0" w:rsidRDefault="00DB64B0" w:rsidP="00DB64B0">
            <w:pPr>
              <w:spacing w:after="0" w:line="240" w:lineRule="auto"/>
            </w:pPr>
            <w:r w:rsidRPr="00DB64B0">
              <w:t>56%</w:t>
            </w:r>
          </w:p>
        </w:tc>
        <w:tc>
          <w:tcPr>
            <w:tcW w:w="990" w:type="dxa"/>
          </w:tcPr>
          <w:p w:rsidR="00DB64B0" w:rsidRPr="00DB64B0" w:rsidRDefault="00DB64B0" w:rsidP="00DB64B0">
            <w:pPr>
              <w:spacing w:after="0" w:line="240" w:lineRule="auto"/>
            </w:pPr>
            <w:r w:rsidRPr="00DB64B0">
              <w:t>25%</w:t>
            </w:r>
          </w:p>
        </w:tc>
        <w:tc>
          <w:tcPr>
            <w:tcW w:w="1368" w:type="dxa"/>
          </w:tcPr>
          <w:p w:rsidR="00DB64B0" w:rsidRPr="00DB64B0" w:rsidRDefault="00DB64B0" w:rsidP="00DB64B0">
            <w:pPr>
              <w:spacing w:after="0" w:line="240" w:lineRule="auto"/>
            </w:pPr>
            <w:r w:rsidRPr="00DB64B0">
              <w:t>2.0</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tcPr>
          <w:p w:rsidR="00DB64B0" w:rsidRPr="00DB64B0" w:rsidRDefault="00DB64B0" w:rsidP="00DB64B0">
            <w:pPr>
              <w:spacing w:after="0" w:line="240" w:lineRule="auto"/>
            </w:pPr>
            <w:r w:rsidRPr="00DB64B0">
              <w:t>12%</w:t>
            </w:r>
          </w:p>
        </w:tc>
        <w:tc>
          <w:tcPr>
            <w:tcW w:w="1080" w:type="dxa"/>
          </w:tcPr>
          <w:p w:rsidR="00DB64B0" w:rsidRPr="00DB64B0" w:rsidRDefault="00DB64B0" w:rsidP="00DB64B0">
            <w:pPr>
              <w:spacing w:after="0" w:line="240" w:lineRule="auto"/>
            </w:pPr>
            <w:r w:rsidRPr="00DB64B0">
              <w:t>18%</w:t>
            </w:r>
          </w:p>
        </w:tc>
        <w:tc>
          <w:tcPr>
            <w:tcW w:w="1170" w:type="dxa"/>
          </w:tcPr>
          <w:p w:rsidR="00DB64B0" w:rsidRPr="00DB64B0" w:rsidRDefault="00DB64B0" w:rsidP="00DB64B0">
            <w:pPr>
              <w:spacing w:after="0" w:line="240" w:lineRule="auto"/>
            </w:pPr>
            <w:r w:rsidRPr="00DB64B0">
              <w:t>35%</w:t>
            </w:r>
          </w:p>
        </w:tc>
        <w:tc>
          <w:tcPr>
            <w:tcW w:w="990" w:type="dxa"/>
          </w:tcPr>
          <w:p w:rsidR="00DB64B0" w:rsidRPr="00DB64B0" w:rsidRDefault="00DB64B0" w:rsidP="00DB64B0">
            <w:pPr>
              <w:spacing w:after="0" w:line="240" w:lineRule="auto"/>
            </w:pPr>
            <w:r w:rsidRPr="00DB64B0">
              <w:t>35%</w:t>
            </w:r>
          </w:p>
        </w:tc>
        <w:tc>
          <w:tcPr>
            <w:tcW w:w="1368" w:type="dxa"/>
          </w:tcPr>
          <w:p w:rsidR="00DB64B0" w:rsidRPr="00DB64B0" w:rsidRDefault="00DB64B0" w:rsidP="00DB64B0">
            <w:pPr>
              <w:spacing w:after="0" w:line="240" w:lineRule="auto"/>
            </w:pPr>
            <w:r w:rsidRPr="00DB64B0">
              <w:t>1.9</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4</w:t>
            </w:r>
          </w:p>
        </w:tc>
        <w:tc>
          <w:tcPr>
            <w:tcW w:w="1080" w:type="dxa"/>
          </w:tcPr>
          <w:p w:rsidR="00DB64B0" w:rsidRPr="00DB64B0" w:rsidRDefault="00DB64B0" w:rsidP="00DB64B0">
            <w:pPr>
              <w:spacing w:after="0" w:line="240" w:lineRule="auto"/>
            </w:pPr>
            <w:r w:rsidRPr="00DB64B0">
              <w:t>5</w:t>
            </w:r>
          </w:p>
        </w:tc>
        <w:tc>
          <w:tcPr>
            <w:tcW w:w="1170" w:type="dxa"/>
          </w:tcPr>
          <w:p w:rsidR="00DB64B0" w:rsidRPr="00DB64B0" w:rsidRDefault="00DB64B0" w:rsidP="00DB64B0">
            <w:pPr>
              <w:spacing w:after="0" w:line="240" w:lineRule="auto"/>
            </w:pPr>
            <w:r w:rsidRPr="00DB64B0">
              <w:t>27</w:t>
            </w:r>
          </w:p>
        </w:tc>
        <w:tc>
          <w:tcPr>
            <w:tcW w:w="990" w:type="dxa"/>
          </w:tcPr>
          <w:p w:rsidR="00DB64B0" w:rsidRPr="00DB64B0" w:rsidRDefault="00DB64B0" w:rsidP="00DB64B0">
            <w:pPr>
              <w:spacing w:after="0" w:line="240" w:lineRule="auto"/>
            </w:pPr>
            <w:r w:rsidRPr="00DB64B0">
              <w:t>14</w:t>
            </w:r>
          </w:p>
        </w:tc>
        <w:tc>
          <w:tcPr>
            <w:tcW w:w="1368" w:type="dxa"/>
          </w:tcPr>
          <w:p w:rsidR="00DB64B0" w:rsidRPr="00DB64B0" w:rsidRDefault="00DB64B0" w:rsidP="00DB64B0">
            <w:pPr>
              <w:spacing w:after="0" w:line="240" w:lineRule="auto"/>
            </w:pPr>
            <w:r w:rsidRPr="00DB64B0">
              <w:t>2.0</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8%</w:t>
            </w:r>
          </w:p>
        </w:tc>
        <w:tc>
          <w:tcPr>
            <w:tcW w:w="1080" w:type="dxa"/>
          </w:tcPr>
          <w:p w:rsidR="00DB64B0" w:rsidRPr="00DB64B0" w:rsidRDefault="00DB64B0" w:rsidP="00DB64B0">
            <w:pPr>
              <w:spacing w:after="0" w:line="240" w:lineRule="auto"/>
            </w:pPr>
            <w:r w:rsidRPr="00DB64B0">
              <w:t>10%</w:t>
            </w:r>
          </w:p>
        </w:tc>
        <w:tc>
          <w:tcPr>
            <w:tcW w:w="1170" w:type="dxa"/>
          </w:tcPr>
          <w:p w:rsidR="00DB64B0" w:rsidRPr="00DB64B0" w:rsidRDefault="00DB64B0" w:rsidP="00DB64B0">
            <w:pPr>
              <w:spacing w:after="0" w:line="240" w:lineRule="auto"/>
            </w:pPr>
            <w:r w:rsidRPr="00DB64B0">
              <w:t>54%</w:t>
            </w:r>
          </w:p>
        </w:tc>
        <w:tc>
          <w:tcPr>
            <w:tcW w:w="990" w:type="dxa"/>
          </w:tcPr>
          <w:p w:rsidR="00DB64B0" w:rsidRPr="00DB64B0" w:rsidRDefault="00DB64B0" w:rsidP="00DB64B0">
            <w:pPr>
              <w:spacing w:after="0" w:line="240" w:lineRule="auto"/>
            </w:pPr>
            <w:r w:rsidRPr="00DB64B0">
              <w:t>28%</w:t>
            </w: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6%</w:t>
            </w:r>
          </w:p>
        </w:tc>
        <w:tc>
          <w:tcPr>
            <w:tcW w:w="1170" w:type="dxa"/>
            <w:shd w:val="clear" w:color="auto" w:fill="BFBFBF" w:themeFill="background1" w:themeFillShade="BF"/>
          </w:tcPr>
          <w:p w:rsidR="00DB64B0" w:rsidRPr="00DB64B0" w:rsidRDefault="00DB64B0" w:rsidP="00DB64B0">
            <w:pPr>
              <w:spacing w:after="0" w:line="240" w:lineRule="auto"/>
            </w:pPr>
            <w:r w:rsidRPr="00DB64B0">
              <w:t>65%</w:t>
            </w:r>
          </w:p>
        </w:tc>
        <w:tc>
          <w:tcPr>
            <w:tcW w:w="990" w:type="dxa"/>
            <w:shd w:val="clear" w:color="auto" w:fill="BFBFBF" w:themeFill="background1" w:themeFillShade="BF"/>
          </w:tcPr>
          <w:p w:rsidR="00DB64B0" w:rsidRPr="00DB64B0" w:rsidRDefault="00DB64B0" w:rsidP="00DB64B0">
            <w:pPr>
              <w:spacing w:after="0" w:line="240" w:lineRule="auto"/>
            </w:pPr>
            <w:r w:rsidRPr="00DB64B0">
              <w:t>29%</w:t>
            </w:r>
          </w:p>
        </w:tc>
        <w:tc>
          <w:tcPr>
            <w:tcW w:w="1368" w:type="dxa"/>
            <w:shd w:val="clear" w:color="auto" w:fill="BFBFBF" w:themeFill="background1" w:themeFillShade="BF"/>
          </w:tcPr>
          <w:p w:rsidR="00DB64B0" w:rsidRPr="00DB64B0" w:rsidRDefault="00DB64B0" w:rsidP="00DB64B0">
            <w:pPr>
              <w:spacing w:after="0" w:line="240" w:lineRule="auto"/>
            </w:pPr>
            <w:r w:rsidRPr="00DB64B0">
              <w:t>2.2</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12%</w:t>
            </w:r>
          </w:p>
        </w:tc>
        <w:tc>
          <w:tcPr>
            <w:tcW w:w="1170" w:type="dxa"/>
            <w:shd w:val="clear" w:color="auto" w:fill="BFBFBF" w:themeFill="background1" w:themeFillShade="BF"/>
          </w:tcPr>
          <w:p w:rsidR="00DB64B0" w:rsidRPr="00DB64B0" w:rsidRDefault="00DB64B0" w:rsidP="00DB64B0">
            <w:pPr>
              <w:spacing w:after="0" w:line="240" w:lineRule="auto"/>
            </w:pPr>
            <w:r w:rsidRPr="00DB64B0">
              <w:t>50%</w:t>
            </w:r>
          </w:p>
        </w:tc>
        <w:tc>
          <w:tcPr>
            <w:tcW w:w="990" w:type="dxa"/>
            <w:shd w:val="clear" w:color="auto" w:fill="BFBFBF" w:themeFill="background1" w:themeFillShade="BF"/>
          </w:tcPr>
          <w:p w:rsidR="00DB64B0" w:rsidRPr="00DB64B0" w:rsidRDefault="00DB64B0" w:rsidP="00DB64B0">
            <w:pPr>
              <w:spacing w:after="0" w:line="240" w:lineRule="auto"/>
            </w:pPr>
            <w:r w:rsidRPr="00DB64B0">
              <w:t>38%</w:t>
            </w:r>
          </w:p>
        </w:tc>
        <w:tc>
          <w:tcPr>
            <w:tcW w:w="1368" w:type="dxa"/>
            <w:shd w:val="clear" w:color="auto" w:fill="BFBFBF" w:themeFill="background1" w:themeFillShade="BF"/>
          </w:tcPr>
          <w:p w:rsidR="00DB64B0" w:rsidRPr="00DB64B0" w:rsidRDefault="00DB64B0" w:rsidP="00DB64B0">
            <w:pPr>
              <w:spacing w:after="0" w:line="240" w:lineRule="auto"/>
            </w:pPr>
            <w:r w:rsidRPr="00DB64B0">
              <w:t>2.3</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6%</w:t>
            </w:r>
          </w:p>
        </w:tc>
        <w:tc>
          <w:tcPr>
            <w:tcW w:w="1080" w:type="dxa"/>
            <w:shd w:val="clear" w:color="auto" w:fill="BFBFBF" w:themeFill="background1" w:themeFillShade="BF"/>
          </w:tcPr>
          <w:p w:rsidR="00DB64B0" w:rsidRPr="00DB64B0" w:rsidRDefault="00DB64B0" w:rsidP="00DB64B0">
            <w:pPr>
              <w:spacing w:after="0" w:line="240" w:lineRule="auto"/>
            </w:pPr>
            <w:r w:rsidRPr="00DB64B0">
              <w:t>18%</w:t>
            </w:r>
          </w:p>
        </w:tc>
        <w:tc>
          <w:tcPr>
            <w:tcW w:w="1170" w:type="dxa"/>
            <w:shd w:val="clear" w:color="auto" w:fill="BFBFBF" w:themeFill="background1" w:themeFillShade="BF"/>
          </w:tcPr>
          <w:p w:rsidR="00DB64B0" w:rsidRPr="00DB64B0" w:rsidRDefault="00DB64B0" w:rsidP="00DB64B0">
            <w:pPr>
              <w:spacing w:after="0" w:line="240" w:lineRule="auto"/>
            </w:pPr>
            <w:r w:rsidRPr="00DB64B0">
              <w:t>41%</w:t>
            </w:r>
          </w:p>
        </w:tc>
        <w:tc>
          <w:tcPr>
            <w:tcW w:w="990" w:type="dxa"/>
            <w:shd w:val="clear" w:color="auto" w:fill="BFBFBF" w:themeFill="background1" w:themeFillShade="BF"/>
          </w:tcPr>
          <w:p w:rsidR="00DB64B0" w:rsidRPr="00DB64B0" w:rsidRDefault="00DB64B0" w:rsidP="00DB64B0">
            <w:pPr>
              <w:spacing w:after="0" w:line="240" w:lineRule="auto"/>
            </w:pPr>
            <w:r w:rsidRPr="00DB64B0">
              <w:t>35%</w:t>
            </w:r>
          </w:p>
        </w:tc>
        <w:tc>
          <w:tcPr>
            <w:tcW w:w="1368" w:type="dxa"/>
            <w:shd w:val="clear" w:color="auto" w:fill="BFBFBF" w:themeFill="background1" w:themeFillShade="BF"/>
          </w:tcPr>
          <w:p w:rsidR="00DB64B0" w:rsidRPr="00DB64B0" w:rsidRDefault="00DB64B0" w:rsidP="00DB64B0">
            <w:pPr>
              <w:spacing w:after="0" w:line="240" w:lineRule="auto"/>
            </w:pPr>
            <w:r w:rsidRPr="00DB64B0">
              <w:t>2.1</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1</w:t>
            </w:r>
          </w:p>
        </w:tc>
        <w:tc>
          <w:tcPr>
            <w:tcW w:w="1080" w:type="dxa"/>
            <w:shd w:val="clear" w:color="auto" w:fill="BFBFBF" w:themeFill="background1" w:themeFillShade="BF"/>
          </w:tcPr>
          <w:p w:rsidR="00DB64B0" w:rsidRPr="00DB64B0" w:rsidRDefault="00DB64B0" w:rsidP="00DB64B0">
            <w:pPr>
              <w:spacing w:after="0" w:line="240" w:lineRule="auto"/>
            </w:pPr>
            <w:r w:rsidRPr="00DB64B0">
              <w:t>6</w:t>
            </w:r>
          </w:p>
        </w:tc>
        <w:tc>
          <w:tcPr>
            <w:tcW w:w="1170" w:type="dxa"/>
            <w:shd w:val="clear" w:color="auto" w:fill="BFBFBF" w:themeFill="background1" w:themeFillShade="BF"/>
          </w:tcPr>
          <w:p w:rsidR="00DB64B0" w:rsidRPr="00DB64B0" w:rsidRDefault="00DB64B0" w:rsidP="00DB64B0">
            <w:pPr>
              <w:spacing w:after="0" w:line="240" w:lineRule="auto"/>
            </w:pPr>
            <w:r w:rsidRPr="00DB64B0">
              <w:t>26</w:t>
            </w:r>
          </w:p>
        </w:tc>
        <w:tc>
          <w:tcPr>
            <w:tcW w:w="990" w:type="dxa"/>
            <w:shd w:val="clear" w:color="auto" w:fill="BFBFBF" w:themeFill="background1" w:themeFillShade="BF"/>
          </w:tcPr>
          <w:p w:rsidR="00DB64B0" w:rsidRPr="00DB64B0" w:rsidRDefault="00DB64B0" w:rsidP="00DB64B0">
            <w:pPr>
              <w:spacing w:after="0" w:line="240" w:lineRule="auto"/>
            </w:pPr>
            <w:r w:rsidRPr="00DB64B0">
              <w:t>17</w:t>
            </w:r>
          </w:p>
        </w:tc>
        <w:tc>
          <w:tcPr>
            <w:tcW w:w="1368" w:type="dxa"/>
            <w:shd w:val="clear" w:color="auto" w:fill="BFBFBF" w:themeFill="background1" w:themeFillShade="BF"/>
          </w:tcPr>
          <w:p w:rsidR="00DB64B0" w:rsidRPr="00DB64B0" w:rsidRDefault="00DB64B0" w:rsidP="00DB64B0">
            <w:pPr>
              <w:spacing w:after="0" w:line="240" w:lineRule="auto"/>
            </w:pPr>
            <w:r w:rsidRPr="00DB64B0">
              <w:t>2.2</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2%</w:t>
            </w:r>
          </w:p>
        </w:tc>
        <w:tc>
          <w:tcPr>
            <w:tcW w:w="1080" w:type="dxa"/>
            <w:shd w:val="clear" w:color="auto" w:fill="BFBFBF" w:themeFill="background1" w:themeFillShade="BF"/>
          </w:tcPr>
          <w:p w:rsidR="00DB64B0" w:rsidRPr="00DB64B0" w:rsidRDefault="00DB64B0" w:rsidP="00DB64B0">
            <w:pPr>
              <w:spacing w:after="0" w:line="240" w:lineRule="auto"/>
            </w:pPr>
            <w:r w:rsidRPr="00DB64B0">
              <w:t>12%</w:t>
            </w:r>
          </w:p>
        </w:tc>
        <w:tc>
          <w:tcPr>
            <w:tcW w:w="1170" w:type="dxa"/>
            <w:shd w:val="clear" w:color="auto" w:fill="BFBFBF" w:themeFill="background1" w:themeFillShade="BF"/>
          </w:tcPr>
          <w:p w:rsidR="00DB64B0" w:rsidRPr="00DB64B0" w:rsidRDefault="00DB64B0" w:rsidP="00DB64B0">
            <w:pPr>
              <w:spacing w:after="0" w:line="240" w:lineRule="auto"/>
            </w:pPr>
            <w:r w:rsidRPr="00DB64B0">
              <w:t>52%</w:t>
            </w:r>
          </w:p>
        </w:tc>
        <w:tc>
          <w:tcPr>
            <w:tcW w:w="990" w:type="dxa"/>
            <w:shd w:val="clear" w:color="auto" w:fill="BFBFBF" w:themeFill="background1" w:themeFillShade="BF"/>
          </w:tcPr>
          <w:p w:rsidR="00DB64B0" w:rsidRPr="00DB64B0" w:rsidRDefault="00DB64B0" w:rsidP="00DB64B0">
            <w:pPr>
              <w:spacing w:after="0" w:line="240" w:lineRule="auto"/>
            </w:pPr>
            <w:r w:rsidRPr="00DB64B0">
              <w:t>34%</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rPr>
          <w:trHeight w:val="274"/>
        </w:trPr>
        <w:tc>
          <w:tcPr>
            <w:tcW w:w="2970" w:type="dxa"/>
            <w:vMerge w:val="restart"/>
            <w:shd w:val="clear" w:color="auto" w:fill="auto"/>
            <w:vAlign w:val="center"/>
          </w:tcPr>
          <w:p w:rsidR="00DB64B0" w:rsidRPr="00DB64B0" w:rsidRDefault="00DB64B0" w:rsidP="00DB64B0">
            <w:pPr>
              <w:spacing w:after="0" w:line="240" w:lineRule="auto"/>
              <w:jc w:val="center"/>
              <w:rPr>
                <w:rFonts w:ascii="Calibri" w:hAnsi="Calibri"/>
                <w:b/>
                <w:color w:val="000000"/>
              </w:rPr>
            </w:pPr>
            <w:r w:rsidRPr="00DB64B0">
              <w:rPr>
                <w:rFonts w:ascii="Calibri" w:hAnsi="Calibri"/>
                <w:b/>
                <w:color w:val="000000"/>
              </w:rPr>
              <w:t>Total Score For Focus Area #2</w:t>
            </w:r>
          </w:p>
        </w:tc>
        <w:tc>
          <w:tcPr>
            <w:tcW w:w="900" w:type="dxa"/>
            <w:shd w:val="clear" w:color="auto" w:fill="auto"/>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auto"/>
          </w:tcPr>
          <w:p w:rsidR="00DB64B0" w:rsidRPr="00DB64B0" w:rsidRDefault="00DB64B0" w:rsidP="00DB64B0">
            <w:pPr>
              <w:spacing w:after="0" w:line="240" w:lineRule="auto"/>
            </w:pPr>
          </w:p>
        </w:tc>
        <w:tc>
          <w:tcPr>
            <w:tcW w:w="1080" w:type="dxa"/>
            <w:shd w:val="clear" w:color="auto" w:fill="auto"/>
          </w:tcPr>
          <w:p w:rsidR="00DB64B0" w:rsidRPr="00DB64B0" w:rsidRDefault="00DB64B0" w:rsidP="00DB64B0">
            <w:pPr>
              <w:spacing w:after="0" w:line="240" w:lineRule="auto"/>
            </w:pPr>
          </w:p>
        </w:tc>
        <w:tc>
          <w:tcPr>
            <w:tcW w:w="1170" w:type="dxa"/>
            <w:shd w:val="clear" w:color="auto" w:fill="auto"/>
          </w:tcPr>
          <w:p w:rsidR="00DB64B0" w:rsidRPr="00DB64B0" w:rsidRDefault="00DB64B0" w:rsidP="00DB64B0">
            <w:pPr>
              <w:spacing w:after="0" w:line="240" w:lineRule="auto"/>
            </w:pPr>
          </w:p>
        </w:tc>
        <w:tc>
          <w:tcPr>
            <w:tcW w:w="990" w:type="dxa"/>
            <w:shd w:val="clear" w:color="auto" w:fill="auto"/>
          </w:tcPr>
          <w:p w:rsidR="00DB64B0" w:rsidRPr="00DB64B0" w:rsidRDefault="00DB64B0" w:rsidP="00DB64B0">
            <w:pPr>
              <w:spacing w:after="0" w:line="240" w:lineRule="auto"/>
            </w:pPr>
          </w:p>
        </w:tc>
        <w:tc>
          <w:tcPr>
            <w:tcW w:w="1368" w:type="dxa"/>
            <w:shd w:val="clear" w:color="auto" w:fill="auto"/>
          </w:tcPr>
          <w:p w:rsidR="00DB64B0" w:rsidRPr="00DB64B0" w:rsidRDefault="00DB64B0" w:rsidP="00DB64B0">
            <w:pPr>
              <w:spacing w:after="0" w:line="240" w:lineRule="auto"/>
            </w:pPr>
            <w:r w:rsidRPr="00DB64B0">
              <w:t>6.9</w:t>
            </w:r>
          </w:p>
        </w:tc>
      </w:tr>
      <w:tr w:rsidR="00DB64B0" w:rsidRPr="00DB64B0" w:rsidTr="00A91AA7">
        <w:trPr>
          <w:trHeight w:val="274"/>
        </w:trPr>
        <w:tc>
          <w:tcPr>
            <w:tcW w:w="2970" w:type="dxa"/>
            <w:vMerge/>
            <w:shd w:val="clear" w:color="auto" w:fill="auto"/>
          </w:tcPr>
          <w:p w:rsidR="00DB64B0" w:rsidRPr="00DB64B0" w:rsidRDefault="00DB64B0" w:rsidP="00DB64B0">
            <w:pPr>
              <w:spacing w:after="0" w:line="240" w:lineRule="auto"/>
              <w:rPr>
                <w:rFonts w:ascii="Calibri" w:hAnsi="Calibri"/>
                <w:b/>
                <w:color w:val="000000"/>
              </w:rPr>
            </w:pPr>
          </w:p>
        </w:tc>
        <w:tc>
          <w:tcPr>
            <w:tcW w:w="900" w:type="dxa"/>
            <w:shd w:val="clear" w:color="auto" w:fill="auto"/>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auto"/>
          </w:tcPr>
          <w:p w:rsidR="00DB64B0" w:rsidRPr="00DB64B0" w:rsidRDefault="00DB64B0" w:rsidP="00DB64B0">
            <w:pPr>
              <w:spacing w:after="0" w:line="240" w:lineRule="auto"/>
            </w:pPr>
          </w:p>
        </w:tc>
        <w:tc>
          <w:tcPr>
            <w:tcW w:w="1080" w:type="dxa"/>
            <w:shd w:val="clear" w:color="auto" w:fill="auto"/>
          </w:tcPr>
          <w:p w:rsidR="00DB64B0" w:rsidRPr="00DB64B0" w:rsidRDefault="00DB64B0" w:rsidP="00DB64B0">
            <w:pPr>
              <w:spacing w:after="0" w:line="240" w:lineRule="auto"/>
            </w:pPr>
          </w:p>
        </w:tc>
        <w:tc>
          <w:tcPr>
            <w:tcW w:w="1170" w:type="dxa"/>
            <w:shd w:val="clear" w:color="auto" w:fill="auto"/>
          </w:tcPr>
          <w:p w:rsidR="00DB64B0" w:rsidRPr="00DB64B0" w:rsidRDefault="00DB64B0" w:rsidP="00DB64B0">
            <w:pPr>
              <w:spacing w:after="0" w:line="240" w:lineRule="auto"/>
            </w:pPr>
          </w:p>
        </w:tc>
        <w:tc>
          <w:tcPr>
            <w:tcW w:w="990" w:type="dxa"/>
            <w:shd w:val="clear" w:color="auto" w:fill="auto"/>
          </w:tcPr>
          <w:p w:rsidR="00DB64B0" w:rsidRPr="00DB64B0" w:rsidRDefault="00DB64B0" w:rsidP="00DB64B0">
            <w:pPr>
              <w:spacing w:after="0" w:line="240" w:lineRule="auto"/>
            </w:pPr>
          </w:p>
        </w:tc>
        <w:tc>
          <w:tcPr>
            <w:tcW w:w="1368" w:type="dxa"/>
            <w:shd w:val="clear" w:color="auto" w:fill="auto"/>
          </w:tcPr>
          <w:p w:rsidR="00DB64B0" w:rsidRPr="00DB64B0" w:rsidRDefault="00DB64B0" w:rsidP="00DB64B0">
            <w:pPr>
              <w:spacing w:after="0" w:line="240" w:lineRule="auto"/>
            </w:pPr>
            <w:r w:rsidRPr="00DB64B0">
              <w:t>6.5</w:t>
            </w:r>
          </w:p>
        </w:tc>
      </w:tr>
      <w:tr w:rsidR="00DB64B0" w:rsidRPr="00DB64B0" w:rsidTr="00A91AA7">
        <w:trPr>
          <w:trHeight w:val="274"/>
        </w:trPr>
        <w:tc>
          <w:tcPr>
            <w:tcW w:w="2970" w:type="dxa"/>
            <w:vMerge/>
            <w:shd w:val="clear" w:color="auto" w:fill="auto"/>
          </w:tcPr>
          <w:p w:rsidR="00DB64B0" w:rsidRPr="00DB64B0" w:rsidRDefault="00DB64B0" w:rsidP="00DB64B0">
            <w:pPr>
              <w:spacing w:after="0" w:line="240" w:lineRule="auto"/>
              <w:rPr>
                <w:rFonts w:ascii="Calibri" w:hAnsi="Calibri"/>
                <w:b/>
                <w:color w:val="000000"/>
              </w:rPr>
            </w:pPr>
          </w:p>
        </w:tc>
        <w:tc>
          <w:tcPr>
            <w:tcW w:w="900" w:type="dxa"/>
            <w:shd w:val="clear" w:color="auto" w:fill="auto"/>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auto"/>
          </w:tcPr>
          <w:p w:rsidR="00DB64B0" w:rsidRPr="00DB64B0" w:rsidRDefault="00DB64B0" w:rsidP="00DB64B0">
            <w:pPr>
              <w:spacing w:after="0" w:line="240" w:lineRule="auto"/>
            </w:pPr>
          </w:p>
        </w:tc>
        <w:tc>
          <w:tcPr>
            <w:tcW w:w="1080" w:type="dxa"/>
            <w:shd w:val="clear" w:color="auto" w:fill="auto"/>
          </w:tcPr>
          <w:p w:rsidR="00DB64B0" w:rsidRPr="00DB64B0" w:rsidRDefault="00DB64B0" w:rsidP="00DB64B0">
            <w:pPr>
              <w:spacing w:after="0" w:line="240" w:lineRule="auto"/>
            </w:pPr>
          </w:p>
        </w:tc>
        <w:tc>
          <w:tcPr>
            <w:tcW w:w="1170" w:type="dxa"/>
            <w:shd w:val="clear" w:color="auto" w:fill="auto"/>
          </w:tcPr>
          <w:p w:rsidR="00DB64B0" w:rsidRPr="00DB64B0" w:rsidRDefault="00DB64B0" w:rsidP="00DB64B0">
            <w:pPr>
              <w:spacing w:after="0" w:line="240" w:lineRule="auto"/>
            </w:pPr>
          </w:p>
        </w:tc>
        <w:tc>
          <w:tcPr>
            <w:tcW w:w="990" w:type="dxa"/>
            <w:shd w:val="clear" w:color="auto" w:fill="auto"/>
          </w:tcPr>
          <w:p w:rsidR="00DB64B0" w:rsidRPr="00DB64B0" w:rsidRDefault="00DB64B0" w:rsidP="00DB64B0">
            <w:pPr>
              <w:spacing w:after="0" w:line="240" w:lineRule="auto"/>
            </w:pPr>
          </w:p>
        </w:tc>
        <w:tc>
          <w:tcPr>
            <w:tcW w:w="1368" w:type="dxa"/>
            <w:shd w:val="clear" w:color="auto" w:fill="auto"/>
          </w:tcPr>
          <w:p w:rsidR="00DB64B0" w:rsidRPr="00DB64B0" w:rsidRDefault="00DB64B0" w:rsidP="00DB64B0">
            <w:pPr>
              <w:spacing w:after="0" w:line="240" w:lineRule="auto"/>
            </w:pPr>
            <w:r w:rsidRPr="00DB64B0">
              <w:t>6.1</w:t>
            </w:r>
          </w:p>
        </w:tc>
      </w:tr>
      <w:tr w:rsidR="00DB64B0" w:rsidRPr="00DB64B0" w:rsidTr="00A91AA7">
        <w:trPr>
          <w:trHeight w:val="274"/>
        </w:trPr>
        <w:tc>
          <w:tcPr>
            <w:tcW w:w="2970" w:type="dxa"/>
            <w:vMerge/>
            <w:shd w:val="clear" w:color="auto" w:fill="auto"/>
          </w:tcPr>
          <w:p w:rsidR="00DB64B0" w:rsidRPr="00DB64B0" w:rsidRDefault="00DB64B0" w:rsidP="00DB64B0">
            <w:pPr>
              <w:spacing w:after="0" w:line="240" w:lineRule="auto"/>
              <w:rPr>
                <w:rFonts w:ascii="Calibri" w:hAnsi="Calibri"/>
                <w:b/>
                <w:color w:val="000000"/>
              </w:rPr>
            </w:pPr>
          </w:p>
        </w:tc>
        <w:tc>
          <w:tcPr>
            <w:tcW w:w="900" w:type="dxa"/>
            <w:shd w:val="clear" w:color="auto" w:fill="auto"/>
          </w:tcPr>
          <w:p w:rsidR="00DB64B0" w:rsidRPr="00DB64B0" w:rsidRDefault="00DB64B0" w:rsidP="00DB64B0">
            <w:pPr>
              <w:spacing w:after="0" w:line="240" w:lineRule="auto"/>
            </w:pPr>
            <w:r w:rsidRPr="00DB64B0">
              <w:rPr>
                <w:rFonts w:ascii="Calibri" w:hAnsi="Calibri"/>
                <w:b/>
                <w:bCs/>
                <w:color w:val="000000"/>
                <w:sz w:val="20"/>
                <w:szCs w:val="20"/>
              </w:rPr>
              <w:t>Total</w:t>
            </w:r>
          </w:p>
        </w:tc>
        <w:tc>
          <w:tcPr>
            <w:tcW w:w="1260" w:type="dxa"/>
            <w:shd w:val="clear" w:color="auto" w:fill="auto"/>
          </w:tcPr>
          <w:p w:rsidR="00DB64B0" w:rsidRPr="00DB64B0" w:rsidRDefault="00DB64B0" w:rsidP="00DB64B0">
            <w:pPr>
              <w:spacing w:after="0" w:line="240" w:lineRule="auto"/>
            </w:pPr>
          </w:p>
        </w:tc>
        <w:tc>
          <w:tcPr>
            <w:tcW w:w="1080" w:type="dxa"/>
            <w:shd w:val="clear" w:color="auto" w:fill="auto"/>
          </w:tcPr>
          <w:p w:rsidR="00DB64B0" w:rsidRPr="00DB64B0" w:rsidRDefault="00DB64B0" w:rsidP="00DB64B0">
            <w:pPr>
              <w:spacing w:after="0" w:line="240" w:lineRule="auto"/>
            </w:pPr>
          </w:p>
        </w:tc>
        <w:tc>
          <w:tcPr>
            <w:tcW w:w="1170" w:type="dxa"/>
            <w:shd w:val="clear" w:color="auto" w:fill="auto"/>
          </w:tcPr>
          <w:p w:rsidR="00DB64B0" w:rsidRPr="00DB64B0" w:rsidRDefault="00DB64B0" w:rsidP="00DB64B0">
            <w:pPr>
              <w:spacing w:after="0" w:line="240" w:lineRule="auto"/>
            </w:pPr>
          </w:p>
        </w:tc>
        <w:tc>
          <w:tcPr>
            <w:tcW w:w="990" w:type="dxa"/>
            <w:shd w:val="clear" w:color="auto" w:fill="auto"/>
          </w:tcPr>
          <w:p w:rsidR="00DB64B0" w:rsidRPr="00DB64B0" w:rsidRDefault="00DB64B0" w:rsidP="00DB64B0">
            <w:pPr>
              <w:spacing w:after="0" w:line="240" w:lineRule="auto"/>
            </w:pPr>
          </w:p>
        </w:tc>
        <w:tc>
          <w:tcPr>
            <w:tcW w:w="1368" w:type="dxa"/>
            <w:shd w:val="clear" w:color="auto" w:fill="auto"/>
          </w:tcPr>
          <w:p w:rsidR="00DB64B0" w:rsidRPr="00DB64B0" w:rsidRDefault="00DB64B0" w:rsidP="00DB64B0">
            <w:pPr>
              <w:spacing w:after="0" w:line="240" w:lineRule="auto"/>
            </w:pPr>
            <w:r w:rsidRPr="00DB64B0">
              <w:t>6.5</w:t>
            </w:r>
          </w:p>
        </w:tc>
      </w:tr>
    </w:tbl>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0355D" w:rsidRDefault="00D0355D">
      <w:pPr>
        <w:spacing w:after="0" w:line="240" w:lineRule="auto"/>
      </w:pPr>
    </w:p>
    <w:p w:rsidR="00D0355D" w:rsidRDefault="00D0355D">
      <w:pPr>
        <w:spacing w:after="0" w:line="240" w:lineRule="auto"/>
      </w:pPr>
    </w:p>
    <w:p w:rsidR="00D0355D" w:rsidRDefault="00D0355D">
      <w:pPr>
        <w:spacing w:after="0" w:line="240" w:lineRule="auto"/>
      </w:pPr>
    </w:p>
    <w:p w:rsidR="00D0355D" w:rsidRDefault="00D0355D">
      <w:pPr>
        <w:spacing w:after="0" w:line="240" w:lineRule="auto"/>
      </w:pPr>
    </w:p>
    <w:p w:rsidR="00D0355D" w:rsidRDefault="00D0355D">
      <w:pPr>
        <w:spacing w:after="0" w:line="240" w:lineRule="auto"/>
      </w:pPr>
    </w:p>
    <w:p w:rsidR="00D0355D" w:rsidRDefault="00D0355D">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p w:rsidR="00DB64B0" w:rsidRDefault="00DB64B0">
      <w:pPr>
        <w:spacing w:after="0" w:line="240" w:lineRule="auto"/>
      </w:pPr>
    </w:p>
    <w:tbl>
      <w:tblPr>
        <w:tblStyle w:val="TableGrid7"/>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B64B0" w:rsidRPr="00DB64B0" w:rsidTr="00A91AA7">
        <w:tc>
          <w:tcPr>
            <w:tcW w:w="2970" w:type="dxa"/>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p>
        </w:tc>
        <w:tc>
          <w:tcPr>
            <w:tcW w:w="1080" w:type="dxa"/>
          </w:tcPr>
          <w:p w:rsidR="00DB64B0" w:rsidRPr="00DB64B0" w:rsidRDefault="00DB64B0" w:rsidP="00DB64B0">
            <w:pPr>
              <w:spacing w:after="0" w:line="240" w:lineRule="auto"/>
            </w:pPr>
          </w:p>
        </w:tc>
        <w:tc>
          <w:tcPr>
            <w:tcW w:w="1170" w:type="dxa"/>
          </w:tcPr>
          <w:p w:rsidR="00DB64B0" w:rsidRPr="00DB64B0" w:rsidRDefault="00DB64B0" w:rsidP="00DB64B0">
            <w:pPr>
              <w:spacing w:after="0" w:line="240" w:lineRule="auto"/>
            </w:pPr>
          </w:p>
        </w:tc>
        <w:tc>
          <w:tcPr>
            <w:tcW w:w="990" w:type="dxa"/>
          </w:tcPr>
          <w:p w:rsidR="00DB64B0" w:rsidRPr="00DB64B0" w:rsidRDefault="00DB64B0" w:rsidP="00DB64B0">
            <w:pPr>
              <w:spacing w:after="0" w:line="240" w:lineRule="auto"/>
            </w:pP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b/>
                <w:bCs/>
                <w:color w:val="000000"/>
              </w:rPr>
            </w:pPr>
            <w:r w:rsidRPr="00DB64B0">
              <w:rPr>
                <w:rFonts w:ascii="Calibri" w:hAnsi="Calibri"/>
                <w:b/>
                <w:bCs/>
                <w:color w:val="000000"/>
              </w:rPr>
              <w:t>Focus Area #3: Differentiated Instruction &amp; Classroom Culture</w:t>
            </w: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Insufficient</w:t>
            </w:r>
          </w:p>
        </w:tc>
        <w:tc>
          <w:tcPr>
            <w:tcW w:w="1080" w:type="dxa"/>
          </w:tcPr>
          <w:p w:rsidR="00DB64B0" w:rsidRPr="00DB64B0" w:rsidRDefault="00DB64B0" w:rsidP="00DB64B0">
            <w:pPr>
              <w:spacing w:after="0" w:line="240" w:lineRule="auto"/>
            </w:pPr>
            <w:r w:rsidRPr="00DB64B0">
              <w:t>Minimal</w:t>
            </w:r>
          </w:p>
        </w:tc>
        <w:tc>
          <w:tcPr>
            <w:tcW w:w="1170" w:type="dxa"/>
          </w:tcPr>
          <w:p w:rsidR="00DB64B0" w:rsidRPr="00DB64B0" w:rsidRDefault="00DB64B0" w:rsidP="00DB64B0">
            <w:pPr>
              <w:spacing w:after="0" w:line="240" w:lineRule="auto"/>
            </w:pPr>
            <w:r w:rsidRPr="00DB64B0">
              <w:t>Moderate</w:t>
            </w:r>
          </w:p>
        </w:tc>
        <w:tc>
          <w:tcPr>
            <w:tcW w:w="990" w:type="dxa"/>
          </w:tcPr>
          <w:p w:rsidR="00DB64B0" w:rsidRPr="00DB64B0" w:rsidRDefault="00DB64B0" w:rsidP="00DB64B0">
            <w:pPr>
              <w:spacing w:after="0" w:line="240" w:lineRule="auto"/>
            </w:pPr>
            <w:r w:rsidRPr="00DB64B0">
              <w:t>Strong</w:t>
            </w:r>
          </w:p>
        </w:tc>
        <w:tc>
          <w:tcPr>
            <w:tcW w:w="1368" w:type="dxa"/>
          </w:tcPr>
          <w:p w:rsidR="00DB64B0" w:rsidRPr="00DB64B0" w:rsidRDefault="00DB64B0" w:rsidP="00DB64B0">
            <w:pPr>
              <w:spacing w:after="0" w:line="240" w:lineRule="auto"/>
            </w:pPr>
            <w:r w:rsidRPr="00DB64B0">
              <w:t>Avg Number of points</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pP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w:t>
            </w:r>
          </w:p>
        </w:tc>
        <w:tc>
          <w:tcPr>
            <w:tcW w:w="1170" w:type="dxa"/>
          </w:tcPr>
          <w:p w:rsidR="00DB64B0" w:rsidRPr="00DB64B0" w:rsidRDefault="00DB64B0" w:rsidP="00DB64B0">
            <w:pPr>
              <w:spacing w:after="0" w:line="240" w:lineRule="auto"/>
            </w:pPr>
            <w:r w:rsidRPr="00DB64B0">
              <w:t>(2)</w:t>
            </w:r>
          </w:p>
        </w:tc>
        <w:tc>
          <w:tcPr>
            <w:tcW w:w="990" w:type="dxa"/>
          </w:tcPr>
          <w:p w:rsidR="00DB64B0" w:rsidRPr="00DB64B0" w:rsidRDefault="00DB64B0" w:rsidP="00DB64B0">
            <w:pPr>
              <w:spacing w:after="0" w:line="240" w:lineRule="auto"/>
            </w:pPr>
            <w:r w:rsidRPr="00DB64B0">
              <w:t>(3)</w:t>
            </w:r>
          </w:p>
        </w:tc>
        <w:tc>
          <w:tcPr>
            <w:tcW w:w="1368" w:type="dxa"/>
          </w:tcPr>
          <w:p w:rsidR="00DB64B0" w:rsidRPr="00DB64B0" w:rsidRDefault="00DB64B0" w:rsidP="00DB64B0">
            <w:pPr>
              <w:spacing w:after="0" w:line="240" w:lineRule="auto"/>
            </w:pPr>
            <w:r w:rsidRPr="00DB64B0">
              <w:t>(0 to 3)</w:t>
            </w: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35%</w:t>
            </w:r>
          </w:p>
        </w:tc>
        <w:tc>
          <w:tcPr>
            <w:tcW w:w="1170" w:type="dxa"/>
            <w:shd w:val="clear" w:color="auto" w:fill="BFBFBF" w:themeFill="background1" w:themeFillShade="BF"/>
          </w:tcPr>
          <w:p w:rsidR="00DB64B0" w:rsidRPr="00DB64B0" w:rsidRDefault="00DB64B0" w:rsidP="00DB64B0">
            <w:pPr>
              <w:spacing w:after="0" w:line="240" w:lineRule="auto"/>
            </w:pPr>
            <w:r w:rsidRPr="00DB64B0">
              <w:t>35%</w:t>
            </w:r>
          </w:p>
        </w:tc>
        <w:tc>
          <w:tcPr>
            <w:tcW w:w="990" w:type="dxa"/>
            <w:shd w:val="clear" w:color="auto" w:fill="BFBFBF" w:themeFill="background1" w:themeFillShade="BF"/>
          </w:tcPr>
          <w:p w:rsidR="00DB64B0" w:rsidRPr="00DB64B0" w:rsidRDefault="00DB64B0" w:rsidP="00DB64B0">
            <w:pPr>
              <w:spacing w:after="0" w:line="240" w:lineRule="auto"/>
            </w:pPr>
            <w:r w:rsidRPr="00DB64B0">
              <w:t>29%</w:t>
            </w:r>
          </w:p>
        </w:tc>
        <w:tc>
          <w:tcPr>
            <w:tcW w:w="1368" w:type="dxa"/>
            <w:shd w:val="clear" w:color="auto" w:fill="BFBFBF" w:themeFill="background1" w:themeFillShade="BF"/>
          </w:tcPr>
          <w:p w:rsidR="00DB64B0" w:rsidRPr="00DB64B0" w:rsidRDefault="00DB64B0" w:rsidP="00DB64B0">
            <w:pPr>
              <w:spacing w:after="0" w:line="240" w:lineRule="auto"/>
            </w:pPr>
            <w:r w:rsidRPr="00DB64B0">
              <w:t>1.9</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12%</w:t>
            </w:r>
          </w:p>
        </w:tc>
        <w:tc>
          <w:tcPr>
            <w:tcW w:w="1080" w:type="dxa"/>
            <w:shd w:val="clear" w:color="auto" w:fill="BFBFBF" w:themeFill="background1" w:themeFillShade="BF"/>
          </w:tcPr>
          <w:p w:rsidR="00DB64B0" w:rsidRPr="00DB64B0" w:rsidRDefault="00DB64B0" w:rsidP="00DB64B0">
            <w:pPr>
              <w:spacing w:after="0" w:line="240" w:lineRule="auto"/>
            </w:pPr>
            <w:r w:rsidRPr="00DB64B0">
              <w:t>25%</w:t>
            </w:r>
          </w:p>
        </w:tc>
        <w:tc>
          <w:tcPr>
            <w:tcW w:w="1170" w:type="dxa"/>
            <w:shd w:val="clear" w:color="auto" w:fill="BFBFBF" w:themeFill="background1" w:themeFillShade="BF"/>
          </w:tcPr>
          <w:p w:rsidR="00DB64B0" w:rsidRPr="00DB64B0" w:rsidRDefault="00DB64B0" w:rsidP="00DB64B0">
            <w:pPr>
              <w:spacing w:after="0" w:line="240" w:lineRule="auto"/>
            </w:pPr>
            <w:r w:rsidRPr="00DB64B0">
              <w:t>31%</w:t>
            </w:r>
          </w:p>
        </w:tc>
        <w:tc>
          <w:tcPr>
            <w:tcW w:w="990" w:type="dxa"/>
            <w:shd w:val="clear" w:color="auto" w:fill="BFBFBF" w:themeFill="background1" w:themeFillShade="BF"/>
          </w:tcPr>
          <w:p w:rsidR="00DB64B0" w:rsidRPr="00DB64B0" w:rsidRDefault="00DB64B0" w:rsidP="00DB64B0">
            <w:pPr>
              <w:spacing w:after="0" w:line="240" w:lineRule="auto"/>
            </w:pPr>
            <w:r w:rsidRPr="00DB64B0">
              <w:t>31%</w:t>
            </w:r>
          </w:p>
        </w:tc>
        <w:tc>
          <w:tcPr>
            <w:tcW w:w="1368" w:type="dxa"/>
            <w:shd w:val="clear" w:color="auto" w:fill="BFBFBF" w:themeFill="background1" w:themeFillShade="BF"/>
          </w:tcPr>
          <w:p w:rsidR="00DB64B0" w:rsidRPr="00DB64B0" w:rsidRDefault="00DB64B0" w:rsidP="00DB64B0">
            <w:pPr>
              <w:spacing w:after="0" w:line="240" w:lineRule="auto"/>
            </w:pPr>
            <w:r w:rsidRPr="00DB64B0">
              <w:t>1.8</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18%</w:t>
            </w:r>
          </w:p>
        </w:tc>
        <w:tc>
          <w:tcPr>
            <w:tcW w:w="1080" w:type="dxa"/>
            <w:shd w:val="clear" w:color="auto" w:fill="BFBFBF" w:themeFill="background1" w:themeFillShade="BF"/>
          </w:tcPr>
          <w:p w:rsidR="00DB64B0" w:rsidRPr="00DB64B0" w:rsidRDefault="00DB64B0" w:rsidP="00DB64B0">
            <w:pPr>
              <w:spacing w:after="0" w:line="240" w:lineRule="auto"/>
            </w:pPr>
            <w:r w:rsidRPr="00DB64B0">
              <w:t>24%</w:t>
            </w:r>
          </w:p>
        </w:tc>
        <w:tc>
          <w:tcPr>
            <w:tcW w:w="1170" w:type="dxa"/>
            <w:shd w:val="clear" w:color="auto" w:fill="BFBFBF" w:themeFill="background1" w:themeFillShade="BF"/>
          </w:tcPr>
          <w:p w:rsidR="00DB64B0" w:rsidRPr="00DB64B0" w:rsidRDefault="00DB64B0" w:rsidP="00DB64B0">
            <w:pPr>
              <w:spacing w:after="0" w:line="240" w:lineRule="auto"/>
            </w:pPr>
            <w:r w:rsidRPr="00DB64B0">
              <w:t>47%</w:t>
            </w:r>
          </w:p>
        </w:tc>
        <w:tc>
          <w:tcPr>
            <w:tcW w:w="990" w:type="dxa"/>
            <w:shd w:val="clear" w:color="auto" w:fill="BFBFBF" w:themeFill="background1" w:themeFillShade="BF"/>
          </w:tcPr>
          <w:p w:rsidR="00DB64B0" w:rsidRPr="00DB64B0" w:rsidRDefault="00DB64B0" w:rsidP="00DB64B0">
            <w:pPr>
              <w:spacing w:after="0" w:line="240" w:lineRule="auto"/>
            </w:pPr>
            <w:r w:rsidRPr="00DB64B0">
              <w:t>12%</w:t>
            </w:r>
          </w:p>
        </w:tc>
        <w:tc>
          <w:tcPr>
            <w:tcW w:w="1368" w:type="dxa"/>
            <w:shd w:val="clear" w:color="auto" w:fill="BFBFBF" w:themeFill="background1" w:themeFillShade="BF"/>
          </w:tcPr>
          <w:p w:rsidR="00DB64B0" w:rsidRPr="00DB64B0" w:rsidRDefault="00DB64B0" w:rsidP="00DB64B0">
            <w:pPr>
              <w:spacing w:after="0" w:line="240" w:lineRule="auto"/>
            </w:pPr>
            <w:r w:rsidRPr="00DB64B0">
              <w:t>1.5</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5</w:t>
            </w:r>
          </w:p>
        </w:tc>
        <w:tc>
          <w:tcPr>
            <w:tcW w:w="1080" w:type="dxa"/>
            <w:shd w:val="clear" w:color="auto" w:fill="BFBFBF" w:themeFill="background1" w:themeFillShade="BF"/>
          </w:tcPr>
          <w:p w:rsidR="00DB64B0" w:rsidRPr="00DB64B0" w:rsidRDefault="00DB64B0" w:rsidP="00DB64B0">
            <w:pPr>
              <w:spacing w:after="0" w:line="240" w:lineRule="auto"/>
            </w:pPr>
            <w:r w:rsidRPr="00DB64B0">
              <w:t>14</w:t>
            </w:r>
          </w:p>
        </w:tc>
        <w:tc>
          <w:tcPr>
            <w:tcW w:w="1170" w:type="dxa"/>
            <w:shd w:val="clear" w:color="auto" w:fill="BFBFBF" w:themeFill="background1" w:themeFillShade="BF"/>
          </w:tcPr>
          <w:p w:rsidR="00DB64B0" w:rsidRPr="00DB64B0" w:rsidRDefault="00DB64B0" w:rsidP="00DB64B0">
            <w:pPr>
              <w:spacing w:after="0" w:line="240" w:lineRule="auto"/>
            </w:pPr>
            <w:r w:rsidRPr="00DB64B0">
              <w:t>19</w:t>
            </w:r>
          </w:p>
        </w:tc>
        <w:tc>
          <w:tcPr>
            <w:tcW w:w="990" w:type="dxa"/>
            <w:shd w:val="clear" w:color="auto" w:fill="BFBFBF" w:themeFill="background1" w:themeFillShade="BF"/>
          </w:tcPr>
          <w:p w:rsidR="00DB64B0" w:rsidRPr="00DB64B0" w:rsidRDefault="00DB64B0" w:rsidP="00DB64B0">
            <w:pPr>
              <w:spacing w:after="0" w:line="240" w:lineRule="auto"/>
            </w:pPr>
            <w:r w:rsidRPr="00DB64B0">
              <w:t>12</w:t>
            </w:r>
          </w:p>
        </w:tc>
        <w:tc>
          <w:tcPr>
            <w:tcW w:w="1368" w:type="dxa"/>
            <w:shd w:val="clear" w:color="auto" w:fill="BFBFBF" w:themeFill="background1" w:themeFillShade="BF"/>
          </w:tcPr>
          <w:p w:rsidR="00DB64B0" w:rsidRPr="00DB64B0" w:rsidRDefault="00DB64B0" w:rsidP="00DB64B0">
            <w:pPr>
              <w:spacing w:after="0" w:line="240" w:lineRule="auto"/>
            </w:pPr>
            <w:r w:rsidRPr="00DB64B0">
              <w:t>1.7</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10%</w:t>
            </w:r>
          </w:p>
        </w:tc>
        <w:tc>
          <w:tcPr>
            <w:tcW w:w="1080" w:type="dxa"/>
            <w:shd w:val="clear" w:color="auto" w:fill="BFBFBF" w:themeFill="background1" w:themeFillShade="BF"/>
          </w:tcPr>
          <w:p w:rsidR="00DB64B0" w:rsidRPr="00DB64B0" w:rsidRDefault="00DB64B0" w:rsidP="00DB64B0">
            <w:pPr>
              <w:spacing w:after="0" w:line="240" w:lineRule="auto"/>
            </w:pPr>
            <w:r w:rsidRPr="00DB64B0">
              <w:t>28%</w:t>
            </w:r>
          </w:p>
        </w:tc>
        <w:tc>
          <w:tcPr>
            <w:tcW w:w="1170" w:type="dxa"/>
            <w:shd w:val="clear" w:color="auto" w:fill="BFBFBF" w:themeFill="background1" w:themeFillShade="BF"/>
          </w:tcPr>
          <w:p w:rsidR="00DB64B0" w:rsidRPr="00DB64B0" w:rsidRDefault="00DB64B0" w:rsidP="00DB64B0">
            <w:pPr>
              <w:spacing w:after="0" w:line="240" w:lineRule="auto"/>
            </w:pPr>
            <w:r w:rsidRPr="00DB64B0">
              <w:t>38%</w:t>
            </w:r>
          </w:p>
        </w:tc>
        <w:tc>
          <w:tcPr>
            <w:tcW w:w="990" w:type="dxa"/>
            <w:shd w:val="clear" w:color="auto" w:fill="BFBFBF" w:themeFill="background1" w:themeFillShade="BF"/>
          </w:tcPr>
          <w:p w:rsidR="00DB64B0" w:rsidRPr="00DB64B0" w:rsidRDefault="00DB64B0" w:rsidP="00DB64B0">
            <w:pPr>
              <w:spacing w:after="0" w:line="240" w:lineRule="auto"/>
            </w:pPr>
            <w:r w:rsidRPr="00DB64B0">
              <w:t>24%</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color w:val="000000"/>
              </w:rPr>
            </w:pPr>
            <w:r w:rsidRPr="00DB64B0">
              <w:rPr>
                <w:rFonts w:ascii="Calibri" w:hAnsi="Calibri"/>
                <w:color w:val="000000"/>
              </w:rPr>
              <w:t>9. The teacher uses appropriate resources aligned to students' diverse learning needs. (e.g., technology, manipulatives, support personnel).</w:t>
            </w: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18%</w:t>
            </w:r>
          </w:p>
        </w:tc>
        <w:tc>
          <w:tcPr>
            <w:tcW w:w="1170" w:type="dxa"/>
          </w:tcPr>
          <w:p w:rsidR="00DB64B0" w:rsidRPr="00DB64B0" w:rsidRDefault="00DB64B0" w:rsidP="00DB64B0">
            <w:pPr>
              <w:spacing w:after="0" w:line="240" w:lineRule="auto"/>
            </w:pPr>
            <w:r w:rsidRPr="00DB64B0">
              <w:t>76%</w:t>
            </w:r>
          </w:p>
        </w:tc>
        <w:tc>
          <w:tcPr>
            <w:tcW w:w="990" w:type="dxa"/>
          </w:tcPr>
          <w:p w:rsidR="00DB64B0" w:rsidRPr="00DB64B0" w:rsidRDefault="00DB64B0" w:rsidP="00DB64B0">
            <w:pPr>
              <w:spacing w:after="0" w:line="240" w:lineRule="auto"/>
            </w:pPr>
            <w:r w:rsidRPr="00DB64B0">
              <w:t>6%</w:t>
            </w:r>
          </w:p>
        </w:tc>
        <w:tc>
          <w:tcPr>
            <w:tcW w:w="1368" w:type="dxa"/>
          </w:tcPr>
          <w:p w:rsidR="00DB64B0" w:rsidRPr="00DB64B0" w:rsidRDefault="00DB64B0" w:rsidP="00DB64B0">
            <w:pPr>
              <w:spacing w:after="0" w:line="240" w:lineRule="auto"/>
            </w:pPr>
            <w:r w:rsidRPr="00DB64B0">
              <w:t>1.9</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25%</w:t>
            </w:r>
          </w:p>
        </w:tc>
        <w:tc>
          <w:tcPr>
            <w:tcW w:w="1170" w:type="dxa"/>
          </w:tcPr>
          <w:p w:rsidR="00DB64B0" w:rsidRPr="00DB64B0" w:rsidRDefault="00DB64B0" w:rsidP="00DB64B0">
            <w:pPr>
              <w:spacing w:after="0" w:line="240" w:lineRule="auto"/>
            </w:pPr>
            <w:r w:rsidRPr="00DB64B0">
              <w:t>38%</w:t>
            </w:r>
          </w:p>
        </w:tc>
        <w:tc>
          <w:tcPr>
            <w:tcW w:w="990" w:type="dxa"/>
          </w:tcPr>
          <w:p w:rsidR="00DB64B0" w:rsidRPr="00DB64B0" w:rsidRDefault="00DB64B0" w:rsidP="00DB64B0">
            <w:pPr>
              <w:spacing w:after="0" w:line="240" w:lineRule="auto"/>
            </w:pPr>
            <w:r w:rsidRPr="00DB64B0">
              <w:t>31%</w:t>
            </w:r>
          </w:p>
        </w:tc>
        <w:tc>
          <w:tcPr>
            <w:tcW w:w="1368" w:type="dxa"/>
          </w:tcPr>
          <w:p w:rsidR="00DB64B0" w:rsidRPr="00DB64B0" w:rsidRDefault="00DB64B0" w:rsidP="00DB64B0">
            <w:pPr>
              <w:spacing w:after="0" w:line="240" w:lineRule="auto"/>
            </w:pPr>
            <w:r w:rsidRPr="00DB64B0">
              <w:t>1.9</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tcPr>
          <w:p w:rsidR="00DB64B0" w:rsidRPr="00DB64B0" w:rsidRDefault="00DB64B0" w:rsidP="00DB64B0">
            <w:pPr>
              <w:spacing w:after="0" w:line="240" w:lineRule="auto"/>
            </w:pPr>
            <w:r w:rsidRPr="00DB64B0">
              <w:t>18%</w:t>
            </w:r>
          </w:p>
        </w:tc>
        <w:tc>
          <w:tcPr>
            <w:tcW w:w="1080" w:type="dxa"/>
          </w:tcPr>
          <w:p w:rsidR="00DB64B0" w:rsidRPr="00DB64B0" w:rsidRDefault="00DB64B0" w:rsidP="00DB64B0">
            <w:pPr>
              <w:spacing w:after="0" w:line="240" w:lineRule="auto"/>
            </w:pPr>
            <w:r w:rsidRPr="00DB64B0">
              <w:t>29%</w:t>
            </w:r>
          </w:p>
        </w:tc>
        <w:tc>
          <w:tcPr>
            <w:tcW w:w="1170" w:type="dxa"/>
          </w:tcPr>
          <w:p w:rsidR="00DB64B0" w:rsidRPr="00DB64B0" w:rsidRDefault="00DB64B0" w:rsidP="00DB64B0">
            <w:pPr>
              <w:spacing w:after="0" w:line="240" w:lineRule="auto"/>
            </w:pPr>
            <w:r w:rsidRPr="00DB64B0">
              <w:t>35%</w:t>
            </w:r>
          </w:p>
        </w:tc>
        <w:tc>
          <w:tcPr>
            <w:tcW w:w="990" w:type="dxa"/>
          </w:tcPr>
          <w:p w:rsidR="00DB64B0" w:rsidRPr="00DB64B0" w:rsidRDefault="00DB64B0" w:rsidP="00DB64B0">
            <w:pPr>
              <w:spacing w:after="0" w:line="240" w:lineRule="auto"/>
            </w:pPr>
            <w:r w:rsidRPr="00DB64B0">
              <w:t>18%</w:t>
            </w:r>
          </w:p>
        </w:tc>
        <w:tc>
          <w:tcPr>
            <w:tcW w:w="1368" w:type="dxa"/>
          </w:tcPr>
          <w:p w:rsidR="00DB64B0" w:rsidRPr="00DB64B0" w:rsidRDefault="00DB64B0" w:rsidP="00DB64B0">
            <w:pPr>
              <w:spacing w:after="0" w:line="240" w:lineRule="auto"/>
            </w:pPr>
            <w:r w:rsidRPr="00DB64B0">
              <w:t>1.5</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4</w:t>
            </w:r>
          </w:p>
        </w:tc>
        <w:tc>
          <w:tcPr>
            <w:tcW w:w="1080" w:type="dxa"/>
          </w:tcPr>
          <w:p w:rsidR="00DB64B0" w:rsidRPr="00DB64B0" w:rsidRDefault="00DB64B0" w:rsidP="00DB64B0">
            <w:pPr>
              <w:spacing w:after="0" w:line="240" w:lineRule="auto"/>
            </w:pPr>
            <w:r w:rsidRPr="00DB64B0">
              <w:t>12</w:t>
            </w:r>
          </w:p>
        </w:tc>
        <w:tc>
          <w:tcPr>
            <w:tcW w:w="1170" w:type="dxa"/>
          </w:tcPr>
          <w:p w:rsidR="00DB64B0" w:rsidRPr="00DB64B0" w:rsidRDefault="00DB64B0" w:rsidP="00DB64B0">
            <w:pPr>
              <w:spacing w:after="0" w:line="240" w:lineRule="auto"/>
            </w:pPr>
            <w:r w:rsidRPr="00DB64B0">
              <w:t>25</w:t>
            </w:r>
          </w:p>
        </w:tc>
        <w:tc>
          <w:tcPr>
            <w:tcW w:w="990" w:type="dxa"/>
          </w:tcPr>
          <w:p w:rsidR="00DB64B0" w:rsidRPr="00DB64B0" w:rsidRDefault="00DB64B0" w:rsidP="00DB64B0">
            <w:pPr>
              <w:spacing w:after="0" w:line="240" w:lineRule="auto"/>
            </w:pPr>
            <w:r w:rsidRPr="00DB64B0">
              <w:t>9</w:t>
            </w:r>
          </w:p>
        </w:tc>
        <w:tc>
          <w:tcPr>
            <w:tcW w:w="1368" w:type="dxa"/>
          </w:tcPr>
          <w:p w:rsidR="00DB64B0" w:rsidRPr="00DB64B0" w:rsidRDefault="00DB64B0" w:rsidP="00DB64B0">
            <w:pPr>
              <w:spacing w:after="0" w:line="240" w:lineRule="auto"/>
            </w:pPr>
            <w:r w:rsidRPr="00DB64B0">
              <w:t>1.8</w:t>
            </w:r>
          </w:p>
        </w:tc>
      </w:tr>
      <w:tr w:rsidR="00DB64B0" w:rsidRPr="00DB64B0" w:rsidTr="00A91AA7">
        <w:tc>
          <w:tcPr>
            <w:tcW w:w="2970" w:type="dxa"/>
            <w:vMerge/>
            <w:vAlign w:val="center"/>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8%</w:t>
            </w:r>
          </w:p>
        </w:tc>
        <w:tc>
          <w:tcPr>
            <w:tcW w:w="1080" w:type="dxa"/>
          </w:tcPr>
          <w:p w:rsidR="00DB64B0" w:rsidRPr="00DB64B0" w:rsidRDefault="00DB64B0" w:rsidP="00DB64B0">
            <w:pPr>
              <w:spacing w:after="0" w:line="240" w:lineRule="auto"/>
            </w:pPr>
            <w:r w:rsidRPr="00DB64B0">
              <w:t>24%</w:t>
            </w:r>
          </w:p>
        </w:tc>
        <w:tc>
          <w:tcPr>
            <w:tcW w:w="1170" w:type="dxa"/>
          </w:tcPr>
          <w:p w:rsidR="00DB64B0" w:rsidRPr="00DB64B0" w:rsidRDefault="00DB64B0" w:rsidP="00DB64B0">
            <w:pPr>
              <w:spacing w:after="0" w:line="240" w:lineRule="auto"/>
            </w:pPr>
            <w:r w:rsidRPr="00DB64B0">
              <w:t>50%</w:t>
            </w:r>
          </w:p>
        </w:tc>
        <w:tc>
          <w:tcPr>
            <w:tcW w:w="990" w:type="dxa"/>
          </w:tcPr>
          <w:p w:rsidR="00DB64B0" w:rsidRPr="00DB64B0" w:rsidRDefault="00DB64B0" w:rsidP="00DB64B0">
            <w:pPr>
              <w:spacing w:after="0" w:line="240" w:lineRule="auto"/>
            </w:pPr>
            <w:r w:rsidRPr="00DB64B0">
              <w:t>18%</w:t>
            </w:r>
          </w:p>
        </w:tc>
        <w:tc>
          <w:tcPr>
            <w:tcW w:w="1368" w:type="dxa"/>
          </w:tcPr>
          <w:p w:rsidR="00DB64B0" w:rsidRPr="00DB64B0" w:rsidRDefault="00DB64B0" w:rsidP="00DB64B0">
            <w:pPr>
              <w:spacing w:after="0" w:line="240" w:lineRule="auto"/>
            </w:pPr>
          </w:p>
        </w:tc>
      </w:tr>
      <w:tr w:rsidR="00DB64B0" w:rsidRPr="00DB64B0" w:rsidTr="00A91AA7">
        <w:tc>
          <w:tcPr>
            <w:tcW w:w="2970" w:type="dxa"/>
            <w:vMerge w:val="restart"/>
            <w:shd w:val="clear" w:color="auto" w:fill="BFBFBF" w:themeFill="background1" w:themeFillShade="BF"/>
          </w:tcPr>
          <w:p w:rsidR="00DB64B0" w:rsidRPr="00DB64B0" w:rsidRDefault="00DB64B0" w:rsidP="00DB64B0">
            <w:pPr>
              <w:spacing w:after="0" w:line="240" w:lineRule="auto"/>
              <w:rPr>
                <w:rFonts w:ascii="Calibri" w:hAnsi="Calibri"/>
                <w:color w:val="000000"/>
              </w:rPr>
            </w:pPr>
            <w:r w:rsidRPr="00DB64B0">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0%</w:t>
            </w:r>
          </w:p>
        </w:tc>
        <w:tc>
          <w:tcPr>
            <w:tcW w:w="1170" w:type="dxa"/>
            <w:shd w:val="clear" w:color="auto" w:fill="BFBFBF" w:themeFill="background1" w:themeFillShade="BF"/>
          </w:tcPr>
          <w:p w:rsidR="00DB64B0" w:rsidRPr="00DB64B0" w:rsidRDefault="00DB64B0" w:rsidP="00DB64B0">
            <w:pPr>
              <w:spacing w:after="0" w:line="240" w:lineRule="auto"/>
            </w:pPr>
            <w:r w:rsidRPr="00DB64B0">
              <w:t>35%</w:t>
            </w:r>
          </w:p>
        </w:tc>
        <w:tc>
          <w:tcPr>
            <w:tcW w:w="990" w:type="dxa"/>
            <w:shd w:val="clear" w:color="auto" w:fill="BFBFBF" w:themeFill="background1" w:themeFillShade="BF"/>
          </w:tcPr>
          <w:p w:rsidR="00DB64B0" w:rsidRPr="00DB64B0" w:rsidRDefault="00DB64B0" w:rsidP="00DB64B0">
            <w:pPr>
              <w:spacing w:after="0" w:line="240" w:lineRule="auto"/>
            </w:pPr>
            <w:r w:rsidRPr="00DB64B0">
              <w:t>65%</w:t>
            </w:r>
          </w:p>
        </w:tc>
        <w:tc>
          <w:tcPr>
            <w:tcW w:w="1368" w:type="dxa"/>
            <w:shd w:val="clear" w:color="auto" w:fill="BFBFBF" w:themeFill="background1" w:themeFillShade="BF"/>
          </w:tcPr>
          <w:p w:rsidR="00DB64B0" w:rsidRPr="00DB64B0" w:rsidRDefault="00DB64B0" w:rsidP="00DB64B0">
            <w:pPr>
              <w:spacing w:after="0" w:line="240" w:lineRule="auto"/>
            </w:pPr>
            <w:r w:rsidRPr="00DB64B0">
              <w:t>2.6</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0%</w:t>
            </w:r>
          </w:p>
        </w:tc>
        <w:tc>
          <w:tcPr>
            <w:tcW w:w="1170" w:type="dxa"/>
            <w:shd w:val="clear" w:color="auto" w:fill="BFBFBF" w:themeFill="background1" w:themeFillShade="BF"/>
          </w:tcPr>
          <w:p w:rsidR="00DB64B0" w:rsidRPr="00DB64B0" w:rsidRDefault="00DB64B0" w:rsidP="00DB64B0">
            <w:pPr>
              <w:spacing w:after="0" w:line="240" w:lineRule="auto"/>
            </w:pPr>
            <w:r w:rsidRPr="00DB64B0">
              <w:t>44%</w:t>
            </w:r>
          </w:p>
        </w:tc>
        <w:tc>
          <w:tcPr>
            <w:tcW w:w="990" w:type="dxa"/>
            <w:shd w:val="clear" w:color="auto" w:fill="BFBFBF" w:themeFill="background1" w:themeFillShade="BF"/>
          </w:tcPr>
          <w:p w:rsidR="00DB64B0" w:rsidRPr="00DB64B0" w:rsidRDefault="00DB64B0" w:rsidP="00DB64B0">
            <w:pPr>
              <w:spacing w:after="0" w:line="240" w:lineRule="auto"/>
            </w:pPr>
            <w:r w:rsidRPr="00DB64B0">
              <w:t>56%</w:t>
            </w:r>
          </w:p>
        </w:tc>
        <w:tc>
          <w:tcPr>
            <w:tcW w:w="1368" w:type="dxa"/>
            <w:shd w:val="clear" w:color="auto" w:fill="BFBFBF" w:themeFill="background1" w:themeFillShade="BF"/>
          </w:tcPr>
          <w:p w:rsidR="00DB64B0" w:rsidRPr="00DB64B0" w:rsidRDefault="00DB64B0" w:rsidP="00DB64B0">
            <w:pPr>
              <w:spacing w:after="0" w:line="240" w:lineRule="auto"/>
            </w:pPr>
            <w:r w:rsidRPr="00DB64B0">
              <w:t>2.6</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12%</w:t>
            </w:r>
          </w:p>
        </w:tc>
        <w:tc>
          <w:tcPr>
            <w:tcW w:w="1170" w:type="dxa"/>
            <w:shd w:val="clear" w:color="auto" w:fill="BFBFBF" w:themeFill="background1" w:themeFillShade="BF"/>
          </w:tcPr>
          <w:p w:rsidR="00DB64B0" w:rsidRPr="00DB64B0" w:rsidRDefault="00DB64B0" w:rsidP="00DB64B0">
            <w:pPr>
              <w:spacing w:after="0" w:line="240" w:lineRule="auto"/>
            </w:pPr>
            <w:r w:rsidRPr="00DB64B0">
              <w:t>59%</w:t>
            </w:r>
          </w:p>
        </w:tc>
        <w:tc>
          <w:tcPr>
            <w:tcW w:w="990" w:type="dxa"/>
            <w:shd w:val="clear" w:color="auto" w:fill="BFBFBF" w:themeFill="background1" w:themeFillShade="BF"/>
          </w:tcPr>
          <w:p w:rsidR="00DB64B0" w:rsidRPr="00DB64B0" w:rsidRDefault="00DB64B0" w:rsidP="00DB64B0">
            <w:pPr>
              <w:spacing w:after="0" w:line="240" w:lineRule="auto"/>
            </w:pPr>
            <w:r w:rsidRPr="00DB64B0">
              <w:t>29%</w:t>
            </w:r>
          </w:p>
        </w:tc>
        <w:tc>
          <w:tcPr>
            <w:tcW w:w="1368" w:type="dxa"/>
            <w:shd w:val="clear" w:color="auto" w:fill="BFBFBF" w:themeFill="background1" w:themeFillShade="BF"/>
          </w:tcPr>
          <w:p w:rsidR="00DB64B0" w:rsidRPr="00DB64B0" w:rsidRDefault="00DB64B0" w:rsidP="00DB64B0">
            <w:pPr>
              <w:spacing w:after="0" w:line="240" w:lineRule="auto"/>
            </w:pPr>
            <w:r w:rsidRPr="00DB64B0">
              <w:t>2.2</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2</w:t>
            </w:r>
          </w:p>
        </w:tc>
        <w:tc>
          <w:tcPr>
            <w:tcW w:w="1170" w:type="dxa"/>
            <w:shd w:val="clear" w:color="auto" w:fill="BFBFBF" w:themeFill="background1" w:themeFillShade="BF"/>
          </w:tcPr>
          <w:p w:rsidR="00DB64B0" w:rsidRPr="00DB64B0" w:rsidRDefault="00DB64B0" w:rsidP="00DB64B0">
            <w:pPr>
              <w:spacing w:after="0" w:line="240" w:lineRule="auto"/>
            </w:pPr>
            <w:r w:rsidRPr="00DB64B0">
              <w:t>22</w:t>
            </w:r>
          </w:p>
        </w:tc>
        <w:tc>
          <w:tcPr>
            <w:tcW w:w="990" w:type="dxa"/>
            <w:shd w:val="clear" w:color="auto" w:fill="BFBFBF" w:themeFill="background1" w:themeFillShade="BF"/>
          </w:tcPr>
          <w:p w:rsidR="00DB64B0" w:rsidRPr="00DB64B0" w:rsidRDefault="00DB64B0" w:rsidP="00DB64B0">
            <w:pPr>
              <w:spacing w:after="0" w:line="240" w:lineRule="auto"/>
            </w:pPr>
            <w:r w:rsidRPr="00DB64B0">
              <w:t>26</w:t>
            </w:r>
          </w:p>
        </w:tc>
        <w:tc>
          <w:tcPr>
            <w:tcW w:w="1368" w:type="dxa"/>
            <w:shd w:val="clear" w:color="auto" w:fill="BFBFBF" w:themeFill="background1" w:themeFillShade="BF"/>
          </w:tcPr>
          <w:p w:rsidR="00DB64B0" w:rsidRPr="00DB64B0" w:rsidRDefault="00DB64B0" w:rsidP="00DB64B0">
            <w:pPr>
              <w:spacing w:after="0" w:line="240" w:lineRule="auto"/>
            </w:pPr>
            <w:r w:rsidRPr="00DB64B0">
              <w:t>2.5</w:t>
            </w:r>
          </w:p>
        </w:tc>
      </w:tr>
      <w:tr w:rsidR="00DB64B0" w:rsidRPr="00DB64B0" w:rsidTr="00A91AA7">
        <w:tc>
          <w:tcPr>
            <w:tcW w:w="2970" w:type="dxa"/>
            <w:vMerge/>
            <w:shd w:val="clear" w:color="auto" w:fill="BFBFBF" w:themeFill="background1" w:themeFillShade="BF"/>
            <w:vAlign w:val="center"/>
          </w:tcPr>
          <w:p w:rsidR="00DB64B0" w:rsidRPr="00DB64B0" w:rsidRDefault="00DB64B0" w:rsidP="00DB64B0">
            <w:pPr>
              <w:spacing w:after="0" w:line="240" w:lineRule="auto"/>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shd w:val="clear" w:color="auto" w:fill="BFBFBF" w:themeFill="background1" w:themeFillShade="BF"/>
          </w:tcPr>
          <w:p w:rsidR="00DB64B0" w:rsidRPr="00DB64B0" w:rsidRDefault="00DB64B0" w:rsidP="00DB64B0">
            <w:pPr>
              <w:spacing w:after="0" w:line="240" w:lineRule="auto"/>
            </w:pPr>
            <w:r w:rsidRPr="00DB64B0">
              <w:t>0%</w:t>
            </w:r>
          </w:p>
        </w:tc>
        <w:tc>
          <w:tcPr>
            <w:tcW w:w="1080" w:type="dxa"/>
            <w:shd w:val="clear" w:color="auto" w:fill="BFBFBF" w:themeFill="background1" w:themeFillShade="BF"/>
          </w:tcPr>
          <w:p w:rsidR="00DB64B0" w:rsidRPr="00DB64B0" w:rsidRDefault="00DB64B0" w:rsidP="00DB64B0">
            <w:pPr>
              <w:spacing w:after="0" w:line="240" w:lineRule="auto"/>
            </w:pPr>
            <w:r w:rsidRPr="00DB64B0">
              <w:t>4%</w:t>
            </w:r>
          </w:p>
        </w:tc>
        <w:tc>
          <w:tcPr>
            <w:tcW w:w="1170" w:type="dxa"/>
            <w:shd w:val="clear" w:color="auto" w:fill="BFBFBF" w:themeFill="background1" w:themeFillShade="BF"/>
          </w:tcPr>
          <w:p w:rsidR="00DB64B0" w:rsidRPr="00DB64B0" w:rsidRDefault="00DB64B0" w:rsidP="00DB64B0">
            <w:pPr>
              <w:spacing w:after="0" w:line="240" w:lineRule="auto"/>
            </w:pPr>
            <w:r w:rsidRPr="00DB64B0">
              <w:t>44%</w:t>
            </w:r>
          </w:p>
        </w:tc>
        <w:tc>
          <w:tcPr>
            <w:tcW w:w="990" w:type="dxa"/>
            <w:shd w:val="clear" w:color="auto" w:fill="BFBFBF" w:themeFill="background1" w:themeFillShade="BF"/>
          </w:tcPr>
          <w:p w:rsidR="00DB64B0" w:rsidRPr="00DB64B0" w:rsidRDefault="00DB64B0" w:rsidP="00DB64B0">
            <w:pPr>
              <w:spacing w:after="0" w:line="240" w:lineRule="auto"/>
            </w:pPr>
            <w:r w:rsidRPr="00DB64B0">
              <w:t>52%</w:t>
            </w:r>
          </w:p>
        </w:tc>
        <w:tc>
          <w:tcPr>
            <w:tcW w:w="1368" w:type="dxa"/>
            <w:shd w:val="clear" w:color="auto" w:fill="BFBFBF" w:themeFill="background1" w:themeFillShade="BF"/>
          </w:tcPr>
          <w:p w:rsidR="00DB64B0" w:rsidRPr="00DB64B0" w:rsidRDefault="00DB64B0" w:rsidP="00DB64B0">
            <w:pPr>
              <w:spacing w:after="0" w:line="240" w:lineRule="auto"/>
            </w:pPr>
          </w:p>
        </w:tc>
      </w:tr>
      <w:tr w:rsidR="00DB64B0" w:rsidRPr="00DB64B0" w:rsidTr="00A91AA7">
        <w:tc>
          <w:tcPr>
            <w:tcW w:w="2970" w:type="dxa"/>
            <w:vMerge w:val="restart"/>
          </w:tcPr>
          <w:p w:rsidR="00DB64B0" w:rsidRPr="00DB64B0" w:rsidRDefault="00DB64B0" w:rsidP="00DB64B0">
            <w:pPr>
              <w:spacing w:after="0" w:line="240" w:lineRule="auto"/>
              <w:rPr>
                <w:rFonts w:ascii="Calibri" w:hAnsi="Calibri"/>
                <w:color w:val="000000"/>
              </w:rPr>
            </w:pPr>
            <w:r w:rsidRPr="00DB64B0">
              <w:rPr>
                <w:rFonts w:ascii="Calibri" w:hAnsi="Calibri"/>
                <w:color w:val="000000"/>
              </w:rPr>
              <w:t>11. The teacher conducts appropriate formative assessments to check for understanding and provide feedback to students.</w:t>
            </w: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tcPr>
          <w:p w:rsidR="00DB64B0" w:rsidRPr="00DB64B0" w:rsidRDefault="00DB64B0" w:rsidP="00DB64B0">
            <w:pPr>
              <w:spacing w:after="0" w:line="240" w:lineRule="auto"/>
            </w:pPr>
            <w:r w:rsidRPr="00DB64B0">
              <w:t>0%</w:t>
            </w:r>
          </w:p>
        </w:tc>
        <w:tc>
          <w:tcPr>
            <w:tcW w:w="1080" w:type="dxa"/>
          </w:tcPr>
          <w:p w:rsidR="00DB64B0" w:rsidRPr="00DB64B0" w:rsidRDefault="00DB64B0" w:rsidP="00DB64B0">
            <w:pPr>
              <w:spacing w:after="0" w:line="240" w:lineRule="auto"/>
            </w:pPr>
            <w:r w:rsidRPr="00DB64B0">
              <w:t>0%</w:t>
            </w:r>
          </w:p>
        </w:tc>
        <w:tc>
          <w:tcPr>
            <w:tcW w:w="1170" w:type="dxa"/>
          </w:tcPr>
          <w:p w:rsidR="00DB64B0" w:rsidRPr="00DB64B0" w:rsidRDefault="00DB64B0" w:rsidP="00DB64B0">
            <w:pPr>
              <w:spacing w:after="0" w:line="240" w:lineRule="auto"/>
            </w:pPr>
            <w:r w:rsidRPr="00DB64B0">
              <w:t>59%</w:t>
            </w:r>
          </w:p>
        </w:tc>
        <w:tc>
          <w:tcPr>
            <w:tcW w:w="990" w:type="dxa"/>
          </w:tcPr>
          <w:p w:rsidR="00DB64B0" w:rsidRPr="00DB64B0" w:rsidRDefault="00DB64B0" w:rsidP="00DB64B0">
            <w:pPr>
              <w:spacing w:after="0" w:line="240" w:lineRule="auto"/>
            </w:pPr>
            <w:r w:rsidRPr="00DB64B0">
              <w:t>41%</w:t>
            </w:r>
          </w:p>
        </w:tc>
        <w:tc>
          <w:tcPr>
            <w:tcW w:w="1368" w:type="dxa"/>
          </w:tcPr>
          <w:p w:rsidR="00DB64B0" w:rsidRPr="00DB64B0" w:rsidRDefault="00DB64B0" w:rsidP="00DB64B0">
            <w:pPr>
              <w:spacing w:after="0" w:line="240" w:lineRule="auto"/>
            </w:pPr>
            <w:r w:rsidRPr="00DB64B0">
              <w:t>2.4</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19%</w:t>
            </w:r>
          </w:p>
        </w:tc>
        <w:tc>
          <w:tcPr>
            <w:tcW w:w="1170" w:type="dxa"/>
          </w:tcPr>
          <w:p w:rsidR="00DB64B0" w:rsidRPr="00DB64B0" w:rsidRDefault="00DB64B0" w:rsidP="00DB64B0">
            <w:pPr>
              <w:spacing w:after="0" w:line="240" w:lineRule="auto"/>
            </w:pPr>
            <w:r w:rsidRPr="00DB64B0">
              <w:t>25%</w:t>
            </w:r>
          </w:p>
        </w:tc>
        <w:tc>
          <w:tcPr>
            <w:tcW w:w="990" w:type="dxa"/>
          </w:tcPr>
          <w:p w:rsidR="00DB64B0" w:rsidRPr="00DB64B0" w:rsidRDefault="00DB64B0" w:rsidP="00DB64B0">
            <w:pPr>
              <w:spacing w:after="0" w:line="240" w:lineRule="auto"/>
            </w:pPr>
            <w:r w:rsidRPr="00DB64B0">
              <w:t>50%</w:t>
            </w:r>
          </w:p>
        </w:tc>
        <w:tc>
          <w:tcPr>
            <w:tcW w:w="1368" w:type="dxa"/>
          </w:tcPr>
          <w:p w:rsidR="00DB64B0" w:rsidRPr="00DB64B0" w:rsidRDefault="00DB64B0" w:rsidP="00DB64B0">
            <w:pPr>
              <w:spacing w:after="0" w:line="240" w:lineRule="auto"/>
            </w:pPr>
            <w:r w:rsidRPr="00DB64B0">
              <w:t>2.2</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tcPr>
          <w:p w:rsidR="00DB64B0" w:rsidRPr="00DB64B0" w:rsidRDefault="00DB64B0" w:rsidP="00DB64B0">
            <w:pPr>
              <w:spacing w:after="0" w:line="240" w:lineRule="auto"/>
            </w:pPr>
            <w:r w:rsidRPr="00DB64B0">
              <w:t>12%</w:t>
            </w:r>
          </w:p>
        </w:tc>
        <w:tc>
          <w:tcPr>
            <w:tcW w:w="1080" w:type="dxa"/>
          </w:tcPr>
          <w:p w:rsidR="00DB64B0" w:rsidRPr="00DB64B0" w:rsidRDefault="00DB64B0" w:rsidP="00DB64B0">
            <w:pPr>
              <w:spacing w:after="0" w:line="240" w:lineRule="auto"/>
            </w:pPr>
            <w:r w:rsidRPr="00DB64B0">
              <w:t>24%</w:t>
            </w:r>
          </w:p>
        </w:tc>
        <w:tc>
          <w:tcPr>
            <w:tcW w:w="1170" w:type="dxa"/>
          </w:tcPr>
          <w:p w:rsidR="00DB64B0" w:rsidRPr="00DB64B0" w:rsidRDefault="00DB64B0" w:rsidP="00DB64B0">
            <w:pPr>
              <w:spacing w:after="0" w:line="240" w:lineRule="auto"/>
            </w:pPr>
            <w:r w:rsidRPr="00DB64B0">
              <w:t>47%</w:t>
            </w:r>
          </w:p>
        </w:tc>
        <w:tc>
          <w:tcPr>
            <w:tcW w:w="990" w:type="dxa"/>
          </w:tcPr>
          <w:p w:rsidR="00DB64B0" w:rsidRPr="00DB64B0" w:rsidRDefault="00DB64B0" w:rsidP="00DB64B0">
            <w:pPr>
              <w:spacing w:after="0" w:line="240" w:lineRule="auto"/>
            </w:pPr>
            <w:r w:rsidRPr="00DB64B0">
              <w:t>18%</w:t>
            </w:r>
          </w:p>
        </w:tc>
        <w:tc>
          <w:tcPr>
            <w:tcW w:w="1368" w:type="dxa"/>
          </w:tcPr>
          <w:p w:rsidR="00DB64B0" w:rsidRPr="00DB64B0" w:rsidRDefault="00DB64B0" w:rsidP="00DB64B0">
            <w:pPr>
              <w:spacing w:after="0" w:line="240" w:lineRule="auto"/>
            </w:pPr>
            <w:r w:rsidRPr="00DB64B0">
              <w:t>1.7</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3</w:t>
            </w:r>
          </w:p>
        </w:tc>
        <w:tc>
          <w:tcPr>
            <w:tcW w:w="1080" w:type="dxa"/>
          </w:tcPr>
          <w:p w:rsidR="00DB64B0" w:rsidRPr="00DB64B0" w:rsidRDefault="00DB64B0" w:rsidP="00DB64B0">
            <w:pPr>
              <w:spacing w:after="0" w:line="240" w:lineRule="auto"/>
            </w:pPr>
            <w:r w:rsidRPr="00DB64B0">
              <w:t>7</w:t>
            </w:r>
          </w:p>
        </w:tc>
        <w:tc>
          <w:tcPr>
            <w:tcW w:w="1170" w:type="dxa"/>
          </w:tcPr>
          <w:p w:rsidR="00DB64B0" w:rsidRPr="00DB64B0" w:rsidRDefault="00DB64B0" w:rsidP="00DB64B0">
            <w:pPr>
              <w:spacing w:after="0" w:line="240" w:lineRule="auto"/>
            </w:pPr>
            <w:r w:rsidRPr="00DB64B0">
              <w:t>22</w:t>
            </w:r>
          </w:p>
        </w:tc>
        <w:tc>
          <w:tcPr>
            <w:tcW w:w="990" w:type="dxa"/>
          </w:tcPr>
          <w:p w:rsidR="00DB64B0" w:rsidRPr="00DB64B0" w:rsidRDefault="00DB64B0" w:rsidP="00DB64B0">
            <w:pPr>
              <w:spacing w:after="0" w:line="240" w:lineRule="auto"/>
            </w:pPr>
            <w:r w:rsidRPr="00DB64B0">
              <w:t>18</w:t>
            </w:r>
          </w:p>
        </w:tc>
        <w:tc>
          <w:tcPr>
            <w:tcW w:w="1368" w:type="dxa"/>
          </w:tcPr>
          <w:p w:rsidR="00DB64B0" w:rsidRPr="00DB64B0" w:rsidRDefault="00DB64B0" w:rsidP="00DB64B0">
            <w:pPr>
              <w:spacing w:after="0" w:line="240" w:lineRule="auto"/>
            </w:pPr>
            <w:r w:rsidRPr="00DB64B0">
              <w:t>2.1</w:t>
            </w:r>
          </w:p>
        </w:tc>
      </w:tr>
      <w:tr w:rsidR="00DB64B0" w:rsidRPr="00DB64B0" w:rsidTr="00A91AA7">
        <w:tc>
          <w:tcPr>
            <w:tcW w:w="2970" w:type="dxa"/>
            <w:vMerge/>
          </w:tcPr>
          <w:p w:rsidR="00DB64B0" w:rsidRPr="00DB64B0" w:rsidRDefault="00DB64B0" w:rsidP="00DB64B0">
            <w:pPr>
              <w:spacing w:after="0" w:line="240" w:lineRule="auto"/>
            </w:pPr>
          </w:p>
        </w:tc>
        <w:tc>
          <w:tcPr>
            <w:tcW w:w="900" w:type="dxa"/>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Total %</w:t>
            </w:r>
          </w:p>
        </w:tc>
        <w:tc>
          <w:tcPr>
            <w:tcW w:w="1260" w:type="dxa"/>
          </w:tcPr>
          <w:p w:rsidR="00DB64B0" w:rsidRPr="00DB64B0" w:rsidRDefault="00DB64B0" w:rsidP="00DB64B0">
            <w:pPr>
              <w:spacing w:after="0" w:line="240" w:lineRule="auto"/>
            </w:pPr>
            <w:r w:rsidRPr="00DB64B0">
              <w:t>6%</w:t>
            </w:r>
          </w:p>
        </w:tc>
        <w:tc>
          <w:tcPr>
            <w:tcW w:w="1080" w:type="dxa"/>
          </w:tcPr>
          <w:p w:rsidR="00DB64B0" w:rsidRPr="00DB64B0" w:rsidRDefault="00DB64B0" w:rsidP="00DB64B0">
            <w:pPr>
              <w:spacing w:after="0" w:line="240" w:lineRule="auto"/>
            </w:pPr>
            <w:r w:rsidRPr="00DB64B0">
              <w:t>14%</w:t>
            </w:r>
          </w:p>
        </w:tc>
        <w:tc>
          <w:tcPr>
            <w:tcW w:w="1170" w:type="dxa"/>
          </w:tcPr>
          <w:p w:rsidR="00DB64B0" w:rsidRPr="00DB64B0" w:rsidRDefault="00DB64B0" w:rsidP="00DB64B0">
            <w:pPr>
              <w:spacing w:after="0" w:line="240" w:lineRule="auto"/>
            </w:pPr>
            <w:r w:rsidRPr="00DB64B0">
              <w:t>44%</w:t>
            </w:r>
          </w:p>
        </w:tc>
        <w:tc>
          <w:tcPr>
            <w:tcW w:w="990" w:type="dxa"/>
          </w:tcPr>
          <w:p w:rsidR="00DB64B0" w:rsidRPr="00DB64B0" w:rsidRDefault="00DB64B0" w:rsidP="00DB64B0">
            <w:pPr>
              <w:spacing w:after="0" w:line="240" w:lineRule="auto"/>
            </w:pPr>
            <w:r w:rsidRPr="00DB64B0">
              <w:t>36%</w:t>
            </w:r>
          </w:p>
        </w:tc>
        <w:tc>
          <w:tcPr>
            <w:tcW w:w="1368" w:type="dxa"/>
          </w:tcPr>
          <w:p w:rsidR="00DB64B0" w:rsidRPr="00DB64B0" w:rsidRDefault="00DB64B0" w:rsidP="00DB64B0">
            <w:pPr>
              <w:spacing w:after="0" w:line="240" w:lineRule="auto"/>
            </w:pPr>
          </w:p>
        </w:tc>
      </w:tr>
      <w:tr w:rsidR="00DB64B0" w:rsidRPr="00DB64B0" w:rsidTr="00A91AA7">
        <w:trPr>
          <w:trHeight w:val="274"/>
        </w:trPr>
        <w:tc>
          <w:tcPr>
            <w:tcW w:w="2970" w:type="dxa"/>
            <w:vMerge w:val="restart"/>
            <w:shd w:val="clear" w:color="auto" w:fill="BFBFBF" w:themeFill="background1" w:themeFillShade="BF"/>
            <w:vAlign w:val="center"/>
          </w:tcPr>
          <w:p w:rsidR="00DB64B0" w:rsidRPr="00DB64B0" w:rsidRDefault="00DB64B0" w:rsidP="00DB64B0">
            <w:pPr>
              <w:spacing w:after="0" w:line="240" w:lineRule="auto"/>
              <w:jc w:val="center"/>
              <w:rPr>
                <w:rFonts w:ascii="Calibri" w:hAnsi="Calibri"/>
                <w:b/>
                <w:color w:val="000000"/>
              </w:rPr>
            </w:pPr>
            <w:r w:rsidRPr="00DB64B0">
              <w:rPr>
                <w:rFonts w:ascii="Calibri" w:hAnsi="Calibri"/>
                <w:b/>
                <w:color w:val="000000"/>
              </w:rPr>
              <w:t>Total Score For Focus Area #3</w:t>
            </w: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ES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8.8</w:t>
            </w:r>
          </w:p>
        </w:tc>
      </w:tr>
      <w:tr w:rsidR="00DB64B0" w:rsidRPr="00DB64B0" w:rsidTr="00A91AA7">
        <w:trPr>
          <w:trHeight w:val="274"/>
        </w:trPr>
        <w:tc>
          <w:tcPr>
            <w:tcW w:w="2970" w:type="dxa"/>
            <w:vMerge/>
            <w:shd w:val="clear" w:color="auto" w:fill="BFBFBF" w:themeFill="background1" w:themeFillShade="BF"/>
          </w:tcPr>
          <w:p w:rsidR="00DB64B0" w:rsidRPr="00DB64B0" w:rsidRDefault="00DB64B0" w:rsidP="00DB64B0">
            <w:pPr>
              <w:spacing w:after="0" w:line="240" w:lineRule="auto"/>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MS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8.5</w:t>
            </w:r>
          </w:p>
        </w:tc>
      </w:tr>
      <w:tr w:rsidR="00DB64B0" w:rsidRPr="00DB64B0" w:rsidTr="00A91AA7">
        <w:trPr>
          <w:trHeight w:val="274"/>
        </w:trPr>
        <w:tc>
          <w:tcPr>
            <w:tcW w:w="2970" w:type="dxa"/>
            <w:vMerge/>
            <w:shd w:val="clear" w:color="auto" w:fill="BFBFBF" w:themeFill="background1" w:themeFillShade="BF"/>
          </w:tcPr>
          <w:p w:rsidR="00DB64B0" w:rsidRPr="00DB64B0" w:rsidRDefault="00DB64B0" w:rsidP="00DB64B0">
            <w:pPr>
              <w:spacing w:after="0" w:line="240" w:lineRule="auto"/>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rPr>
                <w:rFonts w:ascii="Calibri" w:hAnsi="Calibri"/>
                <w:b/>
                <w:bCs/>
                <w:color w:val="000000"/>
                <w:sz w:val="20"/>
                <w:szCs w:val="20"/>
              </w:rPr>
            </w:pPr>
            <w:r w:rsidRPr="00DB64B0">
              <w:rPr>
                <w:rFonts w:ascii="Calibri" w:hAnsi="Calibri"/>
                <w:b/>
                <w:bCs/>
                <w:color w:val="000000"/>
                <w:sz w:val="20"/>
                <w:szCs w:val="20"/>
              </w:rPr>
              <w:t>HS</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6.9</w:t>
            </w:r>
          </w:p>
        </w:tc>
      </w:tr>
      <w:tr w:rsidR="00DB64B0" w:rsidRPr="00DB64B0" w:rsidTr="00A91AA7">
        <w:trPr>
          <w:trHeight w:val="274"/>
        </w:trPr>
        <w:tc>
          <w:tcPr>
            <w:tcW w:w="2970" w:type="dxa"/>
            <w:vMerge/>
            <w:shd w:val="clear" w:color="auto" w:fill="BFBFBF" w:themeFill="background1" w:themeFillShade="BF"/>
          </w:tcPr>
          <w:p w:rsidR="00DB64B0" w:rsidRPr="00DB64B0" w:rsidRDefault="00DB64B0" w:rsidP="00DB64B0">
            <w:pPr>
              <w:spacing w:after="0" w:line="240" w:lineRule="auto"/>
              <w:rPr>
                <w:rFonts w:ascii="Calibri" w:hAnsi="Calibri"/>
                <w:b/>
                <w:color w:val="000000"/>
              </w:rPr>
            </w:pPr>
          </w:p>
        </w:tc>
        <w:tc>
          <w:tcPr>
            <w:tcW w:w="900" w:type="dxa"/>
            <w:shd w:val="clear" w:color="auto" w:fill="BFBFBF" w:themeFill="background1" w:themeFillShade="BF"/>
          </w:tcPr>
          <w:p w:rsidR="00DB64B0" w:rsidRPr="00DB64B0" w:rsidRDefault="00DB64B0" w:rsidP="00DB64B0">
            <w:pPr>
              <w:spacing w:after="0" w:line="240" w:lineRule="auto"/>
            </w:pPr>
            <w:r w:rsidRPr="00DB64B0">
              <w:rPr>
                <w:rFonts w:ascii="Calibri" w:hAnsi="Calibri"/>
                <w:b/>
                <w:bCs/>
                <w:color w:val="000000"/>
                <w:sz w:val="20"/>
                <w:szCs w:val="20"/>
              </w:rPr>
              <w:t>Total</w:t>
            </w:r>
          </w:p>
        </w:tc>
        <w:tc>
          <w:tcPr>
            <w:tcW w:w="1260" w:type="dxa"/>
            <w:shd w:val="clear" w:color="auto" w:fill="BFBFBF" w:themeFill="background1" w:themeFillShade="BF"/>
          </w:tcPr>
          <w:p w:rsidR="00DB64B0" w:rsidRPr="00DB64B0" w:rsidRDefault="00DB64B0" w:rsidP="00DB64B0">
            <w:pPr>
              <w:spacing w:after="0" w:line="240" w:lineRule="auto"/>
            </w:pPr>
          </w:p>
        </w:tc>
        <w:tc>
          <w:tcPr>
            <w:tcW w:w="1080" w:type="dxa"/>
            <w:shd w:val="clear" w:color="auto" w:fill="BFBFBF" w:themeFill="background1" w:themeFillShade="BF"/>
          </w:tcPr>
          <w:p w:rsidR="00DB64B0" w:rsidRPr="00DB64B0" w:rsidRDefault="00DB64B0" w:rsidP="00DB64B0">
            <w:pPr>
              <w:spacing w:after="0" w:line="240" w:lineRule="auto"/>
            </w:pPr>
          </w:p>
        </w:tc>
        <w:tc>
          <w:tcPr>
            <w:tcW w:w="1170" w:type="dxa"/>
            <w:shd w:val="clear" w:color="auto" w:fill="BFBFBF" w:themeFill="background1" w:themeFillShade="BF"/>
          </w:tcPr>
          <w:p w:rsidR="00DB64B0" w:rsidRPr="00DB64B0" w:rsidRDefault="00DB64B0" w:rsidP="00DB64B0">
            <w:pPr>
              <w:spacing w:after="0" w:line="240" w:lineRule="auto"/>
            </w:pPr>
          </w:p>
        </w:tc>
        <w:tc>
          <w:tcPr>
            <w:tcW w:w="990" w:type="dxa"/>
            <w:shd w:val="clear" w:color="auto" w:fill="BFBFBF" w:themeFill="background1" w:themeFillShade="BF"/>
          </w:tcPr>
          <w:p w:rsidR="00DB64B0" w:rsidRPr="00DB64B0" w:rsidRDefault="00DB64B0" w:rsidP="00DB64B0">
            <w:pPr>
              <w:spacing w:after="0" w:line="240" w:lineRule="auto"/>
            </w:pPr>
          </w:p>
        </w:tc>
        <w:tc>
          <w:tcPr>
            <w:tcW w:w="1368" w:type="dxa"/>
            <w:shd w:val="clear" w:color="auto" w:fill="BFBFBF" w:themeFill="background1" w:themeFillShade="BF"/>
          </w:tcPr>
          <w:p w:rsidR="00DB64B0" w:rsidRPr="00DB64B0" w:rsidRDefault="00DB64B0" w:rsidP="00DB64B0">
            <w:pPr>
              <w:spacing w:after="0" w:line="240" w:lineRule="auto"/>
            </w:pPr>
            <w:r w:rsidRPr="00DB64B0">
              <w:t>8.1</w:t>
            </w:r>
          </w:p>
        </w:tc>
      </w:tr>
    </w:tbl>
    <w:p w:rsidR="00DB64B0" w:rsidRDefault="00DB64B0">
      <w:pPr>
        <w:spacing w:after="0" w:line="240" w:lineRule="auto"/>
      </w:pPr>
    </w:p>
    <w:p w:rsidR="00DB64B0" w:rsidRDefault="00DB64B0">
      <w:pPr>
        <w:spacing w:after="0" w:line="240" w:lineRule="auto"/>
      </w:pPr>
    </w:p>
    <w:p w:rsidR="003F0BCE" w:rsidRPr="003F0BCE" w:rsidRDefault="003F0BCE" w:rsidP="003F0BCE">
      <w:pPr>
        <w:spacing w:after="0" w:line="240" w:lineRule="auto"/>
      </w:pPr>
    </w:p>
    <w:p w:rsidR="00D21BCE" w:rsidRDefault="00D21BCE">
      <w:pPr>
        <w:spacing w:after="0" w:line="240" w:lineRule="auto"/>
      </w:pPr>
    </w:p>
    <w:sectPr w:rsidR="00D21BCE" w:rsidSect="002F1EBE">
      <w:footerReference w:type="default" r:id="rId2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78" w:rsidRDefault="00A07B78" w:rsidP="00B93273">
      <w:pPr>
        <w:spacing w:after="0" w:line="240" w:lineRule="auto"/>
      </w:pPr>
      <w:r>
        <w:separator/>
      </w:r>
    </w:p>
  </w:endnote>
  <w:endnote w:type="continuationSeparator" w:id="0">
    <w:p w:rsidR="00A07B78" w:rsidRDefault="00A07B7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83402"/>
      <w:docPartObj>
        <w:docPartGallery w:val="Page Numbers (Bottom of Page)"/>
        <w:docPartUnique/>
      </w:docPartObj>
    </w:sdtPr>
    <w:sdtEndPr/>
    <w:sdtContent>
      <w:p w:rsidR="00BA41FE" w:rsidRDefault="00F816F4">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rsidR="00BA41FE" w:rsidRDefault="00BA4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A41FE" w:rsidRDefault="00F816F4">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rsidR="00BA41FE" w:rsidRDefault="00BA41FE"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78" w:rsidRDefault="00A07B78" w:rsidP="00B93273">
      <w:pPr>
        <w:spacing w:after="0" w:line="240" w:lineRule="auto"/>
      </w:pPr>
      <w:r>
        <w:separator/>
      </w:r>
    </w:p>
  </w:footnote>
  <w:footnote w:type="continuationSeparator" w:id="0">
    <w:p w:rsidR="00A07B78" w:rsidRDefault="00A07B78" w:rsidP="00B93273">
      <w:pPr>
        <w:spacing w:after="0" w:line="240" w:lineRule="auto"/>
      </w:pPr>
      <w:r>
        <w:continuationSeparator/>
      </w:r>
    </w:p>
  </w:footnote>
  <w:footnote w:id="1">
    <w:p w:rsidR="00BA41FE" w:rsidRPr="00C86B48" w:rsidRDefault="00BA41FE">
      <w:pPr>
        <w:pStyle w:val="FootnoteText"/>
      </w:pPr>
      <w:r w:rsidRPr="00C86B48">
        <w:rPr>
          <w:rStyle w:val="FootnoteReference"/>
          <w:sz w:val="19"/>
          <w:szCs w:val="19"/>
        </w:rPr>
        <w:footnoteRef/>
      </w:r>
      <w:r w:rsidRPr="00C86B48">
        <w:t xml:space="preserve"> Dighton-Rehoboth is a Level 2 district because all its schools are classified as Level 2.</w:t>
      </w:r>
    </w:p>
  </w:footnote>
  <w:footnote w:id="2">
    <w:p w:rsidR="00BA41FE" w:rsidRDefault="00BA41FE">
      <w:pPr>
        <w:pStyle w:val="FootnoteText"/>
      </w:pPr>
      <w:r w:rsidRPr="00C86B48">
        <w:rPr>
          <w:rStyle w:val="FootnoteReference"/>
          <w:sz w:val="19"/>
          <w:szCs w:val="19"/>
        </w:rPr>
        <w:footnoteRef/>
      </w:r>
      <w:r w:rsidRPr="00C86B48">
        <w:t xml:space="preserve"> </w:t>
      </w:r>
      <w:hyperlink r:id="rId1" w:history="1">
        <w:r w:rsidRPr="00C86B48">
          <w:rPr>
            <w:rStyle w:val="Hyperlink"/>
          </w:rPr>
          <w:t>Massachusetts General Laws, Chapter 71, Section 16B: Budgets; apportionment of expenses</w:t>
        </w:r>
      </w:hyperlink>
    </w:p>
  </w:footnote>
  <w:footnote w:id="3">
    <w:p w:rsidR="00BA41FE" w:rsidRPr="00237A8C" w:rsidRDefault="00BA41FE" w:rsidP="006B7861">
      <w:pPr>
        <w:pStyle w:val="FootnoteText"/>
        <w:rPr>
          <w:sz w:val="19"/>
          <w:szCs w:val="19"/>
        </w:rPr>
      </w:pPr>
      <w:r w:rsidRPr="009B75AC">
        <w:rPr>
          <w:rStyle w:val="FootnoteReference"/>
          <w:sz w:val="19"/>
          <w:szCs w:val="19"/>
        </w:rPr>
        <w:footnoteRef/>
      </w:r>
      <w:r w:rsidRPr="009B75AC">
        <w:rPr>
          <w:sz w:val="19"/>
          <w:szCs w:val="19"/>
        </w:rPr>
        <w:t xml:space="preserve"> The economically disadvantaged subgroup does not have a CPI target and rating because 2015 is the first year that a CPI was calculated for the economically disadvantaged group</w:t>
      </w:r>
      <w:r>
        <w:rPr>
          <w:sz w:val="19"/>
          <w:szCs w:val="19"/>
        </w:rPr>
        <w:t>; this CPI</w:t>
      </w:r>
      <w:r w:rsidRPr="009B75AC">
        <w:rPr>
          <w:sz w:val="19"/>
          <w:szCs w:val="19"/>
        </w:rPr>
        <w:t xml:space="preserve"> will serve as a baseline for future years</w:t>
      </w:r>
      <w:r>
        <w:rPr>
          <w:sz w:val="19"/>
          <w:szCs w:val="19"/>
        </w:rPr>
        <w:t>’</w:t>
      </w:r>
      <w:r w:rsidRPr="009B75AC">
        <w:rPr>
          <w:sz w:val="19"/>
          <w:szCs w:val="19"/>
        </w:rPr>
        <w:t xml:space="preserve"> CPI targets.</w:t>
      </w:r>
    </w:p>
  </w:footnote>
  <w:footnote w:id="4">
    <w:p w:rsidR="00BA41FE" w:rsidRPr="00EE7DFB" w:rsidRDefault="00BA41FE" w:rsidP="006B7861">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w:t>
      </w:r>
      <w:r>
        <w:rPr>
          <w:sz w:val="19"/>
          <w:szCs w:val="19"/>
        </w:rPr>
        <w:t>Students from l</w:t>
      </w:r>
      <w:r w:rsidRPr="00EE7DFB">
        <w:rPr>
          <w:sz w:val="19"/>
          <w:szCs w:val="19"/>
        </w:rPr>
        <w:t xml:space="preserve">ow-income </w:t>
      </w:r>
      <w:r>
        <w:rPr>
          <w:sz w:val="19"/>
          <w:szCs w:val="19"/>
        </w:rPr>
        <w:t>families</w:t>
      </w:r>
      <w:r w:rsidRPr="00EE7DFB">
        <w:rPr>
          <w:sz w:val="19"/>
          <w:szCs w:val="19"/>
        </w:rPr>
        <w:t xml:space="preserve"> did not receive a 2016 accountability rating because of the change to the economically disadvantaged measure.</w:t>
      </w:r>
    </w:p>
  </w:footnote>
  <w:footnote w:id="5">
    <w:p w:rsidR="00BA41FE" w:rsidRPr="00850ADB" w:rsidRDefault="00BA41FE" w:rsidP="006B7861">
      <w:pPr>
        <w:pStyle w:val="FootnoteText"/>
        <w:rPr>
          <w:sz w:val="19"/>
          <w:szCs w:val="19"/>
        </w:rPr>
      </w:pPr>
      <w:r w:rsidRPr="00BD44BB">
        <w:rPr>
          <w:rStyle w:val="FootnoteReference"/>
          <w:sz w:val="19"/>
          <w:szCs w:val="19"/>
        </w:rPr>
        <w:footnoteRef/>
      </w:r>
      <w:r w:rsidRPr="00BD44BB">
        <w:rPr>
          <w:sz w:val="19"/>
          <w:szCs w:val="19"/>
        </w:rPr>
        <w:t xml:space="preserve"> </w:t>
      </w:r>
      <w:r w:rsidRPr="00850ADB">
        <w:rPr>
          <w:sz w:val="19"/>
          <w:szCs w:val="19"/>
        </w:rPr>
        <w:t>The five-year cohort graduation rate target is 85 percent for each group and refers to the 2014 graduation rate.  S</w:t>
      </w:r>
      <w:r w:rsidRPr="00BD44BB">
        <w:rPr>
          <w:sz w:val="19"/>
          <w:szCs w:val="19"/>
        </w:rPr>
        <w:t>tudents from low-income families did not receive a 2016 accountability rating because of the change to the economically disadvantaged measure.</w:t>
      </w:r>
    </w:p>
  </w:footnote>
  <w:footnote w:id="6">
    <w:p w:rsidR="00BA41FE" w:rsidRPr="00850ADB" w:rsidRDefault="00BA41FE" w:rsidP="006B7861">
      <w:pPr>
        <w:pStyle w:val="FootnoteText"/>
        <w:rPr>
          <w:sz w:val="19"/>
          <w:szCs w:val="19"/>
        </w:rPr>
      </w:pPr>
      <w:r w:rsidRPr="00BD44BB">
        <w:rPr>
          <w:rStyle w:val="FootnoteReference"/>
          <w:sz w:val="19"/>
          <w:szCs w:val="19"/>
        </w:rPr>
        <w:footnoteRef/>
      </w:r>
      <w:r w:rsidRPr="00BD44BB">
        <w:rPr>
          <w:sz w:val="19"/>
          <w:szCs w:val="19"/>
        </w:rPr>
        <w:t xml:space="preserve"> Drop-out rates for students from low-income families used for 2012, 2013, and 2014 drop-out rates for students from economically disadvantaged families.</w:t>
      </w:r>
    </w:p>
  </w:footnote>
  <w:footnote w:id="7">
    <w:p w:rsidR="00BA41FE" w:rsidRDefault="00BA41FE" w:rsidP="009229FE">
      <w:pPr>
        <w:tabs>
          <w:tab w:val="left" w:pos="240"/>
          <w:tab w:val="left" w:pos="360"/>
          <w:tab w:val="left" w:pos="1080"/>
          <w:tab w:val="left" w:pos="1440"/>
          <w:tab w:val="left" w:pos="1800"/>
          <w:tab w:val="left" w:pos="2160"/>
          <w:tab w:val="left" w:pos="2520"/>
          <w:tab w:val="left" w:pos="2880"/>
          <w:tab w:val="left" w:pos="2970"/>
        </w:tabs>
        <w:rPr>
          <w:highlight w:val="yellow"/>
        </w:rPr>
      </w:pPr>
      <w:r w:rsidRPr="009229FE">
        <w:rPr>
          <w:rStyle w:val="FootnoteReference"/>
          <w:sz w:val="19"/>
          <w:szCs w:val="19"/>
        </w:rPr>
        <w:footnoteRef/>
      </w:r>
      <w:r>
        <w:t xml:space="preserve"> </w:t>
      </w:r>
      <w:r w:rsidRPr="009229FE">
        <w:rPr>
          <w:sz w:val="19"/>
          <w:szCs w:val="19"/>
        </w:rPr>
        <w:t xml:space="preserve">Source: </w:t>
      </w:r>
      <w:r w:rsidRPr="009229FE">
        <w:rPr>
          <w:i/>
          <w:sz w:val="19"/>
          <w:szCs w:val="19"/>
        </w:rPr>
        <w:t>What Makes a Goal Smarter?</w:t>
      </w:r>
      <w:r w:rsidRPr="00910462">
        <w:t xml:space="preserve"> </w:t>
      </w:r>
      <w:r w:rsidRPr="009229FE">
        <w:rPr>
          <w:sz w:val="19"/>
          <w:szCs w:val="19"/>
        </w:rPr>
        <w:t>(</w:t>
      </w:r>
      <w:hyperlink r:id="rId2" w:history="1">
        <w:r w:rsidRPr="009229FE">
          <w:rPr>
            <w:rStyle w:val="Hyperlink"/>
            <w:sz w:val="19"/>
            <w:szCs w:val="19"/>
          </w:rPr>
          <w:t>http://www.doe.mass.edu/edeval/resources/presentations/SMARTGoals/Handout5.pdf</w:t>
        </w:r>
      </w:hyperlink>
      <w:r w:rsidRPr="009229FE">
        <w:rPr>
          <w:sz w:val="19"/>
          <w:szCs w:val="19"/>
        </w:rPr>
        <w:t>)</w:t>
      </w:r>
      <w:r w:rsidRPr="00910462">
        <w:t xml:space="preserve"> </w:t>
      </w:r>
    </w:p>
    <w:p w:rsidR="00BA41FE" w:rsidRDefault="00BA41FE">
      <w:pPr>
        <w:pStyle w:val="FootnoteText"/>
      </w:pPr>
    </w:p>
  </w:footnote>
  <w:footnote w:id="8">
    <w:p w:rsidR="00BA41FE" w:rsidRDefault="00BA41FE" w:rsidP="00B036D9">
      <w:pPr>
        <w:pStyle w:val="FootnoteText"/>
        <w:rPr>
          <w:sz w:val="19"/>
          <w:szCs w:val="19"/>
        </w:rPr>
      </w:pPr>
      <w:r w:rsidRPr="00982B6D">
        <w:rPr>
          <w:rStyle w:val="FootnoteReference"/>
          <w:sz w:val="19"/>
          <w:szCs w:val="19"/>
        </w:rPr>
        <w:footnoteRef/>
      </w:r>
      <w:r w:rsidRPr="00982B6D">
        <w:rPr>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BA41FE" w:rsidRDefault="00BA41FE" w:rsidP="00B036D9">
      <w:pPr>
        <w:pStyle w:val="FootnoteText"/>
      </w:pPr>
    </w:p>
    <w:p w:rsidR="00BA41FE" w:rsidRDefault="00BA41FE">
      <w:pPr>
        <w:pStyle w:val="FootnoteText"/>
      </w:pPr>
    </w:p>
  </w:footnote>
  <w:footnote w:id="9">
    <w:p w:rsidR="00BA41FE" w:rsidRPr="008E4E71" w:rsidRDefault="00BA41FE" w:rsidP="008E4E71">
      <w:pPr>
        <w:pStyle w:val="FootnoteText"/>
        <w:rPr>
          <w:sz w:val="19"/>
          <w:szCs w:val="19"/>
        </w:rPr>
      </w:pPr>
      <w:r w:rsidRPr="00982B6D">
        <w:rPr>
          <w:rStyle w:val="FootnoteReference"/>
          <w:sz w:val="19"/>
          <w:szCs w:val="19"/>
        </w:rPr>
        <w:footnoteRef/>
      </w:r>
      <w:r w:rsidRPr="00982B6D">
        <w:rPr>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3" w:history="1">
        <w:r w:rsidRPr="00982B6D">
          <w:rPr>
            <w:rStyle w:val="Hyperlink"/>
            <w:sz w:val="19"/>
            <w:szCs w:val="19"/>
          </w:rPr>
          <w:t>amended regulations</w:t>
        </w:r>
      </w:hyperlink>
      <w:r w:rsidRPr="00982B6D">
        <w:rPr>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BA41FE" w:rsidRDefault="00BA41FE">
      <w:pPr>
        <w:pStyle w:val="FootnoteText"/>
      </w:pPr>
    </w:p>
  </w:footnote>
  <w:footnote w:id="10">
    <w:p w:rsidR="00BA41FE" w:rsidRDefault="00BA41FE" w:rsidP="00762515">
      <w:pPr>
        <w:pStyle w:val="FootnoteText"/>
      </w:pPr>
      <w:r>
        <w:rPr>
          <w:rStyle w:val="FootnoteReference"/>
        </w:rPr>
        <w:footnoteRef/>
      </w:r>
      <w:r>
        <w:t xml:space="preserve"> Low income numbers used for economically disadvantaged for 2012, 2013,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FE" w:rsidRPr="004A551A" w:rsidRDefault="00BA41FE" w:rsidP="002F1EBE">
    <w:pPr>
      <w:spacing w:after="240"/>
      <w:rPr>
        <w:sz w:val="19"/>
        <w:szCs w:val="19"/>
      </w:rPr>
    </w:pPr>
    <w:r>
      <w:rPr>
        <w:sz w:val="19"/>
        <w:szCs w:val="19"/>
      </w:rPr>
      <w:t>Dighton-Rehoboth Regional School District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FE" w:rsidRDefault="00BA41FE">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145"/>
    <w:multiLevelType w:val="hybridMultilevel"/>
    <w:tmpl w:val="BB8C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2A9"/>
    <w:multiLevelType w:val="hybridMultilevel"/>
    <w:tmpl w:val="7B560DB6"/>
    <w:lvl w:ilvl="0" w:tplc="8BE2B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50EAF"/>
    <w:multiLevelType w:val="hybridMultilevel"/>
    <w:tmpl w:val="118C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C1B9D"/>
    <w:multiLevelType w:val="hybridMultilevel"/>
    <w:tmpl w:val="39C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24AD2"/>
    <w:multiLevelType w:val="hybridMultilevel"/>
    <w:tmpl w:val="E6362FFC"/>
    <w:lvl w:ilvl="0" w:tplc="42AE921A">
      <w:start w:val="1"/>
      <w:numFmt w:val="upperLetter"/>
      <w:lvlText w:val="%1."/>
      <w:lvlJc w:val="left"/>
      <w:pPr>
        <w:ind w:left="720" w:hanging="360"/>
      </w:pPr>
      <w:rPr>
        <w:rFonts w:asciiTheme="minorHAnsi" w:eastAsia="Times New Roman" w:hAnsiTheme="min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24D0"/>
    <w:multiLevelType w:val="hybridMultilevel"/>
    <w:tmpl w:val="F4ECB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D7791"/>
    <w:multiLevelType w:val="hybridMultilevel"/>
    <w:tmpl w:val="945AC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01A15"/>
    <w:multiLevelType w:val="multilevel"/>
    <w:tmpl w:val="573CFDB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7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B485635"/>
    <w:multiLevelType w:val="hybridMultilevel"/>
    <w:tmpl w:val="287C8222"/>
    <w:lvl w:ilvl="0" w:tplc="0409000F">
      <w:start w:val="1"/>
      <w:numFmt w:val="decimal"/>
      <w:lvlText w:val="%1."/>
      <w:lvlJc w:val="left"/>
      <w:pPr>
        <w:ind w:left="4320" w:hanging="360"/>
      </w:pPr>
      <w:rPr>
        <w:rFonts w:cs="Times New Roman"/>
      </w:rPr>
    </w:lvl>
    <w:lvl w:ilvl="1" w:tplc="445E22BA">
      <w:start w:val="1"/>
      <w:numFmt w:val="upperLetter"/>
      <w:lvlText w:val="%2."/>
      <w:lvlJc w:val="left"/>
      <w:pPr>
        <w:ind w:hanging="360"/>
      </w:pPr>
      <w:rPr>
        <w:rFonts w:cs="Times New Roman" w:hint="default"/>
        <w:b/>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12" w15:restartNumberingAfterBreak="0">
    <w:nsid w:val="1F8F5CF5"/>
    <w:multiLevelType w:val="hybridMultilevel"/>
    <w:tmpl w:val="95AE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C0D07"/>
    <w:multiLevelType w:val="hybridMultilevel"/>
    <w:tmpl w:val="A8A6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74F2F"/>
    <w:multiLevelType w:val="hybridMultilevel"/>
    <w:tmpl w:val="F7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D1CD5"/>
    <w:multiLevelType w:val="hybridMultilevel"/>
    <w:tmpl w:val="CCCA0C68"/>
    <w:lvl w:ilvl="0" w:tplc="AEE05FD0">
      <w:start w:val="1"/>
      <w:numFmt w:val="upperLetter"/>
      <w:lvlText w:val="%1."/>
      <w:lvlJc w:val="left"/>
      <w:pPr>
        <w:ind w:left="1080" w:hanging="360"/>
      </w:pPr>
      <w:rPr>
        <w:rFonts w:asciiTheme="minorHAnsi" w:eastAsiaTheme="minorHAnsi" w:hAnsiTheme="minorHAnsi" w:cstheme="minorBidi"/>
        <w:b/>
      </w:rPr>
    </w:lvl>
    <w:lvl w:ilvl="1" w:tplc="68F645C4">
      <w:start w:val="1"/>
      <w:numFmt w:val="lowerLetter"/>
      <w:lvlText w:val="%2."/>
      <w:lvlJc w:val="left"/>
      <w:pPr>
        <w:ind w:left="1800" w:hanging="360"/>
      </w:pPr>
      <w:rPr>
        <w:rFonts w:asciiTheme="minorHAnsi" w:eastAsiaTheme="minorHAnsi" w:hAnsiTheme="minorHAnsi" w:cstheme="minorBidi"/>
      </w:rPr>
    </w:lvl>
    <w:lvl w:ilvl="2" w:tplc="715A10A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D5FDB"/>
    <w:multiLevelType w:val="multilevel"/>
    <w:tmpl w:val="B8E4B3C2"/>
    <w:lvl w:ilvl="0">
      <w:start w:val="1"/>
      <w:numFmt w:val="upperLetter"/>
      <w:lvlText w:val="%1."/>
      <w:lvlJc w:val="left"/>
      <w:pPr>
        <w:ind w:hanging="360"/>
      </w:pPr>
      <w:rPr>
        <w:rFonts w:cs="Times New Roman" w:hint="default"/>
        <w:b/>
        <w:i w:val="0"/>
      </w:rPr>
    </w:lvl>
    <w:lvl w:ilvl="1">
      <w:start w:val="1"/>
      <w:numFmt w:val="upperLetter"/>
      <w:lvlText w:val="%2."/>
      <w:lvlJc w:val="left"/>
      <w:pPr>
        <w:ind w:left="360" w:hanging="360"/>
      </w:pPr>
      <w:rPr>
        <w:rFonts w:cs="Times New Roman" w:hint="default"/>
        <w:b/>
        <w:i w:val="0"/>
      </w:rPr>
    </w:lvl>
    <w:lvl w:ilvl="2">
      <w:start w:val="1"/>
      <w:numFmt w:val="decimal"/>
      <w:lvlText w:val="%3."/>
      <w:lvlJc w:val="left"/>
      <w:pPr>
        <w:ind w:left="720" w:hanging="360"/>
      </w:pPr>
      <w:rPr>
        <w:rFonts w:cs="Times New Roman"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cs="Times New Roman" w:hint="default"/>
        <w:b w:val="0"/>
        <w:i w:val="0"/>
      </w:rPr>
    </w:lvl>
    <w:lvl w:ilvl="5">
      <w:start w:val="1"/>
      <w:numFmt w:val="lowerRoman"/>
      <w:lvlText w:val="(%6)"/>
      <w:lvlJc w:val="left"/>
      <w:pPr>
        <w:ind w:left="1800" w:hanging="360"/>
      </w:pPr>
      <w:rPr>
        <w:rFonts w:cs="Times New Roman" w:hint="default"/>
      </w:rPr>
    </w:lvl>
    <w:lvl w:ilvl="6">
      <w:start w:val="1"/>
      <w:numFmt w:val="decimal"/>
      <w:lvlText w:val="%7."/>
      <w:lvlJc w:val="left"/>
      <w:pPr>
        <w:ind w:left="2160" w:hanging="360"/>
      </w:pPr>
      <w:rPr>
        <w:rFonts w:cs="Times New Roman" w:hint="default"/>
      </w:rPr>
    </w:lvl>
    <w:lvl w:ilvl="7">
      <w:start w:val="1"/>
      <w:numFmt w:val="lowerLetter"/>
      <w:lvlText w:val="%8."/>
      <w:lvlJc w:val="left"/>
      <w:pPr>
        <w:ind w:left="2520" w:hanging="360"/>
      </w:pPr>
      <w:rPr>
        <w:rFonts w:cs="Times New Roman" w:hint="default"/>
      </w:rPr>
    </w:lvl>
    <w:lvl w:ilvl="8">
      <w:start w:val="1"/>
      <w:numFmt w:val="lowerRoman"/>
      <w:lvlText w:val="%9."/>
      <w:lvlJc w:val="left"/>
      <w:pPr>
        <w:ind w:left="2880" w:hanging="360"/>
      </w:pPr>
      <w:rPr>
        <w:rFonts w:cs="Times New Roman" w:hint="default"/>
      </w:rPr>
    </w:lvl>
  </w:abstractNum>
  <w:abstractNum w:abstractNumId="18" w15:restartNumberingAfterBreak="0">
    <w:nsid w:val="3A33638F"/>
    <w:multiLevelType w:val="hybridMultilevel"/>
    <w:tmpl w:val="D3A02514"/>
    <w:lvl w:ilvl="0" w:tplc="1BB677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D688BD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73CFD"/>
    <w:multiLevelType w:val="hybridMultilevel"/>
    <w:tmpl w:val="ED70903E"/>
    <w:lvl w:ilvl="0" w:tplc="FF3EB6C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AF76F0"/>
    <w:multiLevelType w:val="hybridMultilevel"/>
    <w:tmpl w:val="D3A02514"/>
    <w:lvl w:ilvl="0" w:tplc="1BB677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D688BDEA">
      <w:start w:val="1"/>
      <w:numFmt w:val="upperLetter"/>
      <w:lvlText w:val="%3."/>
      <w:lvlJc w:val="left"/>
      <w:pPr>
        <w:ind w:left="99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421845BB"/>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786"/>
    <w:multiLevelType w:val="hybridMultilevel"/>
    <w:tmpl w:val="F7146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13A08"/>
    <w:multiLevelType w:val="hybridMultilevel"/>
    <w:tmpl w:val="0E5E6ACC"/>
    <w:lvl w:ilvl="0" w:tplc="445E22BA">
      <w:start w:val="1"/>
      <w:numFmt w:val="upperLetter"/>
      <w:lvlText w:val="%1."/>
      <w:lvlJc w:val="left"/>
      <w:pPr>
        <w:ind w:hanging="360"/>
      </w:pPr>
      <w:rPr>
        <w:rFonts w:cs="Times New Roman" w:hint="default"/>
        <w:b/>
      </w:rPr>
    </w:lvl>
    <w:lvl w:ilvl="1" w:tplc="25D261A6">
      <w:start w:val="2"/>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2354D"/>
    <w:multiLevelType w:val="hybridMultilevel"/>
    <w:tmpl w:val="DB12EB5E"/>
    <w:lvl w:ilvl="0" w:tplc="1BB6772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821517F"/>
    <w:multiLevelType w:val="hybridMultilevel"/>
    <w:tmpl w:val="CE8A0F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15AF3"/>
    <w:multiLevelType w:val="hybridMultilevel"/>
    <w:tmpl w:val="6BC2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836BD"/>
    <w:multiLevelType w:val="multilevel"/>
    <w:tmpl w:val="1A544F12"/>
    <w:lvl w:ilvl="0">
      <w:start w:val="3"/>
      <w:numFmt w:val="upperLetter"/>
      <w:lvlText w:val="%1."/>
      <w:lvlJc w:val="left"/>
      <w:pPr>
        <w:ind w:hanging="360"/>
      </w:pPr>
      <w:rPr>
        <w:rFonts w:cs="Times New Roman" w:hint="default"/>
        <w:b/>
        <w:i w:val="0"/>
      </w:rPr>
    </w:lvl>
    <w:lvl w:ilvl="1">
      <w:start w:val="1"/>
      <w:numFmt w:val="upperLetter"/>
      <w:lvlText w:val="%2."/>
      <w:lvlJc w:val="left"/>
      <w:pPr>
        <w:ind w:left="360" w:hanging="360"/>
      </w:pPr>
      <w:rPr>
        <w:rFonts w:cs="Times New Roman" w:hint="default"/>
        <w:b/>
        <w:i w:val="0"/>
      </w:rPr>
    </w:lvl>
    <w:lvl w:ilvl="2">
      <w:start w:val="1"/>
      <w:numFmt w:val="decimal"/>
      <w:lvlText w:val="%3."/>
      <w:lvlJc w:val="left"/>
      <w:pPr>
        <w:ind w:left="1170" w:hanging="360"/>
      </w:pPr>
      <w:rPr>
        <w:rFonts w:cs="Times New Roman" w:hint="default"/>
        <w:b w:val="0"/>
        <w:i w:val="0"/>
      </w:rPr>
    </w:lvl>
    <w:lvl w:ilvl="3">
      <w:start w:val="1"/>
      <w:numFmt w:val="lowerLetter"/>
      <w:lvlText w:val="%4."/>
      <w:lvlJc w:val="left"/>
      <w:pPr>
        <w:ind w:left="1080" w:hanging="360"/>
      </w:pPr>
      <w:rPr>
        <w:rFonts w:cs="Times New Roman" w:hint="default"/>
        <w:b w:val="0"/>
        <w:i w:val="0"/>
      </w:rPr>
    </w:lvl>
    <w:lvl w:ilvl="4">
      <w:start w:val="1"/>
      <w:numFmt w:val="lowerRoman"/>
      <w:lvlText w:val="%5."/>
      <w:lvlJc w:val="right"/>
      <w:pPr>
        <w:ind w:left="1440" w:hanging="360"/>
      </w:pPr>
      <w:rPr>
        <w:rFonts w:cs="Times New Roman" w:hint="default"/>
        <w:b w:val="0"/>
        <w:i w:val="0"/>
      </w:rPr>
    </w:lvl>
    <w:lvl w:ilvl="5">
      <w:start w:val="1"/>
      <w:numFmt w:val="lowerRoman"/>
      <w:lvlText w:val="(%6)"/>
      <w:lvlJc w:val="left"/>
      <w:pPr>
        <w:ind w:left="1800" w:hanging="360"/>
      </w:pPr>
      <w:rPr>
        <w:rFonts w:cs="Times New Roman" w:hint="default"/>
      </w:rPr>
    </w:lvl>
    <w:lvl w:ilvl="6">
      <w:start w:val="1"/>
      <w:numFmt w:val="decimal"/>
      <w:lvlText w:val="%7."/>
      <w:lvlJc w:val="left"/>
      <w:pPr>
        <w:ind w:left="2160" w:hanging="360"/>
      </w:pPr>
      <w:rPr>
        <w:rFonts w:cs="Times New Roman" w:hint="default"/>
      </w:rPr>
    </w:lvl>
    <w:lvl w:ilvl="7">
      <w:start w:val="1"/>
      <w:numFmt w:val="lowerLetter"/>
      <w:lvlText w:val="%8."/>
      <w:lvlJc w:val="left"/>
      <w:pPr>
        <w:ind w:left="2520" w:hanging="360"/>
      </w:pPr>
      <w:rPr>
        <w:rFonts w:cs="Times New Roman" w:hint="default"/>
      </w:rPr>
    </w:lvl>
    <w:lvl w:ilvl="8">
      <w:start w:val="1"/>
      <w:numFmt w:val="lowerRoman"/>
      <w:lvlText w:val="%9."/>
      <w:lvlJc w:val="left"/>
      <w:pPr>
        <w:ind w:left="2880" w:hanging="360"/>
      </w:pPr>
      <w:rPr>
        <w:rFonts w:cs="Times New Roman" w:hint="default"/>
      </w:rPr>
    </w:lvl>
  </w:abstractNum>
  <w:abstractNum w:abstractNumId="32" w15:restartNumberingAfterBreak="0">
    <w:nsid w:val="4E2F31F4"/>
    <w:multiLevelType w:val="multilevel"/>
    <w:tmpl w:val="EEA85B1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50336812"/>
    <w:multiLevelType w:val="hybridMultilevel"/>
    <w:tmpl w:val="AE78ACA4"/>
    <w:lvl w:ilvl="0" w:tplc="9AFAEE58">
      <w:start w:val="3"/>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60FC2"/>
    <w:multiLevelType w:val="hybridMultilevel"/>
    <w:tmpl w:val="B2CCD980"/>
    <w:lvl w:ilvl="0" w:tplc="445E22BA">
      <w:start w:val="1"/>
      <w:numFmt w:val="upperLetter"/>
      <w:lvlText w:val="%1."/>
      <w:lvlJc w:val="left"/>
      <w:pPr>
        <w:ind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2874025"/>
    <w:multiLevelType w:val="hybridMultilevel"/>
    <w:tmpl w:val="09741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B0503"/>
    <w:multiLevelType w:val="hybridMultilevel"/>
    <w:tmpl w:val="644E59A4"/>
    <w:lvl w:ilvl="0" w:tplc="8A9E7B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7B5B56"/>
    <w:multiLevelType w:val="hybridMultilevel"/>
    <w:tmpl w:val="AD0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FF1F1B"/>
    <w:multiLevelType w:val="hybridMultilevel"/>
    <w:tmpl w:val="8A5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F2F87"/>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5F5505C1"/>
    <w:multiLevelType w:val="hybridMultilevel"/>
    <w:tmpl w:val="867CD2AC"/>
    <w:lvl w:ilvl="0" w:tplc="A184D536">
      <w:start w:val="1"/>
      <w:numFmt w:val="lowerLetter"/>
      <w:lvlText w:val="%1."/>
      <w:lvlJc w:val="left"/>
      <w:pPr>
        <w:ind w:left="1350" w:hanging="360"/>
      </w:pPr>
      <w:rPr>
        <w:rFonts w:asciiTheme="minorHAnsi" w:eastAsia="Times New Roman" w:hAnsiTheme="minorHAnsi"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12C6B92">
      <w:start w:val="1"/>
      <w:numFmt w:val="lowerLetter"/>
      <w:lvlText w:val="%4."/>
      <w:lvlJc w:val="left"/>
      <w:pPr>
        <w:ind w:left="3600" w:hanging="360"/>
      </w:pPr>
      <w:rPr>
        <w:rFonts w:asciiTheme="minorHAnsi" w:eastAsia="Times New Roman" w:hAnsiTheme="minorHAnsi" w:cs="Times New Roman"/>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49271C8"/>
    <w:multiLevelType w:val="hybridMultilevel"/>
    <w:tmpl w:val="07800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C2D99"/>
    <w:multiLevelType w:val="multilevel"/>
    <w:tmpl w:val="6810B38E"/>
    <w:lvl w:ilvl="0">
      <w:start w:val="1"/>
      <w:numFmt w:val="decimal"/>
      <w:lvlText w:val="%1."/>
      <w:lvlJc w:val="left"/>
      <w:pPr>
        <w:ind w:left="1080" w:hanging="360"/>
      </w:pPr>
      <w:rPr>
        <w:rFonts w:hint="default"/>
        <w:i w:val="0"/>
      </w:rPr>
    </w:lvl>
    <w:lvl w:ilvl="1">
      <w:start w:val="1"/>
      <w:numFmt w:val="upperLetter"/>
      <w:lvlText w:val="%2."/>
      <w:lvlJc w:val="left"/>
      <w:pPr>
        <w:ind w:left="1440" w:hanging="360"/>
      </w:pPr>
      <w:rPr>
        <w:rFonts w:hint="default"/>
        <w:b/>
        <w:i w:val="0"/>
      </w:rPr>
    </w:lvl>
    <w:lvl w:ilvl="2">
      <w:start w:val="1"/>
      <w:numFmt w:val="decimal"/>
      <w:lvlText w:val="%3."/>
      <w:lvlJc w:val="left"/>
      <w:pPr>
        <w:ind w:left="1800" w:hanging="360"/>
      </w:pPr>
      <w:rPr>
        <w:rFonts w:hint="default"/>
        <w:b w:val="0"/>
        <w:i w:val="0"/>
      </w:rPr>
    </w:lvl>
    <w:lvl w:ilvl="3">
      <w:start w:val="1"/>
      <w:numFmt w:val="lowerLetter"/>
      <w:lvlText w:val="%4."/>
      <w:lvlJc w:val="left"/>
      <w:pPr>
        <w:ind w:left="2160" w:hanging="360"/>
      </w:pPr>
      <w:rPr>
        <w:rFonts w:hint="default"/>
        <w:b w:val="0"/>
        <w:i w:val="0"/>
      </w:rPr>
    </w:lvl>
    <w:lvl w:ilvl="4">
      <w:start w:val="1"/>
      <w:numFmt w:val="lowerRoman"/>
      <w:lvlText w:val="%5."/>
      <w:lvlJc w:val="righ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7" w15:restartNumberingAfterBreak="0">
    <w:nsid w:val="7B3C12CE"/>
    <w:multiLevelType w:val="multilevel"/>
    <w:tmpl w:val="AFEA1AC6"/>
    <w:lvl w:ilvl="0">
      <w:start w:val="2"/>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45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7D630291"/>
    <w:multiLevelType w:val="hybridMultilevel"/>
    <w:tmpl w:val="68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4"/>
  </w:num>
  <w:num w:numId="4">
    <w:abstractNumId w:val="21"/>
  </w:num>
  <w:num w:numId="5">
    <w:abstractNumId w:val="17"/>
  </w:num>
  <w:num w:numId="6">
    <w:abstractNumId w:val="31"/>
  </w:num>
  <w:num w:numId="7">
    <w:abstractNumId w:val="13"/>
  </w:num>
  <w:num w:numId="8">
    <w:abstractNumId w:val="11"/>
  </w:num>
  <w:num w:numId="9">
    <w:abstractNumId w:val="34"/>
  </w:num>
  <w:num w:numId="10">
    <w:abstractNumId w:val="27"/>
  </w:num>
  <w:num w:numId="11">
    <w:abstractNumId w:val="25"/>
  </w:num>
  <w:num w:numId="12">
    <w:abstractNumId w:val="22"/>
  </w:num>
  <w:num w:numId="13">
    <w:abstractNumId w:val="40"/>
  </w:num>
  <w:num w:numId="14">
    <w:abstractNumId w:val="23"/>
  </w:num>
  <w:num w:numId="15">
    <w:abstractNumId w:val="10"/>
  </w:num>
  <w:num w:numId="16">
    <w:abstractNumId w:val="47"/>
  </w:num>
  <w:num w:numId="17">
    <w:abstractNumId w:val="18"/>
  </w:num>
  <w:num w:numId="18">
    <w:abstractNumId w:val="2"/>
  </w:num>
  <w:num w:numId="19">
    <w:abstractNumId w:val="16"/>
  </w:num>
  <w:num w:numId="20">
    <w:abstractNumId w:val="1"/>
  </w:num>
  <w:num w:numId="21">
    <w:abstractNumId w:val="36"/>
  </w:num>
  <w:num w:numId="22">
    <w:abstractNumId w:val="35"/>
  </w:num>
  <w:num w:numId="23">
    <w:abstractNumId w:val="24"/>
  </w:num>
  <w:num w:numId="24">
    <w:abstractNumId w:val="8"/>
  </w:num>
  <w:num w:numId="25">
    <w:abstractNumId w:val="19"/>
  </w:num>
  <w:num w:numId="26">
    <w:abstractNumId w:val="41"/>
  </w:num>
  <w:num w:numId="27">
    <w:abstractNumId w:val="5"/>
  </w:num>
  <w:num w:numId="28">
    <w:abstractNumId w:val="39"/>
  </w:num>
  <w:num w:numId="29">
    <w:abstractNumId w:val="20"/>
  </w:num>
  <w:num w:numId="30">
    <w:abstractNumId w:val="3"/>
  </w:num>
  <w:num w:numId="31">
    <w:abstractNumId w:val="33"/>
  </w:num>
  <w:num w:numId="32">
    <w:abstractNumId w:val="45"/>
  </w:num>
  <w:num w:numId="33">
    <w:abstractNumId w:val="42"/>
  </w:num>
  <w:num w:numId="34">
    <w:abstractNumId w:val="32"/>
  </w:num>
  <w:num w:numId="35">
    <w:abstractNumId w:val="6"/>
  </w:num>
  <w:num w:numId="36">
    <w:abstractNumId w:val="0"/>
  </w:num>
  <w:num w:numId="37">
    <w:abstractNumId w:val="7"/>
  </w:num>
  <w:num w:numId="38">
    <w:abstractNumId w:val="26"/>
  </w:num>
  <w:num w:numId="39">
    <w:abstractNumId w:val="12"/>
  </w:num>
  <w:num w:numId="40">
    <w:abstractNumId w:val="29"/>
  </w:num>
  <w:num w:numId="41">
    <w:abstractNumId w:val="9"/>
  </w:num>
  <w:num w:numId="42">
    <w:abstractNumId w:val="44"/>
  </w:num>
  <w:num w:numId="43">
    <w:abstractNumId w:val="43"/>
  </w:num>
  <w:num w:numId="44">
    <w:abstractNumId w:val="38"/>
  </w:num>
  <w:num w:numId="45">
    <w:abstractNumId w:val="37"/>
  </w:num>
  <w:num w:numId="46">
    <w:abstractNumId w:val="48"/>
  </w:num>
  <w:num w:numId="47">
    <w:abstractNumId w:val="15"/>
  </w:num>
  <w:num w:numId="48">
    <w:abstractNumId w:val="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300E"/>
    <w:rsid w:val="00003E56"/>
    <w:rsid w:val="00004BE9"/>
    <w:rsid w:val="00010DF1"/>
    <w:rsid w:val="00010EF9"/>
    <w:rsid w:val="00020BE0"/>
    <w:rsid w:val="00021FBE"/>
    <w:rsid w:val="00027099"/>
    <w:rsid w:val="0003213C"/>
    <w:rsid w:val="000345C9"/>
    <w:rsid w:val="00034C5F"/>
    <w:rsid w:val="000359A8"/>
    <w:rsid w:val="00042048"/>
    <w:rsid w:val="000428DA"/>
    <w:rsid w:val="000449F4"/>
    <w:rsid w:val="00051C83"/>
    <w:rsid w:val="000556CA"/>
    <w:rsid w:val="00055806"/>
    <w:rsid w:val="00056E66"/>
    <w:rsid w:val="000600A9"/>
    <w:rsid w:val="00061632"/>
    <w:rsid w:val="00066796"/>
    <w:rsid w:val="00070394"/>
    <w:rsid w:val="00076CB8"/>
    <w:rsid w:val="00081187"/>
    <w:rsid w:val="000822F9"/>
    <w:rsid w:val="00084700"/>
    <w:rsid w:val="00084FFB"/>
    <w:rsid w:val="00091C54"/>
    <w:rsid w:val="00093005"/>
    <w:rsid w:val="0009465F"/>
    <w:rsid w:val="000A2B09"/>
    <w:rsid w:val="000A2D17"/>
    <w:rsid w:val="000A54A0"/>
    <w:rsid w:val="000A54E7"/>
    <w:rsid w:val="000A56BA"/>
    <w:rsid w:val="000A7532"/>
    <w:rsid w:val="000B0C91"/>
    <w:rsid w:val="000B333E"/>
    <w:rsid w:val="000B46A1"/>
    <w:rsid w:val="000B50A7"/>
    <w:rsid w:val="000B6700"/>
    <w:rsid w:val="000D1425"/>
    <w:rsid w:val="000D2990"/>
    <w:rsid w:val="000D4B33"/>
    <w:rsid w:val="000D7A15"/>
    <w:rsid w:val="000E2EDF"/>
    <w:rsid w:val="000E3AA9"/>
    <w:rsid w:val="000F1A1E"/>
    <w:rsid w:val="000F2EA0"/>
    <w:rsid w:val="000F7F20"/>
    <w:rsid w:val="001004EE"/>
    <w:rsid w:val="00101D5F"/>
    <w:rsid w:val="001054EB"/>
    <w:rsid w:val="001059B9"/>
    <w:rsid w:val="0010634D"/>
    <w:rsid w:val="0010691E"/>
    <w:rsid w:val="00106B21"/>
    <w:rsid w:val="00107ECE"/>
    <w:rsid w:val="00110B85"/>
    <w:rsid w:val="00111B00"/>
    <w:rsid w:val="00113172"/>
    <w:rsid w:val="0011411A"/>
    <w:rsid w:val="001153E5"/>
    <w:rsid w:val="001169ED"/>
    <w:rsid w:val="0011766E"/>
    <w:rsid w:val="001231DB"/>
    <w:rsid w:val="00123A6F"/>
    <w:rsid w:val="001302A7"/>
    <w:rsid w:val="00130502"/>
    <w:rsid w:val="001320EB"/>
    <w:rsid w:val="00132C98"/>
    <w:rsid w:val="001346A4"/>
    <w:rsid w:val="00140655"/>
    <w:rsid w:val="001441CD"/>
    <w:rsid w:val="001463E0"/>
    <w:rsid w:val="001478FE"/>
    <w:rsid w:val="00151652"/>
    <w:rsid w:val="00154064"/>
    <w:rsid w:val="00156A3A"/>
    <w:rsid w:val="0016194F"/>
    <w:rsid w:val="00162250"/>
    <w:rsid w:val="00162AE8"/>
    <w:rsid w:val="0016346B"/>
    <w:rsid w:val="001638B7"/>
    <w:rsid w:val="00163D4E"/>
    <w:rsid w:val="0016441F"/>
    <w:rsid w:val="00167AB5"/>
    <w:rsid w:val="001709D3"/>
    <w:rsid w:val="00174720"/>
    <w:rsid w:val="00175722"/>
    <w:rsid w:val="00176E88"/>
    <w:rsid w:val="00177FA3"/>
    <w:rsid w:val="00182F2C"/>
    <w:rsid w:val="00183D22"/>
    <w:rsid w:val="00185D30"/>
    <w:rsid w:val="001914B4"/>
    <w:rsid w:val="001940FB"/>
    <w:rsid w:val="00197EF3"/>
    <w:rsid w:val="001A0ADA"/>
    <w:rsid w:val="001A1616"/>
    <w:rsid w:val="001A1EF1"/>
    <w:rsid w:val="001A2099"/>
    <w:rsid w:val="001A2EC6"/>
    <w:rsid w:val="001A4D38"/>
    <w:rsid w:val="001B14CB"/>
    <w:rsid w:val="001B31C1"/>
    <w:rsid w:val="001B57D8"/>
    <w:rsid w:val="001C3201"/>
    <w:rsid w:val="001C3AAE"/>
    <w:rsid w:val="001C4F1D"/>
    <w:rsid w:val="001C796F"/>
    <w:rsid w:val="001D3BEF"/>
    <w:rsid w:val="001D3EBC"/>
    <w:rsid w:val="001D4818"/>
    <w:rsid w:val="001D5858"/>
    <w:rsid w:val="001D695F"/>
    <w:rsid w:val="001E3278"/>
    <w:rsid w:val="001E3476"/>
    <w:rsid w:val="001E5ABF"/>
    <w:rsid w:val="001E6BFA"/>
    <w:rsid w:val="001E7C79"/>
    <w:rsid w:val="001F232E"/>
    <w:rsid w:val="001F669D"/>
    <w:rsid w:val="001F6E48"/>
    <w:rsid w:val="00200185"/>
    <w:rsid w:val="00204CDF"/>
    <w:rsid w:val="00210130"/>
    <w:rsid w:val="002103CA"/>
    <w:rsid w:val="00210B80"/>
    <w:rsid w:val="00210F97"/>
    <w:rsid w:val="00213701"/>
    <w:rsid w:val="0021450C"/>
    <w:rsid w:val="002157B6"/>
    <w:rsid w:val="00216887"/>
    <w:rsid w:val="00221181"/>
    <w:rsid w:val="002212E1"/>
    <w:rsid w:val="0022131B"/>
    <w:rsid w:val="002279BA"/>
    <w:rsid w:val="002309A0"/>
    <w:rsid w:val="002332EA"/>
    <w:rsid w:val="002348B9"/>
    <w:rsid w:val="00237B50"/>
    <w:rsid w:val="00240570"/>
    <w:rsid w:val="002442D3"/>
    <w:rsid w:val="0024532F"/>
    <w:rsid w:val="00250149"/>
    <w:rsid w:val="002533CB"/>
    <w:rsid w:val="002542DA"/>
    <w:rsid w:val="00256586"/>
    <w:rsid w:val="00257440"/>
    <w:rsid w:val="0026665C"/>
    <w:rsid w:val="002717AA"/>
    <w:rsid w:val="0027683A"/>
    <w:rsid w:val="00277B51"/>
    <w:rsid w:val="00277D28"/>
    <w:rsid w:val="00283792"/>
    <w:rsid w:val="00286F48"/>
    <w:rsid w:val="0028766A"/>
    <w:rsid w:val="00292085"/>
    <w:rsid w:val="0029387F"/>
    <w:rsid w:val="002A0505"/>
    <w:rsid w:val="002A18A1"/>
    <w:rsid w:val="002A36F3"/>
    <w:rsid w:val="002A6E12"/>
    <w:rsid w:val="002B0652"/>
    <w:rsid w:val="002C06AA"/>
    <w:rsid w:val="002C0724"/>
    <w:rsid w:val="002C1035"/>
    <w:rsid w:val="002C18B2"/>
    <w:rsid w:val="002C33A8"/>
    <w:rsid w:val="002C3BAB"/>
    <w:rsid w:val="002D0DFF"/>
    <w:rsid w:val="002D3160"/>
    <w:rsid w:val="002D39D0"/>
    <w:rsid w:val="002D5775"/>
    <w:rsid w:val="002D70DC"/>
    <w:rsid w:val="002E01AB"/>
    <w:rsid w:val="002E153B"/>
    <w:rsid w:val="002E1CB8"/>
    <w:rsid w:val="002F0343"/>
    <w:rsid w:val="002F0836"/>
    <w:rsid w:val="002F0C0B"/>
    <w:rsid w:val="002F1EBE"/>
    <w:rsid w:val="002F42DA"/>
    <w:rsid w:val="002F48A8"/>
    <w:rsid w:val="002F4E40"/>
    <w:rsid w:val="0030271D"/>
    <w:rsid w:val="00303117"/>
    <w:rsid w:val="003041BF"/>
    <w:rsid w:val="00304873"/>
    <w:rsid w:val="00306EA4"/>
    <w:rsid w:val="003105EE"/>
    <w:rsid w:val="00310C34"/>
    <w:rsid w:val="00314D13"/>
    <w:rsid w:val="00316E1A"/>
    <w:rsid w:val="00316F41"/>
    <w:rsid w:val="00322233"/>
    <w:rsid w:val="00326E8A"/>
    <w:rsid w:val="00336CAA"/>
    <w:rsid w:val="00340B66"/>
    <w:rsid w:val="00342287"/>
    <w:rsid w:val="003440B3"/>
    <w:rsid w:val="0034564C"/>
    <w:rsid w:val="003457CA"/>
    <w:rsid w:val="00350132"/>
    <w:rsid w:val="00361934"/>
    <w:rsid w:val="00361CA9"/>
    <w:rsid w:val="0036376A"/>
    <w:rsid w:val="00363A29"/>
    <w:rsid w:val="00363CC2"/>
    <w:rsid w:val="0036533B"/>
    <w:rsid w:val="00366E83"/>
    <w:rsid w:val="003716DB"/>
    <w:rsid w:val="003759DD"/>
    <w:rsid w:val="003764FC"/>
    <w:rsid w:val="003835D4"/>
    <w:rsid w:val="00391845"/>
    <w:rsid w:val="00391A3D"/>
    <w:rsid w:val="003A2F93"/>
    <w:rsid w:val="003B07B1"/>
    <w:rsid w:val="003B0944"/>
    <w:rsid w:val="003B3925"/>
    <w:rsid w:val="003C164C"/>
    <w:rsid w:val="003C1AE4"/>
    <w:rsid w:val="003C2825"/>
    <w:rsid w:val="003C4422"/>
    <w:rsid w:val="003C6861"/>
    <w:rsid w:val="003C6F60"/>
    <w:rsid w:val="003D325B"/>
    <w:rsid w:val="003D509B"/>
    <w:rsid w:val="003D5C06"/>
    <w:rsid w:val="003E3B4B"/>
    <w:rsid w:val="003E3D4A"/>
    <w:rsid w:val="003E49DD"/>
    <w:rsid w:val="003E780B"/>
    <w:rsid w:val="003F0BCE"/>
    <w:rsid w:val="003F0DBF"/>
    <w:rsid w:val="003F35BD"/>
    <w:rsid w:val="003F44BA"/>
    <w:rsid w:val="003F4A74"/>
    <w:rsid w:val="003F5178"/>
    <w:rsid w:val="003F55C3"/>
    <w:rsid w:val="0040127D"/>
    <w:rsid w:val="00403333"/>
    <w:rsid w:val="0040566A"/>
    <w:rsid w:val="00405CF7"/>
    <w:rsid w:val="00410C25"/>
    <w:rsid w:val="004112FF"/>
    <w:rsid w:val="0041166C"/>
    <w:rsid w:val="004122C7"/>
    <w:rsid w:val="00412654"/>
    <w:rsid w:val="0042053F"/>
    <w:rsid w:val="004221D8"/>
    <w:rsid w:val="00423FA7"/>
    <w:rsid w:val="0042465B"/>
    <w:rsid w:val="00427631"/>
    <w:rsid w:val="004325C9"/>
    <w:rsid w:val="0043458C"/>
    <w:rsid w:val="004350C3"/>
    <w:rsid w:val="00435740"/>
    <w:rsid w:val="004422EE"/>
    <w:rsid w:val="00443DFD"/>
    <w:rsid w:val="00444E5A"/>
    <w:rsid w:val="004452AA"/>
    <w:rsid w:val="00445352"/>
    <w:rsid w:val="00447408"/>
    <w:rsid w:val="004546C8"/>
    <w:rsid w:val="00455644"/>
    <w:rsid w:val="0045634E"/>
    <w:rsid w:val="004619BE"/>
    <w:rsid w:val="00471919"/>
    <w:rsid w:val="004828C4"/>
    <w:rsid w:val="00483F27"/>
    <w:rsid w:val="0049290B"/>
    <w:rsid w:val="004931C1"/>
    <w:rsid w:val="00493B44"/>
    <w:rsid w:val="00497961"/>
    <w:rsid w:val="004A224D"/>
    <w:rsid w:val="004A2B94"/>
    <w:rsid w:val="004A551A"/>
    <w:rsid w:val="004C242A"/>
    <w:rsid w:val="004C6E79"/>
    <w:rsid w:val="004C6FA0"/>
    <w:rsid w:val="004C73AE"/>
    <w:rsid w:val="004D1ADB"/>
    <w:rsid w:val="004D1EDB"/>
    <w:rsid w:val="004D2750"/>
    <w:rsid w:val="004D534A"/>
    <w:rsid w:val="004D5874"/>
    <w:rsid w:val="004E5E81"/>
    <w:rsid w:val="004E5EA2"/>
    <w:rsid w:val="004F04B3"/>
    <w:rsid w:val="004F117A"/>
    <w:rsid w:val="004F20F7"/>
    <w:rsid w:val="004F40CF"/>
    <w:rsid w:val="004F4510"/>
    <w:rsid w:val="004F68EC"/>
    <w:rsid w:val="004F6C32"/>
    <w:rsid w:val="00511CC6"/>
    <w:rsid w:val="00513BA9"/>
    <w:rsid w:val="0051799E"/>
    <w:rsid w:val="0052247D"/>
    <w:rsid w:val="00526514"/>
    <w:rsid w:val="005272DA"/>
    <w:rsid w:val="0052760F"/>
    <w:rsid w:val="00530E9B"/>
    <w:rsid w:val="0053174B"/>
    <w:rsid w:val="00533982"/>
    <w:rsid w:val="00537223"/>
    <w:rsid w:val="0054153A"/>
    <w:rsid w:val="00542743"/>
    <w:rsid w:val="0054528B"/>
    <w:rsid w:val="005477D8"/>
    <w:rsid w:val="00551677"/>
    <w:rsid w:val="00553BC5"/>
    <w:rsid w:val="00555514"/>
    <w:rsid w:val="00561D6B"/>
    <w:rsid w:val="00562114"/>
    <w:rsid w:val="00564193"/>
    <w:rsid w:val="00564E8C"/>
    <w:rsid w:val="00565B21"/>
    <w:rsid w:val="00566EB4"/>
    <w:rsid w:val="00572746"/>
    <w:rsid w:val="00573327"/>
    <w:rsid w:val="00573DAC"/>
    <w:rsid w:val="0057528D"/>
    <w:rsid w:val="0058168A"/>
    <w:rsid w:val="00582E76"/>
    <w:rsid w:val="00583497"/>
    <w:rsid w:val="0058397A"/>
    <w:rsid w:val="005863BA"/>
    <w:rsid w:val="0058645E"/>
    <w:rsid w:val="00587038"/>
    <w:rsid w:val="00587E73"/>
    <w:rsid w:val="00596610"/>
    <w:rsid w:val="00596BF8"/>
    <w:rsid w:val="005A22E8"/>
    <w:rsid w:val="005A2EAD"/>
    <w:rsid w:val="005A3AE2"/>
    <w:rsid w:val="005B058A"/>
    <w:rsid w:val="005B1558"/>
    <w:rsid w:val="005B281E"/>
    <w:rsid w:val="005B2871"/>
    <w:rsid w:val="005B32BD"/>
    <w:rsid w:val="005B4A09"/>
    <w:rsid w:val="005C421A"/>
    <w:rsid w:val="005C4EAA"/>
    <w:rsid w:val="005C56D6"/>
    <w:rsid w:val="005D37C3"/>
    <w:rsid w:val="005E1888"/>
    <w:rsid w:val="005E1DE8"/>
    <w:rsid w:val="005E23C4"/>
    <w:rsid w:val="005E2B9B"/>
    <w:rsid w:val="005E4D6E"/>
    <w:rsid w:val="005E5827"/>
    <w:rsid w:val="005E5FBA"/>
    <w:rsid w:val="005E6F0C"/>
    <w:rsid w:val="005E719E"/>
    <w:rsid w:val="005F214D"/>
    <w:rsid w:val="005F436A"/>
    <w:rsid w:val="005F5209"/>
    <w:rsid w:val="005F6E69"/>
    <w:rsid w:val="006016A0"/>
    <w:rsid w:val="006016FB"/>
    <w:rsid w:val="006025A4"/>
    <w:rsid w:val="00602AE2"/>
    <w:rsid w:val="00602CFC"/>
    <w:rsid w:val="006031D6"/>
    <w:rsid w:val="00604CF1"/>
    <w:rsid w:val="006063E1"/>
    <w:rsid w:val="00606F86"/>
    <w:rsid w:val="00613571"/>
    <w:rsid w:val="00613F91"/>
    <w:rsid w:val="00621E33"/>
    <w:rsid w:val="00622322"/>
    <w:rsid w:val="006232DB"/>
    <w:rsid w:val="006248DE"/>
    <w:rsid w:val="00631031"/>
    <w:rsid w:val="00632607"/>
    <w:rsid w:val="006349DF"/>
    <w:rsid w:val="006372AF"/>
    <w:rsid w:val="00640585"/>
    <w:rsid w:val="006409E0"/>
    <w:rsid w:val="00645383"/>
    <w:rsid w:val="006457AF"/>
    <w:rsid w:val="00645B61"/>
    <w:rsid w:val="00646C44"/>
    <w:rsid w:val="006471CE"/>
    <w:rsid w:val="00647720"/>
    <w:rsid w:val="00654E16"/>
    <w:rsid w:val="00660E43"/>
    <w:rsid w:val="00664EA4"/>
    <w:rsid w:val="006656E7"/>
    <w:rsid w:val="006671F3"/>
    <w:rsid w:val="00670872"/>
    <w:rsid w:val="006751D8"/>
    <w:rsid w:val="00687996"/>
    <w:rsid w:val="00695447"/>
    <w:rsid w:val="00695ECB"/>
    <w:rsid w:val="006A04E1"/>
    <w:rsid w:val="006A0A4D"/>
    <w:rsid w:val="006A1596"/>
    <w:rsid w:val="006B3FAE"/>
    <w:rsid w:val="006B48A3"/>
    <w:rsid w:val="006B4F91"/>
    <w:rsid w:val="006B5E05"/>
    <w:rsid w:val="006B6FE0"/>
    <w:rsid w:val="006B7861"/>
    <w:rsid w:val="006C077B"/>
    <w:rsid w:val="006C4F67"/>
    <w:rsid w:val="006C552B"/>
    <w:rsid w:val="006D0813"/>
    <w:rsid w:val="006D382C"/>
    <w:rsid w:val="006D547B"/>
    <w:rsid w:val="006D78EA"/>
    <w:rsid w:val="006E1E6A"/>
    <w:rsid w:val="006E7924"/>
    <w:rsid w:val="006F417F"/>
    <w:rsid w:val="006F674F"/>
    <w:rsid w:val="00700044"/>
    <w:rsid w:val="00702434"/>
    <w:rsid w:val="00705067"/>
    <w:rsid w:val="0070662B"/>
    <w:rsid w:val="0070738F"/>
    <w:rsid w:val="00713D10"/>
    <w:rsid w:val="007141DD"/>
    <w:rsid w:val="00720D18"/>
    <w:rsid w:val="0072250B"/>
    <w:rsid w:val="007249E8"/>
    <w:rsid w:val="00725BEC"/>
    <w:rsid w:val="0072607C"/>
    <w:rsid w:val="00727C6E"/>
    <w:rsid w:val="00727D9C"/>
    <w:rsid w:val="00730088"/>
    <w:rsid w:val="00730A5F"/>
    <w:rsid w:val="007342AE"/>
    <w:rsid w:val="007352BF"/>
    <w:rsid w:val="00742E5C"/>
    <w:rsid w:val="00743064"/>
    <w:rsid w:val="007439C6"/>
    <w:rsid w:val="00744835"/>
    <w:rsid w:val="0074522E"/>
    <w:rsid w:val="00747D23"/>
    <w:rsid w:val="007504A3"/>
    <w:rsid w:val="00752ACF"/>
    <w:rsid w:val="00752B95"/>
    <w:rsid w:val="007542B8"/>
    <w:rsid w:val="007542F6"/>
    <w:rsid w:val="007545DC"/>
    <w:rsid w:val="00761DE6"/>
    <w:rsid w:val="00761F7C"/>
    <w:rsid w:val="00762515"/>
    <w:rsid w:val="0076410B"/>
    <w:rsid w:val="0076669D"/>
    <w:rsid w:val="00770F82"/>
    <w:rsid w:val="007717DC"/>
    <w:rsid w:val="00781195"/>
    <w:rsid w:val="00783996"/>
    <w:rsid w:val="00785165"/>
    <w:rsid w:val="007865E5"/>
    <w:rsid w:val="00790337"/>
    <w:rsid w:val="00790DF8"/>
    <w:rsid w:val="0079407D"/>
    <w:rsid w:val="00794B64"/>
    <w:rsid w:val="00794DFD"/>
    <w:rsid w:val="007A41F4"/>
    <w:rsid w:val="007A5C0E"/>
    <w:rsid w:val="007B1D68"/>
    <w:rsid w:val="007B4B64"/>
    <w:rsid w:val="007B7105"/>
    <w:rsid w:val="007C01ED"/>
    <w:rsid w:val="007C26E9"/>
    <w:rsid w:val="007C30B3"/>
    <w:rsid w:val="007C559B"/>
    <w:rsid w:val="007C7741"/>
    <w:rsid w:val="007D0C1F"/>
    <w:rsid w:val="007E220F"/>
    <w:rsid w:val="007E41F3"/>
    <w:rsid w:val="007E57C4"/>
    <w:rsid w:val="007F00F2"/>
    <w:rsid w:val="007F06B3"/>
    <w:rsid w:val="007F1C7C"/>
    <w:rsid w:val="007F34F3"/>
    <w:rsid w:val="007F45A7"/>
    <w:rsid w:val="008043C2"/>
    <w:rsid w:val="008166BA"/>
    <w:rsid w:val="008167E8"/>
    <w:rsid w:val="00824CA1"/>
    <w:rsid w:val="00824CE7"/>
    <w:rsid w:val="00825D7C"/>
    <w:rsid w:val="00826739"/>
    <w:rsid w:val="0083691B"/>
    <w:rsid w:val="00837D37"/>
    <w:rsid w:val="00841AE4"/>
    <w:rsid w:val="00841CE6"/>
    <w:rsid w:val="0084238E"/>
    <w:rsid w:val="00847EC7"/>
    <w:rsid w:val="00850087"/>
    <w:rsid w:val="00850ADB"/>
    <w:rsid w:val="00854C29"/>
    <w:rsid w:val="00855793"/>
    <w:rsid w:val="00855D50"/>
    <w:rsid w:val="00856727"/>
    <w:rsid w:val="00865035"/>
    <w:rsid w:val="0086508C"/>
    <w:rsid w:val="00867198"/>
    <w:rsid w:val="008729BB"/>
    <w:rsid w:val="00873DA5"/>
    <w:rsid w:val="00874A55"/>
    <w:rsid w:val="00875082"/>
    <w:rsid w:val="00880991"/>
    <w:rsid w:val="00885927"/>
    <w:rsid w:val="00886864"/>
    <w:rsid w:val="0089009B"/>
    <w:rsid w:val="00890740"/>
    <w:rsid w:val="008932B1"/>
    <w:rsid w:val="00893453"/>
    <w:rsid w:val="00894A59"/>
    <w:rsid w:val="00895B96"/>
    <w:rsid w:val="00896E1D"/>
    <w:rsid w:val="008977A2"/>
    <w:rsid w:val="008B059E"/>
    <w:rsid w:val="008B1193"/>
    <w:rsid w:val="008B1B26"/>
    <w:rsid w:val="008B2477"/>
    <w:rsid w:val="008B2BB3"/>
    <w:rsid w:val="008B4A7E"/>
    <w:rsid w:val="008B55FC"/>
    <w:rsid w:val="008B67AA"/>
    <w:rsid w:val="008C0125"/>
    <w:rsid w:val="008C0BCA"/>
    <w:rsid w:val="008C0DB2"/>
    <w:rsid w:val="008C2B47"/>
    <w:rsid w:val="008C57B7"/>
    <w:rsid w:val="008D47F2"/>
    <w:rsid w:val="008E2054"/>
    <w:rsid w:val="008E26DB"/>
    <w:rsid w:val="008E314D"/>
    <w:rsid w:val="008E3552"/>
    <w:rsid w:val="008E3791"/>
    <w:rsid w:val="008E4A91"/>
    <w:rsid w:val="008E4E71"/>
    <w:rsid w:val="008E7F5D"/>
    <w:rsid w:val="008F0BE1"/>
    <w:rsid w:val="008F0CDD"/>
    <w:rsid w:val="008F1288"/>
    <w:rsid w:val="008F1393"/>
    <w:rsid w:val="008F1913"/>
    <w:rsid w:val="008F1B0F"/>
    <w:rsid w:val="008F4782"/>
    <w:rsid w:val="008F4C14"/>
    <w:rsid w:val="00900385"/>
    <w:rsid w:val="009047F5"/>
    <w:rsid w:val="0090483A"/>
    <w:rsid w:val="00906E30"/>
    <w:rsid w:val="009075BA"/>
    <w:rsid w:val="009076A8"/>
    <w:rsid w:val="00907D5B"/>
    <w:rsid w:val="00917274"/>
    <w:rsid w:val="0092040E"/>
    <w:rsid w:val="0092164F"/>
    <w:rsid w:val="009229FE"/>
    <w:rsid w:val="0092332E"/>
    <w:rsid w:val="00924AB5"/>
    <w:rsid w:val="00924DD1"/>
    <w:rsid w:val="00925CFD"/>
    <w:rsid w:val="00926E94"/>
    <w:rsid w:val="009278E6"/>
    <w:rsid w:val="00931979"/>
    <w:rsid w:val="009365CD"/>
    <w:rsid w:val="0094059D"/>
    <w:rsid w:val="00944F6F"/>
    <w:rsid w:val="009478A6"/>
    <w:rsid w:val="00950032"/>
    <w:rsid w:val="00952B72"/>
    <w:rsid w:val="00953338"/>
    <w:rsid w:val="009551BB"/>
    <w:rsid w:val="0095651E"/>
    <w:rsid w:val="00961006"/>
    <w:rsid w:val="009637D8"/>
    <w:rsid w:val="0096469E"/>
    <w:rsid w:val="00964B61"/>
    <w:rsid w:val="00967E0A"/>
    <w:rsid w:val="009700E2"/>
    <w:rsid w:val="009706D0"/>
    <w:rsid w:val="009736DC"/>
    <w:rsid w:val="00975F1E"/>
    <w:rsid w:val="00976F8A"/>
    <w:rsid w:val="009770B2"/>
    <w:rsid w:val="00980BF6"/>
    <w:rsid w:val="00981D93"/>
    <w:rsid w:val="00982B6D"/>
    <w:rsid w:val="00984ADC"/>
    <w:rsid w:val="00987149"/>
    <w:rsid w:val="00990F9A"/>
    <w:rsid w:val="00996B4E"/>
    <w:rsid w:val="009A0670"/>
    <w:rsid w:val="009A4A36"/>
    <w:rsid w:val="009A6093"/>
    <w:rsid w:val="009B12D9"/>
    <w:rsid w:val="009B2B41"/>
    <w:rsid w:val="009B3D10"/>
    <w:rsid w:val="009B7D92"/>
    <w:rsid w:val="009C274A"/>
    <w:rsid w:val="009C2F10"/>
    <w:rsid w:val="009C5E1A"/>
    <w:rsid w:val="009D7B2C"/>
    <w:rsid w:val="009E4BF5"/>
    <w:rsid w:val="009E64E5"/>
    <w:rsid w:val="009F43F3"/>
    <w:rsid w:val="009F5233"/>
    <w:rsid w:val="009F5A2C"/>
    <w:rsid w:val="00A00746"/>
    <w:rsid w:val="00A017A3"/>
    <w:rsid w:val="00A020BB"/>
    <w:rsid w:val="00A078B5"/>
    <w:rsid w:val="00A07B78"/>
    <w:rsid w:val="00A07DAE"/>
    <w:rsid w:val="00A10F91"/>
    <w:rsid w:val="00A120A4"/>
    <w:rsid w:val="00A12DB9"/>
    <w:rsid w:val="00A136CB"/>
    <w:rsid w:val="00A13C34"/>
    <w:rsid w:val="00A14598"/>
    <w:rsid w:val="00A2606E"/>
    <w:rsid w:val="00A260E9"/>
    <w:rsid w:val="00A26752"/>
    <w:rsid w:val="00A300F7"/>
    <w:rsid w:val="00A3119E"/>
    <w:rsid w:val="00A337B3"/>
    <w:rsid w:val="00A35235"/>
    <w:rsid w:val="00A36631"/>
    <w:rsid w:val="00A403FE"/>
    <w:rsid w:val="00A4397C"/>
    <w:rsid w:val="00A43D69"/>
    <w:rsid w:val="00A55388"/>
    <w:rsid w:val="00A62E7B"/>
    <w:rsid w:val="00A63F3E"/>
    <w:rsid w:val="00A65761"/>
    <w:rsid w:val="00A6601E"/>
    <w:rsid w:val="00A73374"/>
    <w:rsid w:val="00A73F77"/>
    <w:rsid w:val="00A7596A"/>
    <w:rsid w:val="00A75EF9"/>
    <w:rsid w:val="00A80158"/>
    <w:rsid w:val="00A802DC"/>
    <w:rsid w:val="00A9116F"/>
    <w:rsid w:val="00A91AA7"/>
    <w:rsid w:val="00A94112"/>
    <w:rsid w:val="00A946FC"/>
    <w:rsid w:val="00A96EF8"/>
    <w:rsid w:val="00AA280F"/>
    <w:rsid w:val="00AB09BD"/>
    <w:rsid w:val="00AB1BA9"/>
    <w:rsid w:val="00AB5BCA"/>
    <w:rsid w:val="00AB6386"/>
    <w:rsid w:val="00AB6BB3"/>
    <w:rsid w:val="00AC028E"/>
    <w:rsid w:val="00AC10F0"/>
    <w:rsid w:val="00AC25E5"/>
    <w:rsid w:val="00AC2A1D"/>
    <w:rsid w:val="00AC45F7"/>
    <w:rsid w:val="00AC6E55"/>
    <w:rsid w:val="00AD0859"/>
    <w:rsid w:val="00AD105E"/>
    <w:rsid w:val="00AD1B5E"/>
    <w:rsid w:val="00AD4257"/>
    <w:rsid w:val="00AE09E6"/>
    <w:rsid w:val="00AE2DFB"/>
    <w:rsid w:val="00AE48B1"/>
    <w:rsid w:val="00AE7397"/>
    <w:rsid w:val="00AF1BEE"/>
    <w:rsid w:val="00AF6368"/>
    <w:rsid w:val="00B028FC"/>
    <w:rsid w:val="00B036D9"/>
    <w:rsid w:val="00B04227"/>
    <w:rsid w:val="00B04596"/>
    <w:rsid w:val="00B05AF1"/>
    <w:rsid w:val="00B07A60"/>
    <w:rsid w:val="00B07B19"/>
    <w:rsid w:val="00B121F7"/>
    <w:rsid w:val="00B14E50"/>
    <w:rsid w:val="00B15A61"/>
    <w:rsid w:val="00B16032"/>
    <w:rsid w:val="00B170C7"/>
    <w:rsid w:val="00B215AE"/>
    <w:rsid w:val="00B25DA1"/>
    <w:rsid w:val="00B2696E"/>
    <w:rsid w:val="00B272E6"/>
    <w:rsid w:val="00B32106"/>
    <w:rsid w:val="00B33A79"/>
    <w:rsid w:val="00B344E1"/>
    <w:rsid w:val="00B34507"/>
    <w:rsid w:val="00B40FD9"/>
    <w:rsid w:val="00B44C08"/>
    <w:rsid w:val="00B44E6B"/>
    <w:rsid w:val="00B45F0B"/>
    <w:rsid w:val="00B47A88"/>
    <w:rsid w:val="00B57A6B"/>
    <w:rsid w:val="00B629D1"/>
    <w:rsid w:val="00B636F3"/>
    <w:rsid w:val="00B666CB"/>
    <w:rsid w:val="00B67B0A"/>
    <w:rsid w:val="00B70244"/>
    <w:rsid w:val="00B7042D"/>
    <w:rsid w:val="00B76427"/>
    <w:rsid w:val="00B820BF"/>
    <w:rsid w:val="00B83135"/>
    <w:rsid w:val="00B861F3"/>
    <w:rsid w:val="00B90DAB"/>
    <w:rsid w:val="00B93273"/>
    <w:rsid w:val="00B95EBF"/>
    <w:rsid w:val="00B97C57"/>
    <w:rsid w:val="00BA34A6"/>
    <w:rsid w:val="00BA3C87"/>
    <w:rsid w:val="00BA41FE"/>
    <w:rsid w:val="00BA44FD"/>
    <w:rsid w:val="00BA4D3E"/>
    <w:rsid w:val="00BA729A"/>
    <w:rsid w:val="00BB2AF7"/>
    <w:rsid w:val="00BB4978"/>
    <w:rsid w:val="00BB7644"/>
    <w:rsid w:val="00BB777A"/>
    <w:rsid w:val="00BC074D"/>
    <w:rsid w:val="00BC0EE9"/>
    <w:rsid w:val="00BC1669"/>
    <w:rsid w:val="00BC24A4"/>
    <w:rsid w:val="00BC3E98"/>
    <w:rsid w:val="00BC5F74"/>
    <w:rsid w:val="00BC7CCC"/>
    <w:rsid w:val="00BC7F97"/>
    <w:rsid w:val="00BD44BB"/>
    <w:rsid w:val="00BE111D"/>
    <w:rsid w:val="00BE20D6"/>
    <w:rsid w:val="00BE5207"/>
    <w:rsid w:val="00BE77EE"/>
    <w:rsid w:val="00BE7AE8"/>
    <w:rsid w:val="00BF2B0F"/>
    <w:rsid w:val="00BF3E10"/>
    <w:rsid w:val="00BF6731"/>
    <w:rsid w:val="00BF6C10"/>
    <w:rsid w:val="00BF7160"/>
    <w:rsid w:val="00BF7EB8"/>
    <w:rsid w:val="00C024F5"/>
    <w:rsid w:val="00C04704"/>
    <w:rsid w:val="00C05269"/>
    <w:rsid w:val="00C05490"/>
    <w:rsid w:val="00C07B76"/>
    <w:rsid w:val="00C1400B"/>
    <w:rsid w:val="00C141FA"/>
    <w:rsid w:val="00C156E3"/>
    <w:rsid w:val="00C164E8"/>
    <w:rsid w:val="00C17477"/>
    <w:rsid w:val="00C2196D"/>
    <w:rsid w:val="00C22C2B"/>
    <w:rsid w:val="00C23F6A"/>
    <w:rsid w:val="00C24114"/>
    <w:rsid w:val="00C24AA8"/>
    <w:rsid w:val="00C26DA2"/>
    <w:rsid w:val="00C31CDA"/>
    <w:rsid w:val="00C31E25"/>
    <w:rsid w:val="00C33C97"/>
    <w:rsid w:val="00C406A3"/>
    <w:rsid w:val="00C45A64"/>
    <w:rsid w:val="00C45BA5"/>
    <w:rsid w:val="00C467DA"/>
    <w:rsid w:val="00C46EB7"/>
    <w:rsid w:val="00C505A4"/>
    <w:rsid w:val="00C51FE6"/>
    <w:rsid w:val="00C52FE4"/>
    <w:rsid w:val="00C60002"/>
    <w:rsid w:val="00C62855"/>
    <w:rsid w:val="00C645BC"/>
    <w:rsid w:val="00C64840"/>
    <w:rsid w:val="00C6543F"/>
    <w:rsid w:val="00C65A4D"/>
    <w:rsid w:val="00C66816"/>
    <w:rsid w:val="00C71E9E"/>
    <w:rsid w:val="00C72E2F"/>
    <w:rsid w:val="00C75014"/>
    <w:rsid w:val="00C769F5"/>
    <w:rsid w:val="00C820F8"/>
    <w:rsid w:val="00C85515"/>
    <w:rsid w:val="00C85590"/>
    <w:rsid w:val="00C85CD0"/>
    <w:rsid w:val="00C86B48"/>
    <w:rsid w:val="00C95F82"/>
    <w:rsid w:val="00C95FB1"/>
    <w:rsid w:val="00C96E5A"/>
    <w:rsid w:val="00C97422"/>
    <w:rsid w:val="00C9772B"/>
    <w:rsid w:val="00CA2AD4"/>
    <w:rsid w:val="00CA4754"/>
    <w:rsid w:val="00CA5AE3"/>
    <w:rsid w:val="00CA64C7"/>
    <w:rsid w:val="00CA687D"/>
    <w:rsid w:val="00CB0F48"/>
    <w:rsid w:val="00CB409F"/>
    <w:rsid w:val="00CB5055"/>
    <w:rsid w:val="00CB564A"/>
    <w:rsid w:val="00CB65AC"/>
    <w:rsid w:val="00CC4C53"/>
    <w:rsid w:val="00CC5131"/>
    <w:rsid w:val="00CD2B38"/>
    <w:rsid w:val="00CD375C"/>
    <w:rsid w:val="00CD6C64"/>
    <w:rsid w:val="00CE0DE6"/>
    <w:rsid w:val="00CF0B68"/>
    <w:rsid w:val="00CF73A5"/>
    <w:rsid w:val="00D01479"/>
    <w:rsid w:val="00D0355D"/>
    <w:rsid w:val="00D04702"/>
    <w:rsid w:val="00D05A95"/>
    <w:rsid w:val="00D06EA1"/>
    <w:rsid w:val="00D10F0C"/>
    <w:rsid w:val="00D11E0E"/>
    <w:rsid w:val="00D14E17"/>
    <w:rsid w:val="00D21BCE"/>
    <w:rsid w:val="00D23062"/>
    <w:rsid w:val="00D241C0"/>
    <w:rsid w:val="00D254BA"/>
    <w:rsid w:val="00D263E8"/>
    <w:rsid w:val="00D306EE"/>
    <w:rsid w:val="00D30E24"/>
    <w:rsid w:val="00D31CF0"/>
    <w:rsid w:val="00D320A8"/>
    <w:rsid w:val="00D34D88"/>
    <w:rsid w:val="00D452A3"/>
    <w:rsid w:val="00D46A63"/>
    <w:rsid w:val="00D502F1"/>
    <w:rsid w:val="00D503AF"/>
    <w:rsid w:val="00D5272F"/>
    <w:rsid w:val="00D549BC"/>
    <w:rsid w:val="00D54F84"/>
    <w:rsid w:val="00D627D5"/>
    <w:rsid w:val="00D63BBE"/>
    <w:rsid w:val="00D65E71"/>
    <w:rsid w:val="00D66D36"/>
    <w:rsid w:val="00D70515"/>
    <w:rsid w:val="00D706FD"/>
    <w:rsid w:val="00D70C0B"/>
    <w:rsid w:val="00D716CC"/>
    <w:rsid w:val="00D749EC"/>
    <w:rsid w:val="00D74B21"/>
    <w:rsid w:val="00D800DA"/>
    <w:rsid w:val="00D82013"/>
    <w:rsid w:val="00D8293F"/>
    <w:rsid w:val="00D84355"/>
    <w:rsid w:val="00D911A4"/>
    <w:rsid w:val="00D91A4D"/>
    <w:rsid w:val="00D94A92"/>
    <w:rsid w:val="00D975BD"/>
    <w:rsid w:val="00DA4BDB"/>
    <w:rsid w:val="00DA7B24"/>
    <w:rsid w:val="00DB0332"/>
    <w:rsid w:val="00DB07FF"/>
    <w:rsid w:val="00DB0919"/>
    <w:rsid w:val="00DB1D54"/>
    <w:rsid w:val="00DB603A"/>
    <w:rsid w:val="00DB64B0"/>
    <w:rsid w:val="00DB67AB"/>
    <w:rsid w:val="00DB7A1B"/>
    <w:rsid w:val="00DC066E"/>
    <w:rsid w:val="00DC2AB7"/>
    <w:rsid w:val="00DC432A"/>
    <w:rsid w:val="00DC69A2"/>
    <w:rsid w:val="00DC69B6"/>
    <w:rsid w:val="00DD1279"/>
    <w:rsid w:val="00DD1CD7"/>
    <w:rsid w:val="00DD62ED"/>
    <w:rsid w:val="00DD787D"/>
    <w:rsid w:val="00DE067C"/>
    <w:rsid w:val="00DE4879"/>
    <w:rsid w:val="00DE62EF"/>
    <w:rsid w:val="00DE7DF9"/>
    <w:rsid w:val="00DF0F80"/>
    <w:rsid w:val="00DF1AFE"/>
    <w:rsid w:val="00DF3862"/>
    <w:rsid w:val="00DF3982"/>
    <w:rsid w:val="00DF65B5"/>
    <w:rsid w:val="00E01B2E"/>
    <w:rsid w:val="00E04888"/>
    <w:rsid w:val="00E0767C"/>
    <w:rsid w:val="00E11E75"/>
    <w:rsid w:val="00E11EB0"/>
    <w:rsid w:val="00E14CC7"/>
    <w:rsid w:val="00E15316"/>
    <w:rsid w:val="00E157C2"/>
    <w:rsid w:val="00E20E4A"/>
    <w:rsid w:val="00E23A03"/>
    <w:rsid w:val="00E23FFE"/>
    <w:rsid w:val="00E25B2F"/>
    <w:rsid w:val="00E30B60"/>
    <w:rsid w:val="00E34073"/>
    <w:rsid w:val="00E343DA"/>
    <w:rsid w:val="00E34FED"/>
    <w:rsid w:val="00E37502"/>
    <w:rsid w:val="00E37F4D"/>
    <w:rsid w:val="00E4005A"/>
    <w:rsid w:val="00E4243E"/>
    <w:rsid w:val="00E448F8"/>
    <w:rsid w:val="00E44F13"/>
    <w:rsid w:val="00E4631D"/>
    <w:rsid w:val="00E47460"/>
    <w:rsid w:val="00E50A39"/>
    <w:rsid w:val="00E510E1"/>
    <w:rsid w:val="00E51112"/>
    <w:rsid w:val="00E547C1"/>
    <w:rsid w:val="00E60DA6"/>
    <w:rsid w:val="00E66726"/>
    <w:rsid w:val="00E71FCE"/>
    <w:rsid w:val="00E766A0"/>
    <w:rsid w:val="00E82293"/>
    <w:rsid w:val="00E84C81"/>
    <w:rsid w:val="00E85435"/>
    <w:rsid w:val="00E90448"/>
    <w:rsid w:val="00E946D7"/>
    <w:rsid w:val="00EA1082"/>
    <w:rsid w:val="00EA16D0"/>
    <w:rsid w:val="00EA1EC6"/>
    <w:rsid w:val="00EA2A40"/>
    <w:rsid w:val="00EB2A3E"/>
    <w:rsid w:val="00EC221B"/>
    <w:rsid w:val="00EC27C9"/>
    <w:rsid w:val="00EC4548"/>
    <w:rsid w:val="00EC7F09"/>
    <w:rsid w:val="00ED0DE8"/>
    <w:rsid w:val="00ED3902"/>
    <w:rsid w:val="00ED623C"/>
    <w:rsid w:val="00EF11ED"/>
    <w:rsid w:val="00EF3EE3"/>
    <w:rsid w:val="00EF556D"/>
    <w:rsid w:val="00EF7799"/>
    <w:rsid w:val="00EF77F1"/>
    <w:rsid w:val="00F00AC5"/>
    <w:rsid w:val="00F06084"/>
    <w:rsid w:val="00F07F6A"/>
    <w:rsid w:val="00F20882"/>
    <w:rsid w:val="00F20CEA"/>
    <w:rsid w:val="00F220ED"/>
    <w:rsid w:val="00F2296B"/>
    <w:rsid w:val="00F25502"/>
    <w:rsid w:val="00F31303"/>
    <w:rsid w:val="00F32495"/>
    <w:rsid w:val="00F328A2"/>
    <w:rsid w:val="00F3317B"/>
    <w:rsid w:val="00F332F5"/>
    <w:rsid w:val="00F34F2E"/>
    <w:rsid w:val="00F35F81"/>
    <w:rsid w:val="00F44D52"/>
    <w:rsid w:val="00F525C7"/>
    <w:rsid w:val="00F52FEE"/>
    <w:rsid w:val="00F543FB"/>
    <w:rsid w:val="00F55563"/>
    <w:rsid w:val="00F605E0"/>
    <w:rsid w:val="00F76952"/>
    <w:rsid w:val="00F77CF6"/>
    <w:rsid w:val="00F80E94"/>
    <w:rsid w:val="00F816F4"/>
    <w:rsid w:val="00F831F2"/>
    <w:rsid w:val="00F833A8"/>
    <w:rsid w:val="00F92FF3"/>
    <w:rsid w:val="00F95F75"/>
    <w:rsid w:val="00FA01C1"/>
    <w:rsid w:val="00FA2D50"/>
    <w:rsid w:val="00FA4C01"/>
    <w:rsid w:val="00FA7A40"/>
    <w:rsid w:val="00FB1901"/>
    <w:rsid w:val="00FB2D0A"/>
    <w:rsid w:val="00FB7983"/>
    <w:rsid w:val="00FB7FD1"/>
    <w:rsid w:val="00FC23E5"/>
    <w:rsid w:val="00FC712D"/>
    <w:rsid w:val="00FD4FA5"/>
    <w:rsid w:val="00FE20BC"/>
    <w:rsid w:val="00FE332A"/>
    <w:rsid w:val="00FE3A55"/>
    <w:rsid w:val="00FE3E7E"/>
    <w:rsid w:val="00FE45D9"/>
    <w:rsid w:val="00FE4EF6"/>
    <w:rsid w:val="00FE584E"/>
    <w:rsid w:val="00FF098C"/>
    <w:rsid w:val="00FF09E9"/>
    <w:rsid w:val="00FF17B5"/>
    <w:rsid w:val="00FF32B4"/>
    <w:rsid w:val="00FF5C91"/>
    <w:rsid w:val="00FF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0406DF8-FB39-4BA9-A50F-AAF135CD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B64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B64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B64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070394"/>
    <w:rPr>
      <w:rFonts w:asciiTheme="minorHAnsi" w:eastAsiaTheme="minorHAnsi" w:hAnsiTheme="minorHAnsi" w:cstheme="minorBidi"/>
      <w:sz w:val="22"/>
      <w:szCs w:val="22"/>
    </w:rPr>
  </w:style>
  <w:style w:type="paragraph" w:styleId="NormalWeb">
    <w:name w:val="Normal (Web)"/>
    <w:basedOn w:val="Normal"/>
    <w:uiPriority w:val="99"/>
    <w:unhideWhenUsed/>
    <w:rsid w:val="0007039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70394"/>
    <w:pPr>
      <w:spacing w:after="0" w:line="240" w:lineRule="auto"/>
    </w:pPr>
    <w:rPr>
      <w:sz w:val="20"/>
      <w:szCs w:val="20"/>
    </w:rPr>
  </w:style>
  <w:style w:type="character" w:customStyle="1" w:styleId="FootnoteTextChar">
    <w:name w:val="Footnote Text Char"/>
    <w:basedOn w:val="DefaultParagraphFont"/>
    <w:link w:val="FootnoteText"/>
    <w:uiPriority w:val="99"/>
    <w:rsid w:val="00070394"/>
    <w:rPr>
      <w:rFonts w:asciiTheme="minorHAnsi" w:eastAsiaTheme="minorHAnsi" w:hAnsiTheme="minorHAnsi" w:cstheme="minorBidi"/>
    </w:rPr>
  </w:style>
  <w:style w:type="character" w:styleId="FootnoteReference">
    <w:name w:val="footnote reference"/>
    <w:basedOn w:val="DefaultParagraphFont"/>
    <w:unhideWhenUsed/>
    <w:rsid w:val="00070394"/>
    <w:rPr>
      <w:vertAlign w:val="superscript"/>
    </w:rPr>
  </w:style>
  <w:style w:type="character" w:customStyle="1" w:styleId="apple-converted-space">
    <w:name w:val="apple-converted-space"/>
    <w:basedOn w:val="DefaultParagraphFont"/>
    <w:rsid w:val="00070394"/>
  </w:style>
  <w:style w:type="paragraph" w:customStyle="1" w:styleId="Default">
    <w:name w:val="Default"/>
    <w:rsid w:val="003F35BD"/>
    <w:pPr>
      <w:autoSpaceDE w:val="0"/>
      <w:autoSpaceDN w:val="0"/>
      <w:adjustRightInd w:val="0"/>
    </w:pPr>
    <w:rPr>
      <w:rFonts w:ascii="Calibri" w:eastAsiaTheme="minorHAnsi" w:hAnsi="Calibri" w:cs="Calibri"/>
      <w:color w:val="000000"/>
      <w:sz w:val="24"/>
      <w:szCs w:val="24"/>
    </w:rPr>
  </w:style>
  <w:style w:type="character" w:styleId="PageNumber">
    <w:name w:val="page number"/>
    <w:basedOn w:val="DefaultParagraphFont"/>
    <w:uiPriority w:val="99"/>
    <w:semiHidden/>
    <w:unhideWhenUsed/>
    <w:rsid w:val="006B7861"/>
  </w:style>
  <w:style w:type="character" w:styleId="Emphasis">
    <w:name w:val="Emphasis"/>
    <w:basedOn w:val="DefaultParagraphFont"/>
    <w:rsid w:val="006B7861"/>
    <w:rPr>
      <w:i/>
      <w:iCs/>
    </w:rPr>
  </w:style>
  <w:style w:type="character" w:styleId="FollowedHyperlink">
    <w:name w:val="FollowedHyperlink"/>
    <w:basedOn w:val="DefaultParagraphFont"/>
    <w:rsid w:val="006B7861"/>
    <w:rPr>
      <w:color w:val="800080" w:themeColor="followedHyperlink"/>
      <w:u w:val="single"/>
    </w:rPr>
  </w:style>
  <w:style w:type="table" w:customStyle="1" w:styleId="TableGrid8">
    <w:name w:val="Table Grid8"/>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B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6B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B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B78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B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B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86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678923265">
      <w:bodyDiv w:val="1"/>
      <w:marLeft w:val="0"/>
      <w:marRight w:val="0"/>
      <w:marTop w:val="0"/>
      <w:marBottom w:val="0"/>
      <w:divBdr>
        <w:top w:val="none" w:sz="0" w:space="0" w:color="auto"/>
        <w:left w:val="none" w:sz="0" w:space="0" w:color="auto"/>
        <w:bottom w:val="none" w:sz="0" w:space="0" w:color="auto"/>
        <w:right w:val="none" w:sz="0" w:space="0" w:color="auto"/>
      </w:divBdr>
    </w:div>
    <w:div w:id="1835300600">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protect-eu.mimecast.com/s/nd37BSzQ9KkI4" TargetMode="External"/><Relationship Id="rId26" Type="http://schemas.openxmlformats.org/officeDocument/2006/relationships/hyperlink" Target="http://www2.ed.gov/about/inits/ed/green-strides/resources.html" TargetMode="External"/><Relationship Id="rId3" Type="http://schemas.openxmlformats.org/officeDocument/2006/relationships/customXml" Target="../customXml/item3.xml"/><Relationship Id="rId21" Type="http://schemas.openxmlformats.org/officeDocument/2006/relationships/hyperlink" Target="http://www.doe.mass.edu/finance/sbuilding/"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finance/sbuilding/GreenRibbon/ResourcesGuid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gee.org/electronic-clearinghouse-with-promising-practi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ssenergyinsight.net/hom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ohhs/gov/departments/dph/programs/environmental-health/exposure-topics/iaq/iaq-methods/the-mass-school-checklist.html" TargetMode="External"/><Relationship Id="rId28"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renniecenter.org/sites/default/files/2017-01/Labor-Management-Community%20Collaboration%20in%20Springfield%20Public%20School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nces.ed.gov/pubsearch/pubsinfo.asp?pubid=2003347"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boe/docs/FY2017/2017-02/item6.html" TargetMode="External"/><Relationship Id="rId2" Type="http://schemas.openxmlformats.org/officeDocument/2006/relationships/hyperlink" Target="http://www.doe.mass.edu/edeval/resources/presentations/SMARTGoals/Handout5.pdf" TargetMode="External"/><Relationship Id="rId1" Type="http://schemas.openxmlformats.org/officeDocument/2006/relationships/hyperlink" Target="https://malegislature.gov/Laws/GeneralLaws/PartI/TitleXII/Chapter71/Section16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DESE-231-33792</_dlc_DocId>
    <_dlc_DocIdUrl xmlns="733efe1c-5bbe-4968-87dc-d400e65c879f">
      <Url>https://sharepoint.doemass.org/ese/webteam/cps/_layouts/DocIdRedir.aspx?ID=DESE-231-33792</Url>
      <Description>DESE-231-33792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1758D-FAC7-4A6D-AF82-593547E3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3AD74-263E-455E-8E20-4CF245DEC78C}">
  <ds:schemaRefs>
    <ds:schemaRef ds:uri="http://schemas.microsoft.com/sharepoint/events"/>
  </ds:schemaRefs>
</ds:datastoreItem>
</file>

<file path=customXml/itemProps3.xml><?xml version="1.0" encoding="utf-8"?>
<ds:datastoreItem xmlns:ds="http://schemas.openxmlformats.org/officeDocument/2006/customXml" ds:itemID="{6241A76E-EE33-4109-B22C-6519A007ACFC}">
  <ds:schemaRefs>
    <ds:schemaRef ds:uri="http://schemas.microsoft.com/sharepoint/v3/contenttype/forms"/>
  </ds:schemaRefs>
</ds:datastoreItem>
</file>

<file path=customXml/itemProps4.xml><?xml version="1.0" encoding="utf-8"?>
<ds:datastoreItem xmlns:ds="http://schemas.openxmlformats.org/officeDocument/2006/customXml" ds:itemID="{6E55028A-8A6F-4C53-B4B4-F37C308133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11720D0-FE5D-4DDF-ABFA-5E8B476C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16012</Words>
  <Characters>91269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Dighton-Rehoboth District Review Report, 2017 onsite.</vt:lpstr>
    </vt:vector>
  </TitlesOfParts>
  <Company>Microsoft</Company>
  <LinksUpToDate>false</LinksUpToDate>
  <CharactersWithSpaces>107067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Dighton-Rehoboth District Review Report, 2017 onsite.</dc:title>
  <dc:creator>kquinlan-zhou</dc:creator>
  <cp:lastModifiedBy>Zou, Dong (EOE)</cp:lastModifiedBy>
  <cp:revision>3</cp:revision>
  <cp:lastPrinted>2017-05-19T15:43:00Z</cp:lastPrinted>
  <dcterms:created xsi:type="dcterms:W3CDTF">2017-06-09T14:11:00Z</dcterms:created>
  <dcterms:modified xsi:type="dcterms:W3CDTF">2018-12-13T17:16:00Z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23a7f4c2-a9bb-40a0-9fd1-4cde252058cc</vt:lpwstr>
  </property>
</Properties>
</file>